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福建省分行普惠法人授信申报及审查审批意见表（[待补充]新版）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2010年5月，经营地址位于福州市仓山区XX工业园区XX路XX号，面积XX平。实际主营业务为芯片设计。上年度末社保人数材料未提供；注册资本：4100万元、实收资本：4100万元；法定代表人：黄祖海。股权穿透后实际控制人持股比例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过往两年企业股权变动情况及变动原因：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材料未提供面访时间、双方会面人员及未面访原因。实控人黄祖海，本科学历，自2000年起长期从事网络技术及管理相关工作，行业经验丰富，自2012年起创立并经营福建中锐网络股份有限公司至今。</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2134</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640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厦门国际银行台江支行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流贷</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6400</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自2017年以来，我行与借款人建立授信合作关系，近三年分别给予其500、400、500万元授信敞口。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年   月 2025年12月 日，经531系统查询，借款人 2025 年 10 月   日提贷 500万元，到期日 2025 年 10 月   日，贷款采取自主支付方式发放，通过调取借款人账户流水，1. 500万元向 海峡银行-金山支行 有限公司支付 海峡银行-金山支行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提供上一年度审计报告</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提供上一年度增值税申报表</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已提供2023年12月增值税申报表</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提供最新一期财务报表</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提供主要上下游合同</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已提供主要上游供应商列表</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黄色预警提示法定代表人目前信用卡存在逾期，经核实，材料未提供核实情况。综合评判，材料未提供综合评判结论。</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9.（若有）PD评级较上期下滑，分析原因：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实际控制人：黄祖海，中国国籍，身份证号350124197704201694，配偶康恩慧（身份证号352101197802182324）。湖南大学电子商务专业本科学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福建中锐网络股份有限公司全资控股福建中锐汉鼎信息技术有限公司、福建中锐教育科技有限公司、北京中锐青云科技有限公司、厦门中锐软件科技有限公司，并持有中锐海沃水利技术(福建)有限公司84%股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根据补充材料）：关联企业共5家，均为全资或控股子公司。其中，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最新融资213万元；厦门中锐软件科技有限公司主营软硬件销售，上年收入7万元，净利润-13万元；中锐海沃水利技术(福建)有限公司主营智慧水利，上年收入0万元，净利润0万元。</w:t>
              <w:br/>
              <w:t>母公司（福建中锐网络股份有限公司）财务分析：截至2025年末，公司总资产1.70亿元，同比减少8.7%；营业收入1.00亿元，同比增长14.9%；净利润494万元，同比大幅增长50.1%，显示盈利规模扩张。盈利能力方面，净利率为4.9%，同比提升1.2个百分点，主要得益于费用控制；但毛利率为38.0%，同比微降0.8个百分点，可能与业务结构或成本上升有关。偿债能力显著改善，资产负债率降至42.5%（同比-7.7pct），流动比率提升至1.82倍，主要得益于总负债减少22.7%以及所有者权益增长5.3%。营运效率呈现分化：应收账款周转天数大幅改善至271天（同比-117天），回款加速；但存货周转天数恶化至129天（同比+49天），存货余额同比激增88.0%至2192万元，存在积压风险。现金流方面，经营活动净现金流为791万元，为净利润的1.60倍，现金流生成能力健康；销售收现比1.04，表明收入实现质量较好。综合来看，公司盈利与偿债指标向好，但存货管理压力及4730万元的短期借款（年经营现金流仅791万元）需依赖再融资滚动偿还，对还款能力构成一定压力。</w:t>
            </w:r>
            <w:r>
              <w:rPr>
                <w:rFonts w:hint="eastAsia" w:ascii="宋体" w:hAnsi="宋体" w:cs="宋体"/>
                <w:snapToGrid w:val="0"/>
                <w:kern w:val="0"/>
                <w:szCs w:val="21"/>
                <w:highlight w:val="none"/>
                <w:u w:val="single"/>
              </w:rPr>
            </w:r>
          </w:p>
          <w:p w14:paraId="29070FDD">
            <w:pPr>
              <w:ind w:firstLine="422" w:firstLineChars="200"/>
              <w:jc w:val="left"/>
              <w:outlineLvl w:val="0"/>
              <w:rPr>
                <w:rFonts w:hint="eastAsia" w:ascii="宋体" w:hAnsi="宋体" w:cs="宋体"/>
                <w:snapToGrid w:val="0"/>
                <w:kern w:val="0"/>
                <w:szCs w:val="21"/>
                <w:highlight w:val="none"/>
                <w:u w:val="single"/>
              </w:rPr>
            </w:pPr>
            <w:r>
              <w:t xml:space="preserve">收入降幅显著收窄并于预测期转为增长，显示业务复苏趋势。毛利率在经历波动后于近两年稳定在较高水平，盈利能力的稳定性有所改善。收入、毛利与净利润需联动分析，重点关注利润兑现与毛利波动是否匹配。</w:t>
            </w:r>
          </w:p>
          <w:p w14:paraId="29070FDD">
            <w:pPr>
              <w:ind w:firstLine="422" w:firstLineChars="200"/>
              <w:jc w:val="left"/>
              <w:outlineLvl w:val="0"/>
              <w:rPr>
                <w:rFonts w:hint="eastAsia" w:ascii="宋体" w:hAnsi="宋体" w:cs="宋体"/>
                <w:snapToGrid w:val="0"/>
                <w:kern w:val="0"/>
                <w:szCs w:val="21"/>
                <w:highlight w:val="none"/>
                <w:u w:val="single"/>
              </w:rPr>
            </w:pPr>
            <w:r>
              <w:t xml:space="preserve">企业短期偿债压力显著加剧，货币资金对短期债务的保障能力持续大幅削弱。尽管流动比率有所改善且资产负债率呈下降趋势，但核心流动性指标的急剧恶化表明企业面临严峻的即时支付风险。偿债能力由杠杆水平与流动性共同决定，需同步观察资产负债率和短债覆盖能力。</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应收账款周转效率持续恶化，回款能力显著下降。存货管理波动剧烈，存在库存积压风险。运营效率需重点跟踪应收账款周转与收入扩张的匹配程度。</w:t>
            </w:r>
          </w:p>
          <w:p w14:paraId="29070FDD">
            <w:pPr>
              <w:ind w:firstLine="422" w:firstLineChars="200"/>
              <w:jc w:val="left"/>
              <w:outlineLvl w:val="0"/>
              <w:rPr>
                <w:rFonts w:hint="eastAsia" w:ascii="宋体" w:hAnsi="宋体" w:cs="宋体"/>
                <w:snapToGrid w:val="0"/>
                <w:kern w:val="0"/>
                <w:szCs w:val="21"/>
                <w:highlight w:val="none"/>
                <w:u w:val="single"/>
              </w:rPr>
            </w:pPr>
            <w:r>
              <w:t xml:space="preserve">经营现金流波动剧烈且整体偏弱，呈现间歇性负值，表明主营业务造血能力不稳定。公司持续依赖外部融资维持投资活动，但筹资现金流呈收缩趋势，显示外部融资环境趋紧。整体现金流结构显示公司仍处于投入期，自身经营造血能力尚不足以支撑资本开支。</w:t>
            </w:r>
          </w:p>
          <w:p w14:paraId="29070FDD">
            <w:pPr>
              <w:ind w:firstLine="422" w:firstLineChars="200"/>
              <w:jc w:val="left"/>
              <w:outlineLvl w:val="0"/>
              <w:rPr>
                <w:rFonts w:hint="eastAsia" w:ascii="宋体" w:hAnsi="宋体" w:cs="宋体"/>
                <w:snapToGrid w:val="0"/>
                <w:kern w:val="0"/>
                <w:szCs w:val="21"/>
                <w:highlight w:val="none"/>
                <w:u w:val="single"/>
              </w:rPr>
            </w:pPr>
            <w:r>
              <w:t xml:space="preserve">应收账款周转天数持续恶化，远超警戒水平，表明客户回款能力严重不足，存在显著的坏账风险。货币资金对短期借款的覆盖率急剧下降至极低水平，企业短期偿债能力严重不足，面临严峻的流动性危机。当前已触发硬阈值预警：应收账款周转天数超过180天，回款风险偏高。</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合并范围内共有5家子公司，分别为福建中锐汉鼎信息技术有限公司、福建中锐教育科技有限公司、北京中锐青云科技有限公司、厦门中锐软件科技有限公司及中锐海沃水利技术(福建)有限公司。材料未提供集团合并财务报表数据。</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企业主营智慧水利与智慧教育业务。智慧水利业务提供平台解决方案，应用于水库安全监测等领域；智慧教育业务提供数字人才培养方案。报告期内，水利业务收入占比46%，教育业务收入占比54%。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于2025年12月被福建省认定机构认定为高新技术企业），主营智慧水利与智慧教育业务。智慧水利方面，企业自主研发大坝安全监测等平台，获省科技进步二等奖，方案已应用于省内300余座水库。智慧教育方面，企业与超1000所高校合作，服务1600余家政企客户。企业销售以预收款和账期为主，采购可获得供应商较优信用账期。上游第一大供应商为锐捷网络，采购占比19.77%；下游第一大客户为涵江水利局，销售占比10.02%。实际控制人黄祖海具备超过20年行业技术与管理经验。材料未提供企业专利、研发投入及人员占比等具体数据。</w:t>
              <w:br/>
              <w:br/>
              <w:t>从财务表现看，企业的核心竞争力支撑了其经营增长和稳健的财务结构。2025年，公司营业收入同比增长14.9%至10010万元，净利润同比大幅增长50.1%至494万元，净利率提升1.2个百分点至4.9%，显示盈利能力改善。同时，资产负债率同比下降7.7个百分点至42.5%，流动比率提升至1.82倍，偿债能力增强。经营活动净现金流为791万元，是净利润的1.60倍，现金流质量健康，为偿还债务提供了保障。然而，需关注存货同比激增88.0%至2192万元，存货周转天数增加49天至129天，可能存在积压风险。总体而言，企业核心业务具备一定市场和技术壁垒，财务基本面稳健，盈利与偿债能力向好，主要还款来源——经营性现金流充足，第一还款能力有支撑。</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公司主营业务为智慧水利与智慧教育。2025年实现营业收入10010万元，其中智慧水利业务收入占比46%，智慧教育业务收入占比54%。材料未提供产品生产量、销量、具体销售收入金额及生产工艺流程信息。</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主要为锐捷网络股份有限公司、北京星链南天科技有限公司、广州浩瀚星图信息技术有限公司、新天科技股份有限公司、精导信息技术有限公司司。下游客户包括涵江水利局、福建省翔远电子科技有限公司、三明水利水电工程有限公司顺昌分公司、福州市福清公路事业发展中心、济南展雄电子有限公司。</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与营运效率分析：企业应收账款周转天数为271天，较上年减少117天，但回款周期仍较长。存货周转天数为129天，较上年增加49天，存货积压明显（与存货科目同比大增88.0%相印证）。此外，应付账款同比大幅减少56.0%，可能削弱了对上游的占款能力。总体营运资金周转效率偏慢，对流动资金形成占用。从偿债能力看，虽然当期经营现金流净额为791万元，覆盖净利润倍数（经营现金流/净利润）为1.60，现金流质量健康，但公司短期借款达4730万元，经营现金流对短期债务的覆盖能力有限，营运效率的改善对于保障其还款能力至关重要。</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材料未提供最新在手订单列表。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截至2025年12月31日，借款人福建中锐网络股份有限公司主要财务指标如下：</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规模与增长：报告期末，公司总资产为16956万元，较2024年末下降8.7%；总负债为7207万元，同比下降22.7%；所有者权益为9749万元，同比增长5.3%。2025年度实现营业收入1010万元，同比增长14.9%；实现净利润494万元，同比大幅增长50.1%，显示公司盈利规模在扩张。</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企业2025年末应收账款为7430万元，较2024年末的9253万元下降19.7%，回款情况有所改善。但该科目自2022年以来持续快速增长，2023年及2024年同比增幅分别达44.1%和45.6%，当前余额仍处于高位。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2025年末其他应收款为2774万元，较2024年末的3522万元下降748万元，降幅达21.2%。该科目在2023年曾大幅增长至3621万元，2025年虽有所回落，但余额仍显著高于2022年的1432万元。由于材料未披露具体构成，其款项性质及回收风险无法判断。</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企业存货2025年末为2192万元，较2024年末的1166万元大幅增长88.0%。然而，该科目自2022年的5301万元起连续两年下降至2024年低位，2025年的回升具体原因依据现有材料无法判断。</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3"/>
            <w:r>
              <w:rPr>
                <w:rStyle w:val="CommentReference"/>
              </w:rPr>
              <w:commentReference w:id="3"/>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长期投资2025年末为3123万元，较2024年末的2518万元增长605万元，增幅达24.0%，呈现显著扩张趋势。然而，财务报表材料中未披露长期投资的具体构成及变动原因。</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应付账款期末余额为1026万元，较2024年末的2333万元大幅下降56.0%，主要系公司支付供应商货款所致。该科目连续两年增长后于2025年显著回落，需关注其与采购规模变化的匹配性。</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其他应付款期末余额为168万元，较2024年末的648万元大幅下降480万元，降幅达74.1%。该科目余额已回落至接近2023年（185万元）及2022年（63万元）的水平。</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（7）主营业务收入变动原因： 企业主营业务收入自2022年的21198万元持续下滑至2024年的8712万元，2025年虽回升至1010万元，同比增长14.9%，但整体规模仍远低于前期水平。本次回升的具体原因，基于提供的财务报表材料无法直接判定。</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（8）盈利能力变动原因： 企业盈利能力自2022年以来持续下滑，2025年营业收入1010万元，虽较2024年的8712万元有所回升，但净利润仅为494万元，净利率为4.9%，仍显著低于2022年水平。2025年净利率较2024年的3.8%有所改善，但鉴于缺乏详细的成本费用构成数据，盈利能力变动的具体原因无法明确分析。</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根据提供的2025年资产负债表，企业货币资金期末余额为286万元，较年初的506万元大幅下降43.6%。同时，存货由年初的1166万元激增至2192万元，增幅达87.9%，占用了较多营运资金。</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盈利能力：2025年公司毛利率为38.0%，较上年微降0.8个百分点；净利率为4.9%，同比提升1.2个百分点；营业利润率为4.8%，同比略增0.2个百分点。净利率的提升主要得益于费用控制或营业外收支的改善，使得净利润增速远超营收增速。</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材料中提供了2025年部分现金流量数据（销售商品、提供劳务收到的现金103852568.95元，收到的税费返还2643784.65元），但未提供完整的最近三年现金流量表分析。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偿债能力：报告期末，公司资产负债率为42.5%，较2024年末的50.2%下降7.7个百分点，长期偿债压力减轻。流动比率为1.82倍，速动比率为1.51倍，分别较上年末提升0.24和0.06，短期偿债能力指标有所改善，处于相对安全区间。</w:t>
              <w:br/>
              <w:t>营运效率：应收账款周转天数为271天，较上年的388天大幅缩短117天，回款效率显著提升。然而，存货周转天数为129天，较上年的80天延长49天，结合存货期末值同比激增88.0%至2192万元（远超营收增速），表明可能存在存货积压或销售不畅的风险。</w:t>
              <w:br/>
              <w:t>现金流：2025年度，公司经营活动产生净现金流791万元，投资活动净流出586万元，筹资活动净流出426万元。经营现金流净额为净利润的1.60倍，销售商品收现与营收之比为1.04，显示当期盈利的现金保障程度高，现金流质量健康。</w:t>
              <w:br/>
              <w:t>关键科目与还款能力挂钩：公司短期借款为4730万元，而年度经营现金流净额为791万元，后者对前者的覆盖能力有限，表明短期债务的偿还高度依赖再融资或资产变现。尽管应收账款（7430万元）和总资产规模下降有助于优化资产结构，但存货的快速增长占用了营运资金，可能对流动性造成压力。整体来看，公司盈利能力和现金流生成能力增强，但短期偿债对融资滚动的依赖性较高。需客户补充的材料信息：（1）应收账款7430万元的主要构成及账龄分析。（2）其他应收款2774万元的主要构成及性质。</w:t>
              <w:br/>
              <w:t>（3）存货2192万元的主要构成及大幅增长的具体原因。（4）长期投资的具体构成。（5）应付账款126万元的主要构成及账龄。</w:t>
              <w:br/>
              <w:t>（6）其他应付款的具体构成（据辅助材料显示约为168万元）。（7）2025年度营业收入增长14.9%的具体驱动因素。（8）盈利能力变动的具体原因分析。（9）近期固定资产投资的具体情况与计划。</w:t>
              <w:br/>
              <w:t>（10）对于其他变动较大财务指标（如存货、应付账款）的说明。（11）最近三年的完整现金流量表及分析。</w:t>
              <w:br/>
              <w:t>（12）财务数据真实性的第三方验证材料（如税务报表、银行流水等）。</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对外融资授信总额4640万元，已用额度4440万元（据客户材料汇总）。具体为：交通银行屏东支行1000万元，到期日2026年4月24日；海峡银行金山支行500万元，到期日2026年10月15日；厦门国际银行台江支行640万元，到期日2026年11月21日；兴业银行环球支行两笔合计2000万元（单笔各1000万元），到期日分别为2026年11月25日及2026年12月22日；工商银行500万元，到期日2026年12月2日；中国银行福建省分行600万元，到期日2027年1月4日；广发银行鼓楼支行400万元，到期日2027年1月23日。材料未提供中长期借款还款计划及还款资金安排情况。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材料中未提及中长期借款及其还款计划。 </w:t>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财务影响分析：公司短期借款期末余额为4730万元，与上述已用融资额度规模基本匹配。公司年经营活动净现金流为791万元，相对于短期债务规模，内生现金覆盖能力偏弱，短期偿债对再融资接续依赖度较高。公司流动比率（1.82倍）与速动比率（1.51倍）同比改善，资产负债率（42.5%）处于适中水平，整体短期偿债指标尚可，但需关注债务集中到期时的流动性安排。</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4"/>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4"/>
            <w:r>
              <w:rPr>
                <w:rStyle w:val="CommentReference"/>
              </w:rPr>
              <w:commentReference w:id="4"/>
            </w:r>
          </w:p>
          <w:p w14:paraId="4355488A">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材料中未提及不良记录情况。 </w:t>
            </w:r>
          </w:p>
          <w:p w14:paraId="0BD0E5B0">
            <w:commentRangeStart w:i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黄祖海信用报告，其名下有未结清贷款账户1笔，余额1000万元，为中行个人经营贷款，经营主体为[待补充]；有未销户信用卡账户1笔，余额0元。全部未结清贷款估算下月应还款额0元，贷记卡最近6个月平均使用额度27元。承担担保责任账户有1笔，余额1000万元，为[待补充]担保。客户近5年贷款累计逾期1期，连续逾期1期，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5"/>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 康恩慧 ，中国国籍，福建福州人，1978年生，个人征信信息：材料未提供。</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材料中未提供科技型企业评分。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高新技术企业。科技型企业评分：材料未提供科技型企业评分。核心研发人员享有股权激励。近三年研发投入占比及研发人员占比：2023年研发费用占比7.4%，研发人员占比44%；2024年研发费用占比14.5%，研发人员占比49%；2025年研发费用占比10.5%，研发人员占比53%。</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期末货币资金余额为286万元。企业对上游采用预付款和账期款方式结算，对下游采用预收款和账期或全款的收款方式，应收账款周转天数为271天，回款周期较长。同时，存货期末余额为2192万元，较上年末增加88.0%，营运资金占用显著增加。本次申请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材料中未提及申请中期流动资金贷款。 </w:t>
            </w:r>
            <w:r>
              <w:rPr>
                <w:rFonts w:hint="eastAsia" w:ascii="宋体" w:hAnsi="宋体" w:cs="宋体"/>
                <w:b/>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材料未提供营运资金需求测算表。</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材料中未提及测算数据调整。 </w:t>
            </w:r>
            <w:r>
              <w:rPr>
                <w:rFonts w:hint="eastAsia"/>
                <w:highlight w:val="none"/>
                <w:u w:val="none"/>
                <w:lang w:val="en-US" w:eastAsia="zh-CN"/>
              </w:rPr>
              <w:t xml:space="preserve">  </w:t>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材料中未提供经营性现金流的具体分析。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材料中未提供抵质押物变现能力分析及其他渠道现金流分析。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修正后的完整正文===</w:t>
              <w:br/>
              <w:t>3.还款能力分析：</w:t>
              <w:br/>
              <w:t>①第一还款来源（经营性现金流分析）：</w:t>
              <w:br/>
              <w:t>企业2025年实现营业收入10010万元，较上年增长；净利润494万元，较上年显著增长。经营活动净现金流为791万元，经营现金流/净利润为1.60，销售商品收现/营收为1.04，现金流创造能力健康，利润的现金保障程度高。盈利能力方面，净利率提升至4.9%，但毛利率微降至38.0%，需关注成本控制。偿债能力显著改善，资产负债率降至42.5%，流动比率与速动比率分别提升至1.82倍和1.51倍，短期偿债缓冲垫有所增厚。然而，营运效率呈现分化：应收账款周转天数大幅改善至271天，回款加速；但存货周转天数恶化至129天，且存货余额同比大幅增长88.0%至2192万元，远超营收增速，存在明显的积压风险，可能占用营运资金并带来减值压力。综合来看，企业核心还款来源——经营性现金流生成健康，但需重点关注存货积压对流动性的侵蚀，以及短期借款余额（4730万元）规模远超年度经营现金流（791万元）所隐含的短期债务滚动偿还压力。</w:t>
              <w:br/>
              <w:t>②第二还款来源（抵质押物变现能力分析及其他渠道现金流分析）：</w:t>
              <w:br/>
              <w:t>根据现有材料，未能获取用于本次融资的抵质押物（仓山区上渡街道通江路17号江南水都·杰座，所有权人康恩慧、黄祖海）的评估价值、已抵质押状况及对应的融资金额，因此无法对该第二还款来源的覆盖能力和变现能力进行分析。企业融资情况显示已用信4440万元，若本次为续贷，需明确原有及新增担保措施。</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6"/>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6"/>
            <w:r>
              <w:rPr>
                <w:rStyle w:val="CommentReference"/>
              </w:rPr>
              <w:commentReference w:id="6"/>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抵押物为私有房产，坐落于仓山区上渡街道通江路17号江南水都·杰座，权属证号为榕房权证R字第0838000号，建筑面积143.45平方米，所有权人为康恩慧、黄祖海。</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②保证人化型及对公PD X级（注意是否符合保证人准入要求）</w:t>
              <w:br/>
              <w:t>保证人为福建中锐网络股份有限公司，类型为股份有限公司。材料未提供对公PD评级。</w:t>
              <w:br/>
              <w:t>③保证人主要经营情况；</w:t>
              <w:br/>
              <w:t>保证人主营智慧水利、智慧教育，所属其他未列明信息技术服务业。经营地址位于福州市马尾区罗星东路2号海峡经贸广场1#楼A615室（自贸试验区内）。</w:t>
              <w:br/>
              <w:t>④保证人征信信息（银行授信业务品种、敞口提用余额、对外担保余额，不良记录等）；</w:t>
              <w:br/>
              <w:t>保证人银行授信业务品种为流贷、流贷加担保，敞口提用余额4440万元。材料未提供对外担保余额及征信不良记录。</w:t>
              <w:br/>
              <w:t>⑤主要财务指标（请填写下表）。</w:t>
              <w:br/>
              <w:t>截至2025年末，保证人总资产16956万元（同比-8.7%），总负债7207万元（同比-22.7%），所有者权益9749万元（同比+5.3%），资产负债率42.5%（同比-7.7个百分点）。2025年度营业收入10010万元（同比+14.9%），净利润494万元（同比+50.1%）。盈利能力方面，毛利率38.0%（同比-0.8个百分点），净利率4.9%（同比+1.2个百分点）；偿债能力方面，流动比率1.82倍（同比+0.24），速动比率1.51倍（同比+0.06）；营运效率方面，应收账款周转天数271天（同比-117天），存货周转天数129天（同比+49天）。经营活动净现金流791万元，经营现金流/净利润为1.60，现金流质量健康。</w:t>
              <w:br/>
              <w:t>财务分析：保证人2025年营收与净利润实现双增长，其中净利润增速（+50.1%）显著高于营收增速（+14.9%），主要归因于费用控制有效及净利率提升。偿债能力持续改善，资产负债率下降至42.5%，流动及速动比率均有所提升，短期偿债压力有所缓解。然而，营运效率呈现分化：应收账款回收加快（周转天数减少117天），但存货积压明显（周转天数增加49天，存货同比大增88.0%），需关注其存货管理及销售实现情况。与还款能力挂钩：保证人所有者权益稳步增长，资产负债结构稳健。年经营净现金流791万元对短期借款4730万元的覆盖能力有限，主要依赖再融资滚动偿还，但其整体偿债指标改善及盈利增长为债务偿还提供了一定基础。</w:t>
              <w:br/>
              <w:t>⑥其他：风险信息情况、涉诉等</w:t>
              <w:br/>
              <w:t>材料未提供保证人风险信息及涉诉情况。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材料未提供我行内部审批结论（额度、风险分担比例、放大倍数、单户上限）。材料未提供福州市融资担保有限公司截至上报日的对外担保总额、我行担保余额、净资产及担保倍率数据。</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十一）经营单位授信申报结论及方案：企业主营智慧水利与教育，2025年营收10010万元，同比增长14.9%，净利润494万元，同比增长50.1%，主要得益于营收规模扩大及费用控制。现金流方面，当期经营净现金流791万元，经营现金流/净利润为1.60，销售收现比为1.04，现金流质量健康，净利润现金含量充足。杠杆率方面，资产负债率42.5%，同比-7.7pct，主要因总负债下降幅度大于总资产；流动比率1.82倍，同比+0.24，速动比率1.51倍，同比+0.06，偿债能力指标整体改善。可持续性方面，企业为存量客户，业务结构稳定，但需关注存货同比大幅增长88.0%至2192万元，远超营收增速，存在积压风险；应收账款周转天数271天，虽同比-117天有所改善，但仍处高位，回款效率有待提升。企业当前合计授信4640万元，已用4440万元，短期借款4730万元，年经营净现金流791万元对短期债务的覆盖能力偏弱，存在短贷滚动偿还压力。授信方案需结合其实际经营周转需求审慎核定，并落实实际控制人黄祖海及其配偶康恩慧名下核心房产抵押作为强担保措施。贷后应重点监控存货变动、应收账款回款及经营现金流状况，确保第一还款来源稳定。</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但期末货币资金286万元，短期借款4730万元，年经营现金流对短期债务覆盖能力有限，需依赖外部融资滚动。</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杠杆率：借款人2025年末资产负债率42.5%，较2024年末下降7.7个百分点；流动比率1.82倍，速动比率1.51倍，偿债能力指标同比改善。</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为智慧水利与智慧教育，2025年营业收入10010万元，同比增长14.9%；净利润494万元，同比增长50.1%。但存货周转天数由80天增至129天，存货积压明显。垒小户：材料未提供企业在他行具体授信敞口及用信总额数据。配结算：材料未提供借款人在我行结算及代发业务数据。强担保：材料未提供本次申请授信的具体担保方式及担保物信息。</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7"/>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7"/>
            <w:r>
              <w:rPr>
                <w:rStyle w:val="CommentReference"/>
              </w:rPr>
              <w:commentReference w:id="7"/>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8"/>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8"/>
            <w:r>
              <w:rPr>
                <w:rStyle w:val="CommentReference"/>
              </w:rPr>
              <w:commentReference w:id="8"/>
            </w:r>
          </w:p>
          <w:p w14:paraId="6AC425A6">
            <w:commentRangeStart w:id="9"/>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9"/>
            <w:r>
              <w:rPr>
                <w:rStyle w:val="CommentReference"/>
              </w:rPr>
              <w:commentReference w:id="9"/>
            </w:r>
          </w:p>
          <w:p w14:paraId="2FC82B07">
            <w:commentRangeStart w:id="10"/>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269107E9">
            <w:commentRangeStart w:id="11"/>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3096CC3B">
            <w:commentRangeStart w:id="12"/>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3"/>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3"/>
            <w:r>
              <w:rPr>
                <w:rStyle w:val="CommentReference"/>
              </w:rPr>
              <w:commentReference w:id="13"/>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4"/>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4"/>
            <w:r>
              <w:rPr>
                <w:rStyle w:val="CommentReference"/>
              </w:rPr>
              <w:commentReference w:id="14"/>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2:12:10Z" w:initials="Agent">
    <w:p>
      <w:r>
        <w:rPr>
          <w:rStyle w:val="CommentReference"/>
        </w:rPr>
        <w:annotationRef/>
      </w:r>
      <w:r>
        <w:t xml:space="preserve">该处“申报单位”仍为空白，请人工确认。</w:t>
      </w:r>
    </w:p>
  </w:comment>
  <w:comment w:id="1" w:author="信贷报告 Agent" w:date="2026-04-14T12:12:10Z" w:initials="Agent">
    <w:p>
      <w:r>
        <w:rPr>
          <w:rStyle w:val="CommentReference"/>
        </w:rPr>
        <w:annotationRef/>
      </w:r>
      <w:r>
        <w:t xml:space="preserve">该处“小类）”仍为空白，请人工确认。</w:t>
      </w:r>
    </w:p>
  </w:comment>
  <w:comment w:id="2" w:author="信贷报告 Agent" w:date="2026-04-14T12:12:10Z" w:initials="Agent">
    <w:p>
      <w:r>
        <w:rPr>
          <w:rStyle w:val="CommentReference"/>
        </w:rPr>
        <w:annotationRef/>
      </w:r>
      <w:r>
        <w:t xml:space="preserve">该处“绿通标识”仍为空白，请人工确认。</w:t>
      </w:r>
    </w:p>
  </w:comment>
  <w:comment w:id="3" w:author="信贷报告 Agent" w:date="2026-04-14T12:12:10Z" w:initials="Agent">
    <w:p>
      <w:r>
        <w:rPr>
          <w:rStyle w:val="CommentReference"/>
        </w:rPr>
        <w:annotationRef/>
      </w:r>
      <w:r>
        <w:t xml:space="preserve">该处“主要构成及趋势变动情况”仍为空白，请人工确认。</w:t>
      </w:r>
    </w:p>
  </w:comment>
  <w:comment w:id="4" w:author="信贷报告 Agent" w:date="2026-04-14T12:12:10Z" w:initials="Agent">
    <w:p>
      <w:r>
        <w:rPr>
          <w:rStyle w:val="CommentReference"/>
        </w:rPr>
        <w:annotationRef/>
      </w:r>
      <w:r>
        <w:t xml:space="preserve">该处“（若有）对外担保情况”仍为空白，请人工确认。</w:t>
      </w:r>
    </w:p>
  </w:comment>
  <w:comment w:id="5" w:author="信贷报告 Agent" w:date="2026-04-14T12:12:10Z" w:initials="Agent">
    <w:p>
      <w:r>
        <w:rPr>
          <w:rStyle w:val="CommentReference"/>
        </w:rPr>
        <w:annotationRef/>
      </w:r>
      <w:r>
        <w:t xml:space="preserve">该处“为中行个人经营贷款，经营主体为”仍为模板占位符，请人工核实。</w:t>
      </w:r>
    </w:p>
  </w:comment>
  <w:comment w:id="6" w:author="信贷报告 Agent" w:date="2026-04-14T12:12:10Z" w:initials="Agent">
    <w:p>
      <w:r>
        <w:rPr>
          <w:rStyle w:val="CommentReference"/>
        </w:rPr>
        <w:annotationRef/>
      </w:r>
      <w:r>
        <w:t xml:space="preserve">该处“变动原因”仍为空白，请人工确认。</w:t>
      </w:r>
    </w:p>
  </w:comment>
  <w:comment w:id="7" w:author="信贷报告 Agent" w:date="2026-04-14T12:12:10Z" w:initials="Agent">
    <w:p>
      <w:r>
        <w:rPr>
          <w:rStyle w:val="CommentReference"/>
        </w:rPr>
        <w:annotationRef/>
      </w:r>
      <w:r>
        <w:t xml:space="preserve">该处“予借款人授信敞口1000万元，”仍为模板占位符，请人工核实。</w:t>
      </w:r>
    </w:p>
  </w:comment>
  <w:comment w:id="8" w:author="信贷报告 Agent" w:date="2026-04-14T12:12:10Z" w:initials="Agent">
    <w:p>
      <w:r>
        <w:rPr>
          <w:rStyle w:val="CommentReference"/>
        </w:rPr>
        <w:annotationRef/>
      </w:r>
      <w:r>
        <w:t xml:space="preserve">该处“客户经理”仍为空白，请人工确认。</w:t>
      </w:r>
    </w:p>
  </w:comment>
  <w:comment w:id="9" w:author="信贷报告 Agent" w:date="2026-04-14T12:12:10Z" w:initials="Agent">
    <w:p>
      <w:r>
        <w:rPr>
          <w:rStyle w:val="CommentReference"/>
        </w:rPr>
        <w:annotationRef/>
      </w:r>
      <w:r>
        <w:t xml:space="preserve">该处“共同调查人”仍为空白，请人工确认。</w:t>
      </w:r>
    </w:p>
  </w:comment>
  <w:comment w:id="10" w:author="信贷报告 Agent" w:date="2026-04-14T12:12:10Z" w:initials="Agent">
    <w:p>
      <w:r>
        <w:rPr>
          <w:rStyle w:val="CommentReference"/>
        </w:rPr>
        <w:annotationRef/>
      </w:r>
      <w:r>
        <w:t xml:space="preserve">该处“二级支行行长”仍为空白，请人工确认。</w:t>
      </w:r>
    </w:p>
  </w:comment>
  <w:comment w:id="11" w:author="信贷报告 Agent" w:date="2026-04-14T12:12:10Z" w:initials="Agent">
    <w:p>
      <w:r>
        <w:rPr>
          <w:rStyle w:val="CommentReference"/>
        </w:rPr>
        <w:annotationRef/>
      </w:r>
      <w:r>
        <w:t xml:space="preserve">该处“分管行长”仍为空白，请人工确认。</w:t>
      </w:r>
    </w:p>
  </w:comment>
  <w:comment w:id="12" w:author="信贷报告 Agent" w:date="2026-04-14T12:12:10Z" w:initials="Agent">
    <w:p>
      <w:r>
        <w:rPr>
          <w:rStyle w:val="CommentReference"/>
        </w:rPr>
        <w:annotationRef/>
      </w:r>
      <w:r>
        <w:t xml:space="preserve">该处“行长”仍为空白，请人工确认。</w:t>
      </w:r>
    </w:p>
  </w:comment>
  <w:comment w:id="13" w:author="信贷报告 Agent" w:date="2026-04-14T12:12:10Z" w:initials="Agent">
    <w:p>
      <w:r>
        <w:rPr>
          <w:rStyle w:val="CommentReference"/>
        </w:rPr>
        <w:annotationRef/>
      </w:r>
      <w:r>
        <w:t xml:space="preserve">该处“审查员”仍为空白，请人工确认。</w:t>
      </w:r>
    </w:p>
  </w:comment>
  <w:comment w:id="14" w:author="信贷报告 Agent" w:date="2026-04-14T12:12:10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