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材料未提供，经营地址材料未提供。实际主营业务材料未提供。上年度末社保人数材料未提供；注册资本：4100万元、实收资本：4100万元；法定代表人：材料未提供。股权穿透后实际控制人持股比例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过往两年企业股权变动情况及变动原因：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材料未提供面访时间、双方会面人员信息。实控人黄祖海先生自2000年起长期从事网络科技行业，拥有超过二十年的技术与管理经验，行业经验丰富。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未提供</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材料未提供近三年授信敞口数据。</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2025年12月 日，经531系统查询，借款人 2025 年 10 月   日提贷 500万元，到期日 2026 年 10 月   日，贷款采取自主支付方式发放，通过调取借款人账户流水，1. 500万元向 海峡银行-金山支行 有限公司支付 海峡银行-金山支行 货款（已提供发票）；2. 500万元转至工行同户名账户，穿透查看用于向 1 个人支付采购竹刨花原料款 500万元，其余用于支付税款；3.XX万元元转至农行同户名账户(基本户），用于向37个员工支付工资款。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黄色预警提示法定代表人黄祖海目前信用卡存在逾期，经核实，未对借款人造成实质性风险。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9.（若有）PD评级较上期下滑，分析原因：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黄祖海，中国国籍，身份证号350124197704201694，本科学历，毕业于湖南大学电子商务专业。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身份证号352101197802182324。</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福建中锐网络股份有限公司全资控股福建中锐汉鼎信息技术有限公司、福建中锐教育科技有限公司、北京中锐青云科技有限公司、厦门中锐软件科技有限公司，并持有中锐海沃水利技术(福建)有限公司84%股权。</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关联企业共5家，均成立于2016年至2022年间，注册资本在1000万元至1200万元。其中，福建中锐汉鼎信息技术有限公司主营智慧水利，上年收入1223万元，净利润-682万元；福建中锐教育科技有限公司主营智慧教育，上年收入21万元，净利润-1275万元；北京中锐青云科技有限公司主营产教融合创新服务，上年收入204万元，净利润16万元，并获213万元融资；厦门中锐软件科技有限公司主营软硬件销售，上年收入7万元，净利润-13万元；中锐海沃水利技术(福建)有限公司主营智慧水利，上年收入0万元，净利润0万元。关联企业整体经营规模有限，多数处于亏损状态。</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材料未提供集团合并财务报表数据。</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智慧水利业务提供覆盖水灾害、水工程、水资源等六大重点应用的解决方案；智慧教育业务聚焦网络、人工智能等领域，提供数字人才培养解决方案。报告期内，水利业务收入占比46%，教育业务收入占比54%。材料未提供主营芯片设计、芯片制程及具体应用领域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业务为智慧水利与智慧教育。智慧水利产品已应用于福建省300余座水库，智慧教育业务与全国超1000所高校及科研院所建立产学研合作，服务政企客户1600余家。企业上游采购集中于锐捷网络等供应商，第一大供应商采购占比19.77%；下游客户包括涵江水利局等，第一大客户销售占比10.02%。企业销售采取预收款与账期结合方式，采购享有上游给予的较优越信用账期。</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企业主营业务为智慧水利与智慧教育解决方案。2025年实现营业收入10010万元，同比+14.9%。收入结构方面，智慧水利业务占比46%，智慧教育业务占比54%。主要销售客户包括涵江水利局（上年销售额1116万元，占比10.02%）、福建省翔远电子科技有限公司（上年销售额1122万元，占比9.92%）、三明水利水电工程有限公司顺昌分公司（上年销售额572万元，占比5.07%）、福州市福清公路事业发展中心（上年销售额396万元，占比3.51%）及济南展雄电子有限公司（上年销售额356万元，占比2.99%）等。材料未提供产品生产量、销售量及生产工艺流程。</w:t>
              <w:br/>
              <w:br/>
              <w:t>财务表现与还款能力分析：</w:t>
              <w:br/>
              <w:t>从盈利能力看，公司2025年净利润同比+50.1%至494万元，净利率同比提升1.2个百分点至4.9%，主要得益于收入规模增长及费用控制。但毛利率同比微降0.8个百分点至38.0%，需关注成本端压力。偿债能力显著改善，资产负债率较年初下降7.7个百分点至42.5%，流动比率与速动比率分别提升至1.82倍和1.51倍，短期偿债指标向好。营运效率呈现分化：应收账款周转天数同比大幅缩短117天至271天，回款管理成效显著；但存货周转天数同比增加49天至129天，与存货余额较年初激增88.0%相印证，存在库存积压风险。综合来看，公司经营现金流净额为791万元，对净利润的覆盖倍数为1.60，现金流生成能力健康，为偿还债务提供了基础保障。然而，短期借款余额达4730万元，远超年度经营现金流，表明其对银行融资滚动的依赖度较高，需持续关注其再融资能力与存货去化情况。</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③经营账期与财务表现：企业营运资金周转效率偏慢，具体表现为应收账款周转天数271天（同比改善117天），存货周转天数129天（同比恶化49天）。同时，企业总资产周转效率承压，总资产较年初下降8.7%。从偿债能力看，企业资产负债率为42.5%（较年初改善7.7个百分点），流动比率1.82倍（较年初提升0.24），短期偿债指标有所改善。盈利能力方面，营业收入同比增长14.9%至10010万元，净利润同比增长50.1%至494万元，净利率提升1.2个百分点至4.9%，盈利规模与效益同步改善。综合来看，企业盈利改善增强了内生积累（所有者权益较年初增长5.3%），并支撑了经营现金流（当期净流入791万元，为净利润的1.60倍），这有助于覆盖其短期债务的利息支出，但面对4730万元的短期借款本金，仍需依赖外部融资滚动接续。</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下滑趋势在2025年得到扭转并恢复增长，同时毛利率在经历波动后于近两年稳定在较高水平，盈利能力的稳定性有所改善。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借款人2025年末总资产16956万元，较年初下降8.7%；总负债7207万元，较年初下降22.7%；资产负债率42.5%，较年初下降7.7个百分点（-7.7pct），偿债能力改善。2025年营业收入10010万元，同比增长14.9%；净利润494万元，同比增长50.1%；净利率4.9%，同比提升1.2个百分点，盈利能力改善。经营活动净现金流791万元，经营现金流/净利润为1.60，现金流质量健康。</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应收账款2025年末7430万元，较年初下降19.7%；周转天数271天，同比缩短117天，回款效率改善。存货2025年末2192万元，较年初大幅增长88.0%，远超营收增速，存货周转天数129天，同比延长49天，存在积压风险。应付账款2025年末1026万元，较年初下降56.0%。短期借款4730万元，需关注其滚动偿还能力。</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账款7430</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企业2025年末应收账款为7430万元，较2024年末的9253万元下降19.7%，回款情况有所改善。但该科目近三年总体呈快速增长趋势，2023年及2024年同比增幅分别达44.1%和45.6%，需关注其前期扩张的回收风险。</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）其他应收款2774</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2025年末其他应收款为2774万元，较2024年末的3522万元下降21.2%，呈回落趋势。该科目余额仍处较高水平，但材料未披露具体构成，无法评估其回收风险及对流动性的影响。</w:t>
            </w:r>
          </w:p>
          <w:p w14:paraId="669763E4">
            <w:commentRangeStart w:id="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存货为2192万元，较2024年末的1166万元大幅增长88.0%，结束了自2022年（5301万元）以来的连续下降趋势。结合资产负债表，存货占总资产比重有所回升，但具体存货结构及增长原因（如原材料、在产品或产成品）的材料依据不足。</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3"/>
            <w:r>
              <w:rPr>
                <w:rStyle w:val="CommentReference"/>
              </w:rPr>
              <w:commentReference w:id="3"/>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企业长期投资规模持续增长，2025年末达3123万元，较2024年末的2518万元增加605万元，增幅为24.0%。该科目自2022年以来呈上升趋势，但财务报表材料中未披露其具体构成及变动原因。</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账款1026</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应付账款期末余额为1026万元，较年初的2333万元大幅下降56.0%，主要系公司结算支付所致。该科目连续两年增长后于本年度显著回落，需关注其与上游供应商结算政策的变化及对营运资金的影响。</w:t>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2025年末其他应付款为168万元，较2024年末的648万元大幅下降480万元，降幅达74.1%。该科目余额在2022至2024年间呈快速增长趋势，由63万元增至648万元，而2025年出现显著回落。</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企业主营业务为智慧水利和智慧教育，2025年营收1010万元，收入结构为水利占比46%、教育占比54%。企业紧跟国家政策，在智慧水利和智慧教育领域均有成熟解决方案和客户基础，业务发展符合国家战略方向。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企业盈利能力自2022年起持续下滑，净利润由983万元降至2024年的329万元，主要系营业收入从21198万元大幅萎缩至8712万元所致。2025年盈利能力有所回升，净利润增至494万元，净利率为4.9%，较2024年的3.8%提升1.1个百分点，主要得益于营业收入恢复至1010万元，但具体成本费用变动原因依据现有材料无法分析。</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根据提供的2025年资产负债表，未直接列示“固定资产”科目，无法分析其投资变动情况。非流动资产部分数据缺失，因此无法计算或比较各期固定资产投资金额。</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存货期末余额为2192万元，较年初的1166万元大幅增长87.9%，是变动最为显著的财务指标之一。同时，货币资金余额为286万元，较年初的506万元下降了43.6%，流动性有所收紧。其他财务指标因材料中未提供2022至2024年数据，无法进行趋势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短期偿债能力指标呈现分化，货币资金对短期借款的保障水平持续大幅减弱，而流动比率则逐年改善。长期偿债能力持续增强，资产负债率稳步下降至健康水平。偿债能力由杠杆水平与流动性共同决定，需同步观察资产负债率和短债覆盖能力。</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归因分析：资产规模下降主要系应收账款和其他应收款回收所致；负债大幅下降主要系应付账款清偿；净利润增速高于营收，主要得益于费用控制或非经常性收益（净利率提升）；存货激增可能与备货策略或销售不畅有关。还款能力评估：公司当期经营现金流（791万元）对净利润覆盖良好，为第一还款来源提供了基础保障，但需关注存货积压对现金流的潜在占用以及短期借款的滚动偿还压力。</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材料提供了2023年、2024年及2025年的审计报告或财务报表，但未提供具体的现金流量表数据及分析。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应收账款回收效率持续恶化，周转天数显著延长，表明客户回款能力严重下降。存货管理波动剧烈，近期同比增速大幅反弹，可能面临库存积压风险。运营效率需重点跟踪应收账款周转与收入扩张的匹配程度。</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经营现金流波动剧烈且整体偏弱，呈现间歇性负值，表明主营业务造血能力不稳定。公司持续依赖外部融资弥补经营和投资缺口，但筹资活动净流入呈收缩趋势，2025年转为净流出，显示外部融资环境趋紧或偿债压力加大。现金流结构显示公司仍处于投资扩张阶段，但经营现金流的脆弱性可能制约其持续投资能力。</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尽管资产负债率呈下降趋势且未触发阈值，但无法抵消前述两项关键指标的严重恶化，整体信用状况堪忧。</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公司各行贷款余额合计4440万元，授信总额4640万元，涉及交通银行、海峡银行、厦门国际银行、兴业银行、工商银行、中国银行、广发银行共七家机构，均为短期流动资金贷款，五级分类正常。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材料未提及中长期借款情况。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4"/>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4"/>
            <w:r>
              <w:rPr>
                <w:rStyle w:val="CommentReference"/>
              </w:rPr>
              <w:commentReference w:id="4"/>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材料未提及不良记录情况。 </w:t>
            </w:r>
          </w:p>
          <w:p w14:paraId="0BD0E5B0">
            <w:commentRangeStart w:i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待补充]个人信用报告，其名下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1笔，承担共同还款责任账户0笔，余额1000万元，为[待补充]担保。近5年贷款累计逾期1期（其中逾期金额≤500元的期数为0），连续逾期1期（其中连续逾期≤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5"/>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3.实控人配偶情况：康恩慧，中国国籍。材料未提供籍贯、出生年份及个人征信信息。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材料未提供科技型企业评分。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科技型企业类型：材料未提供具体类型及认证信息。</w:t>
              <w:br/>
              <w:t>科技型企业评分：材料未提供。</w:t>
              <w:br/>
              <w:t>核心研发人员享有股权激励。</w:t>
              <w:br/>
              <w:t>近三年研发投入占比分别为7.4%（2023年）、14.5%（2024年）、10.5%（2025年）；研发人员占比分别为44%（2023年）、49%（2024年）、53%（2025年）。</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材料未提供企业在我行日均存款、对公有效户年新增户数、全年结算量、签约代发员工人数及上年发薪量数据。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为791万元，但期末货币资金余额为286万元。企业对上游采用预付款和账期款方式结算，对下游采用预收款和账期或全款的收款方式，下游货款回笼较慢，应收账款周转天数为271天。同时，前端存货积压明显，存货较年初增长88.0%，对营运资金需求较大，故申请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材料未提及申请中期流动资金贷款。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材料未提供营运资金需求测算表。</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材料未提及测算数据调整。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企业销售收款采用预收款和账期或全款的收款方式，尽量减少垫付资金的投入；采购付款是预付款和账期款方式，主要采购商给予了较为优越的信用账期。整体经营模式有利于经营性现金流的稳定。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材料未提供抵质押物信息及其他渠道现金流分析。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w:t>
              <w:br/>
              <w:t>借款人2025年营业收入10010万元，同比增长14.9%；净利润494万元，同比增长50.1%。公司总资产16956万元，较年初下降8.7%；总负债7207万元，较年初下降22.7%；所有者权益9749万元，较年初增长5.3%，资本结构有所优化。盈利能力方面，毛利率为38.0%（同比-0.8个百分点），净利率为4.9%（同比+1.2个百分点），营业利润率为4.8%（同比+0.2个百分点），显示公司在收入增长的同时，费用控制或非经营性收益改善带动了净利率提升。经营活动净现金流791万元，经营现金流/净利润为1.60，销售商品收现/营收为1.04，现金流质量健康，利润的现金实现程度较好。应收账款7430万元，周转天数271天，较年初减少117天，回款效率显著提升；但存货2192万元，较年初大幅增长88.0%，周转天数129天，同比恶化49天，存在积压风险，可能占用营运资金。短期借款4730万元，年经营现金流覆盖能力有限，需依赖外部融资滚动偿还。偿债能力指标改善，资产负债率42.5%（较年初-7.7个百分点），流动比率1.82倍（较年初+0.24），速动比率1.51倍（较年初+0.06），短期偿债压力有所缓解。综合来看，公司主营增长、盈利改善且现金流健康，但存货积压和短期债务依赖滚动偿还对其第一还款来源的稳定性构成一定挑战。</w:t>
              <w:br/>
              <w:t>②第二还款来源（抵质押物变现能力分析及其他渠道现金流分析）：</w:t>
              <w:br/>
              <w:t>材料未提供抵质押物市场或评估价及融资金额。</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6"/>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6"/>
            <w:r>
              <w:rPr>
                <w:rStyle w:val="CommentReference"/>
              </w:rPr>
              <w:commentReference w:id="6"/>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抵押物为私有房产，坐落于仓山区上渡街道通江路17号江南水都·杰座，权属证号为榕 房权证 R 字第 0838000 号，建筑面积143.45平方米，所有权人为康恩慧、黄祖海。材料未提供抵押物评估价值、租赁状态、权利限制情况及是否为唯一住房信息。</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材料未提供保证人化型及对公PD评级。保证人包括福建中锐汉鼎信息技术有限公司、福建中锐教育科技有限公司、北京中锐青云科技有限公司、厦门中锐软件科技有限公司、中锐海沃水利技术(福建)有限公司，均为借款人子公司。材料未提供保证人主要经营情况、征信信息、主要财务指标及风险涉诉信息。</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借款人福建中锐网络股份有限公司主营智慧水利与教育，2025年实现营业收入10010万元，同比增长14.9%；净利润494万元，同比增长50.1%。现金流方面，当期经营活动净现金流791万元，经营现金流/净利润为1.60，销售商品收现/营收为1.04，现金流质量健康。杠杆率方面，2025年末资产负债率42.5%，较年初下降7.7个百分点，偿债能力改善；但短期借款4730万元，需关注其滚动偿还压力。可持续性方面，企业净利率提升至4.9%，但存货较年初大幅增长88.0%至2192万元，存货周转天数延长至129天，显示存货积压风险；应收账款周转天数271天，虽同比改善但仍处高位。企业为存量客户，现有银行授信4640万元，已用4440万元，融资机构分散。本次申报可追加实际控制人黄祖海及其配偶康恩慧名下位于仓山区上渡街道通江路17号江南水都·杰座的房产抵押。贷后需重点关注存货去化及应收账款回收情况，监控销售回款路径，确保结算归行。</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【修正后的完整正文】</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经营现金流/净利润为1.60，销售商品收现/营收为1.04，现金流质量健康。但期末货币资金286万元，短期借款4730万元，年经营现金流对短期债务的覆盖倍数仅为0.17倍（791.2/4730），覆盖能力有限，主要依赖再融资周转。</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2025年末资产负债率42.5%，较年初下降7.7个百分点；流动比率1.82倍，较年初提升0.24；速动比率1.51倍，较年初提升0.06。偿债能力指标全面改善，主要得益于总负债较年初下降22.7%（尤其是应付账款大幅减少56.0%），以及所有者权益增长5.3%，财务结构趋于稳健。</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可持续：借款人主营智慧水利与智慧教育，2025年营业收入10010万元，同比增长14.9%；净利润494万元，同比增长50.1%。盈利能力的提升主要得益于费用控制，净利率同比提升1.2个百分点至4.9%。但需关注运营效率的分化：应收账款周转天数同比大幅改善117天至271天，回款加速；而存货较年初激增88.0%至2192万元，存货周转天数同比恶化49天至129天，远超营收增速，存在存货积压风险，可能占用营运资金并影响未来盈利的稳定性。整体而言，公司盈利增长和偿债指标改善增强了第一还款来源的保障，但存货管理和短期债务周转压力是需要持续关注的风险点。</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（注：关于垒小户、配结算、强担保情况，需客户补充相关材料后进一步分析。）</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7"/>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7"/>
            <w:r>
              <w:rPr>
                <w:rStyle w:val="CommentReference"/>
              </w:rPr>
              <w:commentReference w:id="7"/>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8"/>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8"/>
            <w:r>
              <w:rPr>
                <w:rStyle w:val="CommentReference"/>
              </w:rPr>
              <w:commentReference w:id="8"/>
            </w:r>
          </w:p>
          <w:p w14:paraId="6AC425A6">
            <w:commentRangeStart w:id="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9"/>
            <w:r>
              <w:rPr>
                <w:rStyle w:val="CommentReference"/>
              </w:rPr>
              <w:commentReference w:id="9"/>
            </w:r>
          </w:p>
          <w:p w14:paraId="2FC82B07">
            <w:commentRangeStart w:id="10"/>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0"/>
            <w:r>
              <w:rPr>
                <w:rStyle w:val="CommentReference"/>
              </w:rPr>
              <w:commentReference w:id="10"/>
            </w:r>
          </w:p>
          <w:p w14:paraId="269107E9">
            <w:commentRangeStart w:id="11"/>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3096CC3B">
            <w:commentRangeStart w:id="12"/>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3"/>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3"/>
            <w:r>
              <w:rPr>
                <w:rStyle w:val="CommentReference"/>
              </w:rPr>
              <w:commentReference w:id="13"/>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4"/>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4"/>
            <w:r>
              <w:rPr>
                <w:rStyle w:val="CommentReference"/>
              </w:rPr>
              <w:commentReference w:id="14"/>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2:51:26Z" w:initials="Agent">
    <w:p>
      <w:r>
        <w:rPr>
          <w:rStyle w:val="CommentReference"/>
        </w:rPr>
        <w:annotationRef/>
      </w:r>
      <w:r>
        <w:t xml:space="preserve">该处“申报单位”仍为空白，请人工确认。</w:t>
      </w:r>
    </w:p>
  </w:comment>
  <w:comment w:id="1" w:author="信贷报告 Agent" w:date="2026-04-14T12:51:26Z" w:initials="Agent">
    <w:p>
      <w:r>
        <w:rPr>
          <w:rStyle w:val="CommentReference"/>
        </w:rPr>
        <w:annotationRef/>
      </w:r>
      <w:r>
        <w:t xml:space="preserve">该处“小类）”仍为空白，请人工确认。</w:t>
      </w:r>
    </w:p>
  </w:comment>
  <w:comment w:id="2" w:author="信贷报告 Agent" w:date="2026-04-14T12:51:26Z" w:initials="Agent">
    <w:p>
      <w:r>
        <w:rPr>
          <w:rStyle w:val="CommentReference"/>
        </w:rPr>
        <w:annotationRef/>
      </w:r>
      <w:r>
        <w:t xml:space="preserve">该处“绿通标识”仍为空白，请人工确认。</w:t>
      </w:r>
    </w:p>
  </w:comment>
  <w:comment w:id="3" w:author="信贷报告 Agent" w:date="2026-04-14T12:51:26Z" w:initials="Agent">
    <w:p>
      <w:r>
        <w:rPr>
          <w:rStyle w:val="CommentReference"/>
        </w:rPr>
        <w:annotationRef/>
      </w:r>
      <w:r>
        <w:t xml:space="preserve">该处“主要构成及趋势变动情况”仍为空白，请人工确认。</w:t>
      </w:r>
    </w:p>
  </w:comment>
  <w:comment w:id="4" w:author="信贷报告 Agent" w:date="2026-04-14T12:51:26Z" w:initials="Agent">
    <w:p>
      <w:r>
        <w:rPr>
          <w:rStyle w:val="CommentReference"/>
        </w:rPr>
        <w:annotationRef/>
      </w:r>
      <w:r>
        <w:t xml:space="preserve">该处“（若有）对外担保情况”仍为空白，请人工确认。</w:t>
      </w:r>
    </w:p>
  </w:comment>
  <w:comment w:id="5" w:author="信贷报告 Agent" w:date="2026-04-14T12:51:26Z" w:initials="Agent">
    <w:p>
      <w:r>
        <w:rPr>
          <w:rStyle w:val="CommentReference"/>
        </w:rPr>
        <w:annotationRef/>
      </w:r>
      <w:r>
        <w:t xml:space="preserve">该处“025年7月23日，查询实控人”仍为模板占位符，请人工核实。</w:t>
      </w:r>
    </w:p>
  </w:comment>
  <w:comment w:id="6" w:author="信贷报告 Agent" w:date="2026-04-14T12:51:26Z" w:initials="Agent">
    <w:p>
      <w:r>
        <w:rPr>
          <w:rStyle w:val="CommentReference"/>
        </w:rPr>
        <w:annotationRef/>
      </w:r>
      <w:r>
        <w:t xml:space="preserve">该处“变动原因”仍为空白，请人工确认。</w:t>
      </w:r>
    </w:p>
  </w:comment>
  <w:comment w:id="7" w:author="信贷报告 Agent" w:date="2026-04-14T12:51:26Z" w:initials="Agent">
    <w:p>
      <w:r>
        <w:rPr>
          <w:rStyle w:val="CommentReference"/>
        </w:rPr>
        <w:annotationRef/>
      </w:r>
      <w:r>
        <w:t xml:space="preserve">该处“予借款人授信敞口1000万元，”仍为模板占位符，请人工核实。</w:t>
      </w:r>
    </w:p>
  </w:comment>
  <w:comment w:id="8" w:author="信贷报告 Agent" w:date="2026-04-14T12:51:26Z" w:initials="Agent">
    <w:p>
      <w:r>
        <w:rPr>
          <w:rStyle w:val="CommentReference"/>
        </w:rPr>
        <w:annotationRef/>
      </w:r>
      <w:r>
        <w:t xml:space="preserve">该处“客户经理”仍为空白，请人工确认。</w:t>
      </w:r>
    </w:p>
  </w:comment>
  <w:comment w:id="9" w:author="信贷报告 Agent" w:date="2026-04-14T12:51:26Z" w:initials="Agent">
    <w:p>
      <w:r>
        <w:rPr>
          <w:rStyle w:val="CommentReference"/>
        </w:rPr>
        <w:annotationRef/>
      </w:r>
      <w:r>
        <w:t xml:space="preserve">该处“共同调查人”仍为空白，请人工确认。</w:t>
      </w:r>
    </w:p>
  </w:comment>
  <w:comment w:id="10" w:author="信贷报告 Agent" w:date="2026-04-14T12:51:26Z" w:initials="Agent">
    <w:p>
      <w:r>
        <w:rPr>
          <w:rStyle w:val="CommentReference"/>
        </w:rPr>
        <w:annotationRef/>
      </w:r>
      <w:r>
        <w:t xml:space="preserve">该处“二级支行行长”仍为空白，请人工确认。</w:t>
      </w:r>
    </w:p>
  </w:comment>
  <w:comment w:id="11" w:author="信贷报告 Agent" w:date="2026-04-14T12:51:26Z" w:initials="Agent">
    <w:p>
      <w:r>
        <w:rPr>
          <w:rStyle w:val="CommentReference"/>
        </w:rPr>
        <w:annotationRef/>
      </w:r>
      <w:r>
        <w:t xml:space="preserve">该处“分管行长”仍为空白，请人工确认。</w:t>
      </w:r>
    </w:p>
  </w:comment>
  <w:comment w:id="12" w:author="信贷报告 Agent" w:date="2026-04-14T12:51:26Z" w:initials="Agent">
    <w:p>
      <w:r>
        <w:rPr>
          <w:rStyle w:val="CommentReference"/>
        </w:rPr>
        <w:annotationRef/>
      </w:r>
      <w:r>
        <w:t xml:space="preserve">该处“行长”仍为空白，请人工确认。</w:t>
      </w:r>
    </w:p>
  </w:comment>
  <w:comment w:id="13" w:author="信贷报告 Agent" w:date="2026-04-14T12:51:26Z" w:initials="Agent">
    <w:p>
      <w:r>
        <w:rPr>
          <w:rStyle w:val="CommentReference"/>
        </w:rPr>
        <w:annotationRef/>
      </w:r>
      <w:r>
        <w:t xml:space="preserve">该处“审查员”仍为空白，请人工确认。</w:t>
      </w:r>
    </w:p>
  </w:comment>
  <w:comment w:id="14" w:author="信贷报告 Agent" w:date="2026-04-14T12:51:26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