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福建省分行普惠法人授信申报及审查审批意见表（[待补充]新版）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材料未提供排污许可证、排污登记回执及其他相关资质信息。材料未提供最新股权结构表及过往两年股权变动情况。</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t xml:space="preserve"> 73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黄祖海 </w:t>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材料中未提及近两年企业股权变动情况。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材料未提供面访时间及双方会面人员信息。实控人黄祖海，本科学历，自2000年起长期从事网络技术行业，拥有超过20年的行业技术与管理经验，行业经验丰富。</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股权融资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213</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2026年</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t>4640</w:t>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t>多家银行</w:t>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r>
                    <w:t>债权融资</w:t>
                  </w: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r>
                    <w:t>4640</w:t>
                  </w: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材料未提供近三年我行给予的授信敞口。</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2026 年 1 月 2026年01月 日，经531系统查询，借款人 2025年 年 12月 月   日提贷 300万元，到期日 2026年 年 12月 月   日，贷款采取自主支付方式发放，通过调取借款人账户流水，1. 300万元向 兴业银行-环球支行 有限公司支付 福建中锐网络股份有限公司 货款（已提供发票）；2. 300万元转至工行同户名账户，穿透查看用于向 1 个人支付采购竹刨花原料款 300万元，其余用于支付税款；3.XX万元元转至农行同户名账户(基本户），用于向37个员工支付工资款。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7.授信及风险信号提示及反馈（531系统模块）：黄色预警提示法定代表人黄祖海目前信用卡存在逾期。综合评判，未对借款人造成实质性风险。</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3"/>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3"/>
            <w:r>
              <w:rPr>
                <w:rStyle w:val="CommentReference"/>
              </w:rPr>
              <w:commentReference w:id="3"/>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及实际控制人：黄祖海，中国国籍，身份证号350124197704201694，湖南大学电子商务专业本科学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配偶康恩慧，身份证号352101197802182324。家庭资产包括仓山区上渡街道通江路17号江南水都·杰座房产。</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借款企业福建中锐网络股份有限公司全资控股福建中锐汉鼎信息技术有限公司、福建中锐教育科技有限公司、北京中锐青云科技有限公司、厦门中锐软件科技有限公司，并持有中锐海沃水利技术(福建)有限公司84%股权。</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关联企业数量较多，但整体经营规模有限。福建中锐汉鼎信息技术有限公司主营智慧水利，上年收入1223万元，净亏损682万元。福建中锐教育科技有限公司主营智慧教育，上年收入21万元，净亏损1275万元。北京中锐青云科技有限公司主营产教融合创新服务，上年收入204万元，净利润16万元。厦门中锐软件科技有限公司主营软硬件销售，上年收入7万元，净亏损13万元。中锐海沃水利技术(福建)有限公司主营智慧水利，上年无主营业务收入，净利润0万元。</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材料未提供集团合并财务数据。</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业务为智慧水利与智慧教育。智慧水利业务提供大坝安全智能监测平台、智慧水利流域四预系统等解决方案，已应用于福建省300余座水库；智慧教育业务聚焦数字人才培养，与超1000所高校合作，服务1600余家政企客户。报告期内，水利业务收入占比46%，教育业务收入占比54%。</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主营业务为智慧水利与智慧教育，其中智慧水利业务收入占比46%，智慧教育占比54%。企业于2025年12月被认定为高新技术企业，其智慧水利产品包括大坝安全智能监测平台、智慧水利流域四预系统等，已应用于福建省300余座水库，并获得2022年度福建省科技进步奖二等奖。智慧教育业务与全国超过1000所高校及科研院所建立了产学研合作，服务1600多家政企客户。企业研发投入持续，2025年研发费用1049万元，占营收10.5%，研发人员39人，占比53%。企业依托与上下游建立的稳定合作关系经营，主要采用分期结算方式。</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产品生产量、销量及生产工艺流程。2025年营业收入10010万元，同比增长14.9%。收入结构以智慧教育和智慧水利为主，占比分别为54%和46%。前五大客户合计销售额3562万元，其中涵江水利局1116万元（占比10.02%）、福建省翔远电子科技有限公司1122万元（占比9.92%）。</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企业上游主要供应商包括锐捷网络股份有限公司、北京星链南天科技有限公司、广州浩瀚星图信息技术有限公司、新天科技股份有限公司、精导信息技术有限公司司。下游主要客户包括涵江水利局、福建省翔远电子科技有限公司、三明水利水电工程有限公司顺昌分公司、福州市福清公路事业发展中心、济南展雄电子有限公司。</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①主要上游（前五大）：材料已提供主要供应商名称，但未提供前五大供应商采购金额及占比。</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②主要下游（前五大）：材料已提供主要客户名称，但未提供前五大客户销售金额及占比。</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经营账期与财务表现：企业2025年营业收入同比增长14.9%至10010万元，净利润同比增长50.1%至494万元，盈利能力改善。但营运效率呈现分化：应收账款周转天数为271天，同比改善117天，但仍显著高于软件信息业90-180天典型区间，主要由于项目验收周期较长及客户回款账期较长；存货周转天数为129天，同比恶化49天，且高于行业30-90天典型区间，主要由于项目备货及存货积压（存货较年初大幅增长88.0%）。偿债能力方面，资产负债率较年初下降7.7个百分点至42.5%，流动比率与速动比率均有所提升，但短期借款余额为4730万元，而年经营现金流净额为791万元，对短期债务的覆盖能力一般，还款依赖于再融资。</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r>
              <w:t>收入下滑趋势在2025年得到扭转并恢复增长，同时毛利率在经历波动后于近两年稳定在较高水平，显示盈利能力的改善与巩固。毛利率标准差处于可控范围，表明盈利质量趋于稳定。收入、毛利与净利润需联动分析，重点关注利润兑现与毛利波动是否匹配。</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近三年及最近一期财务数据：</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（1）应收账款：2025年末为7430万元，较年初下降19.7%，呈下降趋势。</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9253万元，主要构成及趋势变动情况： 2025年末应收账款为7430万元，较2024年末的9253万元下降19.7%，回款情况有所改善。但该科目自2022年以来持续快速增长，2023年、2024年同比增幅分别为44.1%和45.6%，当前余额仍处于较高水平。</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3522万元，主要构成及趋势变动情况： 其他应收款2025年末为2774万元，较2024年末的3522万元下降21.2%，但较2022年末的1432万元仍处于高位。由于材料未提供该科目的明细构成，无法判断其具体内容及回款风险。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commentRangeStart w:id="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）存货2192</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企业存货在2025年末为2192万元，较2024年末的1166万元大幅增长88.0%，结束了自2022年（5301万元）以来的持续下降趋势。结合资产负债表，存货占总资产比重有所回升，但具体存货结构及增长原因，材料中未提供明细说明。</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4"/>
            <w:r>
              <w:rPr>
                <w:rStyle w:val="CommentReference"/>
              </w:rPr>
              <w:commentReference w:id="4"/>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企业长期投资规模持续增长，2025年末达3123万元，较2024年末的2518万元增加605万元，增幅为24.0%。该科目自2022年以来呈上升趋势，近两年增速有所加快。</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账款1026</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应付账款期末余额为1026万元，较2024年末的2333万元大幅下降56.0%，同比减少1307万元。结合资产负债表，其降幅远超同期存货（从1166万元增至2192万元）的变动趋势，表明公司可能显著加快了供应商款项的支付或调整了采购结算政策。</w:t>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）其他应付款168</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2025年末其他应付款为168万元，较2024年末的648万元大幅下降480万元，降幅达74.1%。该科目余额已回落至接近2023年水平，显示企业对非经营性往来款项的清理取得显著成效。</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（7）主营业务收入变动原因： 企业主营业务收入自2022年的21198万元持续下滑至2024年的8712万元，2025年虽回升至1010万元，同比增长14.9%，但整体规模较历史高点仍显著萎缩。本次回升的具体原因，基于提供的财务报表材料无法直接获知。</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（8）盈利能力变动原因： 2025年净利率为4.9%，较2024年的3.8%有所改善，主要得益于当年营业收入止跌回升至1010万元。</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根据提供的财务报表，资产负债表未列示“固定资产”科目，无法分析其投资变动情况。非流动资产部分数据缺失，无法进行趋势或同比分析。</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根据提供的2025年资产负债表，企业2025年末货币资金为286万元，较年初的506万元大幅减少43.6%；存货为2192万元，较年初的1166万元激增87.9%。其他应收款为2774万元，较年初的3522万元下降21.3%。</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大幅削弱。尽管流动比率有所改善且资产负债率呈下降趋势，但核心流动性指标的急剧恶化表明企业面临严峻的即时支付风险。偿债能力由杠杆水平与流动性共同决定，需同步观察资产负债率和短债覆盖能力。</w:t>
            </w:r>
          </w:p>
          <w:p w14:paraId="0A792E2F">
            <w:pPr>
              <w:pStyle w:val="11"/>
              <w:rPr>
                <w:rFonts w:hint="eastAsia"/>
                <w:lang w:val="en-US" w:eastAsia="zh-CN"/>
              </w:rPr>
            </w:pPr>
            <w:r>
              <w:t xml:space="preserve">应收账款周转效率持续恶化，回款能力显著下降。存货管理波动剧烈，存在库存积压风险。运营效率需重点跟踪应收账款周转与收入扩张的匹配程度。</w:t>
            </w:r>
          </w:p>
          <w:p w14:paraId="0A792E2F">
            <w:pPr>
              <w:pStyle w:val="11"/>
              <w:rPr>
                <w:rFonts w:hint="eastAsia"/>
                <w:lang w:val="en-US" w:eastAsia="zh-CN"/>
              </w:rPr>
            </w:pPr>
            <w:r>
              <w:t xml:space="preserve">经营现金流波动剧烈，呈现间歇性净流入，表明主营业务造血能力不稳定。企业持续依赖外部融资维持投资活动，且筹资活动在近期转为净流出，可能面临流动性压力。经营现金流当前表现为最近连续1年为正，需关注现金回笼与利润质量是否一致。</w:t>
            </w:r>
          </w:p>
          <w:p w14:paraId="0A792E2F">
            <w:pPr>
              <w:pStyle w:val="11"/>
              <w:rPr>
                <w:rFonts w:hint="eastAsia"/>
                <w:lang w:val="en-US" w:eastAsia="zh-CN"/>
              </w:rPr>
            </w:pPr>
            <w:r>
              <w:t xml:space="preserve">应收账款周转天数持续恶化，已显著超过风险阈值，表明客户回款能力严重不足，信用风险高企。货币资金对短期借款的覆盖率已降至极低水平，远低于安全阈值，企业面临严峻的短期偿债压力。尽管资产负债率呈下降趋势且未触发阈值，但已无法掩盖其营运与流动性风险的急剧恶化。</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（2）其他应收款：2025年末为2774万元，较年初下降21.2%，呈下降趋势。</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材料中提供了2023年、2024年及2025年的审计报告及财务报表，但未提供现金流量表具体数据，无法进行三年现金流量表分析。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（3）存货：2025年末为2192万元，较年初大幅增加88.0%，存货积压信号显著。</w:t>
              <w:br/>
              <w:t>（4）应付账款：2025年末为1026万元，较年初大幅下降56.0%。（5）其他应付款：2025年末为168万元。</w:t>
              <w:br/>
              <w:t>财务分析：2025年营业收入10010万元，同比增长14.9%；净利润494万元，同比增长50.1%。盈利能力方面，净利率4.9%，同比提升1.2个百分点；毛利率38.0%，同比微降0.8个百分点；营业利润率4.8%，同比提升0.2个百分点，整体盈利能力改善。偿债能力方面，资产负债率42.5%，较年初下降7.7个百分点；流动比率1.82倍，较年初提升0.24；速动比率1.51倍，较年初提升0.06，偿债能力指标均有所改善。营运效率方面，应收账款周转天数271天，同比减少117天，但仍显著高于软件信息业90-180天典型区间，主要由于项目验收周期较长；存货周转天数129天，同比增加49天，高于行业30-90天区间，主要因存货大幅增加导致存货管理效率恶化。现金流方面，经营活动净现金流791万元，为净利润的1.60倍，现金流质量健康。综合来看，公司盈利与偿债能力改善，但存货周转效率下降且应收账款周转仍慢。短期借款4730万元，年经营现金流791万元，短期偿债对融资滚动存在一定依赖，需关注其流动性管理。</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报告日，企业各行贷款余额合计4440万元，授信总额5640万元。具体为：交通银行屏东支行流贷1000万元、海峡银行金山支行流贷500万元、厦门国际银行台江支行流贷640万元、兴业银行环球支行两笔流贷（授信均为1000万元，已用700万元、300万元）、工商银行流贷500万元、中国银行福建省分行流贷600万元、广发银行鼓楼支行流贷400万元（已用200万元）。材料未提供中长期借款还款计划及还款资金安排情况。材料未提供对外担保情况。材料未提供不良记录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材料中所有融资清单均为流动资金贷款，未涉及中长期借款。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从财务数据看，企业短期偿债能力有所改善，流动比率与速动比率分别较年初提升0.24和0.06至1.82倍和1.51倍，均处于行业健康区间。资产负债率较年初下降7.7个百分点至42.5%，负债水平适中。然而，企业短期借款余额为4730万元，而年经营现金流净额为791万元，经营现金流对短期债务的覆盖能力偏弱，主要依赖外部融资滚动续贷。应收账款周转天数同比大幅改善117天至271天，但依然显著高于软件信息业90-180天的典型区间，主要由于项目验收周期较长及大客户回款账期较长，占用了营运资金。存货周转天数同比恶化49天至129天，远超行业30-90天的区间，且存货较年初激增88.0%，远超营收14.9%的增速，存在积压风险，可能进一步占用流动性。综合来看，企业盈利改善（净利润同比+50.1%）且经营现金流健康（经营现金流/净利润=1.60），但营运资金管理压力较大，短期偿债对融资接续的依赖性高。</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5"/>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5"/>
            <w:r>
              <w:rPr>
                <w:rStyle w:val="CommentReference"/>
              </w:rPr>
              <w:commentReference w:id="5"/>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材料中未提及企业存在不良记录情况。 </w:t>
            </w:r>
          </w:p>
          <w:p w14:paraId="0BD0E5B0">
            <w:commentRangeStart w:i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控人黄祖海个人信用报告，其名下未结清贷款账户1笔，余额1000万元，为中行个人经营贷款，经营主体为[待补充]；有未销户信用卡账户1笔，余额0元。全部未结清贷款估算下月应还款额0元，贷记卡最近6个月平均使用额度27元，准贷记卡最近6个月平均透支余额0元。承担担保责任账户1笔，余额1000万元，为[待补充]担保。近5年贷款累计逾期1期，连续逾期1期，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6"/>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3.实控人配偶情况：康恩慧，中国国籍。材料未提供籍贯、出生年份及个人征信信息。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材料未提供科技型企业评分。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科技型企业类型：材料未提供具体类型及资质信息。</w:t>
              <w:br/>
              <w:t>科技型企业评分：材料未提供。</w:t>
              <w:br/>
              <w:t>核心研发人员享有股权激励。</w:t>
              <w:br/>
              <w:t>近三年研发投入占比分别为7.4%、14.5%、10.5%，研发人员占比分别为44%、49%、53%。</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材料未提供企业在我行日均存款、对公有效户年户数、全年结算量、签约代发员工人数及上年发薪量数据。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【修正后的完整正文】</w:t>
              <w:br/>
              <w:t>借款人目前经营性现金流状况整体较好，当期经营活动净现金流791万元，经营现金流/净利润为1.60，现金流质量健康。但期末货币资金余额为286万元，规模相对有限，难以覆盖营运资金需求。上游采购采用预付款和账期款方式，下游销售收款采用预收款和账期方式，应收账款周转天数达271天，显著高于软件信息业90-180天典型区间，主要由于项目验收周期较长及客户回款账期较长。同时，存货较年初增长88.0%至2192万元，存货周转天数同比增加49天至129天，远超营收同比增速，存在存货积压信号，对前端资金占用较大。企业现有银行融资总额（已用）为4440万元，报表短期借款余额为4730万元，短期债务需滚动偿还，需申请贷款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材料中未提及申请中期流动资金贷款。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材料未提供营运资金需求测算过程及结果。</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材料未提供测算过程及数据调整说明。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第一还款来源为企业的经营性现金流。企业主营业务为智慧水利与智慧教育，2025年营收1010万元，下游客户包括涵江水利局、福建省翔远电子科技有限公司等，回款方式为预收款和账期款，有助于保障经营性现金流入。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方面，材料中列有一项可抵押资产：仓山区上渡街道通江路17号江南水都·杰座，所有权人为康恩慧、黄祖海，为私有房产，面积143.45平方米，具备一定的变现能力。此外，企业实际控制人黄祖海及其配偶康恩慧、关联方陈其俤、福州市融资担保有限公司等为现有授信提供了连带责任保证。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3.还款能力分析：</w:t>
              <w:br/>
              <w:t>①第一还款来源（经营性现金流分析）：</w:t>
              <w:br/>
              <w:t>借款人2025年营业收入10010万元，同比增长14.9%；净利润494万元，同比增长50.1%。经营活动净现金流791万元，经营现金流/净利润为1.60，销售商品收现/营收为1.04，现金流质量健康。毛利率38.0%，净利率4.9%，处于软件信息业30-50%及5-15%的典型区间内。应收账款周转天数271天，显著高于行业90-180天区间，主要由于项目验收周期较长及政府、大B客户回款账期长；存货周转天数129天，高于行业30-90天区间，主要由于定制化项目未验收沉淀为存货或硬件集成类业务备货周期长，且存货较年初大幅增长88.0%，远超营收增速，存在积压信号。资产负债率42.5%，较年初下降7.7个百分点，流动比率1.82倍，速动比率1.51倍，偿债指标处于行业合理区间。短期借款4730万元，而年经营现金流仅791万元，对短期债务的覆盖能力偏弱，主要依赖再融资滚动偿还。</w:t>
              <w:br/>
              <w:t>②第二还款来源（抵质押物变现能力分析及其他渠道现金流分析）：</w:t>
              <w:br/>
              <w:t>借款人实际控制人黄祖海及其配偶康恩慧名下拥有仓山区上渡街道通江路17号江南水都·杰座房产，面积143.45平方米，可作为补充担保。借款人关联企业包括福建中锐汉鼎信息技术有限公司等五家公司，但材料未提供其财务报表及担保意愿，第二还款来源的可靠性待核实。</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7"/>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7"/>
            <w:r>
              <w:rPr>
                <w:rStyle w:val="CommentReference"/>
              </w:rPr>
              <w:commentReference w:id="7"/>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抵押物为私有房产，坐落于仓山区上渡街道通江路17号江南水都·杰座，权属证号为榕房权证R字第0838000号，建筑面积143.45平方米，所有权人为康恩慧、黄祖海。材料未提供抵押物评估价值及当前抵押状态。</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福建中锐汉鼎信息技术有限公司为有限责任公司（法人独资），注册资本1000万元，主营业务为智慧水利。上年度主营业务收入1223万元，净利润-682万元，最新融资金额为0。材料未提供保证人对公PD评级。材料未提供保证人征信信息。材料未提供保证人主要财务指标。材料未提供保证人风险及涉诉信息。</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材料未提供我行内部审批结论及担保公司最新担保情况数据。</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（十一）经营单位授信申报结论及方案</w:t>
              <w:br/>
              <w:br/>
              <w:t>借款人福建中锐网络股份有限公司主营智慧水利与智慧教育，2025年营业收入10010万元，同比增长14.9%；净利润494万元，同比增长50.1%。公司资产负债率42.5%，处于软件信息业30-55%的合理区间，流动比率1.82倍、速动比率1.51倍，短期偿债能力指标尚可。经营活动净现金流791万元，经营现金流/净利润为1.60，现金流质量健康，对短期借款4730万元形成一定覆盖。应收账款周转天数271天，显著高于行业90-180天典型区间，主要由于项目制验收周期长及政府客户回款账期较长；存货周转天数129天，亦高于行业30-90天区间，且存货较年初增长88.0%，存在积压迹象。根据融资清单，公司融资总额5640万元，已使用4440万元，杠杆水平可控。授信方案建议维持存量额度，要求借款人将主要结算账户转移至我行，并追加实际控制人黄祖海及其配偶康恩慧连带责任保证，以及其名下仓山区上渡街道通江路17号江南水都·杰座房产抵押。贷后需重点监控应收账款回款进度及存货变动情况。</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2025年经营活动净现金流791万元，经营现金流/净利润为1.60（&gt;1），销售商品收现/营收为1.04，现金流质量健康，净利润现金保障程度高。杠杆率：借款人资产负债率42.5%，较年初下降7.7个百分点（pct），处于软件信息技术服务业30-55%的合理区间；流动比率1.82倍，速动比率1.51倍，均较年初有所提升，短期偿债能力指标改善。需关注短期借款4730万元，规模显著高于当期经营现金流，存在一定的短期偿债压力。可持续：借款人主营智慧水利与智慧教育，2025年研发投入1049万元，研发人员占比53%，技术具备一定竞争力。垒小户：借款人现有合作银行8家，总授信5640万元，已用信4440万元，短期借款4730万元，融资渠道多元。配结算与强担保：材料未提供借款人在我行结算情况及本次授信担保方案。</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8"/>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8"/>
            <w:r>
              <w:rPr>
                <w:rStyle w:val="CommentReference"/>
              </w:rPr>
              <w:commentReference w:id="8"/>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9"/>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9"/>
            <w:r>
              <w:rPr>
                <w:rStyle w:val="CommentReference"/>
              </w:rPr>
              <w:commentReference w:id="9"/>
            </w:r>
          </w:p>
          <w:p w14:paraId="6AC425A6">
            <w:commentRangeStart w:id="10"/>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0"/>
            <w:r>
              <w:rPr>
                <w:rStyle w:val="CommentReference"/>
              </w:rPr>
              <w:commentReference w:id="10"/>
            </w:r>
          </w:p>
          <w:p w14:paraId="2FC82B07">
            <w:commentRangeStart w:id="11"/>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269107E9">
            <w:commentRangeStart w:id="12"/>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p w14:paraId="3096CC3B">
            <w:commentRangeStart w:id="13"/>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3"/>
            <w:r>
              <w:rPr>
                <w:rStyle w:val="CommentReference"/>
              </w:rPr>
              <w:commentReference w:id="13"/>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4"/>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4"/>
            <w:r>
              <w:rPr>
                <w:rStyle w:val="CommentReference"/>
              </w:rPr>
              <w:commentReference w:id="14"/>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5"/>
            <w:r>
              <w:rPr>
                <w:rStyle w:val="CommentReference"/>
              </w:rPr>
              <w:commentReference w:id="15"/>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4T14:37:04Z" w:initials="Agent">
    <w:p>
      <w:r>
        <w:rPr>
          <w:rStyle w:val="CommentReference"/>
        </w:rPr>
        <w:annotationRef/>
      </w:r>
      <w:r>
        <w:t xml:space="preserve">该处“申报单位”仍为空白，请人工确认。</w:t>
      </w:r>
    </w:p>
  </w:comment>
  <w:comment w:id="1" w:author="信贷报告 Agent" w:date="2026-04-14T14:37:04Z" w:initials="Agent">
    <w:p>
      <w:r>
        <w:rPr>
          <w:rStyle w:val="CommentReference"/>
        </w:rPr>
        <w:annotationRef/>
      </w:r>
      <w:r>
        <w:t xml:space="preserve">该处“小类）”仍为空白，请人工确认。</w:t>
      </w:r>
    </w:p>
  </w:comment>
  <w:comment w:id="2" w:author="信贷报告 Agent" w:date="2026-04-14T14:37:04Z" w:initials="Agent">
    <w:p>
      <w:r>
        <w:rPr>
          <w:rStyle w:val="CommentReference"/>
        </w:rPr>
        <w:annotationRef/>
      </w:r>
      <w:r>
        <w:t xml:space="preserve">该处“绿通标识”仍为空白，请人工确认。</w:t>
      </w:r>
    </w:p>
  </w:comment>
  <w:comment w:id="3" w:author="信贷报告 Agent" w:date="2026-04-14T14:37:04Z" w:initials="Agent">
    <w:p>
      <w:r>
        <w:rPr>
          <w:rStyle w:val="CommentReference"/>
        </w:rPr>
        <w:annotationRef/>
      </w:r>
      <w:r>
        <w:t xml:space="preserve">该处“分析原因”仍为空白，请人工确认。</w:t>
      </w:r>
    </w:p>
  </w:comment>
  <w:comment w:id="4" w:author="信贷报告 Agent" w:date="2026-04-14T14:37:04Z" w:initials="Agent">
    <w:p>
      <w:r>
        <w:rPr>
          <w:rStyle w:val="CommentReference"/>
        </w:rPr>
        <w:annotationRef/>
      </w:r>
      <w:r>
        <w:t xml:space="preserve">该处“主要构成及趋势变动情况”仍为空白，请人工确认。</w:t>
      </w:r>
    </w:p>
  </w:comment>
  <w:comment w:id="5" w:author="信贷报告 Agent" w:date="2026-04-14T14:37:04Z" w:initials="Agent">
    <w:p>
      <w:r>
        <w:rPr>
          <w:rStyle w:val="CommentReference"/>
        </w:rPr>
        <w:annotationRef/>
      </w:r>
      <w:r>
        <w:t xml:space="preserve">该处“（若有）对外担保情况”仍为空白，请人工确认。</w:t>
      </w:r>
    </w:p>
  </w:comment>
  <w:comment w:id="6" w:author="信贷报告 Agent" w:date="2026-04-14T14:37:04Z" w:initials="Agent">
    <w:p>
      <w:r>
        <w:rPr>
          <w:rStyle w:val="CommentReference"/>
        </w:rPr>
        <w:annotationRef/>
      </w:r>
      <w:r>
        <w:t xml:space="preserve">该处“为中行个人经营贷款，经营主体为”仍为模板占位符，请人工核实。</w:t>
      </w:r>
    </w:p>
  </w:comment>
  <w:comment w:id="7" w:author="信贷报告 Agent" w:date="2026-04-14T14:37:04Z" w:initials="Agent">
    <w:p>
      <w:r>
        <w:rPr>
          <w:rStyle w:val="CommentReference"/>
        </w:rPr>
        <w:annotationRef/>
      </w:r>
      <w:r>
        <w:t xml:space="preserve">该处“变动原因”仍为空白，请人工确认。</w:t>
      </w:r>
    </w:p>
  </w:comment>
  <w:comment w:id="8" w:author="信贷报告 Agent" w:date="2026-04-14T14:37:04Z" w:initials="Agent">
    <w:p>
      <w:r>
        <w:rPr>
          <w:rStyle w:val="CommentReference"/>
        </w:rPr>
        <w:annotationRef/>
      </w:r>
      <w:r>
        <w:t xml:space="preserve">该处“予借款人授信敞口1000万元，”仍为模板占位符，请人工核实。</w:t>
      </w:r>
    </w:p>
  </w:comment>
  <w:comment w:id="9" w:author="信贷报告 Agent" w:date="2026-04-14T14:37:04Z" w:initials="Agent">
    <w:p>
      <w:r>
        <w:rPr>
          <w:rStyle w:val="CommentReference"/>
        </w:rPr>
        <w:annotationRef/>
      </w:r>
      <w:r>
        <w:t xml:space="preserve">该处“客户经理”仍为空白，请人工确认。</w:t>
      </w:r>
    </w:p>
  </w:comment>
  <w:comment w:id="10" w:author="信贷报告 Agent" w:date="2026-04-14T14:37:04Z" w:initials="Agent">
    <w:p>
      <w:r>
        <w:rPr>
          <w:rStyle w:val="CommentReference"/>
        </w:rPr>
        <w:annotationRef/>
      </w:r>
      <w:r>
        <w:t xml:space="preserve">该处“共同调查人”仍为空白，请人工确认。</w:t>
      </w:r>
    </w:p>
  </w:comment>
  <w:comment w:id="11" w:author="信贷报告 Agent" w:date="2026-04-14T14:37:04Z" w:initials="Agent">
    <w:p>
      <w:r>
        <w:rPr>
          <w:rStyle w:val="CommentReference"/>
        </w:rPr>
        <w:annotationRef/>
      </w:r>
      <w:r>
        <w:t xml:space="preserve">该处“二级支行行长”仍为空白，请人工确认。</w:t>
      </w:r>
    </w:p>
  </w:comment>
  <w:comment w:id="12" w:author="信贷报告 Agent" w:date="2026-04-14T14:37:04Z" w:initials="Agent">
    <w:p>
      <w:r>
        <w:rPr>
          <w:rStyle w:val="CommentReference"/>
        </w:rPr>
        <w:annotationRef/>
      </w:r>
      <w:r>
        <w:t xml:space="preserve">该处“分管行长”仍为空白，请人工确认。</w:t>
      </w:r>
    </w:p>
  </w:comment>
  <w:comment w:id="13" w:author="信贷报告 Agent" w:date="2026-04-14T14:37:04Z" w:initials="Agent">
    <w:p>
      <w:r>
        <w:rPr>
          <w:rStyle w:val="CommentReference"/>
        </w:rPr>
        <w:annotationRef/>
      </w:r>
      <w:r>
        <w:t xml:space="preserve">该处“行长”仍为空白，请人工确认。</w:t>
      </w:r>
    </w:p>
  </w:comment>
  <w:comment w:id="14" w:author="信贷报告 Agent" w:date="2026-04-14T14:37:04Z" w:initials="Agent">
    <w:p>
      <w:r>
        <w:rPr>
          <w:rStyle w:val="CommentReference"/>
        </w:rPr>
        <w:annotationRef/>
      </w:r>
      <w:r>
        <w:t xml:space="preserve">该处“审查员”仍为空白，请人工确认。</w:t>
      </w:r>
    </w:p>
  </w:comment>
  <w:comment w:id="15" w:author="信贷报告 Agent" w:date="2026-04-14T14:37:04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