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企业名称为福建中锐网络股份有限公司。注册资本4100万元，实收资本4100万元。企业成立于材料未提供成立日期。法定代表人黄祖海。实际控制人为黄祖海。经营地址位于福州市马尾区罗星东路2号海峡经贸 生产经营 福州保税区综合大楼15层20#（自贸。上年度末社保人数材料未提供。主营业务为智慧水利与智慧教育解决方案，其中水利业务收入占比46%，教育业务占比54%。所属行业为其他未列明信息技术服务业。</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74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根据提供的材料，未发现近两年企业股权变动的相关信息。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等具体面访信息。实控人黄祖海先生拥有超过20年的行业经验，自2000年起先后在福建实达网络、星网锐捷等公司担任技术及管理职务，2012年创立中锐网络并担任董事长兼总裁至今，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自2017年以来，我行与借款人建立授信合作关系，近三年分别给予其500、400、500万授信敞口。材料未提供具体授信品种、担保方式及当前用信情况。</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2026年01月 日，经531系统查询，借款人 2025年 年 12月 月   日提贷 300万元，到期日 2026年 年 12月 月   日，贷款采取自主支付方式发放，通过调取借款人账户流水，1. 300万元向 兴业银行-环球支行 有限公司支付 兴业银行-环球支行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黄色预警提示法定代表人黄祖海目前信用卡存在逾期。经核实，未对借款人造成实质性风险。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福建福州人，1977年生，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家庭主要资产为仓山区上渡街道通江路17号江南水都·杰座房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【已计算财务指标(代码从xlsx直接抽取并计算,数字权威,禁止重新计算)】</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口径说明:以下数据口径为福建中锐网络股份有限公司单体报表(非合并),BS科目对比用『较年初』,IS/CF科目对比用『同比』</w:t>
              <w:br/>
              <w:t>数据来源:D:\刘野\众安\新建文件夹\2026.3.25续贷材料\2、2025年12月财务报表-中锐20260212.xlsx报告日:2025-12-31[规模]</w:t>
              <w:br/>
              <w:t>总资产: 16956万元 (2024末: 18575万元, 较年初-8.7%)</w:t>
              <w:br/>
              <w:t>总负债: 7207万元 (2024末: 9320万元, 较年初-22.7%)</w:t>
              <w:br/>
              <w:t>所有者权益: 9749万元 (2024末: 9256万元, 较年初+5.3%)</w:t>
              <w:br/>
              <w:t>营业收入: 10010万元 (2024: 8712万元, 同比+14.9%)</w:t>
              <w:br/>
              <w:t>净利润: 494万元 (2024: 329万元, 同比+50.1%)[盈利能力]</w:t>
              <w:br/>
              <w:t>毛利率: 38.0% (2024: 38.8%, 同比-0.8pct)</w:t>
              <w:br/>
              <w:t>净利率: 4.9% (2024: 3.8%, 同比+1.2pct)</w:t>
              <w:br/>
              <w:t>营业利润率: 4.8% (2024: 4.6%, 同比+0.2pct)[偿债能力]</w:t>
              <w:br/>
              <w:t>资产负债率: 42.5% (2024末: 50.2%, 较年初-7.7pct)</w:t>
              <w:br/>
              <w:t>流动比率: 1.82 倍 (2024末: 1.58 倍, 较年初+0.24)</w:t>
              <w:br/>
              <w:t>速动比率: 1.51 倍 (2024末: 1.45 倍, 较年初+0.06)[营运效率]</w:t>
              <w:br/>
              <w:t>应收账款周转天数: 271 天 (2024: 388 天, 同比-117天)</w:t>
              <w:br/>
              <w:t>存货周转天数: 129 天 (2024: 80 天, 同比+49天)[现金流]经营活动净现金流(当期): 791万元投资活动净现金流(当期): -586万元筹资活动净现金流(当期): -426万元经营现金流/净利润: 1.60 (健康水平&gt;=1)</w:t>
              <w:br/>
              <w:t>销售商品收现/营收: 1.04 (正常区间[0.8-1.3])[关键科目原始期末值(万元,供引用)]</w:t>
              <w:br/>
              <w:t>货币资金: 286万元 (2024末: 506万元, 较年初-43.6%)</w:t>
              <w:br/>
              <w:t>应收账款: 7430万元 (2024末: 9252万元, 较年初-19.7%)</w:t>
              <w:br/>
              <w:t>其他应收款: 2774万元 (2024末: 3522万元, 较年初-21.2%)</w:t>
              <w:br/>
              <w:t>存货: 2192万元 (2024末: 1166万元, 较年初+88.0%)</w:t>
              <w:br/>
              <w:t>流动资产合计: 13110万元 (2024末: 14708万元, 较年初-10.9%)</w:t>
              <w:br/>
              <w:t>非流动资产合计: 3847万元 (2024末: 3868万元, 较年初-0.5%)</w:t>
              <w:br/>
              <w:t>短期借款: 4730万元 (2024末: 4990万元, 较年初-5.2%)</w:t>
              <w:br/>
              <w:t>应付账款: 1026万元 (2024末: 2333万元, 较年初-56.0%)</w:t>
              <w:br/>
              <w:t>流动负债合计: 7207万元 (2024末: 9320万元, 较年初-22.7%)</w:t>
              <w:br/>
              <w:t>实收资本: 4100万元 (2024末: 4100万元, 较年初+0.0%)[代码识别的异常项 / 需重点关注]</w:t>
              <w:br/>
              <w:t>- 存货较年初+88.0%,远超营收较年初增速+14.9%,存货积压信号</w:t>
              <w:br/>
              <w:t>- 短期借款4730万,年经营现金流仅791万,短贷需滚动偿还[趋势定性]盈利能力: 改善偿债: 改善应收周转: 改善存货周转: 恶化现金流质量: 健康规模增长: 增长【行业基准参照(I65 软件和信息技术服务业典型区间)】</w:t>
              <w:br/>
              <w:t>(来源:公开研报/上市公司年报中位数;用于对比归因,不是硬指标)</w:t>
              <w:br/>
              <w:t>应收账款周转天数: 90~180天  ├高于上限常因:项目制验收周期长/政府及大B客户账期长/在手订单回款滞后  └低于下限常因:以个人/小B客户为主且预收款模式</w:t>
              <w:br/>
              <w:t>存货周转天数: 30~90天  ├高于上限常因:定制化项目未验收沉淀为存货/硬件集成类业务备货周期长  └低于下限常因:纯SaaS/订阅业务几乎无库存</w:t>
              <w:br/>
              <w:t>毛利率: 30~50%  ├高于上限常因:自研软件/SaaS为主,边际成本低  └低于下限常因:硬件集成占比高/低价竞标/人力成本刚性上升</w:t>
              <w:br/>
              <w:t>净利率: 5~15%  ├高于上限常因:规模效应显著+研发资本化比例高  └低于下限常因:研发投入占比高/费用率上升/坏账计提大</w:t>
              <w:br/>
              <w:t>资产负债率: 30~55%  ├高于上限常因:项目垫资需要+银行授信使用率高  └低于下限常因:实收资本雄厚或上市募资到位</w:t>
              <w:br/>
              <w:t>流动比率: 1.5~2.5倍  └低于下限常因:应收应付期限错配/短期借款集中</w:t>
              <w:br/>
              <w:t>速动比率: 1.2~2.0倍  └低于下限常因:存货占流动资产比重偏高归因模板(LLM 撰写财务段时使用):若指标超出行业区间,须在财务分析中明确标注</w:t>
              <w:br/>
              <w:t>例:『应收周转天数271天,显著高于软件信息业90-180天典型区间,主要由于项目验收周期较长+政府客户回款账期较长』</w:t>
              <w:br/>
              <w:t>✓ 关联企业1名称: 福建中锐汉鼎信息技术有限公司 [来源: 结构化材料锚点]</w:t>
              <w:br/>
              <w:t>✓ 关联企业1成立时间: 2018-1-11 [来源: 结构化材料锚点]</w:t>
              <w:br/>
              <w:t>✓ 关联企业1股权结构: 中锐网络100%控股 [来源: 结构化材料锚点]</w:t>
              <w:br/>
              <w:t>✓ 关联企业1主营业务及产品: 智慧水利 [来源: 结构化材料锚点]</w:t>
              <w:br/>
              <w:t>✓ 关联企业1注册资本/实收资本: 1000万元 [来源: 结构化材料锚点]</w:t>
              <w:br/>
              <w:t>✓ 关联企业1上年主营业务收入: 1223万元 [来源: 结构化材料锚点]</w:t>
              <w:br/>
              <w:t>✓ 关联企业1上年净利润: -682万元 [来源: 补充材料原文]</w:t>
              <w:br/>
              <w:t>✓ 关联企业2名称: 福建中锐教育科技有限公司 [来源: 结构化材料锚点]</w:t>
              <w:br/>
              <w:t>✓ 关联企业2成立时间: 2022-6-28 [来源: 结构化材料锚点]</w:t>
              <w:br/>
              <w:t>✓ 关联企业2股权结构: 中锐网络100%控股 [来源: 结构化材料锚点]</w:t>
              <w:br/>
              <w:t>✓ 关联企业2主营业务及产品: 智慧教育 [来源: 结构化材料锚点]</w:t>
              <w:br/>
              <w:t>✓ 关联企业2注册资本/实收资本: 1000万元 [来源: 结构化材料锚点]</w:t>
              <w:br/>
              <w:t>✓ 关联企业2上年主营业务收入: 21万元 [来源: 结构化材料锚点]</w:t>
              <w:br/>
              <w:t>✓ 关联企业2上年净利润: -1275万元 [来源: 补充材料原文]</w:t>
              <w:br/>
              <w:t>✓ 关联企业3名称: 北京中锐青云科技有限公司 [来源: 结构化材料锚点]</w:t>
              <w:br/>
              <w:t>✓ 关联企业3成立时间: 2020-9-23 [来源: 结构化材料锚点]</w:t>
              <w:br/>
              <w:t>✓ 关联企业3股权结构: 中锐网络100%控股 [来源: 结构化材料锚点]</w:t>
              <w:br/>
              <w:t>✓ 关联企业3主营业务及产品: 产教融合创新服务 [来源: 结构化材料锚点]</w:t>
              <w:br/>
              <w:t>✓ 关联企业3注册资本/实收资本: 1000万元 [来源: 结构化材料锚点]</w:t>
              <w:br/>
              <w:t>✓ 关联企业3上年主营业务收入: 204万元 [来源: 结构化材料锚点]</w:t>
              <w:br/>
              <w:t>✓ 关联企业3上年净利润: 16万元 [来源: 补充材料原文]</w:t>
              <w:br/>
              <w:t>✓ 关联企业4名称: 厦门中锐软件科技有限公司 [来源: 结构化材料锚点]</w:t>
              <w:br/>
              <w:t>✓ 关联企业4成立时间: 2016-12-19 [来源: 结构化材料锚点]</w:t>
              <w:br/>
              <w:t>✓ 关联企业4股权结构: 中锐网络100%控股 [来源: 结构化材料锚点]</w:t>
              <w:br/>
              <w:t>✓ 关联企业4主营业务及产品: 软硬件销售 [来源: 结构化材料锚点]</w:t>
              <w:br/>
              <w:t>✓ 关联企业4注册资本/实收资本: 1200万元 [来源: 结构化材料锚点]</w:t>
              <w:br/>
              <w:t>✓ 关联企业4上年主营业务收入: 7万元 [来源: 结构化材料锚点]</w:t>
              <w:br/>
              <w:t>✓ 关联企业4上年净利润: -13万元 [来源: 补充材料原文]</w:t>
              <w:br/>
              <w:t>✓ 关联企业5名称: 中锐海沃水利技术(福建)有限公司 [来源: 结构化材料锚点]</w:t>
              <w:br/>
              <w:t>✓ 关联企业5成立时间: 2018-1-10 [来源: 结构化材料锚点]</w:t>
              <w:br/>
              <w:t>✓ 关联企业5股权结构: 中锐网络84%控股 [来源: 结构化材料锚点]</w:t>
              <w:br/>
              <w:t>✓ 关联企业5主营业务及产品: 智慧水利 [来源: 结构化材料锚点]</w:t>
              <w:br/>
              <w:t>✓ 关联企业5注册资本/实收资本: 1000万元 [来源: 结构化材料锚点]</w:t>
              <w:br/>
              <w:t>✓ 关联企业5上年主营业务收入: 0万元 [来源: 结构化材料锚点]</w:t>
              <w:br/>
              <w:t>✓ 关联企业5上年净利润: 0万元 [来源: 补充材料原文]</w:t>
              <w:br/>
              <w:t>关联企业关系：借款人福建中锐网络股份有限公司全资控股福建中锐汉鼎信息技术有限公司、福建中锐教育科技有限公司、北京中锐青云科技有限公司、厦门中锐软件科技有限公司，并持有中锐海沃水利技术(福建)有限公司84%股权。</w:t>
              <w:br/>
              <w:t>关联企业情况小结：关联企业总体经营规模有限，除福建中锐汉鼎信息技术有限公司上年实现主营业务收入8712万元外，其余企业收入均未超过204万元。福建中锐汉鼎信息技术有限公司、福建中锐教育科技有限公司上年分别亏损682万元、1275万元，北京中锐青云科技有限公司微利16万元，其余企业基本处于无收入或微亏状态。</w:t>
              <w:br/>
              <w:t>借款人（福建中锐网络股份有限公司）财务分析：2025年末，公司总资产16956万元，较年初下降8.7%；营业收入10010万元，同比增长14.9%；净利润494万元，同比大幅增长50.1%，盈利能力改善。偿债能力方面，资产负债率42.5%，较年初下降7.7个百分点，处于行业30-55%的合理区间；流动比率1.82倍，速动比率1.51倍，均较年初有所提升，短期偿债能力指标尚可。营运效率呈现分化：应收账款周转天数271天，同比显著缩短117天，但仍显著高于软件信息业90-180天的典型区间，主要由于项目验收周期较长及政府、大企业客户回款账期较长；存货周转天数129天，同比增加49天，且远超行业30-90天的区间，主要因定制化项目未验收沉淀为存货及备货增加，存货较年初大幅增长88.0%，远超营收增速，存在积压风险。现金流方面，经营活动净现金流791万元，经营现金流/净利润为1.60，净利润现金保障程度良好。综合来看，公司盈利增长、偿债指标改善，但营运资金占用严重（应收、存货双高），且短期借款4730万元需依赖经营现金流滚动偿还，对整体还款能力构成一定压力。</w:t>
            </w:r>
            <w:r>
              <w:rPr>
                <w:rFonts w:hint="eastAsia" w:ascii="宋体" w:hAnsi="宋体" w:cs="宋体"/>
                <w:snapToGrid w:val="0"/>
                <w:kern w:val="0"/>
                <w:szCs w:val="21"/>
                <w:highlight w:val="none"/>
                <w:u w:val="single"/>
              </w:rPr>
            </w:r>
          </w:p>
          <w:p w14:paraId="29070FDD">
            <w:pPr>
              <w:ind w:firstLine="422" w:firstLineChars="200"/>
              <w:jc w:val="left"/>
              <w:outlineLvl w:val="0"/>
              <w:rPr>
                <w:rFonts w:hint="eastAsia" w:ascii="宋体" w:hAnsi="宋体" w:cs="宋体"/>
                <w:snapToGrid w:val="0"/>
                <w:kern w:val="0"/>
                <w:szCs w:val="21"/>
                <w:highlight w:val="none"/>
                <w:u w:val="single"/>
              </w:rPr>
            </w:pPr>
            <w:r>
              <w:t xml:space="preserve">收入下滑趋势在2025年得到扭转，毛利率在经历波动后已回升并稳定在较高水平，盈利质量呈现改善态势。收入、毛利与净利润需联动分析，重点关注利润兑现与毛利波动是否匹配。若收入扩张快于利润兑现，应审慎评估盈利质量的可持续性。</w:t>
            </w:r>
          </w:p>
          <w:p w14:paraId="29070FDD">
            <w:pPr>
              <w:ind w:firstLine="422" w:firstLineChars="200"/>
              <w:jc w:val="left"/>
              <w:outlineLvl w:val="0"/>
              <w:rPr>
                <w:rFonts w:hint="eastAsia" w:ascii="宋体" w:hAnsi="宋体" w:cs="宋体"/>
                <w:snapToGrid w:val="0"/>
                <w:kern w:val="0"/>
                <w:szCs w:val="21"/>
                <w:highlight w:val="none"/>
                <w:u w:val="single"/>
              </w:rPr>
            </w:pPr>
            <w:r>
              <w:t xml:space="preserve">短期偿债能力指标呈现分化，货币资金对短期借款的覆盖水平持续显著恶化，而流动比率则逐年改善。长期偿债能力持续增强，资产负债率呈稳步下降趋势。偿债能力由杠杆水平与流动性共同决定，需同步观察资产负债率和短债覆盖能力。</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效率持续恶化，回款周期显著延长，表明公司对下游客户的议价能力减弱或信用政策过于宽松。存货管理波动剧烈，近期库存水平大幅反弹，需关注是否存在滞销风险或备货策略过于激进。运营效率需重点跟踪应收账款周转与收入扩张的匹配程度。</w:t>
            </w:r>
          </w:p>
          <w:p w14:paraId="29070FDD">
            <w:pPr>
              <w:ind w:firstLine="422" w:firstLineChars="200"/>
              <w:jc w:val="left"/>
              <w:outlineLvl w:val="0"/>
              <w:rPr>
                <w:rFonts w:hint="eastAsia" w:ascii="宋体" w:hAnsi="宋体" w:cs="宋体"/>
                <w:snapToGrid w:val="0"/>
                <w:kern w:val="0"/>
                <w:szCs w:val="21"/>
                <w:highlight w:val="none"/>
                <w:u w:val="single"/>
              </w:rPr>
            </w:pPr>
            <w:r>
              <w:t xml:space="preserve">经营现金流波动剧烈且整体表现疲弱，仅个别年份勉强转正，表明主营业务造血能力极不稳定。公司持续依赖外部融资维持运营和投资活动，现金流结构呈现典型的“经营弱、投资大、筹资补”特征，整体现金流质量较差。经营现金流当前表现为最近连续1年为正，需关注现金回笼与利润质量是否一致。</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无法抵消其在营运效率和短期偿付能力方面的重大缺陷。</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提供涵盖水灾害、水工程、水资源、水生态水环境、水监督、水政务的解决方案。智慧教育业务聚焦数字人才培养，对接产业与院校需求。收入结构中，水利业务占比46%，教育业务占比54%。材料未提供主营芯片设计、芯片制程及具体应用领域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其智慧水利产品具备技术门槛，拥有大坝安全智能监测平台等解决方案，曾获福建省科技进步奖二等奖，已应用于省内300余座水库。智慧教育业务与全国超1000所高校建立产学研合作，服务1600多家政企客户。企业研发投入持续，2025年研发费用1049万元，占营收10.5%，研发人员占比53%，并对核心研发人员实施股权激励。上游采购集中度较低，最大供应商锐捷网络采购占比19.77%；下游客户分散，最大客户涵江水利局销售占比10.02%。材料未提供专利情况。</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生产工艺流程。企业主营业务为智慧水利与智慧教育，2025年实现营业收入10010万元，同比增长14.9%。其中智慧水利业务收入占比约46%，智慧教育业务收入占比约54%。主要下游客户包括涵江水利局（上年销售额1116万元，占比10.02%）、福建省翔远电子科技有限公司（1122万元，占比9.92%）等。销售收款方式主要为预收款和账期款。</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材料未提供主要上游供应商采购金额及占比数据。材料未提供主要下游客户销售金额及占比数据。</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企业应收账款周转天数271天，显著高于软件信息业90-180天典型区间，主要由于项目验收周期较长及客户回款账期较长。</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截至2025年末，福建中锐网络股份有限公司（单体）总资产1.70亿元，总负债0.72亿元，所有者权益0.97亿元。2025年度实现营业收入1.00亿元，净利润494万元。</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一、盈利能力分析</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企业2025年末应收账款为7430万元，较2024年末的9253万元下降19.7%，回款情况有所改善。但该科目自2022年以来持续快速增长，2023年及2024年同比增幅分别达44.1%和45.6%，当前余额仍处于较高水平。</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2025年末其他应收款为2774万元，较2024年末的3522万元下降21.2%，呈回落趋势。该科目在2023年曾大幅增长至3621万元，目前虽有所压降，但占流动资产比重仍达21.2%，需关注其构成及回收风险。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3522万元，主要构成及趋势变动情况： 企业存货在2025年末为2192万元，较2024年末的1166万元大幅增长88.0%。然而，结合2022年（5301万元）和2023年（2545万元）的数据看，存货水平在经历连续两年下降后于2025年出现反弹，但绝对规模仍显著低于2022年峰值。</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企业长期投资由2024年的2518万元增长至2025年的3123万元，同比增加605万元，增幅达24.0%，显示其对外投资扩张的态势。然而，所提供的财务报表片段中未包含长期投资的明细构成，无法判断其具体投向与风险。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9253万元，主要构成及趋势变动情况： 应付账款期末余额为1026万元，较2024年末的2333万元大幅下降56.0%。结合报表数据，其下降幅度远超同期流动资产及总资产的变动趋势，具体原因需结合采购结算政策变化或供应商关系等非财务信息进一步分析。</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2025年末其他应付款为168万元，较2024年末的648万元大幅下降480万元，降幅达74.1%。该科目余额已回落至接近2023年水平，具体构成及变动原因需企业进一步说明。</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企业主营业务为智慧水利和智慧教育。根据收入结构，水利占比46%、教育占比54%。企业紧跟国家水利政策及数字人才培养战略，推出相应解决方案，与下游客户如涵江水利局、三明水利水电工程有限公司顺昌分公司等开展智慧水利项目，与济南展雄电子有限公司等开展智慧教育项目，推动了主营业务收入的实现。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投入研发，2023-2025年研发费用分别为895万元、1262万元、1049万元，研发人员占比高（44%-53%）。但部分控股子公司（如福建中锐教育科技有限公司、福建中锐汉鼎信息技术有限公司）处于亏损状态，对整体盈利能力造成一定影响。企业需平衡研发投入与产出效益，并加强子公司经营管理以提升整体盈利水平。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因此，无法对“固定资产投资变动情况”进行分析。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存货期末余额为2192万元，较年初的1166万元大幅增长87.9%，是流动资产中变动最为显著的科目。同时，货币资金余额为286万元，较年初的506万元下降了43.6%。其他财务指标因材料缺失，无法进行同比或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2025年，公司营业收入同比增长14.9%，净利润同比增长50.1%，显示业务规模与盈利同步扩张。盈利能力指标方面，毛利率为38.0%，同比微降0.8个百分点；净利率为4.9%，同比提升1.2个百分点；营业利润率为4.8%，同比提升0.2个百分点。归因分析： 净利率提升幅度大于毛利率，主要得益于期间费用控制有效。公司净利率（4.9%）处于软件和信息技术服务业典型区间（5%-15%）的下限附近，主要系行业研发投入占比较高所致。</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根据提供的现金流量表数据：</w:t>
              <w:br/>
              <w:t>2023年度：经营活动现金流入小计112072779.26元，其中销售商品、提供劳务收到的现金93640251.43元。经营活动现金流出包含购买商品、接受劳务支付的现金67337327.71元等。</w:t>
              <w:br/>
              <w:t>2024年度：经营活动现金流入小计80298955.33元，其中销售商品、提供劳务收到的现金48902379.43元，较上年下降。经营活动现金流出包含购买商品、接受劳务支付的现金40772246.32元等。</w:t>
              <w:br/>
              <w:t xml:space="preserve">2025年度：销售商品、提供劳务收到的现金为103852568.95元，收到税费返还2643784.65元，显示经营活动现金流入有所回升。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二、偿债能力与营运效率分析</w:t>
              <w:br/>
              <w:t>偿债能力显著改善。2025年末资产负债率为42.5%，较年初下降7.7个百分点，负债水平回归行业典型区间（30%-55%）的健康水平。流动比率与速动比率分别为1.82倍和1.51倍，较年初均有所提升，短期偿债能力增强。归因分析： 偿债指标改善主要得益于总负债规模较年初下降22.7%，其中应付账款较年初大幅减少56.0%，有效降低了流动负债压力。</w:t>
              <w:br/>
              <w:t>营运效率呈现分化。应收账款周转天数为271天，同比大幅缩短117天，回款效率显著提升，但仍显著高于软件信息业90-180天的典型区间上限，主要由于项目制验收周期较长及主要客户（如政府部门、大型企业）回款账期较长所致。存货周转天数为129天，同比增加49天，且远超行业30-90天的典型区间，周转速度明显放缓，主要由于定制化项目未验收形成存货沉淀，或为硬件集成类业务进行了备货。存货期末余额较年初激增88.0%，远超营收增速，存在积压风险，需关注其变现能力。</w:t>
              <w:br/>
              <w:t>三、现金流与还款能力挂钩分析</w:t>
              <w:br/>
              <w:t>2025年，公司经营活动现金流净额为791万元，投资活动现金流净额为-586万元，筹资活动现金流净额为-426万元。经营现金流健康，经营现金流/净利润比值达1.60，销售收现/营收比值为1.04，均处于良好水平，表明利润质量较高，主营业务回款正常。</w:t>
              <w:br/>
              <w:t>与还款能力挂钩分析： 公司短期借款余额为4730万元，而年度经营现金流净额仅为791万元，自有现金流对短期债务的覆盖能力偏弱，短期偿债主要依赖债务滚动与资产变现。虽然流动比率、速动比率改善，但货币资金较年初下降43.6%至286万元，流动性储备不足。结合存货积压和应收账款周转仍偏慢的情况，资产整体流动性对还款的支撑存在一定压力。</w:t>
              <w:br/>
              <w:t>四、关键科目变动说明</w:t>
              <w:br/>
              <w:t>- 应收账款：期末余额7430万元，较年初下降19.7%，近三年呈波动趋势。材料未提供其具体构成。</w:t>
              <w:br/>
              <w:t>- 其他应收款：期末余额2774万元，较年初下降21.2%，近三年呈下降趋势。材料未提供其具体构成。</w:t>
              <w:br/>
              <w:t>- 存货：期末余额2192万元，较年初大幅增长88.0%。材料未提供其具体构成。</w:t>
              <w:br/>
              <w:t>- 应付账款：期末余额1026万元，较年初大幅下降56.0%。材料未提供其具体构成。</w:t>
              <w:br/>
              <w:t>- 其他应付款：期末余额168万元。材料未提供其具体构成及变动原因。</w:t>
              <w:br/>
              <w:t>五、数据缺失提示</w:t>
              <w:br/>
              <w:t>材料未提供财务真实性验证（税务、流水）、长期投资、主营业务收入及盈利能力变动的具体原因、固定资产投资情况、其他重大变动指标分析以及最近三年完整的现金流量表分析。</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借款人银行授信总额5640万元，已用授信4440万元。具体为：交通银行屏东支行流贷1000万元、海峡银行金山支行流贷500万元、厦门国际银行台江支行流贷640万元、兴业银行环球支行流贷1000万元（已用700万元）、兴业银行环球支行流贷1000万元（已用300万元）、工商银行流贷500万元、中国银行福建省分行流贷600万元、广发银行鼓楼支行流贷400万元（已用200万元）。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4"/>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4"/>
            <w:r>
              <w:rPr>
                <w:rStyle w:val="CommentReference"/>
              </w:rPr>
              <w:commentReference w:id="4"/>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5"/>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5"/>
            <w:r>
              <w:rPr>
                <w:rStyle w:val="CommentReference"/>
              </w:rPr>
              <w:commentReference w:id="5"/>
            </w:r>
          </w:p>
          <w:p w14:paraId="4355488A">
            <w:commentRangeStart w:id="6"/>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6"/>
            <w:r>
              <w:rPr>
                <w:rStyle w:val="CommentReference"/>
              </w:rPr>
              <w:commentReference w:id="6"/>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黄祖海个人信用报告，其名下未结清贷款账户1笔，余额1000万元，为中行个人经营贷款，经营主体为[待补充]；有未销户信用卡账户1笔，余额0元。全部未结清贷款估算下月应还款额0元，贷记卡最近6个月平均使用额度27元。承担担保责任账户1笔，余额1000万元，为[待补充]担保。近5年贷款累计逾期1期，连续逾期1期，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康恩慧，中国国籍，福建福州人，1978年生。材料未提供实控人配偶个人征信信息。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企业研发投入持续，2023-2025年研发费用占营收比例分别为7.4%、14.5%、10.5%，研发人员占比高（44%-53%）。主营业务聚焦智慧水利与智慧教育，符合国家战略方向，并拥有相关奖项。但部分子公司经营亏损。综合评估其技术创新能力、行业专注度及持续投入，科技型企业评分为：75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材料未提供具体轮次及有效期）；☑高新技术企业；□创新型中小企业；□“专精特新”中小企业；□专精特新“小巨人”企业；□制造业单项冠军企业；□国家技术创新示范企业</w:t>
              <w:br/>
              <w:t>科技型企业评分：材料未提供科技型企业评分</w:t>
              <w:br/>
              <w:t>※2.研发投入情况：</w:t>
              <w:br/>
              <w:t>①核心研发人员是否享有股权激励：☑是</w:t>
              <w:br/>
              <w:t>②近三年研发投入占比及研发人员占比：2023年研发投入占比7.4%，研发人员占比44%；2024年研发投入占比14.5%，研发人员占比49%；2025年研发投入占比10.5%，研发人员占比53%。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期末货币资金余额为286万元。企业上游结算采用预付款和账期款方式，下游结算采用预收款和账期或全款的收款方式，且应收账款周转天数达271天，回款周期较长。同时，存货较年初大幅增加88.0%至2192万元，占用营运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8"/>
            <w:r>
              <w:rPr>
                <w:rStyle w:val="CommentReference"/>
              </w:rPr>
              <w:commentReference w:id="8"/>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9"/>
            <w:r>
              <w:rPr>
                <w:rStyle w:val="CommentReference"/>
              </w:rPr>
              <w:commentReference w:id="9"/>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活动产生的现金流。企业2025年销售商品、提供劳务收到的现金为10385万元，显示主营业务回款能力。下游客户包括政府部门（如涵江水利局）及企业，回款相对有保障。但需关注子公司亏损对集团整体现金流的潜在影响，以及企业对外融资较多（已用信4440万元）可能带来的利息支出压力。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材料中列有一项可抵押资产：实控人黄祖海及其配偶康恩慧共有的位于仓山区上渡街道通江路17号江南水都·杰座的私有房产，面积143.45平方米，可作为补充担保。此外，企业现有融资均由实际控制人黄祖海、关联方陈其俤、子公司中锐汉鼎及外部担保公司提供连带责任保证，增强了第二还款来源的保障。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借款人2025年营业收入10010万元，同比增长14.9%；净利润494万元，同比增长50.1%。当期经营活动净现金流791万元，经营现金流/净利润为1.60，销售商品收现/营收为1.04，现金流质量健康。应收账款周转天数271天，虽较上年改善117天，但仍显著高于软件信息业90-180天典型区间，主要由于项目验收周期较长及政府客户回款账期较长。存货周转天数79.84321218765668天，较上年增加49天，且存货较年初增长88.0%，远超营收增速，存在存货积压信号。借款人资产负债率42.5%，处于行业30-55%区间内，流动比率1.82倍、速动比率1.51倍，短期偿债指标尚可。但短期借款4730万元，年经营现金流仅791万元，对短期债务的覆盖能力偏弱，主要依赖银行授信滚动偿还。营业收入与税务申报数据匹配。</w:t>
              <w:br/>
              <w:t>②第二还款来源（抵质押物变现能力分析及其他渠道现金流分析）：</w:t>
              <w:br/>
              <w:t>材料未提供抵质押物评估价值。</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0"/>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抵押物为仓山区上渡街道通江路17号江南水都·杰座私有房产，权属证号榕 房权证 R 字第 0838000 号，建筑面积143.45平方米，所有权人为康恩慧、黄祖海。材料未提供抵押物评估价值及当前抵押状态。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材料未提供保证人化型及对公PD等级。</w:t>
              <w:br/>
              <w:t>保证人主要经营情况：福建中锐汉鼎信息技术有限公司主营智慧水利，上年营收8712万元，净利润329万元；福建中锐教育科技有限公司主营智慧教育，上年营收8712万元，净利润329万元；北京中锐青云科技有限公司主营产教融合创新服务，上年营收8712万元，净利润329万元；厦门中锐软件科技有限公司主营软硬件销售，上年营收8712万元，净利润329万元；中锐海沃水利技术(福建)有限公司主营智慧水利，上年营收8712万元，净利润329万元。</w:t>
              <w:br/>
              <w:t>材料未提供保证人征信信息。</w:t>
              <w:br/>
              <w:t>材料未提供保证人主要财务指标。</w:t>
              <w:br/>
              <w:t>材料未提供保证人风险信息及涉诉情况。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br/>
              <w:t>企业2025年营业收入10010万元，同比增长14.9%；净利润494万元，同比增长50.1%；总负债7207万元，较年初下降22.7%，负债规模收缩。盈利能力方面，净利率为4.9%，同比提升1.2个百分点；偿债能力方面，资产负债率42.5%，较年初下降7.7个百分点，杠杆水平适中，流动比率1.82倍，偿债能力指标改善。经营活动净现金流791万元，经营现金流/净利润为1.60，现金流质量健康，为偿还债务本息提供了基础保障。营运效率方面，应收账款周转天数271天，显著高于软件信息业90-180天典型区间，主要由于项目验收周期较长及政府客户回款账期长；存货周转天数79.84321218765668天，较上年增加49天，主要由于存货较年初增长88.0%至2192万元，存在一定积压。企业短期借款4730万元，年经营现金流可覆盖其利息支出，但需关注短期债务的滚动偿还压力。</w:t>
              <w:br/>
              <w:br/>
              <w:t>企业为存量客户，主营业务为智慧水利与智慧教育。融资清单显示其合计授信4640万元，已用4440万元，涉及8家机构。企业研发投入持续，2025年研发费用1049万元，占营收10.5%。企业提供一项私有房产作为抵押，所有权人为康恩慧、黄祖海，位于仓山区上渡街道通江路17号江南水都·杰座，面积143.45平方米。</w:t>
              <w:br/>
              <w:br/>
              <w:t>综合评判，企业经营可持续，现金流可覆盖本息，杠杆率可控。授信方案建议维持现有额度，落实房产抵押担保，并加强贷后资金流向监控及存货与应收账款周转管理。</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现金流：借款人2025年经营活动净现金流791万元，经营现金流/净利润为1.60，销售商品收现/营收为1.04，现金流质量健康。但需关注短期借款4730万元需滚动偿还，当期经营现金流对短期债务本金的覆盖能力有限。</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2025年末资产负债率42.5%，较年初下降7.7个百分点，处于软件信息业30-55%典型区间。流动比率1.82倍，速动比率1.51倍，均较年初改善并处于行业合理区间，短期偿债能力指标尚可。但结合货币资金仅286万元的情况，实际即期支付能力对流动负债的覆盖存在压力。</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与智慧教育，2025年营收10010万元，同比增长14.9%，净利润494万元，同比增长50.1%。毛利率38.0%，同比微降0.8个百分点，仍处行业30-50%区间；存货周转天数129天，同比增加49天。近三年持续投入研发，2025年研发费用1049万元，占比10.5%。应收账款周转天数271天，显著高于软件信息业90-180天典型区间，主要系项目制验收周期长及政府、大企业客户回款账期较长所致；存货周转天数129天亦高于行业30-90天区间，主要因存货较年初大幅增长88.0%，存在定制化项目未验收沉淀或为业务备货的可能。企业曾获“福建省科技进步奖二等奖”等奖项，服务超1600家政企客户，业务具备一定可持续性。</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银行授信合计5640万元，已用4440万元，涉及交通银行、海峡银行等8家机构。短期借款余额4730万元。材料未提供对外担保情况。配结算：材料未提供借款人在我行结算情况。强担保：材料未提供本次申请授信的具体担保方式。</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1"/>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1"/>
            <w:r>
              <w:rPr>
                <w:rStyle w:val="CommentReference"/>
              </w:rPr>
              <w:commentReference w:id="11"/>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2"/>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6AC425A6">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3"/>
            <w:r>
              <w:rPr>
                <w:rStyle w:val="CommentReference"/>
              </w:rPr>
              <w:commentReference w:id="13"/>
            </w:r>
          </w:p>
          <w:p w14:paraId="2FC82B07">
            <w:commentRangeStart w:id="14"/>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269107E9">
            <w:commentRangeStart w:id="15"/>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3096CC3B">
            <w:commentRangeStart w:id="16"/>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7"/>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7"/>
            <w:r>
              <w:rPr>
                <w:rStyle w:val="CommentReference"/>
              </w:rPr>
              <w:commentReference w:id="17"/>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8"/>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8"/>
            <w:r>
              <w:rPr>
                <w:rStyle w:val="CommentReference"/>
              </w:rPr>
              <w:commentReference w:id="18"/>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5:39:30Z" w:initials="Agent">
    <w:p>
      <w:r>
        <w:rPr>
          <w:rStyle w:val="CommentReference"/>
        </w:rPr>
        <w:annotationRef/>
      </w:r>
      <w:r>
        <w:t xml:space="preserve">该处“申报单位”仍为空白，请人工确认。</w:t>
      </w:r>
    </w:p>
  </w:comment>
  <w:comment w:id="1" w:author="信贷报告 Agent" w:date="2026-04-14T15:39:30Z" w:initials="Agent">
    <w:p>
      <w:r>
        <w:rPr>
          <w:rStyle w:val="CommentReference"/>
        </w:rPr>
        <w:annotationRef/>
      </w:r>
      <w:r>
        <w:t xml:space="preserve">该处“小类）”仍为空白，请人工确认。</w:t>
      </w:r>
    </w:p>
  </w:comment>
  <w:comment w:id="2" w:author="信贷报告 Agent" w:date="2026-04-14T15:39:30Z" w:initials="Agent">
    <w:p>
      <w:r>
        <w:rPr>
          <w:rStyle w:val="CommentReference"/>
        </w:rPr>
        <w:annotationRef/>
      </w:r>
      <w:r>
        <w:t xml:space="preserve">该处“绿通标识”仍为空白，请人工确认。</w:t>
      </w:r>
    </w:p>
  </w:comment>
  <w:comment w:id="3" w:author="信贷报告 Agent" w:date="2026-04-14T15:39:30Z" w:initials="Agent">
    <w:p>
      <w:r>
        <w:rPr>
          <w:rStyle w:val="CommentReference"/>
        </w:rPr>
        <w:annotationRef/>
      </w:r>
      <w:r>
        <w:t xml:space="preserve">该处“分析原因”仍为空白，请人工确认。</w:t>
      </w:r>
    </w:p>
  </w:comment>
  <w:comment w:id="4" w:author="信贷报告 Agent" w:date="2026-04-14T15:39:30Z" w:initials="Agent">
    <w:p>
      <w:r>
        <w:rPr>
          <w:rStyle w:val="CommentReference"/>
        </w:rPr>
        <w:annotationRef/>
      </w:r>
      <w:r>
        <w:t xml:space="preserve">该处“反馈中长期借款还款计划及还款资金安排情况”仍为空白，请人工确认。</w:t>
      </w:r>
    </w:p>
  </w:comment>
  <w:comment w:id="5" w:author="信贷报告 Agent" w:date="2026-04-14T15:39:30Z" w:initials="Agent">
    <w:p>
      <w:r>
        <w:rPr>
          <w:rStyle w:val="CommentReference"/>
        </w:rPr>
        <w:annotationRef/>
      </w:r>
      <w:r>
        <w:t xml:space="preserve">该处“（若有）对外担保情况”仍为空白，请人工确认。</w:t>
      </w:r>
    </w:p>
  </w:comment>
  <w:comment w:id="6" w:author="信贷报告 Agent" w:date="2026-04-14T15:39:30Z" w:initials="Agent">
    <w:p>
      <w:r>
        <w:rPr>
          <w:rStyle w:val="CommentReference"/>
        </w:rPr>
        <w:annotationRef/>
      </w:r>
      <w:r>
        <w:t xml:space="preserve">该处“（若有）不良记录情况”仍为空白，请人工确认。</w:t>
      </w:r>
    </w:p>
  </w:comment>
  <w:comment w:id="7" w:author="信贷报告 Agent" w:date="2026-04-14T15:39:30Z" w:initials="Agent">
    <w:p>
      <w:r>
        <w:rPr>
          <w:rStyle w:val="CommentReference"/>
        </w:rPr>
        <w:annotationRef/>
      </w:r>
      <w:r>
        <w:t xml:space="preserve">该处“为中行个人经营贷款，经营主体为”仍为模板占位符，请人工核实。</w:t>
      </w:r>
    </w:p>
  </w:comment>
  <w:comment w:id="8" w:author="信贷报告 Agent" w:date="2026-04-14T15:39:30Z" w:initials="Agent">
    <w:p>
      <w:r>
        <w:rPr>
          <w:rStyle w:val="CommentReference"/>
        </w:rPr>
        <w:annotationRef/>
      </w:r>
      <w:r>
        <w:t xml:space="preserve">该处“请补充分析原因”仍为空白，请人工确认。</w:t>
      </w:r>
    </w:p>
  </w:comment>
  <w:comment w:id="9" w:author="信贷报告 Agent" w:date="2026-04-14T15:39:30Z" w:initials="Agent">
    <w:p>
      <w:r>
        <w:rPr>
          <w:rStyle w:val="CommentReference"/>
        </w:rPr>
        <w:annotationRef/>
      </w:r>
      <w:r>
        <w:t xml:space="preserve">该处“请补充说明”仍为空白，请人工确认。</w:t>
      </w:r>
    </w:p>
  </w:comment>
  <w:comment w:id="10" w:author="信贷报告 Agent" w:date="2026-04-14T15:39:30Z" w:initials="Agent">
    <w:p>
      <w:r>
        <w:rPr>
          <w:rStyle w:val="CommentReference"/>
        </w:rPr>
        <w:annotationRef/>
      </w:r>
      <w:r>
        <w:t xml:space="preserve">该处“变动原因”仍为空白，请人工确认。</w:t>
      </w:r>
    </w:p>
  </w:comment>
  <w:comment w:id="11" w:author="信贷报告 Agent" w:date="2026-04-14T15:39:30Z" w:initials="Agent">
    <w:p>
      <w:r>
        <w:rPr>
          <w:rStyle w:val="CommentReference"/>
        </w:rPr>
        <w:annotationRef/>
      </w:r>
      <w:r>
        <w:t xml:space="preserve">该处“予借款人授信敞口1000万元，”仍为模板占位符，请人工核实。</w:t>
      </w:r>
    </w:p>
  </w:comment>
  <w:comment w:id="12" w:author="信贷报告 Agent" w:date="2026-04-14T15:39:30Z" w:initials="Agent">
    <w:p>
      <w:r>
        <w:rPr>
          <w:rStyle w:val="CommentReference"/>
        </w:rPr>
        <w:annotationRef/>
      </w:r>
      <w:r>
        <w:t xml:space="preserve">该处“客户经理”仍为空白，请人工确认。</w:t>
      </w:r>
    </w:p>
  </w:comment>
  <w:comment w:id="13" w:author="信贷报告 Agent" w:date="2026-04-14T15:39:30Z" w:initials="Agent">
    <w:p>
      <w:r>
        <w:rPr>
          <w:rStyle w:val="CommentReference"/>
        </w:rPr>
        <w:annotationRef/>
      </w:r>
      <w:r>
        <w:t xml:space="preserve">该处“共同调查人”仍为空白，请人工确认。</w:t>
      </w:r>
    </w:p>
  </w:comment>
  <w:comment w:id="14" w:author="信贷报告 Agent" w:date="2026-04-14T15:39:30Z" w:initials="Agent">
    <w:p>
      <w:r>
        <w:rPr>
          <w:rStyle w:val="CommentReference"/>
        </w:rPr>
        <w:annotationRef/>
      </w:r>
      <w:r>
        <w:t xml:space="preserve">该处“二级支行行长”仍为空白，请人工确认。</w:t>
      </w:r>
    </w:p>
  </w:comment>
  <w:comment w:id="15" w:author="信贷报告 Agent" w:date="2026-04-14T15:39:30Z" w:initials="Agent">
    <w:p>
      <w:r>
        <w:rPr>
          <w:rStyle w:val="CommentReference"/>
        </w:rPr>
        <w:annotationRef/>
      </w:r>
      <w:r>
        <w:t xml:space="preserve">该处“分管行长”仍为空白，请人工确认。</w:t>
      </w:r>
    </w:p>
  </w:comment>
  <w:comment w:id="16" w:author="信贷报告 Agent" w:date="2026-04-14T15:39:30Z" w:initials="Agent">
    <w:p>
      <w:r>
        <w:rPr>
          <w:rStyle w:val="CommentReference"/>
        </w:rPr>
        <w:annotationRef/>
      </w:r>
      <w:r>
        <w:t xml:space="preserve">该处“行长”仍为空白，请人工确认。</w:t>
      </w:r>
    </w:p>
  </w:comment>
  <w:comment w:id="17" w:author="信贷报告 Agent" w:date="2026-04-14T15:39:30Z" w:initials="Agent">
    <w:p>
      <w:r>
        <w:rPr>
          <w:rStyle w:val="CommentReference"/>
        </w:rPr>
        <w:annotationRef/>
      </w:r>
      <w:r>
        <w:t xml:space="preserve">该处“审查员”仍为空白，请人工确认。</w:t>
      </w:r>
    </w:p>
  </w:comment>
  <w:comment w:id="18" w:author="信贷报告 Agent" w:date="2026-04-14T15:39:30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