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comments.xml" ContentType="application/vnd.openxmlformats-officedocument.wordprocessingml.comments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55B943">
      <w:pPr>
        <w:rPr>
          <w:rFonts w:hint="eastAsia" w:ascii="宋体" w:hAnsi="宋体" w:cs="宋体"/>
          <w:sz w:val="28"/>
          <w:szCs w:val="36"/>
        </w:rPr>
      </w:pPr>
      <w:bookmarkStart w:id="0" w:name="_GoBack"/>
      <w:bookmarkEnd w:id="0"/>
      <w:r>
        <w:rPr>
          <w:rFonts w:hint="eastAsia" w:ascii="宋体" w:hAnsi="宋体" w:cs="宋体"/>
          <w:sz w:val="28"/>
          <w:szCs w:val="36"/>
        </w:rPr>
        <w:t>附件1：</w:t>
      </w:r>
    </w:p>
    <w:tbl>
      <w:tblPr>
        <w:tblStyle w:val="13"/>
        <w:tblW w:w="1106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64"/>
      </w:tblGrid>
      <w:tr w14:paraId="5B7C5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28" w:hRule="atLeast"/>
          <w:jc w:val="center"/>
        </w:trPr>
        <w:tc>
          <w:tcPr>
            <w:tcW w:w="11064" w:type="dxa"/>
            <w:noWrap w:val="0"/>
            <w:vAlign w:val="top"/>
          </w:tcPr>
          <w:p w14:paraId="0E4D79E6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 w:val="32"/>
                <w:szCs w:val="32"/>
                <w:lang w:eastAsia="zh-CN"/>
              </w:rPr>
              <w:t>福建省分行普惠法人授信申报及审查审批意见表（2025新版）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 w:val="32"/>
                <w:szCs w:val="32"/>
              </w:rPr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 w:val="32"/>
                <w:szCs w:val="32"/>
                <w:lang w:val="en-US" w:eastAsia="zh-CN"/>
              </w:rPr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 w:val="32"/>
                <w:szCs w:val="32"/>
              </w:rPr>
            </w:r>
          </w:p>
        </w:tc>
      </w:tr>
      <w:tr w14:paraId="4CC121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1" w:hRule="atLeast"/>
          <w:jc w:val="center"/>
        </w:trPr>
        <w:tc>
          <w:tcPr>
            <w:tcW w:w="11064" w:type="dxa"/>
            <w:noWrap w:val="0"/>
            <w:vAlign w:val="top"/>
          </w:tcPr>
          <w:p w14:paraId="4CF78940">
            <w:pPr>
              <w:spacing w:before="62" w:beforeLines="2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1"/>
                <w:szCs w:val="21"/>
                <w:highlight w:val="none"/>
                <w:lang w:val="en-US" w:eastAsia="zh-CN" w:bidi="ar-SA"/>
              </w:rPr>
              <w:t>客户名称：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 xml:space="preserve"> 福建中锐网络股份有限公司 </w:t>
            </w:r>
          </w:p>
          <w:p w14:paraId="54CB5F37">
            <w:pPr>
              <w:spacing w:line="240" w:lineRule="auto"/>
              <w:jc w:val="both"/>
              <w:outlineLvl w:val="0"/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val="en-US" w:eastAsia="zh-CN"/>
              </w:rPr>
              <w:t>集团名称（如涉及）：</w:t>
            </w:r>
          </w:p>
          <w:p w14:paraId="0C2EFAED">
            <w:commentRangeStart w:id="0"/>
            <w:pPr>
              <w:pStyle w:val="11"/>
              <w:rPr>
                <w:rFonts w:hint="eastAsia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val="en-US" w:eastAsia="zh-CN"/>
              </w:rPr>
              <w:t>申报单位：[待补充]</w:t>
              <w:tab/>
              <w:tab/>
              <w:tab/>
              <w:tab/>
              <w:tab/>
              <w:t>客户经理：[待补充]                联系电话：[待补充]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</w:r>
            <w:r>
              <w:rPr>
                <w:rFonts w:hint="eastAsia" w:ascii="宋体" w:hAnsi="宋体" w:eastAsia="宋体" w:cs="宋体"/>
                <w:b/>
                <w:i w:val="0"/>
                <w:iCs w:val="0"/>
                <w:sz w:val="21"/>
                <w:szCs w:val="21"/>
                <w:highlight w:val="none"/>
              </w:rPr>
            </w:r>
            <w:r>
              <w:rPr>
                <w:rFonts w:hint="eastAsia" w:ascii="宋体" w:hAnsi="宋体" w:eastAsia="宋体" w:cs="宋体"/>
                <w:b/>
                <w:i w:val="0"/>
                <w:iCs w:val="0"/>
                <w:sz w:val="21"/>
                <w:szCs w:val="21"/>
                <w:highlight w:val="none"/>
                <w:lang w:eastAsia="zh-CN"/>
              </w:rPr>
            </w:r>
            <w:r>
              <w:rPr>
                <w:rFonts w:hint="eastAsia" w:ascii="宋体" w:hAnsi="宋体" w:eastAsia="宋体" w:cs="宋体"/>
                <w:b/>
                <w:i w:val="0"/>
                <w:iCs w:val="0"/>
                <w:sz w:val="21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</w:r>
            <w:commentRangeEnd w:id="0"/>
            <w:r>
              <w:rPr>
                <w:rStyle w:val="CommentReference"/>
              </w:rPr>
            </w:r>
          </w:p>
          <w:p w14:paraId="3777922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授信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方案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：□新客户</w:t>
            </w:r>
          </w:p>
          <w:p w14:paraId="2DA73A3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ind w:firstLine="1054" w:firstLineChars="500"/>
              <w:jc w:val="left"/>
              <w:textAlignment w:val="baseline"/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☑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存量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客户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bCs/>
                <w:szCs w:val="21"/>
              </w:rPr>
              <w:t>原有额度批复日期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: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年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月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日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）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 xml:space="preserve">☑维持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sym w:font="Wingdings 2" w:char="00A3"/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增加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□减少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授信方案调整</w:t>
            </w:r>
          </w:p>
          <w:p w14:paraId="68968EB1">
            <w:commentRangeStart w:id="1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lang w:eastAsia="zh-CN"/>
              </w:rPr>
              <w:t>国标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</w:rPr>
              <w:t>行业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门类-大类-中类-小类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eastAsia="zh-CN"/>
              </w:rPr>
              <w:t>）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</w:rPr>
              <w:t>：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  <w:t xml:space="preserve">                          </w:t>
            </w:r>
            <w:commentRangeEnd w:id="1"/>
            <w:r>
              <w:rPr>
                <w:rStyle w:val="CommentReference"/>
              </w:rPr>
              <w:commentReference w:id="1"/>
            </w:r>
          </w:p>
          <w:p w14:paraId="3E70D6A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规模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划型：□微型 ☑小型 □中型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所属客群：☑支持类 □审慎类 □禁止类</w:t>
            </w:r>
          </w:p>
          <w:p w14:paraId="007D558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划型要素：上年度资产总额 [待补充]；上年度销售额 [待补充]；上年度末员工人数 [待补充]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</w:r>
          </w:p>
          <w:p w14:paraId="14F4997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jc w:val="left"/>
              <w:textAlignment w:val="baseline"/>
              <w:rPr>
                <w:rFonts w:hint="eastAsia" w:ascii="宋体" w:hAnsi="宋体" w:eastAsia="宋体" w:cs="宋体"/>
                <w:b/>
                <w:bCs/>
                <w:strike w:val="0"/>
                <w:dstrike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环境、社会和治理风险分类</w:t>
            </w:r>
            <w:r>
              <w:rPr>
                <w:rFonts w:hint="eastAsia" w:ascii="宋体" w:hAnsi="宋体" w:eastAsia="宋体" w:cs="宋体"/>
                <w:b/>
                <w:bCs/>
                <w:strike w:val="0"/>
                <w:dstrike w:val="0"/>
                <w:sz w:val="21"/>
                <w:szCs w:val="21"/>
                <w:highlight w:val="none"/>
                <w:lang w:val="en-US" w:eastAsia="zh-CN"/>
              </w:rPr>
              <w:t>（ESG评价）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：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A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sym w:font="Wingdings 2" w:char="00A3"/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 xml:space="preserve">B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☑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C</w:t>
            </w:r>
            <w:r>
              <w:rPr>
                <w:rFonts w:hint="eastAsia" w:ascii="宋体" w:hAnsi="宋体" w:eastAsia="宋体" w:cs="宋体"/>
                <w:b/>
                <w:bCs/>
                <w:strike w:val="0"/>
                <w:dstrike w:val="0"/>
                <w:sz w:val="21"/>
                <w:szCs w:val="21"/>
                <w:highlight w:val="none"/>
                <w:lang w:val="en-US" w:eastAsia="zh-CN"/>
              </w:rPr>
              <w:t>（如涉及A/B类,须在其他负面信息栏反馈ESG风险评价）</w:t>
            </w:r>
          </w:p>
          <w:p w14:paraId="6953AC58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jc w:val="left"/>
              <w:textAlignment w:val="baseline"/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反洗钱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  <w:t>风险等级：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☑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低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sym w:font="Wingdings 2" w:char="00A3"/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一般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eastAsia="zh-CN"/>
              </w:rPr>
              <w:t>较高（</w:t>
            </w:r>
            <w:r>
              <w:rPr>
                <w:rFonts w:hint="eastAsia" w:ascii="宋体" w:hAnsi="宋体" w:eastAsia="宋体" w:cs="宋体"/>
                <w:b/>
                <w:bCs/>
                <w:strike w:val="0"/>
                <w:dstrike w:val="0"/>
                <w:sz w:val="21"/>
                <w:szCs w:val="21"/>
                <w:highlight w:val="none"/>
                <w:lang w:val="en-US" w:eastAsia="zh-CN"/>
              </w:rPr>
              <w:t>须在其他负面信息栏说明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eastAsia="zh-CN"/>
              </w:rPr>
              <w:t>）；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eastAsia="zh-CN"/>
              </w:rPr>
              <w:t>高（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  <w:t>不得准入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eastAsia="zh-CN"/>
              </w:rPr>
              <w:t>）</w:t>
            </w:r>
          </w:p>
          <w:p w14:paraId="11732687">
            <w:commentRangeStart w:id="2"/>
            <w:pPr>
              <w:pStyle w:val="7"/>
              <w:rPr>
                <w:rFonts w:hint="default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lang w:val="en-US" w:eastAsia="zh-CN" w:bidi="ar-SA"/>
              </w:rPr>
              <w:t>绿通标识：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  <w:t xml:space="preserve">        </w:t>
            </w:r>
            <w:commentRangeEnd w:id="2"/>
            <w:r>
              <w:rPr>
                <w:rStyle w:val="CommentReference"/>
              </w:rPr>
              <w:commentReference w:id="2"/>
            </w:r>
          </w:p>
        </w:tc>
      </w:tr>
      <w:tr w14:paraId="0D714D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8" w:hRule="atLeast"/>
          <w:jc w:val="center"/>
        </w:trPr>
        <w:tc>
          <w:tcPr>
            <w:tcW w:w="11064" w:type="dxa"/>
            <w:noWrap w:val="0"/>
            <w:vAlign w:val="top"/>
          </w:tcPr>
          <w:p w14:paraId="663E39A1">
            <w:pPr>
              <w:spacing w:before="62" w:beforeLines="2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申报额度：[待补充]；申报敞口：[待补充]；【上一期授信敞口（若有）：[待补充]】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</w:r>
          </w:p>
          <w:p w14:paraId="2F13B6BC">
            <w:pPr>
              <w:spacing w:before="62" w:beforeLines="2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业务品种：[待补充]；业务期限：[待补充]；授信期限：[待补充]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</w:p>
          <w:p w14:paraId="1D0618AE">
            <w:pPr>
              <w:spacing w:before="62" w:beforeLines="2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担保方式：[待补充]；【上一期授信担保方式：[待补充]】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none"/>
                <w:lang w:val="en-US" w:eastAsia="zh-CN"/>
              </w:rPr>
            </w:r>
          </w:p>
          <w:p w14:paraId="119CF21D">
            <w:pPr>
              <w:spacing w:before="62" w:beforeLines="2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PD评级：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6级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none"/>
                <w:lang w:eastAsia="zh-CN"/>
              </w:rPr>
              <w:t>【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上一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期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授信评级：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 xml:space="preserve"> 7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none"/>
              </w:rPr>
              <w:t>级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none"/>
                <w:lang w:eastAsia="zh-CN"/>
              </w:rPr>
              <w:t>】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 xml:space="preserve">   </w:t>
            </w:r>
          </w:p>
        </w:tc>
      </w:tr>
      <w:tr w14:paraId="20545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1" w:hRule="atLeast"/>
          <w:jc w:val="center"/>
        </w:trPr>
        <w:tc>
          <w:tcPr>
            <w:tcW w:w="110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DE904E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一、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经营单位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尽调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情况</w:t>
            </w:r>
          </w:p>
          <w:p w14:paraId="46AC6F1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（一）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借款人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简介</w:t>
            </w:r>
          </w:p>
          <w:p w14:paraId="7159615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2" w:firstLineChars="200"/>
              <w:jc w:val="left"/>
              <w:textAlignment w:val="baseline"/>
              <w:rPr>
                <w:rFonts w:hint="default" w:ascii="宋体" w:hAnsi="宋体" w:eastAsia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1.借款人概况：</w:t>
            </w:r>
          </w:p>
          <w:p w14:paraId="1B564AC8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企业成立于2012年1月，经营地址位于福州大学国家大学科技园8号楼5层。经营地为租用办公楼，租用总面积2523平，年租金115万。实际主营业务为软件开发、信息系统集成及技术服务。上年度末社保人数69人；注册资本：4100万元、实收资本：4100万元；法定代表人：黄祖海。股权穿透后实际控制人持股比例：实控人黄祖海，持股比例100%。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仿宋"/>
                <w:b w:val="0"/>
                <w:bCs/>
                <w:color w:val="auto"/>
                <w:kern w:val="2"/>
                <w:sz w:val="21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仿宋"/>
                <w:b w:val="0"/>
                <w:bCs/>
                <w:color w:val="auto"/>
                <w:kern w:val="2"/>
                <w:sz w:val="21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eastAsia="zh-CN"/>
              </w:rPr>
            </w: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</w:p>
          <w:p w14:paraId="4986ECC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u w:val="none"/>
                <w:lang w:val="en-US" w:eastAsia="zh-CN"/>
              </w:rPr>
              <w:t>已取得资质情况：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☑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  <w:t>不涉及；</w:t>
            </w:r>
          </w:p>
          <w:p w14:paraId="44CF5D8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2108" w:firstLineChars="1000"/>
              <w:jc w:val="left"/>
              <w:textAlignment w:val="baseline"/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  <w:t>排污许可证（</w:t>
            </w: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u w:val="none"/>
                <w:lang w:val="en-US" w:eastAsia="zh-CN"/>
              </w:rPr>
              <w:t>编号：XXX，有效期至</w:t>
            </w: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u w:val="none"/>
                <w:lang w:val="en-US" w:eastAsia="zh-CN"/>
              </w:rPr>
              <w:t>年</w:t>
            </w: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u w:val="none"/>
                <w:lang w:val="en-US" w:eastAsia="zh-CN"/>
              </w:rPr>
              <w:t>月</w:t>
            </w: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u w:val="none"/>
                <w:lang w:val="en-US" w:eastAsia="zh-CN"/>
              </w:rPr>
              <w:t>日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  <w:t>）；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排污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  <w:t>登记回执；</w:t>
            </w:r>
          </w:p>
          <w:p w14:paraId="6CDB29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2108" w:firstLineChars="1000"/>
              <w:jc w:val="left"/>
              <w:textAlignment w:val="baseline"/>
              <w:rPr>
                <w:rFonts w:hint="eastAsia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  <w:t>其他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u w:val="single"/>
                <w:lang w:val="en-US" w:eastAsia="zh-CN"/>
              </w:rPr>
              <w:t>食品生产许可证/食品生产许可证/建筑工程施工总承包一级等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u w:val="single"/>
                <w:lang w:val="en-US" w:eastAsia="zh-CN"/>
              </w:rPr>
              <w:t xml:space="preserve">      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u w:val="none"/>
                <w:lang w:val="en-US" w:eastAsia="zh-CN"/>
              </w:rPr>
              <w:t>；</w:t>
            </w:r>
          </w:p>
          <w:p w14:paraId="1931416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</w:p>
          <w:p w14:paraId="0959F8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 xml:space="preserve"> 73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 xml:space="preserve"> 4100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 xml:space="preserve"> 4100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 xml:space="preserve"> 黄祖海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</w:p>
          <w:p w14:paraId="5EAD39A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2310" w:firstLineChars="1100"/>
              <w:jc w:val="left"/>
              <w:textAlignment w:val="baseline"/>
              <w:rPr>
                <w:rFonts w:hint="eastAsia"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  <w:lang w:eastAsia="zh-CN"/>
              </w:rPr>
              <w:t>最新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股权结构表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lang w:val="en-US" w:eastAsia="zh-CN"/>
              </w:rPr>
              <w:t xml:space="preserve">           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 xml:space="preserve">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单位：万元</w:t>
            </w:r>
          </w:p>
          <w:tbl>
            <w:tblPr>
              <w:tblStyle w:val="13"/>
              <w:tblW w:w="0" w:type="auto"/>
              <w:jc w:val="center"/>
              <w:tblBorders>
                <w:top w:val="single" w:color="000000" w:sz="0" w:space="0"/>
                <w:left w:val="single" w:color="000000" w:sz="0" w:space="0"/>
                <w:bottom w:val="single" w:color="000000" w:sz="0" w:space="0"/>
                <w:right w:val="single" w:color="000000" w:sz="0" w:space="0"/>
                <w:insideH w:val="single" w:color="000000" w:sz="0" w:space="0"/>
                <w:insideV w:val="single" w:color="000000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56"/>
              <w:gridCol w:w="2001"/>
              <w:gridCol w:w="1161"/>
              <w:gridCol w:w="1266"/>
              <w:gridCol w:w="1056"/>
            </w:tblGrid>
            <w:tr w14:paraId="547A40DA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3C988E8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  <w:t>股东名称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29C2DCE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  <w:t>认缴出资额/持股数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26B1A0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  <w:t>出资比例%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0840E3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  <w:t>实际出资额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2C94200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  <w:t>出资形式</w:t>
                  </w:r>
                </w:p>
              </w:tc>
            </w:tr>
            <w:tr w14:paraId="7696C81A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10A32E9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福建中锐汉鼎信息技术有限公司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213A18E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2B77F9B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0A03FF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B733E0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</w:tr>
            <w:tr w14:paraId="7D9AFE7B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2" w:hRule="atLeast"/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24DC015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福建中锐教育科技有限公司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C2931C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4B16B7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1D149A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F243B6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</w:tr>
            <w:tr w14:paraId="0CAD9291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36D3D55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北京中锐青云科技有限公司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6ED707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4D4B4D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2F5A7A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05ECBB6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</w:tr>
            <w:tr w14:paraId="4764A2BF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3F91409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厦门中锐软件科技有限公司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FFA916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309DFB9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EF9571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EA9D72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</w:tr>
            <w:tr w14:paraId="5DDC6E5C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784C282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</w:rPr>
                    <w:t>合计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9EC9BD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4200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1CDDC8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</w:rPr>
                    <w:t>100%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7C8042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4200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870006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货币</w:t>
                  </w:r>
                </w:p>
              </w:tc>
            </w:tr>
          </w:tbl>
          <w:p w14:paraId="247BBB4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</w:p>
          <w:p w14:paraId="360105F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u w:val="single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过往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两年企业股权变动情况及变动原因：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u w:val="single"/>
              </w:rPr>
              <w:t xml:space="preserve"> 根据材料，未提及近两年企业股权变动情况。 </w:t>
            </w:r>
          </w:p>
          <w:p w14:paraId="176872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2" w:firstLineChars="200"/>
              <w:jc w:val="left"/>
              <w:textAlignment w:val="baseline"/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lang w:val="en-US" w:eastAsia="zh-CN"/>
              </w:rPr>
              <w:t>材料未提供实控人面访时间及双方会面人员信息。实控人黄祖海，本科学历，自2000年起长期从事网络技术行业，曾任技术工程师、技术经理、技术部总经理等职，2012年创立中锐网络并担任董事长兼总裁至今，行业经验丰富。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yellow"/>
                <w:lang w:eastAsia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yellow"/>
                <w:lang w:val="en-US" w:eastAsia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yellow"/>
                <w:lang w:eastAsia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kern w:val="0"/>
                <w:szCs w:val="21"/>
                <w:u w:val="single"/>
                <w:lang w:eastAsia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kern w:val="0"/>
                <w:szCs w:val="21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</w:r>
          </w:p>
          <w:p w14:paraId="566E66D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2" w:firstLineChars="200"/>
              <w:jc w:val="left"/>
              <w:textAlignment w:val="baseline"/>
              <w:rPr>
                <w:rFonts w:hint="default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lang w:val="en-US" w:eastAsia="zh-CN"/>
              </w:rPr>
              <w:t>材料未提供实地走访情况。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auto"/>
                <w:kern w:val="0"/>
                <w:szCs w:val="21"/>
                <w:highlight w:val="none"/>
                <w:u w:val="single"/>
                <w:lang w:eastAsia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</w:p>
          <w:p w14:paraId="654EDA8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2" w:firstLineChars="200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※</w:t>
            </w:r>
            <w:r>
              <w:rPr>
                <w:rFonts w:hint="eastAsia" w:ascii="宋体" w:hAnsi="宋体" w:cs="宋体"/>
                <w:b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4.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历年</w:t>
            </w:r>
            <w:r>
              <w:rPr>
                <w:rFonts w:hint="eastAsia" w:ascii="宋体" w:hAnsi="宋体" w:cs="宋体"/>
                <w:b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股权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融资情况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（</w:t>
            </w:r>
            <w:r>
              <w:rPr>
                <w:rFonts w:hint="eastAsia" w:ascii="宋体" w:hAnsi="宋体" w:cs="宋体"/>
                <w:b/>
                <w:sz w:val="21"/>
                <w:szCs w:val="21"/>
                <w:highlight w:val="none"/>
                <w:lang w:val="en-US" w:eastAsia="zh-CN"/>
              </w:rPr>
              <w:t>如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val="en-US" w:eastAsia="zh-CN"/>
              </w:rPr>
              <w:t>为</w:t>
            </w:r>
            <w:r>
              <w:rPr>
                <w:rFonts w:hint="eastAsia" w:ascii="宋体" w:hAnsi="宋体" w:cs="宋体"/>
                <w:b/>
                <w:sz w:val="21"/>
                <w:szCs w:val="21"/>
                <w:highlight w:val="none"/>
                <w:lang w:val="en-US" w:eastAsia="zh-CN"/>
              </w:rPr>
              <w:t>科技型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val="en-US" w:eastAsia="zh-CN"/>
              </w:rPr>
              <w:t>企业，请填列下表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）</w:t>
            </w:r>
            <w:r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</w:rPr>
              <w:t>：</w:t>
            </w:r>
          </w:p>
          <w:tbl>
            <w:tblPr>
              <w:tblStyle w:val="13"/>
              <w:tblW w:w="1017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806"/>
              <w:gridCol w:w="1204"/>
              <w:gridCol w:w="1359"/>
              <w:gridCol w:w="1950"/>
              <w:gridCol w:w="1919"/>
              <w:gridCol w:w="1934"/>
            </w:tblGrid>
            <w:tr w14:paraId="0D296E9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06" w:type="dxa"/>
                  <w:noWrap w:val="0"/>
                  <w:vAlign w:val="center"/>
                </w:tcPr>
                <w:p w14:paraId="1B848019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股权融资时间</w:t>
                  </w:r>
                </w:p>
              </w:tc>
              <w:tc>
                <w:tcPr>
                  <w:tcW w:w="1204" w:type="dxa"/>
                  <w:noWrap w:val="0"/>
                  <w:vAlign w:val="center"/>
                </w:tcPr>
                <w:p w14:paraId="4BD7A175">
                  <w:pPr>
                    <w:adjustRightInd w:val="0"/>
                    <w:snapToGrid w:val="0"/>
                    <w:jc w:val="center"/>
                    <w:rPr>
                      <w:rFonts w:hint="default" w:ascii="宋体" w:hAnsi="宋体" w:eastAsia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融资金额</w:t>
                  </w:r>
                </w:p>
              </w:tc>
              <w:tc>
                <w:tcPr>
                  <w:tcW w:w="1359" w:type="dxa"/>
                  <w:noWrap w:val="0"/>
                  <w:vAlign w:val="center"/>
                </w:tcPr>
                <w:p w14:paraId="5164D282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投资机构</w:t>
                  </w:r>
                </w:p>
              </w:tc>
              <w:tc>
                <w:tcPr>
                  <w:tcW w:w="1950" w:type="dxa"/>
                  <w:noWrap w:val="0"/>
                  <w:vAlign w:val="center"/>
                </w:tcPr>
                <w:p w14:paraId="68B551EA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融资阶段</w:t>
                  </w:r>
                </w:p>
                <w:p w14:paraId="19512620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eastAsia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（</w:t>
                  </w: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天使轮/A/B/C…</w:t>
                  </w: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）</w:t>
                  </w:r>
                </w:p>
              </w:tc>
              <w:tc>
                <w:tcPr>
                  <w:tcW w:w="1919" w:type="dxa"/>
                  <w:noWrap w:val="0"/>
                  <w:vAlign w:val="center"/>
                </w:tcPr>
                <w:p w14:paraId="7B83BEBC">
                  <w:pPr>
                    <w:adjustRightInd w:val="0"/>
                    <w:snapToGrid w:val="0"/>
                    <w:jc w:val="center"/>
                    <w:rPr>
                      <w:rFonts w:hint="default" w:ascii="宋体" w:hAnsi="宋体" w:eastAsia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投后估值</w:t>
                  </w:r>
                </w:p>
              </w:tc>
              <w:tc>
                <w:tcPr>
                  <w:tcW w:w="1934" w:type="dxa"/>
                  <w:noWrap w:val="0"/>
                  <w:vAlign w:val="center"/>
                </w:tcPr>
                <w:p w14:paraId="073CE059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是否存在对赌条款（若有，</w:t>
                  </w: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请</w:t>
                  </w: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说明）</w:t>
                  </w:r>
                </w:p>
              </w:tc>
            </w:tr>
            <w:tr w14:paraId="3A4E890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06" w:type="dxa"/>
                  <w:noWrap w:val="0"/>
                  <w:vAlign w:val="center"/>
                </w:tcPr>
                <w:p w14:paraId="281CA77D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2020-9-23</w:t>
                  </w:r>
                </w:p>
              </w:tc>
              <w:tc>
                <w:tcPr>
                  <w:tcW w:w="1204" w:type="dxa"/>
                  <w:noWrap w:val="0"/>
                  <w:vAlign w:val="center"/>
                </w:tcPr>
                <w:p w14:paraId="6AC1320E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213</w:t>
                  </w:r>
                </w:p>
              </w:tc>
              <w:tc>
                <w:tcPr>
                  <w:tcW w:w="1359" w:type="dxa"/>
                  <w:noWrap w:val="0"/>
                  <w:vAlign w:val="center"/>
                </w:tcPr>
                <w:p w14:paraId="12462613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未提供</w:t>
                  </w:r>
                </w:p>
              </w:tc>
              <w:tc>
                <w:tcPr>
                  <w:tcW w:w="1950" w:type="dxa"/>
                  <w:noWrap w:val="0"/>
                  <w:vAlign w:val="center"/>
                </w:tcPr>
                <w:p w14:paraId="404C0D85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未提供</w:t>
                  </w:r>
                </w:p>
              </w:tc>
              <w:tc>
                <w:tcPr>
                  <w:tcW w:w="1919" w:type="dxa"/>
                  <w:noWrap w:val="0"/>
                  <w:vAlign w:val="center"/>
                </w:tcPr>
                <w:p w14:paraId="18888B5B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未提供</w:t>
                  </w:r>
                </w:p>
              </w:tc>
              <w:tc>
                <w:tcPr>
                  <w:tcW w:w="1934" w:type="dxa"/>
                  <w:noWrap w:val="0"/>
                  <w:vAlign w:val="center"/>
                </w:tcPr>
                <w:p w14:paraId="55CC0F5B">
                  <w:pPr>
                    <w:adjustRightInd w:val="0"/>
                    <w:snapToGrid w:val="0"/>
                    <w:jc w:val="center"/>
                    <w:rPr>
                      <w:rFonts w:hint="default" w:ascii="宋体" w:hAnsi="宋体" w:eastAsia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Cs/>
                      <w:snapToGrid w:val="0"/>
                      <w:kern w:val="0"/>
                      <w:sz w:val="15"/>
                      <w:szCs w:val="15"/>
                      <w:highlight w:val="none"/>
                      <w:lang w:val="en-US" w:eastAsia="zh-CN"/>
                    </w:rPr>
                    <w:t>若企业反馈“无”，建议出具书面声明并加盖公章</w:t>
                  </w:r>
                </w:p>
              </w:tc>
            </w:tr>
            <w:tr w14:paraId="4F7BE80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06" w:type="dxa"/>
                  <w:noWrap w:val="0"/>
                  <w:vAlign w:val="center"/>
                </w:tcPr>
                <w:p w14:paraId="3E17328D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204" w:type="dxa"/>
                  <w:noWrap w:val="0"/>
                  <w:vAlign w:val="center"/>
                </w:tcPr>
                <w:p w14:paraId="4EE82F08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359" w:type="dxa"/>
                  <w:noWrap w:val="0"/>
                  <w:vAlign w:val="center"/>
                </w:tcPr>
                <w:p w14:paraId="03794F96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950" w:type="dxa"/>
                  <w:noWrap w:val="0"/>
                  <w:vAlign w:val="center"/>
                </w:tcPr>
                <w:p w14:paraId="51D8A8F6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919" w:type="dxa"/>
                  <w:noWrap w:val="0"/>
                  <w:vAlign w:val="center"/>
                </w:tcPr>
                <w:p w14:paraId="17F9A247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934" w:type="dxa"/>
                  <w:noWrap w:val="0"/>
                  <w:vAlign w:val="center"/>
                </w:tcPr>
                <w:p w14:paraId="506E34A5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有（须于</w:t>
                  </w:r>
                  <w:r>
                    <w:rPr>
                      <w:rFonts w:hint="eastAsia" w:ascii="宋体" w:hAnsi="宋体" w:eastAsia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2026年上市）</w:t>
                  </w:r>
                </w:p>
              </w:tc>
            </w:tr>
            <w:tr w14:paraId="070419B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06" w:type="dxa"/>
                  <w:noWrap w:val="0"/>
                  <w:vAlign w:val="center"/>
                </w:tcPr>
                <w:p w14:paraId="35F72E72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204" w:type="dxa"/>
                  <w:noWrap w:val="0"/>
                  <w:vAlign w:val="center"/>
                </w:tcPr>
                <w:p w14:paraId="3E6223B1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359" w:type="dxa"/>
                  <w:noWrap w:val="0"/>
                  <w:vAlign w:val="center"/>
                </w:tcPr>
                <w:p w14:paraId="3BE62158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950" w:type="dxa"/>
                  <w:noWrap w:val="0"/>
                  <w:vAlign w:val="center"/>
                </w:tcPr>
                <w:p w14:paraId="595331AD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919" w:type="dxa"/>
                  <w:noWrap w:val="0"/>
                  <w:vAlign w:val="center"/>
                </w:tcPr>
                <w:p w14:paraId="1ACFD4BF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934" w:type="dxa"/>
                  <w:noWrap w:val="0"/>
                  <w:vAlign w:val="center"/>
                </w:tcPr>
                <w:p w14:paraId="57932EC5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</w:tr>
          </w:tbl>
          <w:p w14:paraId="3A5E6995">
            <w:pPr>
              <w:pStyle w:val="11"/>
              <w:numPr>
                <w:ilvl w:val="0"/>
                <w:numId w:val="0"/>
              </w:numPr>
              <w:ind w:firstLine="422" w:firstLineChars="200"/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highlight w:val="none"/>
                <w:u w:val="singl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 w:val="21"/>
                <w:szCs w:val="21"/>
                <w:highlight w:val="none"/>
                <w:lang w:val="en-US" w:eastAsia="zh-CN" w:bidi="ar-SA"/>
              </w:rPr>
              <w:t>自2017年以来，我行与借款人建立授信合作关系，近三年分别给予其500、400、500万授信敞口。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highlight w:val="none"/>
                <w:u w:val="single"/>
                <w:lang w:val="en-US" w:eastAsia="zh-CN" w:bidi="ar-SA"/>
              </w:rPr>
            </w:r>
          </w:p>
          <w:p w14:paraId="2F0C5C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/>
              <w:ind w:firstLine="422" w:firstLineChars="20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6.上一期授后要求落实情况（包括但不限于负债率、融资总额控制等）：</w:t>
            </w:r>
          </w:p>
          <w:tbl>
            <w:tblPr>
              <w:tblStyle w:val="14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10"/>
              <w:gridCol w:w="1776"/>
              <w:gridCol w:w="2709"/>
              <w:gridCol w:w="5643"/>
            </w:tblGrid>
            <w:tr w14:paraId="653C905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082" w:hRule="atLeast"/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4CD7B72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贷款提用情况</w:t>
                  </w:r>
                </w:p>
              </w:tc>
              <w:tc>
                <w:tcPr>
                  <w:tcW w:w="0" w:type="auto"/>
                  <w:gridSpan w:val="3"/>
                  <w:noWrap w:val="0"/>
                  <w:vAlign w:val="top"/>
                </w:tcPr>
                <w:p w14:paraId="42C95EA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left"/>
                    <w:textAlignment w:val="baseline"/>
                    <w:rPr>
                      <w:rFonts w:hint="default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截至 2024 年 12 月 2025年10月 日，经531系统查询，借款人 2025年 年 10月 月   日提贷 500万元，到期日 2026年 年 10月 月   日，贷款采取自主支付方式发放，通过调取借款人账户流水，1. 500万元向 锐捷网络股份有限公司 有限公司支付 锐捷网络股份有限公司 货款（已提供发票）；2. 500万元转至工行同户名账户，穿透查看用于向 1 个人支付采购竹刨花原料款 500万元，其余用于支付税款；3.XX万元元转至农行同户名账户(基本户），用于向37个员工支付工资款。</w:t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</w:p>
              </w:tc>
            </w:tr>
            <w:tr w14:paraId="648601E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vMerge w:val="restart"/>
                  <w:noWrap w:val="0"/>
                  <w:vAlign w:val="top"/>
                </w:tcPr>
                <w:p w14:paraId="48F9149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上一期授信条件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0F0BBD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序号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0881EE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  <w:t>授信条件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86C64F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具体落实情况</w:t>
                  </w:r>
                </w:p>
              </w:tc>
            </w:tr>
            <w:tr w14:paraId="5632D33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vMerge w:val="continue"/>
                  <w:noWrap w:val="0"/>
                  <w:vAlign w:val="top"/>
                </w:tcPr>
                <w:p w14:paraId="69A80B4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default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09AF09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8CD28B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t>未提供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7BFCEC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如未落实，请说明原因</w:t>
                  </w:r>
                </w:p>
              </w:tc>
            </w:tr>
            <w:tr w14:paraId="4D8D3F6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vMerge w:val="continue"/>
                  <w:noWrap w:val="0"/>
                  <w:vAlign w:val="top"/>
                </w:tcPr>
                <w:p w14:paraId="72EE11F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default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5DB165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2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452237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t>未提供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1AB5E7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t>未提供</w:t>
                  </w:r>
                </w:p>
              </w:tc>
            </w:tr>
            <w:tr w14:paraId="0E3EFB2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vMerge w:val="restart"/>
                  <w:noWrap w:val="0"/>
                  <w:vAlign w:val="top"/>
                </w:tcPr>
                <w:p w14:paraId="6BEB847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上一期贷后要求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07B0CA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序号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850D8A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  <w:t>贷后要求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A95866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具体落实情况</w:t>
                  </w:r>
                </w:p>
              </w:tc>
            </w:tr>
            <w:tr w14:paraId="1AD951E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vMerge w:val="continue"/>
                  <w:noWrap w:val="0"/>
                  <w:vAlign w:val="top"/>
                </w:tcPr>
                <w:p w14:paraId="464EA31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default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303063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8067C1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t>未提供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300BC0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如未落实，请说明原因</w:t>
                  </w:r>
                </w:p>
              </w:tc>
            </w:tr>
            <w:tr w14:paraId="191E8E0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vMerge w:val="continue"/>
                  <w:noWrap w:val="0"/>
                  <w:vAlign w:val="top"/>
                </w:tcPr>
                <w:p w14:paraId="2CA7FB3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default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DC3DE0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2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2A667B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t>未提供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F1CC85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t>未提供</w:t>
                  </w:r>
                </w:p>
              </w:tc>
            </w:tr>
          </w:tbl>
          <w:p w14:paraId="77E93048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/>
              <w:ind w:firstLine="422" w:firstLineChars="200"/>
              <w:jc w:val="left"/>
              <w:textAlignment w:val="baseline"/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  <w:lang w:val="en-US" w:eastAsia="zh-CN"/>
              </w:rPr>
              <w:t>7.授信及风险信号提示及反馈（531系统模块）：黄色预警提示法定代表人黄祖海（身份证号350124197704201694）目前信用卡存在逾期，经核实，未对借款人造成实质性风险。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  <w:lang w:eastAsia="zh-CN"/>
              </w:rPr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  <w:lang w:eastAsia="zh-CN"/>
              </w:rPr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eastAsia="zh-CN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</w:r>
          </w:p>
          <w:p w14:paraId="08933178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/>
              <w:ind w:firstLine="422" w:firstLineChars="200"/>
              <w:jc w:val="left"/>
              <w:textAlignment w:val="baseline"/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8.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其他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负面信息解释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包括但不限于ESG评价、诉讼、反洗钱“较高”风险等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： 基于已读取材料，未见企业主动披露的诉讼、行政处罚、失信等重大负面事项；但ESG评价、反洗钱等级及司法监管外部检索结果不以当前材料为穷尽，仍需以行内系统和权威公开查询结果补充核验。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</w:p>
          <w:p w14:paraId="4FBC1882">
            <w:commentRangeStart w:id="3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 w:after="93" w:afterLines="30"/>
              <w:ind w:firstLine="422" w:firstLineChars="200"/>
              <w:jc w:val="left"/>
              <w:textAlignment w:val="baseline"/>
              <w:rPr>
                <w:rFonts w:hint="default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 w:val="0"/>
                <w:snapToGrid w:val="0"/>
                <w:color w:val="000000"/>
                <w:kern w:val="0"/>
                <w:szCs w:val="21"/>
                <w:highlight w:val="none"/>
                <w:u w:val="none"/>
                <w:lang w:val="en-US" w:eastAsia="zh-CN"/>
              </w:rPr>
              <w:t>9.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none"/>
                <w:lang w:val="en-US"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若有）PD评级较上期下滑，分析原因：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  <w:t xml:space="preserve">                                                                </w:t>
            </w:r>
            <w:commentRangeEnd w:id="3"/>
            <w:r>
              <w:rPr>
                <w:rStyle w:val="CommentReference"/>
              </w:rPr>
              <w:commentReference w:id="3"/>
            </w:r>
          </w:p>
          <w:p w14:paraId="51F4DBA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</w:rPr>
              <w:t>（二）法定代表人/实控人简介</w:t>
            </w:r>
            <w:r>
              <w:rPr>
                <w:rFonts w:hint="eastAsia" w:ascii="宋体" w:hAnsi="宋体" w:cs="宋体"/>
                <w:b/>
                <w:snapToGrid w:val="0"/>
                <w:kern w:val="0"/>
                <w:szCs w:val="21"/>
              </w:rPr>
              <w:t>（如果为同一人，仅需填写一次情况）</w:t>
            </w:r>
          </w:p>
          <w:p w14:paraId="43C74FA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 w:firstLineChars="200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法定代表人及实际控制人：黄祖海，中国国籍，身份证号350124197704201694，配偶康恩慧（身份证号352101197802182324）。湖南大学电子商务专业本科学历。行业工作经历：2000年5月至2001年12月任福建实达网络科技有限公司技术工程师；2002年1月至2003年1月任该公司技术经理；2003年1月至2011年12月任福建星网锐捷网络有限公司技术部总经理；2012年1月至2016年3月任福建中锐网络科技有限公司法定代表人、执行董事兼总经理；2016年3月至今任福建中锐网络股份有限公司董事长。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eastAsia="zh-CN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</w:rPr>
            </w:r>
          </w:p>
          <w:p w14:paraId="7D5D22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 w:firstLineChars="200"/>
              <w:jc w:val="left"/>
              <w:textAlignment w:val="baseline"/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u w:val="single"/>
                <w:lang w:eastAsia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lang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</w:p>
          <w:p w14:paraId="63CD3B7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  <w:lang w:val="en-US" w:eastAsia="zh-CN"/>
              </w:rPr>
              <w:t>（三）借款人及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</w:rPr>
              <w:t>实控人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  <w:lang w:val="en-US" w:eastAsia="zh-CN"/>
              </w:rPr>
              <w:t>家庭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</w:rPr>
              <w:t>资产情况（房产、投资、金融资产等）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：</w:t>
            </w:r>
          </w:p>
          <w:tbl>
            <w:tblPr>
              <w:tblStyle w:val="13"/>
              <w:tblW w:w="0" w:type="auto"/>
              <w:jc w:val="center"/>
              <w:tblBorders>
                <w:top w:val="none" w:color="auto" w:sz="6" w:space="0"/>
                <w:left w:val="none" w:color="auto" w:sz="6" w:space="0"/>
                <w:bottom w:val="none" w:color="auto" w:sz="6" w:space="0"/>
                <w:right w:val="none" w:color="auto" w:sz="6" w:space="0"/>
                <w:insideH w:val="outset" w:color="auto" w:sz="6" w:space="0"/>
                <w:insideV w:val="outset" w:color="auto" w:sz="6" w:space="0"/>
              </w:tblBorders>
              <w:shd w:val="clear" w:color="auto" w:fill="FFFFFF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925"/>
              <w:gridCol w:w="606"/>
              <w:gridCol w:w="606"/>
              <w:gridCol w:w="676"/>
              <w:gridCol w:w="786"/>
              <w:gridCol w:w="856"/>
              <w:gridCol w:w="3202"/>
              <w:gridCol w:w="1799"/>
              <w:gridCol w:w="676"/>
              <w:gridCol w:w="716"/>
            </w:tblGrid>
            <w:tr w14:paraId="0CC3F115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09" w:hRule="atLeast"/>
                <w:jc w:val="center"/>
              </w:trPr>
              <w:tc>
                <w:tcPr>
                  <w:tcW w:w="0" w:type="auto"/>
                  <w:gridSpan w:val="10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2A6617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1.借款人主要资产及投资情况</w:t>
                  </w:r>
                </w:p>
              </w:tc>
            </w:tr>
            <w:tr w14:paraId="3ABE0F8C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1378" w:hRule="atLeast"/>
                <w:jc w:val="center"/>
              </w:trPr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681EEE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资产名称</w:t>
                  </w:r>
                </w:p>
                <w:p w14:paraId="26718EC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（及坐落位置）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C79243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所有权人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105D05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资产类型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BB4422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权属</w:t>
                  </w:r>
                </w:p>
                <w:p w14:paraId="00A9990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及权属证号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0266A9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资产概况</w:t>
                  </w:r>
                </w:p>
                <w:p w14:paraId="4CEC630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（面积等）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CEC5EB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/>
                      <w:sz w:val="18"/>
                      <w:szCs w:val="18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lang w:val="en-US" w:eastAsia="zh-CN"/>
                    </w:rPr>
                    <w:t>账面或购置价</w:t>
                  </w:r>
                </w:p>
                <w:p w14:paraId="098E1974">
                  <w:pPr>
                    <w:pStyle w:val="8"/>
                    <w:ind w:left="0" w:leftChars="0" w:firstLine="0" w:firstLineChars="0"/>
                    <w:jc w:val="center"/>
                    <w:rPr>
                      <w:rFonts w:hint="default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（万元）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4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1720D7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市场或评估价</w:t>
                  </w:r>
                </w:p>
                <w:p w14:paraId="3113C9F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（万元）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4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08C2B7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 w:ascii="宋体" w:hAnsi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sz w:val="20"/>
                      <w:szCs w:val="20"/>
                    </w:rPr>
                    <w:t>自用/出租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8B51ED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抵质押情况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1475322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/>
                      <w:sz w:val="18"/>
                      <w:szCs w:val="18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lang w:val="en-US" w:eastAsia="zh-CN"/>
                    </w:rPr>
                    <w:t>融资金额</w:t>
                  </w:r>
                </w:p>
                <w:p w14:paraId="51916BA7">
                  <w:pPr>
                    <w:pStyle w:val="8"/>
                    <w:ind w:left="0" w:leftChars="0" w:firstLine="0" w:firstLineChars="0"/>
                    <w:jc w:val="center"/>
                    <w:rPr>
                      <w:rFonts w:hint="default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（万元）</w:t>
                  </w:r>
                </w:p>
              </w:tc>
            </w:tr>
            <w:tr w14:paraId="253D73EB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53" w:hRule="atLeast"/>
                <w:jc w:val="center"/>
              </w:trPr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D1650F4">
                  <w:pPr>
                    <w:pStyle w:val="12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400" w:lineRule="atLeast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t>仓山区上渡街道通江路17号江南水都·杰座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84CD52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400" w:lineRule="atLeast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t>康恩慧 黄祖海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899A63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400" w:lineRule="atLeast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t>私有房产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3A54D7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t>榕 房权证 R 字第 0838000 号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9D08A3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t>143.45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0660E4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4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DE70C6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根据外网（安居客），该楼盘二手均价价格约在8000元/平，总体价格约为112万元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4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1B6C1C6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出租，出租方XX公司/个人，年租金XX万元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491016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C86ACA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</w:tr>
            <w:tr w14:paraId="169A90AA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43" w:hRule="atLeast"/>
                <w:jc w:val="center"/>
              </w:trPr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417019C">
                  <w:pPr>
                    <w:pStyle w:val="12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400" w:lineRule="atLeast"/>
                    <w:ind w:left="0" w:right="0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26BBF5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400" w:lineRule="atLeast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0D74C8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400" w:lineRule="atLeast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DB3086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64A384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5E58D0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4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164A00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4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025BDD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A7275F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AA8F94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</w:tr>
            <w:tr w14:paraId="0FE5A806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22" w:hRule="atLeast"/>
                <w:jc w:val="center"/>
              </w:trPr>
              <w:tc>
                <w:tcPr>
                  <w:tcW w:w="0" w:type="auto"/>
                  <w:gridSpan w:val="10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320806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21"/>
                      <w:szCs w:val="21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其他：</w:t>
                  </w:r>
                </w:p>
              </w:tc>
            </w:tr>
            <w:tr w14:paraId="6ACFB58C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53" w:hRule="atLeast"/>
                <w:jc w:val="center"/>
              </w:trPr>
              <w:tc>
                <w:tcPr>
                  <w:tcW w:w="0" w:type="auto"/>
                  <w:gridSpan w:val="10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0BA3CE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21"/>
                      <w:szCs w:val="21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2</w:t>
                  </w:r>
                  <w:r>
                    <w:rPr>
                      <w:rFonts w:hint="eastAsia" w:ascii="宋体" w:hAnsi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.</w:t>
                  </w: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实控人家庭资产</w:t>
                  </w:r>
                  <w:r>
                    <w:rPr>
                      <w:rFonts w:hint="eastAsia" w:ascii="宋体" w:hAnsi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情况</w:t>
                  </w: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（</w:t>
                  </w:r>
                  <w:r>
                    <w:rPr>
                      <w:rFonts w:hint="eastAsia" w:ascii="宋体" w:hAnsi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实控人、</w:t>
                  </w: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配偶及参与经营的子女）</w:t>
                  </w:r>
                </w:p>
              </w:tc>
            </w:tr>
            <w:tr w14:paraId="162B3BAA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1361" w:hRule="atLeast"/>
                <w:jc w:val="center"/>
              </w:trPr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8C789A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资产名称</w:t>
                  </w:r>
                </w:p>
                <w:p w14:paraId="67A6449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（及坐落位置）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75EAAB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所有权人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C6E621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资产类型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E7EE97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权属</w:t>
                  </w:r>
                </w:p>
                <w:p w14:paraId="65CC152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及权属证号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56310E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资产概况</w:t>
                  </w:r>
                </w:p>
                <w:p w14:paraId="04F082E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（面积等）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DC2FDA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账面或购置价</w:t>
                  </w:r>
                </w:p>
                <w:p w14:paraId="356248A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（万元）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4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D6EDA4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市场或评估价</w:t>
                  </w:r>
                </w:p>
                <w:p w14:paraId="61E79B2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（万元）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4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FB69A0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自用/出租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30FEE5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抵质押情况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6FA3D6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融资金额</w:t>
                  </w:r>
                </w:p>
                <w:p w14:paraId="1648515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（万元）</w:t>
                  </w:r>
                </w:p>
              </w:tc>
            </w:tr>
            <w:tr w14:paraId="4FAE6BD7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22" w:hRule="atLeast"/>
                <w:jc w:val="center"/>
              </w:trPr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03EDAD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1230989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8B74C4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A367E8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3FE726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CCA4B1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4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BF2F04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4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E8117B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E4C4CA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11AC12E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</w:tr>
            <w:tr w14:paraId="26C6DFA5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22" w:hRule="atLeast"/>
                <w:jc w:val="center"/>
              </w:trPr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F7892E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35397C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A2A065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52E430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0063D0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2DF23C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4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521519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4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D99A4F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33AAB1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61F17E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</w:tr>
            <w:tr w14:paraId="58BF039E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22" w:hRule="atLeast"/>
                <w:jc w:val="center"/>
              </w:trPr>
              <w:tc>
                <w:tcPr>
                  <w:tcW w:w="0" w:type="auto"/>
                  <w:gridSpan w:val="10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9A23E2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21"/>
                      <w:szCs w:val="21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其他：</w:t>
                  </w:r>
                </w:p>
              </w:tc>
            </w:tr>
          </w:tbl>
          <w:p w14:paraId="59B7822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（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四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）关联企业情况</w:t>
            </w:r>
          </w:p>
          <w:p w14:paraId="75AADBA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default" w:ascii="宋体" w:hAnsi="宋体" w:cs="宋体"/>
                <w:snapToGrid w:val="0"/>
                <w:color w:val="000000"/>
                <w:kern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1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.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关联企业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 xml:space="preserve">经营情况                                                       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 w:val="21"/>
                <w:szCs w:val="21"/>
                <w:highlight w:val="none"/>
                <w:lang w:val="en-US" w:eastAsia="zh-CN"/>
              </w:rPr>
              <w:t>单位（万元）</w:t>
            </w:r>
          </w:p>
          <w:tbl>
            <w:tblPr>
              <w:tblStyle w:val="13"/>
              <w:tblW w:w="10834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04"/>
              <w:gridCol w:w="829"/>
              <w:gridCol w:w="829"/>
              <w:gridCol w:w="829"/>
              <w:gridCol w:w="767"/>
              <w:gridCol w:w="962"/>
              <w:gridCol w:w="1118"/>
              <w:gridCol w:w="1076"/>
              <w:gridCol w:w="1710"/>
              <w:gridCol w:w="1710"/>
            </w:tblGrid>
            <w:tr w14:paraId="7BABBF9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04" w:type="dxa"/>
                  <w:noWrap w:val="0"/>
                  <w:vAlign w:val="center"/>
                </w:tcPr>
                <w:p w14:paraId="061E59EF">
                  <w:pPr>
                    <w:adjustRightInd w:val="0"/>
                    <w:snapToGrid w:val="0"/>
                    <w:jc w:val="center"/>
                    <w:rPr>
                      <w:rFonts w:hint="default" w:ascii="宋体" w:hAnsi="宋体" w:eastAsia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企业名称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2A8DFDF6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成立时间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65F14B6D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股权结构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4F5E7192">
                  <w:pPr>
                    <w:adjustRightInd w:val="0"/>
                    <w:snapToGrid w:val="0"/>
                    <w:jc w:val="center"/>
                    <w:rPr>
                      <w:rFonts w:hint="default" w:ascii="宋体" w:hAnsi="宋体" w:eastAsia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主营业务及产品</w:t>
                  </w:r>
                </w:p>
              </w:tc>
              <w:tc>
                <w:tcPr>
                  <w:tcW w:w="767" w:type="dxa"/>
                  <w:noWrap w:val="0"/>
                  <w:vAlign w:val="center"/>
                </w:tcPr>
                <w:p w14:paraId="22D96D94">
                  <w:pPr>
                    <w:adjustRightInd w:val="0"/>
                    <w:snapToGrid w:val="0"/>
                    <w:jc w:val="center"/>
                    <w:rPr>
                      <w:rFonts w:hint="default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注册资本/实收资本</w:t>
                  </w:r>
                </w:p>
              </w:tc>
              <w:tc>
                <w:tcPr>
                  <w:tcW w:w="962" w:type="dxa"/>
                  <w:noWrap w:val="0"/>
                  <w:vAlign w:val="center"/>
                </w:tcPr>
                <w:p w14:paraId="574875EA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上</w:t>
                  </w: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  <w:t>年</w:t>
                  </w: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主营</w:t>
                  </w:r>
                </w:p>
                <w:p w14:paraId="5258BE36">
                  <w:pPr>
                    <w:adjustRightInd w:val="0"/>
                    <w:snapToGrid w:val="0"/>
                    <w:jc w:val="center"/>
                    <w:rPr>
                      <w:rFonts w:hint="default" w:ascii="宋体" w:hAnsi="宋体" w:eastAsia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业务收入</w:t>
                  </w:r>
                </w:p>
              </w:tc>
              <w:tc>
                <w:tcPr>
                  <w:tcW w:w="1118" w:type="dxa"/>
                  <w:noWrap w:val="0"/>
                  <w:vAlign w:val="center"/>
                </w:tcPr>
                <w:p w14:paraId="33E0D499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上年</w:t>
                  </w:r>
                </w:p>
                <w:p w14:paraId="18AADDE2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  <w:t>净利润</w:t>
                  </w:r>
                </w:p>
              </w:tc>
              <w:tc>
                <w:tcPr>
                  <w:tcW w:w="1076" w:type="dxa"/>
                  <w:noWrap w:val="0"/>
                  <w:vAlign w:val="center"/>
                </w:tcPr>
                <w:p w14:paraId="6C440ACE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  <w:t>最新</w:t>
                  </w:r>
                </w:p>
                <w:p w14:paraId="337E6AA4">
                  <w:pPr>
                    <w:adjustRightInd w:val="0"/>
                    <w:snapToGrid w:val="0"/>
                    <w:jc w:val="center"/>
                    <w:rPr>
                      <w:rFonts w:hint="default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  <w:t>融资</w:t>
                  </w: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总敞口</w:t>
                  </w:r>
                </w:p>
              </w:tc>
              <w:tc>
                <w:tcPr>
                  <w:tcW w:w="1710" w:type="dxa"/>
                  <w:noWrap w:val="0"/>
                  <w:vAlign w:val="center"/>
                </w:tcPr>
                <w:p w14:paraId="3DA7091A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  <w:t>与借款企业关联交易、资金往来情况（若有）</w:t>
                  </w:r>
                </w:p>
              </w:tc>
              <w:tc>
                <w:tcPr>
                  <w:tcW w:w="1710" w:type="dxa"/>
                  <w:noWrap w:val="0"/>
                  <w:vAlign w:val="center"/>
                </w:tcPr>
                <w:p w14:paraId="3D1A1005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涉诉情况</w:t>
                  </w:r>
                </w:p>
              </w:tc>
            </w:tr>
            <w:tr w14:paraId="538B5AD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0" w:hRule="atLeast"/>
                <w:jc w:val="center"/>
              </w:trPr>
              <w:tc>
                <w:tcPr>
                  <w:tcW w:w="1004" w:type="dxa"/>
                  <w:noWrap w:val="0"/>
                  <w:vAlign w:val="center"/>
                </w:tcPr>
                <w:p w14:paraId="4A7456AC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  <w:t>关联企业1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1008F3C6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2018-1-11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4A52BDE9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中锐网络100%控股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273F808C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智慧水利</w:t>
                  </w:r>
                </w:p>
              </w:tc>
              <w:tc>
                <w:tcPr>
                  <w:tcW w:w="767" w:type="dxa"/>
                  <w:noWrap w:val="0"/>
                  <w:vAlign w:val="center"/>
                </w:tcPr>
                <w:p w14:paraId="4BDE07B0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1000</w:t>
                  </w:r>
                </w:p>
              </w:tc>
              <w:tc>
                <w:tcPr>
                  <w:tcW w:w="962" w:type="dxa"/>
                  <w:noWrap w:val="0"/>
                  <w:vAlign w:val="center"/>
                </w:tcPr>
                <w:p w14:paraId="27370591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118" w:type="dxa"/>
                  <w:noWrap w:val="0"/>
                  <w:vAlign w:val="center"/>
                </w:tcPr>
                <w:p w14:paraId="181CF02D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-682</w:t>
                  </w:r>
                </w:p>
              </w:tc>
              <w:tc>
                <w:tcPr>
                  <w:tcW w:w="1076" w:type="dxa"/>
                  <w:noWrap w:val="0"/>
                  <w:vAlign w:val="center"/>
                </w:tcPr>
                <w:p w14:paraId="2A359A35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0</w:t>
                  </w:r>
                </w:p>
              </w:tc>
              <w:tc>
                <w:tcPr>
                  <w:tcW w:w="1710" w:type="dxa"/>
                  <w:noWrap w:val="0"/>
                  <w:vAlign w:val="center"/>
                </w:tcPr>
                <w:p w14:paraId="7F37E320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710" w:type="dxa"/>
                  <w:noWrap w:val="0"/>
                  <w:vAlign w:val="center"/>
                </w:tcPr>
                <w:p w14:paraId="231EF09B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</w:tr>
            <w:tr w14:paraId="11B7B9D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04" w:type="dxa"/>
                  <w:noWrap w:val="0"/>
                  <w:vAlign w:val="center"/>
                </w:tcPr>
                <w:p w14:paraId="0097D715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  <w:t>关联企业2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1491492F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2022-6-28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3FB9048D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中锐网络100%控股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6D8BB1EB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智慧教育</w:t>
                  </w:r>
                </w:p>
              </w:tc>
              <w:tc>
                <w:tcPr>
                  <w:tcW w:w="767" w:type="dxa"/>
                  <w:noWrap w:val="0"/>
                  <w:vAlign w:val="center"/>
                </w:tcPr>
                <w:p w14:paraId="4FC6E265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1000</w:t>
                  </w:r>
                </w:p>
              </w:tc>
              <w:tc>
                <w:tcPr>
                  <w:tcW w:w="962" w:type="dxa"/>
                  <w:noWrap w:val="0"/>
                  <w:vAlign w:val="center"/>
                </w:tcPr>
                <w:p w14:paraId="21CAB3FB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118" w:type="dxa"/>
                  <w:noWrap w:val="0"/>
                  <w:vAlign w:val="center"/>
                </w:tcPr>
                <w:p w14:paraId="6B5E1F50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-1275</w:t>
                  </w:r>
                </w:p>
              </w:tc>
              <w:tc>
                <w:tcPr>
                  <w:tcW w:w="1076" w:type="dxa"/>
                  <w:noWrap w:val="0"/>
                  <w:vAlign w:val="center"/>
                </w:tcPr>
                <w:p w14:paraId="029BCC51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0</w:t>
                  </w:r>
                </w:p>
              </w:tc>
              <w:tc>
                <w:tcPr>
                  <w:tcW w:w="1710" w:type="dxa"/>
                  <w:noWrap w:val="0"/>
                  <w:vAlign w:val="center"/>
                </w:tcPr>
                <w:p w14:paraId="2300C235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710" w:type="dxa"/>
                  <w:noWrap w:val="0"/>
                  <w:vAlign w:val="center"/>
                </w:tcPr>
                <w:p w14:paraId="36DB45E6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</w:tr>
            <w:tr w14:paraId="38721A1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04" w:type="dxa"/>
                  <w:noWrap w:val="0"/>
                  <w:vAlign w:val="center"/>
                </w:tcPr>
                <w:p w14:paraId="3B01D451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  <w:t>关联企业3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015781B6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2020-9-23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083DF333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中锐网络100%控股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33D32FE1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产教融合创新服务</w:t>
                  </w:r>
                </w:p>
              </w:tc>
              <w:tc>
                <w:tcPr>
                  <w:tcW w:w="767" w:type="dxa"/>
                  <w:noWrap w:val="0"/>
                  <w:vAlign w:val="center"/>
                </w:tcPr>
                <w:p w14:paraId="45BB1E80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1000</w:t>
                  </w:r>
                </w:p>
              </w:tc>
              <w:tc>
                <w:tcPr>
                  <w:tcW w:w="962" w:type="dxa"/>
                  <w:noWrap w:val="0"/>
                  <w:vAlign w:val="center"/>
                </w:tcPr>
                <w:p w14:paraId="636D877D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118" w:type="dxa"/>
                  <w:noWrap w:val="0"/>
                  <w:vAlign w:val="center"/>
                </w:tcPr>
                <w:p w14:paraId="653A6791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16</w:t>
                  </w:r>
                </w:p>
              </w:tc>
              <w:tc>
                <w:tcPr>
                  <w:tcW w:w="1076" w:type="dxa"/>
                  <w:noWrap w:val="0"/>
                  <w:vAlign w:val="center"/>
                </w:tcPr>
                <w:p w14:paraId="12B81FBD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213.4</w:t>
                  </w:r>
                </w:p>
              </w:tc>
              <w:tc>
                <w:tcPr>
                  <w:tcW w:w="1710" w:type="dxa"/>
                  <w:noWrap w:val="0"/>
                  <w:vAlign w:val="center"/>
                </w:tcPr>
                <w:p w14:paraId="7F329693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710" w:type="dxa"/>
                  <w:noWrap w:val="0"/>
                  <w:vAlign w:val="center"/>
                </w:tcPr>
                <w:p w14:paraId="22ED5D53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</w:tr>
          </w:tbl>
          <w:p w14:paraId="13FBDFEC">
            <w:pPr>
              <w:ind w:firstLine="422" w:firstLineChars="200"/>
              <w:jc w:val="left"/>
              <w:outlineLvl w:val="0"/>
              <w:rPr>
                <w:rFonts w:hint="eastAsia" w:ascii="宋体" w:hAnsi="宋体" w:eastAsia="宋体" w:cs="宋体"/>
                <w:snapToGrid w:val="0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</w:rPr>
              <w:t>关联企业情况小结：企业关联方主要为5家全资或控股子公司。其中，福建中锐汉鼎信息技术有限公司主营智慧水利，上年收入1223万元，净利润329万元；福建中锐教育科技有限公司主营智慧教育，上年收入21万元，净利润329万元；北京中锐青云科技有限公司主营产教融合创新服务，上年收入204万元，净利润329万元；厦门中锐软件科技有限公司主营软硬件销售，上年收入7万元，净利润329万元；中锐海沃水利技术(福建)有限公司主营智慧水利，上年收入0万元，净利润329万元。关联企业总体经营规模不大，部分企业处于亏损状态。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lang w:eastAsia="zh-CN"/>
              </w:rPr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lang w:eastAsia="zh-CN"/>
              </w:rPr>
            </w:r>
          </w:p>
          <w:p w14:paraId="29070FDD">
            <w:pPr>
              <w:ind w:firstLine="422" w:firstLineChars="200"/>
              <w:jc w:val="left"/>
              <w:outlineLvl w:val="0"/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福建中锐网络股份有限公司（报告主体）2025年末财务状况如下：公司总资产1.70亿元，较年初下降8.7%；总负债7207万元，较年初下降22.7%；所有者权益9749万元，较年初增长5.3%。盈利能力方面，营业收入1.00亿元，同比增长14.9%；净利润494万元，同比增长50.1%；净利率为4.9%，同比提升1.2个百分点。偿债能力有所改善，资产负债率为42.5%，较年初下降7.7个百分点；流动比率1.82倍，速动比率1.51倍，均较年初有所提升。营运效率呈现分化：应收账款周转天数271天，同比大幅缩短117天，回款效率显著改善；但存货周转天数129天，同比延长49天，且存货余额较年初激增88.0%，远超营收增速，存在积压风险。现金流方面，经营活动净现金流791万元，净利润现金比率为1.60，现金流质量健康。</w:t>
              <w:br/>
              <w:t>财务指标归因分析：1）应收账款周转天数271天，显著高于软件信息业90-180天典型区间，主要由于项目验收周期较长及政府、大企业客户回款账期较长所致，但同比已大幅改善。2）存货周转天数129天，高于行业30-90天区间，主要因定制化项目未验收沉淀为存货，结合存货余额大幅增长，需关注存货管理及项目验收进度。3）净利率4.9%处于行业5-15%区间的下限，主要因公司处于业务拓展期，研发及市场投入较大。</w:t>
              <w:br/>
              <w:t>还款能力评估：公司短期借款4730万元，而年经营现金流净额791万元，对短期债务的覆盖能力偏弱，短期偿债主要依赖债务滚动。但公司资产负债率适中且持续下降，所有者权益稳步增长，整体长期偿债风险可控。关联企业普遍规模小且部分亏损，对主体公司偿债能力未构成重大拖累。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</w:r>
          </w:p>
          <w:p w14:paraId="29070FDD">
            <w:pPr>
              <w:ind w:firstLine="422" w:firstLineChars="200"/>
              <w:jc w:val="left"/>
              <w:outlineLvl w:val="0"/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</w:pPr>
            <w:r>
              <w:t xml:space="preserve">收入下滑趋势在2025年得到扭转并恢复增长，同时毛利率在经历波动后于近两年稳定在较高水平，显示盈利能力的改善与巩固。毛利率标准差处于可控范围，表明盈利质量趋于稳定。收入、毛利与净利润需联动分析，重点关注利润兑现与毛利波动是否匹配。</w:t>
            </w:r>
          </w:p>
          <w:p w14:paraId="29070FDD">
            <w:pPr>
              <w:ind w:firstLine="422" w:firstLineChars="200"/>
              <w:jc w:val="left"/>
              <w:outlineLvl w:val="0"/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</w:pPr>
            <w:r>
              <w:t xml:space="preserve">企业短期偿债压力显著加剧，货币资金对短期债务的保障能力持续恶化。尽管流动比率有所改善且资产负债率呈下降趋势，但核心流动性指标的大幅下滑表明企业即期支付能力存在严重隐患。偿债能力由杠杆水平与流动性共同决定，需同步观察资产负债率和短债覆盖能力。</w:t>
            </w:r>
          </w:p>
          <w:p w14:paraId="29070FDD">
            <w:pPr>
              <w:ind w:firstLine="422" w:firstLineChars="200"/>
              <w:jc w:val="left"/>
              <w:outlineLvl w:val="0"/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</w:pPr>
            <w:r>
              <w:t xml:space="preserve">应收账款周转效率持续恶化，回款周期显著延长，表明客户信用风险上升或催收不力。存货管理波动剧烈，近期库存大幅积压，可能面临滞销风险或供应链失衡。运营效率需重点跟踪应收账款周转与收入扩张的匹配程度。</w:t>
            </w:r>
          </w:p>
          <w:p w14:paraId="29070FDD">
            <w:pPr>
              <w:ind w:firstLine="422" w:firstLineChars="200"/>
              <w:jc w:val="left"/>
              <w:outlineLvl w:val="0"/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</w:pPr>
            <w:r>
              <w:t xml:space="preserve">经营现金流波动剧烈，呈现间歇性净流入，整体造血能力不稳定。公司持续处于投资扩张阶段，依赖外部融资弥补经营及投资活动产生的资金缺口。经营现金流当前表现为最近连续1年为正，需关注现金回笼与利润质量是否一致。</w:t>
            </w:r>
          </w:p>
          <w:p w14:paraId="29070FDD">
            <w:pPr>
              <w:ind w:firstLine="422" w:firstLineChars="200"/>
              <w:jc w:val="left"/>
              <w:outlineLvl w:val="0"/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</w:pPr>
            <w:r>
              <w:t xml:space="preserve">应收账款周转天数持续恶化，已显著超过风险阈值，表明客户回款能力严重不足，信用风险急剧升高。货币资金对短期借款的覆盖率已降至极低水平，远低于安全阈值，企业面临严峻的短期偿债压力，流动性风险极高。尽管资产负债率呈下降趋势且未触发阈值，但已无法掩盖其营运与流动性层面的重大缺陷。</w:t>
            </w:r>
          </w:p>
          <w:p w14:paraId="0BB5025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2.集团合并财务数据（若有）：</w:t>
            </w:r>
          </w:p>
          <w:tbl>
            <w:tblPr>
              <w:tblStyle w:val="13"/>
              <w:tblW w:w="10350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61"/>
              <w:gridCol w:w="604"/>
              <w:gridCol w:w="606"/>
              <w:gridCol w:w="569"/>
              <w:gridCol w:w="409"/>
              <w:gridCol w:w="596"/>
              <w:gridCol w:w="607"/>
              <w:gridCol w:w="628"/>
              <w:gridCol w:w="563"/>
              <w:gridCol w:w="651"/>
              <w:gridCol w:w="661"/>
              <w:gridCol w:w="540"/>
              <w:gridCol w:w="639"/>
              <w:gridCol w:w="563"/>
              <w:gridCol w:w="540"/>
              <w:gridCol w:w="585"/>
              <w:gridCol w:w="728"/>
            </w:tblGrid>
            <w:tr w14:paraId="577A9AA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714" w:hRule="atLeast"/>
                <w:jc w:val="center"/>
              </w:trPr>
              <w:tc>
                <w:tcPr>
                  <w:tcW w:w="861" w:type="dxa"/>
                  <w:noWrap w:val="0"/>
                  <w:vAlign w:val="center"/>
                </w:tcPr>
                <w:p w14:paraId="77374A6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年份</w:t>
                  </w:r>
                </w:p>
              </w:tc>
              <w:tc>
                <w:tcPr>
                  <w:tcW w:w="604" w:type="dxa"/>
                  <w:noWrap w:val="0"/>
                  <w:vAlign w:val="center"/>
                </w:tcPr>
                <w:p w14:paraId="625FABD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总资产</w:t>
                  </w:r>
                </w:p>
              </w:tc>
              <w:tc>
                <w:tcPr>
                  <w:tcW w:w="606" w:type="dxa"/>
                  <w:noWrap w:val="0"/>
                  <w:vAlign w:val="center"/>
                </w:tcPr>
                <w:p w14:paraId="5E59333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净资产</w:t>
                  </w:r>
                </w:p>
              </w:tc>
              <w:tc>
                <w:tcPr>
                  <w:tcW w:w="569" w:type="dxa"/>
                  <w:noWrap w:val="0"/>
                  <w:vAlign w:val="center"/>
                </w:tcPr>
                <w:p w14:paraId="4C97DCB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负债率</w:t>
                  </w:r>
                </w:p>
              </w:tc>
              <w:tc>
                <w:tcPr>
                  <w:tcW w:w="409" w:type="dxa"/>
                  <w:noWrap w:val="0"/>
                  <w:vAlign w:val="center"/>
                </w:tcPr>
                <w:p w14:paraId="4F2C01F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流</w:t>
                  </w:r>
                </w:p>
                <w:p w14:paraId="4385287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动</w:t>
                  </w:r>
                </w:p>
                <w:p w14:paraId="3A9DB61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eastAsia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比</w:t>
                  </w:r>
                </w:p>
              </w:tc>
              <w:tc>
                <w:tcPr>
                  <w:tcW w:w="596" w:type="dxa"/>
                  <w:noWrap w:val="0"/>
                  <w:vAlign w:val="center"/>
                </w:tcPr>
                <w:p w14:paraId="2CE2C4A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主营</w:t>
                  </w: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业务</w:t>
                  </w:r>
                </w:p>
                <w:p w14:paraId="6ED6FCD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收入</w:t>
                  </w:r>
                </w:p>
              </w:tc>
              <w:tc>
                <w:tcPr>
                  <w:tcW w:w="607" w:type="dxa"/>
                  <w:noWrap w:val="0"/>
                  <w:vAlign w:val="center"/>
                </w:tcPr>
                <w:p w14:paraId="03AEF65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毛利率</w:t>
                  </w:r>
                </w:p>
              </w:tc>
              <w:tc>
                <w:tcPr>
                  <w:tcW w:w="628" w:type="dxa"/>
                  <w:noWrap w:val="0"/>
                  <w:vAlign w:val="center"/>
                </w:tcPr>
                <w:p w14:paraId="024263E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净利润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65AC7AC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货币资金</w:t>
                  </w:r>
                </w:p>
              </w:tc>
              <w:tc>
                <w:tcPr>
                  <w:tcW w:w="651" w:type="dxa"/>
                  <w:noWrap w:val="0"/>
                  <w:vAlign w:val="center"/>
                </w:tcPr>
                <w:p w14:paraId="5CBB328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应收</w:t>
                  </w:r>
                </w:p>
                <w:p w14:paraId="62F8470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账款</w:t>
                  </w:r>
                </w:p>
              </w:tc>
              <w:tc>
                <w:tcPr>
                  <w:tcW w:w="661" w:type="dxa"/>
                  <w:noWrap w:val="0"/>
                  <w:vAlign w:val="center"/>
                </w:tcPr>
                <w:p w14:paraId="7382430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default" w:ascii="宋体" w:hAnsi="宋体" w:eastAsia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其他应收款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1DA8466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存货</w:t>
                  </w:r>
                </w:p>
              </w:tc>
              <w:tc>
                <w:tcPr>
                  <w:tcW w:w="639" w:type="dxa"/>
                  <w:noWrap w:val="0"/>
                  <w:vAlign w:val="center"/>
                </w:tcPr>
                <w:p w14:paraId="4FC4208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固定资产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5C33C2E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银行</w:t>
                  </w: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借款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51563B9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应付账款</w:t>
                  </w:r>
                </w:p>
              </w:tc>
              <w:tc>
                <w:tcPr>
                  <w:tcW w:w="585" w:type="dxa"/>
                  <w:noWrap w:val="0"/>
                  <w:vAlign w:val="center"/>
                </w:tcPr>
                <w:p w14:paraId="3F8F564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default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其他应付款</w:t>
                  </w:r>
                </w:p>
              </w:tc>
              <w:tc>
                <w:tcPr>
                  <w:tcW w:w="728" w:type="dxa"/>
                  <w:noWrap w:val="0"/>
                  <w:vAlign w:val="center"/>
                </w:tcPr>
                <w:p w14:paraId="2894615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default" w:ascii="宋体" w:hAnsi="宋体" w:eastAsia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经营性现金流</w:t>
                  </w:r>
                </w:p>
              </w:tc>
            </w:tr>
            <w:tr w14:paraId="0C4F67C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44" w:hRule="atLeast"/>
                <w:jc w:val="center"/>
              </w:trPr>
              <w:tc>
                <w:tcPr>
                  <w:tcW w:w="861" w:type="dxa"/>
                  <w:noWrap w:val="0"/>
                  <w:vAlign w:val="center"/>
                </w:tcPr>
                <w:p w14:paraId="4C2566B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left="210" w:hanging="180" w:hangingChars="100"/>
                    <w:jc w:val="center"/>
                    <w:textAlignment w:val="baseline"/>
                    <w:rPr>
                      <w:rFonts w:hint="default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20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22</w:t>
                  </w:r>
                </w:p>
              </w:tc>
              <w:tc>
                <w:tcPr>
                  <w:tcW w:w="604" w:type="dxa"/>
                  <w:noWrap w:val="0"/>
                  <w:vAlign w:val="center"/>
                </w:tcPr>
                <w:p w14:paraId="5B8485C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17895</w:t>
                  </w:r>
                </w:p>
              </w:tc>
              <w:tc>
                <w:tcPr>
                  <w:tcW w:w="606" w:type="dxa"/>
                  <w:noWrap w:val="0"/>
                  <w:vAlign w:val="center"/>
                </w:tcPr>
                <w:p w14:paraId="0DC793F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8357</w:t>
                  </w:r>
                </w:p>
              </w:tc>
              <w:tc>
                <w:tcPr>
                  <w:tcW w:w="569" w:type="dxa"/>
                  <w:noWrap w:val="0"/>
                  <w:vAlign w:val="center"/>
                </w:tcPr>
                <w:p w14:paraId="68F0FD6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53.29%</w:t>
                  </w:r>
                </w:p>
              </w:tc>
              <w:tc>
                <w:tcPr>
                  <w:tcW w:w="409" w:type="dxa"/>
                  <w:noWrap w:val="0"/>
                  <w:vAlign w:val="center"/>
                </w:tcPr>
                <w:p w14:paraId="756846D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1.5</w:t>
                  </w:r>
                </w:p>
              </w:tc>
              <w:tc>
                <w:tcPr>
                  <w:tcW w:w="596" w:type="dxa"/>
                  <w:noWrap w:val="0"/>
                  <w:vAlign w:val="center"/>
                </w:tcPr>
                <w:p w14:paraId="238B48A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21198</w:t>
                  </w:r>
                </w:p>
              </w:tc>
              <w:tc>
                <w:tcPr>
                  <w:tcW w:w="607" w:type="dxa"/>
                  <w:noWrap w:val="0"/>
                  <w:vAlign w:val="center"/>
                </w:tcPr>
                <w:p w14:paraId="15A89F2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30.55%</w:t>
                  </w:r>
                </w:p>
              </w:tc>
              <w:tc>
                <w:tcPr>
                  <w:tcW w:w="628" w:type="dxa"/>
                  <w:noWrap w:val="0"/>
                  <w:vAlign w:val="center"/>
                </w:tcPr>
                <w:p w14:paraId="0034665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983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458397B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1104</w:t>
                  </w:r>
                </w:p>
              </w:tc>
              <w:tc>
                <w:tcPr>
                  <w:tcW w:w="651" w:type="dxa"/>
                  <w:noWrap w:val="0"/>
                  <w:vAlign w:val="center"/>
                </w:tcPr>
                <w:p w14:paraId="2D55384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4410</w:t>
                  </w:r>
                </w:p>
              </w:tc>
              <w:tc>
                <w:tcPr>
                  <w:tcW w:w="661" w:type="dxa"/>
                  <w:noWrap w:val="0"/>
                  <w:vAlign w:val="center"/>
                </w:tcPr>
                <w:p w14:paraId="5E2A28D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1432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58BC093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5301</w:t>
                  </w:r>
                </w:p>
              </w:tc>
              <w:tc>
                <w:tcPr>
                  <w:tcW w:w="639" w:type="dxa"/>
                  <w:noWrap w:val="0"/>
                  <w:vAlign w:val="center"/>
                </w:tcPr>
                <w:p w14:paraId="6C0CA0E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161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6050D7C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3000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47FA720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1490</w:t>
                  </w:r>
                </w:p>
              </w:tc>
              <w:tc>
                <w:tcPr>
                  <w:tcW w:w="585" w:type="dxa"/>
                  <w:noWrap w:val="0"/>
                  <w:vAlign w:val="center"/>
                </w:tcPr>
                <w:p w14:paraId="69958BD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63</w:t>
                  </w:r>
                </w:p>
              </w:tc>
              <w:tc>
                <w:tcPr>
                  <w:tcW w:w="728" w:type="dxa"/>
                  <w:noWrap w:val="0"/>
                  <w:vAlign w:val="center"/>
                </w:tcPr>
                <w:p w14:paraId="1C1A39D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-4373</w:t>
                  </w:r>
                </w:p>
              </w:tc>
            </w:tr>
            <w:tr w14:paraId="31F337B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44" w:hRule="atLeast"/>
                <w:jc w:val="center"/>
              </w:trPr>
              <w:tc>
                <w:tcPr>
                  <w:tcW w:w="861" w:type="dxa"/>
                  <w:noWrap w:val="0"/>
                  <w:vAlign w:val="center"/>
                </w:tcPr>
                <w:p w14:paraId="4136E61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left="210" w:hanging="180" w:hangingChars="100"/>
                    <w:jc w:val="center"/>
                    <w:textAlignment w:val="baseline"/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202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3</w:t>
                  </w:r>
                </w:p>
              </w:tc>
              <w:tc>
                <w:tcPr>
                  <w:tcW w:w="604" w:type="dxa"/>
                  <w:noWrap w:val="0"/>
                  <w:vAlign w:val="center"/>
                </w:tcPr>
                <w:p w14:paraId="7708557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17940</w:t>
                  </w:r>
                </w:p>
              </w:tc>
              <w:tc>
                <w:tcPr>
                  <w:tcW w:w="606" w:type="dxa"/>
                  <w:noWrap w:val="0"/>
                  <w:vAlign w:val="center"/>
                </w:tcPr>
                <w:p w14:paraId="3C37947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8927</w:t>
                  </w:r>
                </w:p>
              </w:tc>
              <w:tc>
                <w:tcPr>
                  <w:tcW w:w="569" w:type="dxa"/>
                  <w:noWrap w:val="0"/>
                  <w:vAlign w:val="center"/>
                </w:tcPr>
                <w:p w14:paraId="59DA321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50.25%</w:t>
                  </w:r>
                </w:p>
              </w:tc>
              <w:tc>
                <w:tcPr>
                  <w:tcW w:w="409" w:type="dxa"/>
                  <w:noWrap w:val="0"/>
                  <w:vAlign w:val="center"/>
                </w:tcPr>
                <w:p w14:paraId="75646B6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1.57</w:t>
                  </w:r>
                </w:p>
              </w:tc>
              <w:tc>
                <w:tcPr>
                  <w:tcW w:w="596" w:type="dxa"/>
                  <w:noWrap w:val="0"/>
                  <w:vAlign w:val="center"/>
                </w:tcPr>
                <w:p w14:paraId="0788FF1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12130</w:t>
                  </w:r>
                </w:p>
              </w:tc>
              <w:tc>
                <w:tcPr>
                  <w:tcW w:w="607" w:type="dxa"/>
                  <w:noWrap w:val="0"/>
                  <w:vAlign w:val="center"/>
                </w:tcPr>
                <w:p w14:paraId="3B2C72D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27.3%</w:t>
                  </w:r>
                </w:p>
              </w:tc>
              <w:tc>
                <w:tcPr>
                  <w:tcW w:w="628" w:type="dxa"/>
                  <w:noWrap w:val="0"/>
                  <w:vAlign w:val="center"/>
                </w:tcPr>
                <w:p w14:paraId="59348EA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393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037A573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1522</w:t>
                  </w:r>
                </w:p>
              </w:tc>
              <w:tc>
                <w:tcPr>
                  <w:tcW w:w="651" w:type="dxa"/>
                  <w:noWrap w:val="0"/>
                  <w:vAlign w:val="center"/>
                </w:tcPr>
                <w:p w14:paraId="69E5BC4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6354</w:t>
                  </w:r>
                </w:p>
              </w:tc>
              <w:tc>
                <w:tcPr>
                  <w:tcW w:w="661" w:type="dxa"/>
                  <w:noWrap w:val="0"/>
                  <w:vAlign w:val="center"/>
                </w:tcPr>
                <w:p w14:paraId="646E526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3621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7748410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2545</w:t>
                  </w:r>
                </w:p>
              </w:tc>
              <w:tc>
                <w:tcPr>
                  <w:tcW w:w="639" w:type="dxa"/>
                  <w:noWrap w:val="0"/>
                  <w:vAlign w:val="center"/>
                </w:tcPr>
                <w:p w14:paraId="0EC80B8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256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4C4B3ED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4000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1D14E01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1847</w:t>
                  </w:r>
                </w:p>
              </w:tc>
              <w:tc>
                <w:tcPr>
                  <w:tcW w:w="585" w:type="dxa"/>
                  <w:noWrap w:val="0"/>
                  <w:vAlign w:val="center"/>
                </w:tcPr>
                <w:p w14:paraId="0417F75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185</w:t>
                  </w:r>
                </w:p>
              </w:tc>
              <w:tc>
                <w:tcPr>
                  <w:tcW w:w="728" w:type="dxa"/>
                  <w:noWrap w:val="0"/>
                  <w:vAlign w:val="center"/>
                </w:tcPr>
                <w:p w14:paraId="606928A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269</w:t>
                  </w:r>
                </w:p>
              </w:tc>
            </w:tr>
            <w:tr w14:paraId="7D30D38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44" w:hRule="atLeast"/>
                <w:jc w:val="center"/>
              </w:trPr>
              <w:tc>
                <w:tcPr>
                  <w:tcW w:w="861" w:type="dxa"/>
                  <w:noWrap w:val="0"/>
                  <w:vAlign w:val="center"/>
                </w:tcPr>
                <w:p w14:paraId="0B8FEC8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left="210" w:hanging="180" w:hangingChars="100"/>
                    <w:jc w:val="center"/>
                    <w:textAlignment w:val="baseline"/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202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4</w:t>
                  </w:r>
                </w:p>
              </w:tc>
              <w:tc>
                <w:tcPr>
                  <w:tcW w:w="604" w:type="dxa"/>
                  <w:noWrap w:val="0"/>
                  <w:vAlign w:val="center"/>
                </w:tcPr>
                <w:p w14:paraId="6FDE54F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18575</w:t>
                  </w:r>
                </w:p>
              </w:tc>
              <w:tc>
                <w:tcPr>
                  <w:tcW w:w="606" w:type="dxa"/>
                  <w:noWrap w:val="0"/>
                  <w:vAlign w:val="center"/>
                </w:tcPr>
                <w:p w14:paraId="54795DE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9256</w:t>
                  </w:r>
                </w:p>
              </w:tc>
              <w:tc>
                <w:tcPr>
                  <w:tcW w:w="569" w:type="dxa"/>
                  <w:noWrap w:val="0"/>
                  <w:vAlign w:val="center"/>
                </w:tcPr>
                <w:p w14:paraId="0356396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50.17%</w:t>
                  </w:r>
                </w:p>
              </w:tc>
              <w:tc>
                <w:tcPr>
                  <w:tcW w:w="409" w:type="dxa"/>
                  <w:noWrap w:val="0"/>
                  <w:vAlign w:val="center"/>
                </w:tcPr>
                <w:p w14:paraId="281581D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1.58</w:t>
                  </w:r>
                </w:p>
              </w:tc>
              <w:tc>
                <w:tcPr>
                  <w:tcW w:w="596" w:type="dxa"/>
                  <w:noWrap w:val="0"/>
                  <w:vAlign w:val="center"/>
                </w:tcPr>
                <w:p w14:paraId="294EB8A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8712</w:t>
                  </w:r>
                </w:p>
              </w:tc>
              <w:tc>
                <w:tcPr>
                  <w:tcW w:w="607" w:type="dxa"/>
                  <w:noWrap w:val="0"/>
                  <w:vAlign w:val="center"/>
                </w:tcPr>
                <w:p w14:paraId="7B92646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38.8%</w:t>
                  </w:r>
                </w:p>
              </w:tc>
              <w:tc>
                <w:tcPr>
                  <w:tcW w:w="628" w:type="dxa"/>
                  <w:noWrap w:val="0"/>
                  <w:vAlign w:val="center"/>
                </w:tcPr>
                <w:p w14:paraId="14DF8D1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329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4336EEF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506</w:t>
                  </w:r>
                </w:p>
              </w:tc>
              <w:tc>
                <w:tcPr>
                  <w:tcW w:w="651" w:type="dxa"/>
                  <w:noWrap w:val="0"/>
                  <w:vAlign w:val="center"/>
                </w:tcPr>
                <w:p w14:paraId="546EDC9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9253</w:t>
                  </w:r>
                </w:p>
              </w:tc>
              <w:tc>
                <w:tcPr>
                  <w:tcW w:w="661" w:type="dxa"/>
                  <w:noWrap w:val="0"/>
                  <w:vAlign w:val="center"/>
                </w:tcPr>
                <w:p w14:paraId="458213F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3522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153FBBD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1166</w:t>
                  </w:r>
                </w:p>
              </w:tc>
              <w:tc>
                <w:tcPr>
                  <w:tcW w:w="639" w:type="dxa"/>
                  <w:noWrap w:val="0"/>
                  <w:vAlign w:val="center"/>
                </w:tcPr>
                <w:p w14:paraId="16AD6FD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164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5923024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4990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40C41D2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2333</w:t>
                  </w:r>
                </w:p>
              </w:tc>
              <w:tc>
                <w:tcPr>
                  <w:tcW w:w="585" w:type="dxa"/>
                  <w:noWrap w:val="0"/>
                  <w:vAlign w:val="center"/>
                </w:tcPr>
                <w:p w14:paraId="70CE0EE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648</w:t>
                  </w:r>
                </w:p>
              </w:tc>
              <w:tc>
                <w:tcPr>
                  <w:tcW w:w="728" w:type="dxa"/>
                  <w:noWrap w:val="0"/>
                  <w:vAlign w:val="center"/>
                </w:tcPr>
                <w:p w14:paraId="25CEA4A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-896</w:t>
                  </w:r>
                </w:p>
              </w:tc>
            </w:tr>
            <w:tr w14:paraId="29EF884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44" w:hRule="atLeast"/>
                <w:jc w:val="center"/>
              </w:trPr>
              <w:tc>
                <w:tcPr>
                  <w:tcW w:w="861" w:type="dxa"/>
                  <w:noWrap w:val="0"/>
                  <w:vAlign w:val="center"/>
                </w:tcPr>
                <w:p w14:paraId="0498ED3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left="210" w:hanging="180" w:hangingChars="100"/>
                    <w:jc w:val="center"/>
                    <w:textAlignment w:val="baseline"/>
                    <w:rPr>
                      <w:rFonts w:hint="default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202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4.4</w:t>
                  </w:r>
                </w:p>
              </w:tc>
              <w:tc>
                <w:tcPr>
                  <w:tcW w:w="604" w:type="dxa"/>
                  <w:noWrap w:val="0"/>
                  <w:vAlign w:val="center"/>
                </w:tcPr>
                <w:p w14:paraId="5950C83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606" w:type="dxa"/>
                  <w:noWrap w:val="0"/>
                  <w:vAlign w:val="center"/>
                </w:tcPr>
                <w:p w14:paraId="7DE9EE0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569" w:type="dxa"/>
                  <w:noWrap w:val="0"/>
                  <w:vAlign w:val="center"/>
                </w:tcPr>
                <w:p w14:paraId="5D1D694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409" w:type="dxa"/>
                  <w:noWrap w:val="0"/>
                  <w:vAlign w:val="center"/>
                </w:tcPr>
                <w:p w14:paraId="7FFC586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596" w:type="dxa"/>
                  <w:noWrap w:val="0"/>
                  <w:vAlign w:val="center"/>
                </w:tcPr>
                <w:p w14:paraId="497981E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607" w:type="dxa"/>
                  <w:noWrap w:val="0"/>
                  <w:vAlign w:val="center"/>
                </w:tcPr>
                <w:p w14:paraId="45E0AB1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628" w:type="dxa"/>
                  <w:noWrap w:val="0"/>
                  <w:vAlign w:val="center"/>
                </w:tcPr>
                <w:p w14:paraId="1314635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6DC32B0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651" w:type="dxa"/>
                  <w:noWrap w:val="0"/>
                  <w:vAlign w:val="center"/>
                </w:tcPr>
                <w:p w14:paraId="5306878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661" w:type="dxa"/>
                  <w:noWrap w:val="0"/>
                  <w:vAlign w:val="center"/>
                </w:tcPr>
                <w:p w14:paraId="1B4ACC2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7E47DE4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639" w:type="dxa"/>
                  <w:noWrap w:val="0"/>
                  <w:vAlign w:val="center"/>
                </w:tcPr>
                <w:p w14:paraId="1099369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51F60AC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666983F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585" w:type="dxa"/>
                  <w:noWrap w:val="0"/>
                  <w:vAlign w:val="center"/>
                </w:tcPr>
                <w:p w14:paraId="0229339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728" w:type="dxa"/>
                  <w:noWrap w:val="0"/>
                  <w:vAlign w:val="center"/>
                </w:tcPr>
                <w:p w14:paraId="4C161AD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</w:tr>
            <w:tr w14:paraId="41DBB39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54" w:hRule="atLeast"/>
                <w:jc w:val="center"/>
              </w:trPr>
              <w:tc>
                <w:tcPr>
                  <w:tcW w:w="861" w:type="dxa"/>
                  <w:noWrap w:val="0"/>
                  <w:vAlign w:val="center"/>
                </w:tcPr>
                <w:p>
                  <w:r>
                    <w:t>2025年末(新增)</w:t>
                  </w:r>
                </w:p>
              </w:tc>
              <w:tc>
                <w:tcPr>
                  <w:tcW w:w="604" w:type="dxa"/>
                  <w:noWrap w:val="0"/>
                  <w:vAlign w:val="center"/>
                </w:tcPr>
                <w:p w14:paraId="5F14769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16956</w:t>
                  </w:r>
                </w:p>
              </w:tc>
              <w:tc>
                <w:tcPr>
                  <w:tcW w:w="606" w:type="dxa"/>
                  <w:noWrap w:val="0"/>
                  <w:vAlign w:val="center"/>
                </w:tcPr>
                <w:p w14:paraId="09E9FF2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9749</w:t>
                  </w:r>
                </w:p>
              </w:tc>
              <w:tc>
                <w:tcPr>
                  <w:tcW w:w="569" w:type="dxa"/>
                  <w:noWrap w:val="0"/>
                  <w:vAlign w:val="center"/>
                </w:tcPr>
                <w:p w14:paraId="320CB7E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42.5%</w:t>
                  </w:r>
                </w:p>
              </w:tc>
              <w:tc>
                <w:tcPr>
                  <w:tcW w:w="409" w:type="dxa"/>
                  <w:noWrap w:val="0"/>
                  <w:vAlign w:val="center"/>
                </w:tcPr>
                <w:p w14:paraId="0699E2F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1.82</w:t>
                  </w:r>
                </w:p>
              </w:tc>
              <w:tc>
                <w:tcPr>
                  <w:tcW w:w="596" w:type="dxa"/>
                  <w:noWrap w:val="0"/>
                  <w:vAlign w:val="center"/>
                </w:tcPr>
                <w:p w14:paraId="25C8C81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10010</w:t>
                  </w:r>
                </w:p>
              </w:tc>
              <w:tc>
                <w:tcPr>
                  <w:tcW w:w="607" w:type="dxa"/>
                  <w:noWrap w:val="0"/>
                  <w:vAlign w:val="center"/>
                </w:tcPr>
                <w:p w14:paraId="1EC532F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38.02%</w:t>
                  </w:r>
                </w:p>
              </w:tc>
              <w:tc>
                <w:tcPr>
                  <w:tcW w:w="628" w:type="dxa"/>
                  <w:noWrap w:val="0"/>
                  <w:vAlign w:val="center"/>
                </w:tcPr>
                <w:p w14:paraId="3A4C5A3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494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7A1B609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286</w:t>
                  </w:r>
                </w:p>
              </w:tc>
              <w:tc>
                <w:tcPr>
                  <w:tcW w:w="651" w:type="dxa"/>
                  <w:noWrap w:val="0"/>
                  <w:vAlign w:val="center"/>
                </w:tcPr>
                <w:p w14:paraId="6D5CF8F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7430</w:t>
                  </w:r>
                </w:p>
              </w:tc>
              <w:tc>
                <w:tcPr>
                  <w:tcW w:w="661" w:type="dxa"/>
                  <w:noWrap w:val="0"/>
                  <w:vAlign w:val="center"/>
                </w:tcPr>
                <w:p w14:paraId="7AF555F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2774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706BCEC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2192</w:t>
                  </w:r>
                </w:p>
              </w:tc>
              <w:tc>
                <w:tcPr>
                  <w:tcW w:w="639" w:type="dxa"/>
                  <w:noWrap w:val="0"/>
                  <w:vAlign w:val="center"/>
                </w:tcPr>
                <w:p w14:paraId="34E4063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93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47F40CD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4730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1965F46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1026</w:t>
                  </w:r>
                </w:p>
              </w:tc>
              <w:tc>
                <w:tcPr>
                  <w:tcW w:w="585" w:type="dxa"/>
                  <w:noWrap w:val="0"/>
                  <w:vAlign w:val="center"/>
                </w:tcPr>
                <w:p w14:paraId="02BD285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168</w:t>
                  </w:r>
                </w:p>
              </w:tc>
              <w:tc>
                <w:tcPr>
                  <w:tcW w:w="728" w:type="dxa"/>
                  <w:noWrap w:val="0"/>
                  <w:vAlign w:val="center"/>
                </w:tcPr>
                <w:p w14:paraId="57D0B9F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791</w:t>
                  </w:r>
                </w:p>
              </w:tc>
            </w:tr>
          </w:tbl>
          <w:p w14:paraId="55916AE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 w:firstLineChars="20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u w:val="single"/>
                <w:lang w:val="en-US" w:eastAsia="zh-CN"/>
              </w:rPr>
              <w:t>材料未提供集团合并财务数据。</w:t>
            </w:r>
          </w:p>
          <w:p w14:paraId="3CABD7D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3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.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我行集团授信或关联授信情况（若有）：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请描述集团或关联授信的最新授信方案及当前授信提用情况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none"/>
                <w:lang w:val="en-US" w:eastAsia="zh-CN"/>
              </w:rPr>
              <w:t>。</w:t>
            </w:r>
          </w:p>
          <w:p w14:paraId="55356AD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（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五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）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借款人</w:t>
            </w:r>
            <w:r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</w:rPr>
              <w:t>主要经营</w:t>
            </w:r>
            <w:r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  <w:lang w:val="en-US" w:eastAsia="zh-CN"/>
              </w:rPr>
              <w:t>及</w:t>
            </w:r>
            <w:r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</w:rPr>
              <w:t>财务情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况</w:t>
            </w:r>
          </w:p>
          <w:p w14:paraId="4B2F20E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企业主营智慧水利与智慧教育业务。智慧水利业务提供大坝安全监测、流域四预系统等解决方案，已应用于福建省300余座水库，相关收入占比46%。智慧教育业务聚焦数字人才培养，与超1000所高校合作，服务1600余家政企客户，相关收入占比54%。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</w:r>
          </w:p>
          <w:p w14:paraId="6F6BDB2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2" w:firstLineChars="200"/>
              <w:jc w:val="left"/>
              <w:textAlignment w:val="baseline"/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企业为高新技术企业，主营智慧水利与智慧教育业务。其智慧水利产品具备技术门槛，曾获省科技进步奖二等奖，已应用于省内300余座水库。智慧教育业务与超1000所高校建立产学研合作，服务1600多家政企客户。企业近三年研发投入持续，2025年达1049万元，研发人员占比53%。实际控制人黄祖海具备超过20年行业技术与管理经验。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</w:p>
          <w:p w14:paraId="2C7F6AA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2" w:firstLineChars="20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3.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产品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生产、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销量、销售收入及结构占比情况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 xml:space="preserve">：  </w:t>
            </w:r>
          </w:p>
          <w:p w14:paraId="1C0B563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 w:firstLineChars="20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（若有）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生产工艺流程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lang w:eastAsia="zh-CN"/>
              </w:rPr>
              <w:t>可附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</w:rPr>
              <w:t>流程图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：</w:t>
            </w:r>
          </w:p>
          <w:p w14:paraId="7998D98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single"/>
                <w:lang w:val="en-US" w:eastAsia="zh-CN" w:bidi="ar-SA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公司主营业务为智慧水利与智慧教育。2025年实现营业收入10010万元，其中智慧水利业务收入占比46%，智慧教育业务收入占比54%。智慧水利解决方案已应用于福建省300余座大中小型水库；智慧教育业务与全国超过1000所高校及科研院所建立了产学研合作，服务1600多家政企客户。材料未提供产品生产量、销量及生产工艺流程。</w:t>
            </w: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Cs w:val="21"/>
                <w:lang w:val="en-US" w:eastAsia="zh-CN"/>
              </w:rPr>
            </w: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</w:r>
          </w:p>
          <w:tbl>
            <w:tblPr>
              <w:tblStyle w:val="14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left w:w="108" w:type="dxa"/>
                <w:right w:w="108" w:type="dxa"/>
              </w:tblCellMar>
            </w:tblPr>
            <w:tblGrid>
              <w:gridCol w:w="1296"/>
              <w:gridCol w:w="2306"/>
              <w:gridCol w:w="1116"/>
              <w:gridCol w:w="1926"/>
              <w:gridCol w:w="756"/>
              <w:gridCol w:w="756"/>
            </w:tblGrid>
            <w:tr w14:paraId="2272FC9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5035E13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  <w:t>主要产品名称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22329B4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上年销量</w:t>
                  </w:r>
                </w:p>
                <w:p w14:paraId="6E40FD3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 w:firstLineChars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单位：台/套/件...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）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85A2F4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highlight w:val="none"/>
                      <w:lang w:val="en-US" w:eastAsia="zh-CN"/>
                    </w:rPr>
                    <w:t>上年销售额</w:t>
                  </w:r>
                </w:p>
                <w:p w14:paraId="7A435155">
                  <w:pPr>
                    <w:pStyle w:val="9"/>
                    <w:jc w:val="center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（万元）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2C4673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上年销售额占比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%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）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993FAF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毛利润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3494D6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毛利率</w:t>
                  </w:r>
                </w:p>
              </w:tc>
            </w:tr>
            <w:tr w14:paraId="4CBB54C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0288490D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65CA615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E15DC63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1DEDD63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E4AA5EA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1E61B12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</w:tr>
            <w:tr w14:paraId="7101451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5F88A6EA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8FF873F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092F764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1FF8527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2EE86AD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13B96FCC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</w:tr>
          </w:tbl>
          <w:p w14:paraId="557D6191">
            <w:pPr>
              <w:rPr>
                <w:rFonts w:hint="eastAsia"/>
              </w:rPr>
            </w:pPr>
          </w:p>
          <w:tbl>
            <w:tblPr>
              <w:tblStyle w:val="14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296"/>
              <w:gridCol w:w="2306"/>
              <w:gridCol w:w="1566"/>
              <w:gridCol w:w="1926"/>
              <w:gridCol w:w="756"/>
              <w:gridCol w:w="756"/>
            </w:tblGrid>
            <w:tr w14:paraId="77BDBA5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380F695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  <w:t>主要产品名称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3F1BD1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本年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1-9月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销量</w:t>
                  </w:r>
                </w:p>
                <w:p w14:paraId="3A80B1C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 w:firstLineChars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单位：台/套/件...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）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A1F970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本年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1-9月</w:t>
                  </w:r>
                  <w:r>
                    <w:rPr>
                      <w:rFonts w:hint="eastAsia"/>
                      <w:sz w:val="18"/>
                      <w:szCs w:val="18"/>
                      <w:highlight w:val="none"/>
                      <w:lang w:val="en-US" w:eastAsia="zh-CN"/>
                    </w:rPr>
                    <w:t>销售额</w:t>
                  </w:r>
                </w:p>
                <w:p w14:paraId="7BEAC1A1">
                  <w:pPr>
                    <w:pStyle w:val="9"/>
                    <w:jc w:val="center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（万元）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20CB243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上年销售额占比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%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）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314CD9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毛利润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0324238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毛利率</w:t>
                  </w:r>
                </w:p>
              </w:tc>
            </w:tr>
            <w:tr w14:paraId="0B1B661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3D279034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FC10C4D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B5EC27F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55442A7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387936F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16BD1865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</w:tr>
            <w:tr w14:paraId="3CAF74D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4EA9EF9F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23E7760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D28EA54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1E5DC2D7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8CD620F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FF11112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</w:tr>
          </w:tbl>
          <w:p w14:paraId="3FE5820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企业上游核心供应商包括中芯国际等。根据材料，其主要上游（前五大）供应商为：锐捷网络股份有限公司、北京星链南天科技有限公司、广州浩瀚星图信息技术有限公司、新天科技股份有限公司、精导信息技术有限公司。下游核心客户包括中电二十七所、中电五十四所、中电西安乾景防务、中国兵器工业导航与控制技术研究所等，客户资质较强，均为国有大型企业、院所。此外，主要下游（前五大）客户还包括涵江水利局、福建省翔远电子科技有限公司、三明水利水电工程有限公司顺昌分公司、福州市福清公路事业发展中心、济南展雄电子有限公司。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</w:p>
          <w:p w14:paraId="7EA0A4A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843" w:firstLineChars="40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企业经营账期方面，材料未提供具体账期信息。财务数据显示，企业应收账款周转天数271天，显著高于软件信息业90-180天典型区间，主要由于项目验收周期较长及下游大型客户回款账期较长；存货周转天数129天，亦高于行业30-90天区间，存货较年初大幅增长88.0%，积压明显。应付账款较年初下降56.0%，可能反映上游采购付款条件变化或结算加快。整体来看，较长的应收周转与积压的存货占用了营运资金，但客户资质优良为最终回款提供了保障，需关注其与短期偿债压力（短期借款4730万元）的匹配情况。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</w:p>
          <w:tbl>
            <w:tblPr>
              <w:tblStyle w:val="13"/>
              <w:tblW w:w="10835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846"/>
              <w:gridCol w:w="990"/>
              <w:gridCol w:w="990"/>
              <w:gridCol w:w="1581"/>
              <w:gridCol w:w="1581"/>
              <w:gridCol w:w="1581"/>
              <w:gridCol w:w="820"/>
              <w:gridCol w:w="602"/>
              <w:gridCol w:w="844"/>
            </w:tblGrid>
            <w:tr w14:paraId="6D71D3A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85" w:hRule="atLeast"/>
                <w:jc w:val="center"/>
              </w:trPr>
              <w:tc>
                <w:tcPr>
                  <w:tcW w:w="1846" w:type="dxa"/>
                  <w:noWrap w:val="0"/>
                  <w:vAlign w:val="center"/>
                </w:tcPr>
                <w:p w14:paraId="707CB8B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  <w:t>主要上游供应商</w:t>
                  </w:r>
                </w:p>
              </w:tc>
              <w:tc>
                <w:tcPr>
                  <w:tcW w:w="990" w:type="dxa"/>
                  <w:noWrap w:val="0"/>
                  <w:vAlign w:val="center"/>
                </w:tcPr>
                <w:p w14:paraId="7B7AFFF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采购商品</w:t>
                  </w:r>
                </w:p>
              </w:tc>
              <w:tc>
                <w:tcPr>
                  <w:tcW w:w="990" w:type="dxa"/>
                  <w:noWrap w:val="0"/>
                  <w:vAlign w:val="center"/>
                </w:tcPr>
                <w:p w14:paraId="61FE809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上年采购额</w:t>
                  </w: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28FC57B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上年采购额占比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%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）</w:t>
                  </w: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3CE418A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今年1-9月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采购额</w:t>
                  </w: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116523C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今年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1-9月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采购额占比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%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）</w:t>
                  </w:r>
                </w:p>
              </w:tc>
              <w:tc>
                <w:tcPr>
                  <w:tcW w:w="820" w:type="dxa"/>
                  <w:noWrap w:val="0"/>
                  <w:vAlign w:val="center"/>
                </w:tcPr>
                <w:p w14:paraId="7559CC7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结算方式</w:t>
                  </w:r>
                </w:p>
              </w:tc>
              <w:tc>
                <w:tcPr>
                  <w:tcW w:w="602" w:type="dxa"/>
                  <w:noWrap w:val="0"/>
                  <w:vAlign w:val="center"/>
                </w:tcPr>
                <w:p w14:paraId="5B6A1A4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both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账期</w:t>
                  </w:r>
                </w:p>
              </w:tc>
              <w:tc>
                <w:tcPr>
                  <w:tcW w:w="844" w:type="dxa"/>
                  <w:noWrap w:val="0"/>
                  <w:vAlign w:val="center"/>
                </w:tcPr>
                <w:p w14:paraId="5352F17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合作年限</w:t>
                  </w:r>
                </w:p>
              </w:tc>
            </w:tr>
            <w:tr w14:paraId="38386EE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46" w:type="dxa"/>
                  <w:noWrap w:val="0"/>
                  <w:vAlign w:val="center"/>
                </w:tcPr>
                <w:p w14:paraId="6434EF1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锐捷网络股份有限公司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64AADBB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货物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54A79CB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943</w:t>
                  </w: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15A3FE9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19.77%</w:t>
                  </w: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50BC571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 w:eastAsia="zh-CN" w:bidi="ar-SA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5DBC207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 w:eastAsia="zh-CN" w:bidi="ar-SA"/>
                    </w:rPr>
                  </w:pPr>
                </w:p>
              </w:tc>
              <w:tc>
                <w:tcPr>
                  <w:tcW w:w="820" w:type="dxa"/>
                  <w:noWrap w:val="0"/>
                  <w:vAlign w:val="top"/>
                </w:tcPr>
                <w:p w14:paraId="1A87421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602" w:type="dxa"/>
                  <w:noWrap w:val="0"/>
                  <w:vAlign w:val="top"/>
                </w:tcPr>
                <w:p w14:paraId="2EEA512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844" w:type="dxa"/>
                  <w:noWrap w:val="0"/>
                  <w:vAlign w:val="center"/>
                </w:tcPr>
                <w:p w14:paraId="7868AB4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4BE54F9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46" w:type="dxa"/>
                  <w:noWrap w:val="0"/>
                  <w:vAlign w:val="center"/>
                </w:tcPr>
                <w:p w14:paraId="7EDFF2A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北京星链南天科技有限公司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3F6E0F3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货物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6131676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186</w:t>
                  </w: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021DF59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3.90%</w:t>
                  </w: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254D668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5011C28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820" w:type="dxa"/>
                  <w:noWrap w:val="0"/>
                  <w:vAlign w:val="top"/>
                </w:tcPr>
                <w:p w14:paraId="040333C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602" w:type="dxa"/>
                  <w:noWrap w:val="0"/>
                  <w:vAlign w:val="top"/>
                </w:tcPr>
                <w:p w14:paraId="69531C3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844" w:type="dxa"/>
                  <w:noWrap w:val="0"/>
                  <w:vAlign w:val="center"/>
                </w:tcPr>
                <w:p w14:paraId="4699B0D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02FA3BB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46" w:type="dxa"/>
                  <w:noWrap w:val="0"/>
                  <w:vAlign w:val="center"/>
                </w:tcPr>
                <w:p w14:paraId="66AAF61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广州浩瀚星图信息技术有限公司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25683B3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货物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2A4E727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172</w:t>
                  </w: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7216821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3.61%</w:t>
                  </w: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1038C8B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3E66545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820" w:type="dxa"/>
                  <w:noWrap w:val="0"/>
                  <w:vAlign w:val="top"/>
                </w:tcPr>
                <w:p w14:paraId="02C8A56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602" w:type="dxa"/>
                  <w:noWrap w:val="0"/>
                  <w:vAlign w:val="top"/>
                </w:tcPr>
                <w:p w14:paraId="762484E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844" w:type="dxa"/>
                  <w:noWrap w:val="0"/>
                  <w:vAlign w:val="center"/>
                </w:tcPr>
                <w:p w14:paraId="69082DC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4363BF4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46" w:type="dxa"/>
                  <w:noWrap w:val="0"/>
                  <w:vAlign w:val="center"/>
                </w:tcPr>
                <w:p w14:paraId="5E798B4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新天科技股份有限公司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2E2E7DB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货物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560E4E2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90</w:t>
                  </w: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75D0686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1.88%</w:t>
                  </w: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12FCCF2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35FEB40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820" w:type="dxa"/>
                  <w:noWrap w:val="0"/>
                  <w:vAlign w:val="top"/>
                </w:tcPr>
                <w:p w14:paraId="27993BC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602" w:type="dxa"/>
                  <w:noWrap w:val="0"/>
                  <w:vAlign w:val="top"/>
                </w:tcPr>
                <w:p w14:paraId="393FDD7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844" w:type="dxa"/>
                  <w:noWrap w:val="0"/>
                  <w:vAlign w:val="center"/>
                </w:tcPr>
                <w:p w14:paraId="0316E0F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0ACFFD3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46" w:type="dxa"/>
                  <w:noWrap w:val="0"/>
                  <w:vAlign w:val="center"/>
                </w:tcPr>
                <w:p w14:paraId="415A019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精导信息技术有限公司司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0A6AC47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货物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2E44850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89</w:t>
                  </w: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24FD45B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1.87%</w:t>
                  </w: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5B78BF5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7F4286C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820" w:type="dxa"/>
                  <w:noWrap w:val="0"/>
                  <w:vAlign w:val="top"/>
                </w:tcPr>
                <w:p w14:paraId="374879B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602" w:type="dxa"/>
                  <w:noWrap w:val="0"/>
                  <w:vAlign w:val="top"/>
                </w:tcPr>
                <w:p w14:paraId="280E1D9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844" w:type="dxa"/>
                  <w:noWrap w:val="0"/>
                  <w:vAlign w:val="center"/>
                </w:tcPr>
                <w:p w14:paraId="7519CC3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272B26C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835" w:type="dxa"/>
                  <w:gridSpan w:val="9"/>
                  <w:noWrap w:val="0"/>
                  <w:vAlign w:val="center"/>
                </w:tcPr>
                <w:p w14:paraId="784CC36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r>
                </w:p>
              </w:tc>
            </w:tr>
          </w:tbl>
          <w:p w14:paraId="7A21CEA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843" w:firstLineChars="40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</w:p>
          <w:tbl>
            <w:tblPr>
              <w:tblStyle w:val="13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465"/>
              <w:gridCol w:w="854"/>
              <w:gridCol w:w="1007"/>
              <w:gridCol w:w="1735"/>
              <w:gridCol w:w="1402"/>
              <w:gridCol w:w="2117"/>
              <w:gridCol w:w="854"/>
              <w:gridCol w:w="549"/>
              <w:gridCol w:w="855"/>
            </w:tblGrid>
            <w:tr w14:paraId="0D9B429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242DAD2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  <w:t>主要下游销售客户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37463C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销售产品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E2AD17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上年销售额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53FC1E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上年销售额占比（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%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）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342E06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今年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1-9月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销售额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6C08E1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今年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1-9月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销售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额占比（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%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）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53E43C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结算方式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8DEFA5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账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期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5DA882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合作年限</w:t>
                  </w:r>
                </w:p>
              </w:tc>
            </w:tr>
            <w:tr w14:paraId="4FE17D4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7843F5F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涵江水利局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08A8B9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智慧水利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331F2DF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1116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1CC87A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10.02%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8544C2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ADB3D9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3E04CB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41A9AB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7849C8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01F766E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31CAA02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福建省翔远电子科技有限公司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278236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软硬件销售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6D1C03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1122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C3AC86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9.92%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53E5B9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2A56D1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327A14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044C48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D3F4D8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7BCCBA3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5AF7CD3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三明水利水电工程有限公司顺昌分公司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757D6C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智慧水利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01859D4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572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147B9A1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5.07%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4E492C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F0FAA0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B79432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A6B6BC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5FCBA2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55B314D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6037DE5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福州市福清公路事业发展中心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22CFD36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软硬件销售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06271D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396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DAF40B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3.51%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B60723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FA1F04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13E8F61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F6016F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8DCFD8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6418262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2D75749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济南展雄电子有限公司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3968CD2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智慧教育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1C6EFF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356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0406A2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2.99%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0FF03D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015AB2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469F70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F18833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576838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1A7F9B6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gridSpan w:val="9"/>
                  <w:noWrap w:val="0"/>
                  <w:vAlign w:val="center"/>
                </w:tcPr>
                <w:p w14:paraId="3DC2307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r>
                </w:p>
              </w:tc>
            </w:tr>
          </w:tbl>
          <w:p w14:paraId="1A32ADF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843" w:firstLineChars="40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</w:r>
          </w:p>
          <w:p w14:paraId="6B640D2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B05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材料未提供在手订单列表。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</w:rPr>
            </w:r>
          </w:p>
          <w:tbl>
            <w:tblPr>
              <w:tblStyle w:val="13"/>
              <w:tblW w:w="10844" w:type="dxa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849"/>
              <w:gridCol w:w="1313"/>
              <w:gridCol w:w="1923"/>
              <w:gridCol w:w="1586"/>
              <w:gridCol w:w="1586"/>
              <w:gridCol w:w="1587"/>
            </w:tblGrid>
            <w:tr w14:paraId="67C2511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55" w:hRule="atLeast"/>
                <w:jc w:val="center"/>
              </w:trPr>
              <w:tc>
                <w:tcPr>
                  <w:tcW w:w="1313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C3FF9D1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  <w:t>合同/公司名</w:t>
                  </w:r>
                </w:p>
              </w:tc>
              <w:tc>
                <w:tcPr>
                  <w:tcW w:w="605" w:type="pct"/>
                  <w:tcBorders>
                    <w:top w:val="single" w:color="auto" w:sz="4" w:space="0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8FFFB68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  <w:t>合同金额</w:t>
                  </w:r>
                </w:p>
              </w:tc>
              <w:tc>
                <w:tcPr>
                  <w:tcW w:w="886" w:type="pct"/>
                  <w:tcBorders>
                    <w:top w:val="single" w:color="auto" w:sz="4" w:space="0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D55B202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21"/>
                      <w:szCs w:val="21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  <w:t>签署日期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eastAsia="zh-CN"/>
                    </w:rPr>
                    <w:t>（期限）</w:t>
                  </w:r>
                </w:p>
              </w:tc>
              <w:tc>
                <w:tcPr>
                  <w:tcW w:w="731" w:type="pct"/>
                  <w:tcBorders>
                    <w:top w:val="single" w:color="auto" w:sz="4" w:space="0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399ECB5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default" w:ascii="宋体" w:hAnsi="宋体" w:eastAsia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en-US" w:eastAsia="zh-CN"/>
                    </w:rPr>
                    <w:t>确认收入时间</w:t>
                  </w:r>
                </w:p>
              </w:tc>
              <w:tc>
                <w:tcPr>
                  <w:tcW w:w="731" w:type="pct"/>
                  <w:tcBorders>
                    <w:top w:val="single" w:color="auto" w:sz="4" w:space="0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A0B75B3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auto"/>
                      <w:kern w:val="0"/>
                      <w:szCs w:val="21"/>
                      <w:highlight w:val="none"/>
                      <w:lang w:eastAsia="zh-CN"/>
                    </w:rPr>
                    <w:t>已履约金额</w:t>
                  </w:r>
                </w:p>
              </w:tc>
              <w:tc>
                <w:tcPr>
                  <w:tcW w:w="731" w:type="pct"/>
                  <w:tcBorders>
                    <w:top w:val="single" w:color="auto" w:sz="4" w:space="0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4AF4BA7C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auto"/>
                      <w:kern w:val="0"/>
                      <w:szCs w:val="21"/>
                      <w:highlight w:val="none"/>
                      <w:lang w:eastAsia="zh-CN"/>
                    </w:rPr>
                    <w:t>已回款金额</w:t>
                  </w:r>
                </w:p>
              </w:tc>
            </w:tr>
            <w:tr w14:paraId="5A0C187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55" w:hRule="atLeast"/>
                <w:jc w:val="center"/>
              </w:trPr>
              <w:tc>
                <w:tcPr>
                  <w:tcW w:w="1313" w:type="pct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4CA16D5">
                  <w:commentRangeStart w:id="18"/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  <w:t>中船重工第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  <w:t>XX研究所</w:t>
                  </w:r>
                  <w:commentRangeEnd w:id="18"/>
                  <w:r>
                    <w:rPr>
                      <w:rStyle w:val="CommentReference"/>
                    </w:rPr>
                    <w:commentReference w:id="18"/>
                  </w:r>
                </w:p>
              </w:tc>
              <w:tc>
                <w:tcPr>
                  <w:tcW w:w="605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3E12A32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  <w:t>2000</w:t>
                  </w:r>
                </w:p>
              </w:tc>
              <w:tc>
                <w:tcPr>
                  <w:tcW w:w="886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1C1BB5F0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21"/>
                      <w:szCs w:val="21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  <w:t>2021.11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eastAsia="zh-CN"/>
                    </w:rPr>
                    <w:t>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en-US" w:eastAsia="zh-CN"/>
                    </w:rPr>
                    <w:t>3年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eastAsia="zh-CN"/>
                    </w:rPr>
                    <w:t>）</w:t>
                  </w: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6D8C3B6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9C0847F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419CC682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</w:tr>
            <w:tr w14:paraId="0DF5A1E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55" w:hRule="atLeast"/>
                <w:jc w:val="center"/>
              </w:trPr>
              <w:tc>
                <w:tcPr>
                  <w:tcW w:w="1313" w:type="pct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37ED76F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605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3CFE999A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886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AC48470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B9B9C8C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211F258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D06F0D6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</w:tr>
            <w:tr w14:paraId="52AF4E5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55" w:hRule="atLeast"/>
                <w:jc w:val="center"/>
              </w:trPr>
              <w:tc>
                <w:tcPr>
                  <w:tcW w:w="1313" w:type="pct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5D063838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  <w:tc>
                <w:tcPr>
                  <w:tcW w:w="605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7814C51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  <w:tc>
                <w:tcPr>
                  <w:tcW w:w="886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C8F62E6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40BA8AF6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31123CCC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0B84F730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</w:tr>
            <w:tr w14:paraId="41E7C29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55" w:hRule="atLeast"/>
                <w:jc w:val="center"/>
              </w:trPr>
              <w:tc>
                <w:tcPr>
                  <w:tcW w:w="1313" w:type="pct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1C3F70BF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605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320416F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886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33305E57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01D0C40E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B4BC414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09ECB4FC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</w:tr>
            <w:tr w14:paraId="25C12B5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55" w:hRule="atLeast"/>
                <w:jc w:val="center"/>
              </w:trPr>
              <w:tc>
                <w:tcPr>
                  <w:tcW w:w="1313" w:type="pct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7C83A044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  <w:t>合计</w:t>
                  </w:r>
                </w:p>
              </w:tc>
              <w:tc>
                <w:tcPr>
                  <w:tcW w:w="605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2968ED9E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  <w:tc>
                <w:tcPr>
                  <w:tcW w:w="886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F860DB7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7B2D234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E9A82DC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02ABD0C9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</w:tr>
          </w:tbl>
          <w:p w14:paraId="773D182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2" w:firstLineChars="200"/>
              <w:jc w:val="left"/>
              <w:textAlignment w:val="baseline"/>
              <w:rPr>
                <w:rFonts w:hint="default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6.借款人主要财务指标情况：</w:t>
            </w:r>
          </w:p>
          <w:p w14:paraId="66F7E68A">
            <w:pPr>
              <w:ind w:firstLine="1265" w:firstLineChars="600"/>
              <w:rPr>
                <w:rFonts w:ascii="宋体" w:hAnsi="宋体" w:cs="宋体"/>
                <w:b/>
                <w:bCs/>
                <w:szCs w:val="21"/>
                <w:highlight w:val="none"/>
              </w:rPr>
            </w:pPr>
            <w:r>
              <w:rPr>
                <w:rFonts w:hint="eastAsia" w:ascii="宋体" w:hAnsi="宋体"/>
                <w:b/>
                <w:bCs/>
                <w:color w:val="000000"/>
                <w:highlight w:val="none"/>
                <w:lang w:val="en-US" w:eastAsia="zh-CN"/>
              </w:rPr>
              <w:t>①</w:t>
            </w:r>
            <w:r>
              <w:rPr>
                <w:rFonts w:ascii="宋体" w:hAnsi="宋体"/>
                <w:b/>
                <w:bCs/>
                <w:color w:val="000000"/>
                <w:highlight w:val="none"/>
              </w:rPr>
              <w:t>财务真实性验证(税务数据验证)</w:t>
            </w:r>
          </w:p>
          <w:tbl>
            <w:tblPr>
              <w:tblStyle w:val="13"/>
              <w:tblW w:w="8416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710"/>
              <w:gridCol w:w="2013"/>
              <w:gridCol w:w="1851"/>
              <w:gridCol w:w="1842"/>
            </w:tblGrid>
            <w:tr w14:paraId="6A02492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660" w:hRule="atLeast"/>
                <w:jc w:val="center"/>
              </w:trPr>
              <w:tc>
                <w:tcPr>
                  <w:tcW w:w="2710" w:type="dxa"/>
                  <w:noWrap w:val="0"/>
                  <w:vAlign w:val="center"/>
                </w:tcPr>
                <w:p w14:paraId="08152143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2013" w:type="dxa"/>
                  <w:noWrap w:val="0"/>
                  <w:vAlign w:val="center"/>
                </w:tcPr>
                <w:p w14:paraId="4DDF0B90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Style w:val="20"/>
                      <w:rFonts w:hint="eastAsia" w:ascii="宋体" w:hAnsi="宋体" w:cs="宋体"/>
                      <w:sz w:val="18"/>
                      <w:szCs w:val="18"/>
                      <w:highlight w:val="none"/>
                      <w:lang w:val="en-US" w:eastAsia="zh-CN"/>
                    </w:rPr>
                    <w:t>2023</w:t>
                  </w:r>
                  <w:r>
                    <w:rPr>
                      <w:rStyle w:val="20"/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  <w:t>年</w:t>
                  </w:r>
                </w:p>
              </w:tc>
              <w:tc>
                <w:tcPr>
                  <w:tcW w:w="1851" w:type="dxa"/>
                  <w:noWrap w:val="0"/>
                  <w:vAlign w:val="center"/>
                </w:tcPr>
                <w:p w14:paraId="7B84AABF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Style w:val="20"/>
                      <w:rFonts w:hint="eastAsia" w:ascii="宋体" w:hAnsi="宋体" w:cs="宋体"/>
                      <w:sz w:val="18"/>
                      <w:szCs w:val="18"/>
                      <w:highlight w:val="none"/>
                      <w:lang w:val="en-US" w:eastAsia="zh-CN"/>
                    </w:rPr>
                    <w:t>2024</w:t>
                  </w:r>
                  <w:r>
                    <w:rPr>
                      <w:rStyle w:val="20"/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  <w:t>年</w:t>
                  </w:r>
                </w:p>
              </w:tc>
              <w:tc>
                <w:tcPr>
                  <w:tcW w:w="1842" w:type="dxa"/>
                  <w:noWrap w:val="0"/>
                  <w:vAlign w:val="center"/>
                </w:tcPr>
                <w:p w14:paraId="30D97191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补充说明：（</w:t>
                  </w: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比对财报与纳税申报表</w:t>
                  </w: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</w:rPr>
                    <w:t>数据，</w:t>
                  </w: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  <w:lang w:val="en-US" w:eastAsia="zh-CN"/>
                    </w:rPr>
                    <w:t>如</w:t>
                  </w: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</w:rPr>
                    <w:t>不一致</w:t>
                  </w: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  <w:lang w:eastAsia="zh-CN"/>
                    </w:rPr>
                    <w:t>，</w:t>
                  </w: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  <w:lang w:val="en-US" w:eastAsia="zh-CN"/>
                    </w:rPr>
                    <w:t>请</w:t>
                  </w: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</w:rPr>
                    <w:t>说明</w:t>
                  </w: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  <w:lang w:val="en-US" w:eastAsia="zh-CN"/>
                    </w:rPr>
                    <w:t>原因</w:t>
                  </w: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</w:rPr>
                    <w:t>）</w:t>
                  </w:r>
                </w:p>
              </w:tc>
            </w:tr>
            <w:tr w14:paraId="059ACE9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90" w:hRule="atLeast"/>
                <w:jc w:val="center"/>
              </w:trPr>
              <w:tc>
                <w:tcPr>
                  <w:tcW w:w="2710" w:type="dxa"/>
                  <w:noWrap w:val="0"/>
                  <w:vAlign w:val="center"/>
                </w:tcPr>
                <w:p w14:paraId="48293595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财报销售收入</w:t>
                  </w:r>
                </w:p>
              </w:tc>
              <w:tc>
                <w:tcPr>
                  <w:tcW w:w="2013" w:type="dxa"/>
                  <w:noWrap w:val="0"/>
                  <w:vAlign w:val="center"/>
                </w:tcPr>
                <w:p w14:paraId="04E6F598">
                  <w:pPr>
                    <w:jc w:val="center"/>
                    <w:rPr>
                      <w:rFonts w:hint="default" w:ascii="宋体" w:hAnsi="宋体" w:eastAsia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  <w:t>13006</w:t>
                  </w:r>
                </w:p>
              </w:tc>
              <w:tc>
                <w:tcPr>
                  <w:tcW w:w="1851" w:type="dxa"/>
                  <w:noWrap w:val="0"/>
                  <w:vAlign w:val="center"/>
                </w:tcPr>
                <w:p w14:paraId="50897833">
                  <w:pPr>
                    <w:jc w:val="center"/>
                    <w:rPr>
                      <w:rFonts w:hint="default" w:ascii="宋体" w:hAnsi="宋体" w:eastAsia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  <w:t>12325</w:t>
                  </w:r>
                </w:p>
              </w:tc>
              <w:tc>
                <w:tcPr>
                  <w:tcW w:w="1842" w:type="dxa"/>
                  <w:noWrap w:val="0"/>
                  <w:vAlign w:val="center"/>
                </w:tcPr>
                <w:p w14:paraId="75EFDF00">
                  <w:pPr>
                    <w:jc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</w:p>
              </w:tc>
            </w:tr>
            <w:tr w14:paraId="7BBC040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00" w:hRule="atLeast"/>
                <w:jc w:val="center"/>
              </w:trPr>
              <w:tc>
                <w:tcPr>
                  <w:tcW w:w="2710" w:type="dxa"/>
                  <w:noWrap w:val="0"/>
                  <w:vAlign w:val="center"/>
                </w:tcPr>
                <w:p w14:paraId="277A6153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纳税申报表合计收入</w:t>
                  </w:r>
                </w:p>
              </w:tc>
              <w:tc>
                <w:tcPr>
                  <w:tcW w:w="2013" w:type="dxa"/>
                  <w:noWrap w:val="0"/>
                  <w:vAlign w:val="center"/>
                </w:tcPr>
                <w:p w14:paraId="454DDE5F">
                  <w:pPr>
                    <w:jc w:val="center"/>
                    <w:rPr>
                      <w:rFonts w:hint="default" w:ascii="宋体" w:hAnsi="宋体" w:eastAsia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  <w:t>13006</w:t>
                  </w:r>
                </w:p>
              </w:tc>
              <w:tc>
                <w:tcPr>
                  <w:tcW w:w="1851" w:type="dxa"/>
                  <w:noWrap w:val="0"/>
                  <w:vAlign w:val="center"/>
                </w:tcPr>
                <w:p w14:paraId="46F1C1CD">
                  <w:pPr>
                    <w:jc w:val="center"/>
                    <w:rPr>
                      <w:rFonts w:hint="default" w:ascii="宋体" w:hAnsi="宋体" w:eastAsia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  <w:t>12325</w:t>
                  </w:r>
                </w:p>
              </w:tc>
              <w:tc>
                <w:tcPr>
                  <w:tcW w:w="1842" w:type="dxa"/>
                  <w:noWrap w:val="0"/>
                  <w:vAlign w:val="center"/>
                </w:tcPr>
                <w:p w14:paraId="0F42C459">
                  <w:pPr>
                    <w:jc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</w:p>
              </w:tc>
            </w:tr>
            <w:tr w14:paraId="38BD53C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00" w:hRule="atLeast"/>
                <w:jc w:val="center"/>
              </w:trPr>
              <w:tc>
                <w:tcPr>
                  <w:tcW w:w="2710" w:type="dxa"/>
                  <w:noWrap w:val="0"/>
                  <w:vAlign w:val="center"/>
                </w:tcPr>
                <w:p w14:paraId="1D3E4A34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纳税收入占财报百分比</w:t>
                  </w:r>
                </w:p>
              </w:tc>
              <w:tc>
                <w:tcPr>
                  <w:tcW w:w="2013" w:type="dxa"/>
                  <w:noWrap w:val="0"/>
                  <w:vAlign w:val="center"/>
                </w:tcPr>
                <w:p w14:paraId="15ED0AEB">
                  <w:pPr>
                    <w:jc w:val="center"/>
                    <w:rPr>
                      <w:rFonts w:hint="default" w:ascii="宋体" w:hAnsi="宋体" w:eastAsia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  <w:t>100%</w:t>
                  </w:r>
                </w:p>
              </w:tc>
              <w:tc>
                <w:tcPr>
                  <w:tcW w:w="1851" w:type="dxa"/>
                  <w:noWrap w:val="0"/>
                  <w:vAlign w:val="center"/>
                </w:tcPr>
                <w:p w14:paraId="0F9A2572">
                  <w:pPr>
                    <w:jc w:val="center"/>
                    <w:rPr>
                      <w:rFonts w:hint="default" w:ascii="宋体" w:hAnsi="宋体" w:eastAsia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  <w:t>100%</w:t>
                  </w:r>
                </w:p>
              </w:tc>
              <w:tc>
                <w:tcPr>
                  <w:tcW w:w="1842" w:type="dxa"/>
                  <w:noWrap w:val="0"/>
                  <w:vAlign w:val="center"/>
                </w:tcPr>
                <w:p w14:paraId="38EEE174">
                  <w:pPr>
                    <w:jc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</w:p>
              </w:tc>
            </w:tr>
          </w:tbl>
          <w:p w14:paraId="4F09DCC3">
            <w:pPr>
              <w:ind w:firstLine="1265" w:firstLineChars="600"/>
              <w:rPr>
                <w:rFonts w:ascii="宋体" w:hAnsi="宋体"/>
                <w:b/>
                <w:bCs/>
                <w:color w:val="000000"/>
                <w:highlight w:val="none"/>
              </w:rPr>
            </w:pPr>
            <w:r>
              <w:rPr>
                <w:rFonts w:hint="eastAsia" w:ascii="宋体" w:hAnsi="宋体"/>
                <w:b/>
                <w:bCs/>
                <w:color w:val="000000"/>
                <w:highlight w:val="none"/>
                <w:lang w:val="en-US" w:eastAsia="zh-CN"/>
              </w:rPr>
              <w:t>②</w:t>
            </w:r>
            <w:r>
              <w:rPr>
                <w:rFonts w:ascii="宋体" w:hAnsi="宋体"/>
                <w:b/>
                <w:bCs/>
                <w:color w:val="000000"/>
                <w:highlight w:val="none"/>
              </w:rPr>
              <w:t>财务真实性验证(银行流水验证)</w:t>
            </w:r>
          </w:p>
          <w:tbl>
            <w:tblPr>
              <w:tblStyle w:val="13"/>
              <w:tblW w:w="8440" w:type="dxa"/>
              <w:jc w:val="center"/>
              <w:tblBorders>
                <w:top w:val="single" w:color="000000" w:sz="0" w:space="0"/>
                <w:left w:val="single" w:color="000000" w:sz="0" w:space="0"/>
                <w:bottom w:val="single" w:color="000000" w:sz="0" w:space="0"/>
                <w:right w:val="single" w:color="000000" w:sz="0" w:space="0"/>
                <w:insideH w:val="single" w:color="000000" w:sz="0" w:space="0"/>
                <w:insideV w:val="single" w:color="000000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131"/>
              <w:gridCol w:w="1234"/>
              <w:gridCol w:w="1292"/>
              <w:gridCol w:w="1570"/>
              <w:gridCol w:w="1806"/>
              <w:gridCol w:w="1407"/>
            </w:tblGrid>
            <w:tr w14:paraId="11782114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59" w:hRule="atLeast"/>
                <w:jc w:val="center"/>
              </w:trPr>
              <w:tc>
                <w:tcPr>
                  <w:tcW w:w="1131" w:type="dxa"/>
                  <w:noWrap w:val="0"/>
                  <w:vAlign w:val="center"/>
                </w:tcPr>
                <w:p w14:paraId="31FA0797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  <w:t>开户行</w:t>
                  </w:r>
                </w:p>
              </w:tc>
              <w:tc>
                <w:tcPr>
                  <w:tcW w:w="1234" w:type="dxa"/>
                  <w:noWrap w:val="0"/>
                  <w:vAlign w:val="center"/>
                </w:tcPr>
                <w:p w14:paraId="18780026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  <w:t>户名</w:t>
                  </w:r>
                </w:p>
              </w:tc>
              <w:tc>
                <w:tcPr>
                  <w:tcW w:w="1292" w:type="dxa"/>
                  <w:noWrap w:val="0"/>
                  <w:vAlign w:val="center"/>
                </w:tcPr>
                <w:p w14:paraId="2FBFFF72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  <w:t>账号</w:t>
                  </w:r>
                </w:p>
              </w:tc>
              <w:tc>
                <w:tcPr>
                  <w:tcW w:w="1570" w:type="dxa"/>
                  <w:noWrap w:val="0"/>
                  <w:vAlign w:val="center"/>
                </w:tcPr>
                <w:p w14:paraId="49AB9F5F">
                  <w:pPr>
                    <w:widowControl/>
                    <w:jc w:val="center"/>
                    <w:textAlignment w:val="center"/>
                    <w:rPr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  <w:t>与借款人关系</w:t>
                  </w:r>
                </w:p>
              </w:tc>
              <w:tc>
                <w:tcPr>
                  <w:tcW w:w="1806" w:type="dxa"/>
                  <w:noWrap w:val="0"/>
                  <w:vAlign w:val="center"/>
                </w:tcPr>
                <w:p w14:paraId="6C31AF90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  <w:t>时间段（</w:t>
                  </w: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eastAsia="zh-CN"/>
                    </w:rPr>
                    <w:t>上一完整年度及本年度</w:t>
                  </w: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  <w:t>）</w:t>
                  </w:r>
                </w:p>
              </w:tc>
              <w:tc>
                <w:tcPr>
                  <w:tcW w:w="1407" w:type="dxa"/>
                  <w:noWrap w:val="0"/>
                  <w:vAlign w:val="center"/>
                </w:tcPr>
                <w:p w14:paraId="6130E6B6">
                  <w:pPr>
                    <w:widowControl/>
                    <w:jc w:val="center"/>
                    <w:textAlignment w:val="center"/>
                    <w:rPr>
                      <w:rFonts w:hint="eastAsia" w:ascii="宋体" w:hAnsi="宋体" w:eastAsia="宋体" w:cs="宋体"/>
                      <w:color w:val="000000"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  <w:t>流入量</w:t>
                  </w: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eastAsia="zh-CN"/>
                    </w:rPr>
                    <w:t>（</w:t>
                  </w: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  <w:t>万元</w:t>
                  </w: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eastAsia="zh-CN"/>
                    </w:rPr>
                    <w:t>）</w:t>
                  </w:r>
                </w:p>
              </w:tc>
            </w:tr>
            <w:tr w14:paraId="122E3F19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59" w:hRule="atLeast"/>
                <w:jc w:val="center"/>
              </w:trPr>
              <w:tc>
                <w:tcPr>
                  <w:tcW w:w="1131" w:type="dxa"/>
                  <w:noWrap w:val="0"/>
                  <w:vAlign w:val="center"/>
                </w:tcPr>
                <w:p w14:paraId="1A095D91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234" w:type="dxa"/>
                  <w:noWrap w:val="0"/>
                  <w:vAlign w:val="center"/>
                </w:tcPr>
                <w:p w14:paraId="16B1B4B6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t>中国银行股份有限公司福建省分行</w:t>
                  </w:r>
                </w:p>
              </w:tc>
              <w:tc>
                <w:tcPr>
                  <w:tcW w:w="1292" w:type="dxa"/>
                  <w:noWrap w:val="0"/>
                  <w:vAlign w:val="center"/>
                </w:tcPr>
                <w:p w14:paraId="05EED2B0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t>福建中锐网络股份有限公司</w:t>
                  </w:r>
                </w:p>
              </w:tc>
              <w:tc>
                <w:tcPr>
                  <w:tcW w:w="1570" w:type="dxa"/>
                  <w:noWrap w:val="0"/>
                  <w:vAlign w:val="center"/>
                </w:tcPr>
                <w:p w14:paraId="6D92B1EA">
                  <w:pPr>
                    <w:widowControl/>
                    <w:jc w:val="center"/>
                    <w:textAlignment w:val="center"/>
                    <w:rPr>
                      <w:sz w:val="18"/>
                      <w:szCs w:val="18"/>
                      <w:highlight w:val="none"/>
                    </w:rPr>
                  </w:pPr>
                  <w:r>
                    <w:t>409161646186</w:t>
                  </w:r>
                </w:p>
              </w:tc>
              <w:tc>
                <w:tcPr>
                  <w:tcW w:w="1806" w:type="dxa"/>
                  <w:noWrap w:val="0"/>
                  <w:vAlign w:val="center"/>
                </w:tcPr>
                <w:p w14:paraId="1A09EB77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  <w:t>年月至年月</w:t>
                  </w:r>
                </w:p>
              </w:tc>
              <w:tc>
                <w:tcPr>
                  <w:tcW w:w="1407" w:type="dxa"/>
                  <w:noWrap w:val="0"/>
                  <w:vAlign w:val="center"/>
                </w:tcPr>
                <w:p w14:paraId="735CE757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t>148062</w:t>
                  </w:r>
                </w:p>
              </w:tc>
            </w:tr>
          </w:tbl>
          <w:p w14:paraId="18C924E5">
            <w:pPr>
              <w:rPr>
                <w:rFonts w:ascii="宋体" w:hAnsi="宋体" w:cs="宋体"/>
                <w:szCs w:val="21"/>
                <w:highlight w:val="none"/>
              </w:rPr>
            </w:pPr>
          </w:p>
          <w:tbl>
            <w:tblPr>
              <w:tblStyle w:val="13"/>
              <w:tblW w:w="8581" w:type="dxa"/>
              <w:jc w:val="center"/>
              <w:tblBorders>
                <w:top w:val="single" w:color="000000" w:sz="0" w:space="0"/>
                <w:left w:val="single" w:color="000000" w:sz="0" w:space="0"/>
                <w:bottom w:val="single" w:color="000000" w:sz="0" w:space="0"/>
                <w:right w:val="single" w:color="000000" w:sz="0" w:space="0"/>
                <w:insideH w:val="single" w:color="000000" w:sz="0" w:space="0"/>
                <w:insideV w:val="single" w:color="000000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905"/>
              <w:gridCol w:w="5676"/>
            </w:tblGrid>
            <w:tr w14:paraId="6D32FE28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</w:tblPrEx>
              <w:trPr>
                <w:jc w:val="center"/>
              </w:trPr>
              <w:tc>
                <w:tcPr>
                  <w:tcW w:w="2905" w:type="dxa"/>
                  <w:noWrap w:val="0"/>
                  <w:vAlign w:val="center"/>
                </w:tcPr>
                <w:p w14:paraId="62A8CFE1">
                  <w:pPr>
                    <w:jc w:val="center"/>
                    <w:rPr>
                      <w:rFonts w:ascii="宋体" w:hAnsi="宋体" w:cs="宋体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</w:rPr>
                    <w:t>申请额度与半年流入量占比</w:t>
                  </w:r>
                </w:p>
              </w:tc>
              <w:tc>
                <w:tcPr>
                  <w:tcW w:w="5676" w:type="dxa"/>
                  <w:noWrap w:val="0"/>
                  <w:vAlign w:val="center"/>
                </w:tcPr>
                <w:p w14:paraId="6F7F608A">
                  <w:pPr>
                    <w:jc w:val="center"/>
                    <w:rPr>
                      <w:rFonts w:ascii="宋体" w:hAnsi="宋体" w:cs="宋体"/>
                      <w:sz w:val="18"/>
                      <w:szCs w:val="18"/>
                      <w:highlight w:val="none"/>
                    </w:rPr>
                  </w:pPr>
                </w:p>
              </w:tc>
            </w:tr>
            <w:tr w14:paraId="4CB13135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905" w:type="dxa"/>
                  <w:noWrap w:val="0"/>
                  <w:vAlign w:val="center"/>
                </w:tcPr>
                <w:p w14:paraId="27B7886B">
                  <w:pPr>
                    <w:jc w:val="center"/>
                    <w:rPr>
                      <w:rFonts w:ascii="宋体" w:hAnsi="宋体" w:cs="宋体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</w:rPr>
                    <w:t>补充说明：</w:t>
                  </w:r>
                </w:p>
              </w:tc>
              <w:tc>
                <w:tcPr>
                  <w:tcW w:w="5676" w:type="dxa"/>
                  <w:noWrap w:val="0"/>
                  <w:vAlign w:val="top"/>
                </w:tcPr>
                <w:p w14:paraId="0E4A9046">
                  <w:pPr>
                    <w:jc w:val="left"/>
                    <w:rPr>
                      <w:rFonts w:ascii="宋体" w:hAnsi="宋体" w:cs="宋体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auto"/>
                      <w:sz w:val="18"/>
                      <w:szCs w:val="18"/>
                      <w:highlight w:val="none"/>
                      <w:lang w:eastAsia="zh-CN"/>
                    </w:rPr>
                    <w:t>公司已提供纳税申报表，不再提供流水佐证。</w:t>
                  </w:r>
                </w:p>
              </w:tc>
            </w:tr>
          </w:tbl>
          <w:p w14:paraId="06BC0FC0">
            <w:pPr>
              <w:ind w:firstLine="1265" w:firstLineChars="600"/>
              <w:rPr>
                <w:rFonts w:hint="eastAsia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③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近三年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及最近一期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财务数据</w:t>
            </w:r>
          </w:p>
          <w:p w14:paraId="424A39D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 w:firstLineChars="200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材料未提供财务真实性验证相关材料。借款人近三年及最近一期主要财务数据如下：2025年末总资产16956万元，较年初下降8.7%；营业收入10010万元，同比增长14.9%；净利润494万元，同比增长50.1%。盈利能力方面，毛利率38.0%（同比-0.8个百分点），净利率4.9%（同比+1.2个百分点），营业利润率4.8%（同比+0.2个百分点），整体盈利能力有所改善。偿债能力方面，资产负债率42.5%，较年初下降7.7个百分点，流动比率1.82倍，速动比率1.51倍，偿债能力指标处于合理区间且较年初改善。营运效率方面，应收账款7430万元，较年初下降19.7%，周转天数271天，较上年改善117天，但仍显著高于软件信息业90-180天典型区间，主要由于项目验收周期较长；存货2192万元，较年初大幅增长88.0%，周转天数129天，同比增加49天，高于行业30-90天区间，主要由于定制化项目未验收沉淀为存货，存在存货积压信号。应付账款1026万元，较年初下降56.0%。现金流方面，经营活动净现金流791万元，经营现金流/净利润为1.60，销售收现比为1.04，现金流质量健康。短期借款4730万元，年经营现金流791万元，短期偿债需依赖经营现金流滚动偿还及再融资。总体来看，借款人盈利能力与现金流质量改善，偿债指标处于行业合理区间，但需关注存货积压对流动性的影响及短期债务的滚动偿还压力。材料未提供主营业务收入、盈利能力变动原因及固定资产投资情况说明。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eastAsia="zh-CN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eastAsia="zh-CN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eastAsia="宋体" w:cs="宋体"/>
                <w:sz w:val="21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eastAsia="宋体" w:cs="宋体"/>
                <w:sz w:val="21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</w:r>
          </w:p>
          <w:tbl>
            <w:tblPr>
              <w:tblStyle w:val="13"/>
              <w:tblW w:w="4998" w:type="pct"/>
              <w:jc w:val="center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14"/>
              <w:gridCol w:w="714"/>
              <w:gridCol w:w="714"/>
              <w:gridCol w:w="714"/>
              <w:gridCol w:w="714"/>
              <w:gridCol w:w="714"/>
              <w:gridCol w:w="714"/>
            </w:tblGrid>
            <w:tr w14:paraId="79B8106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EE094E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科目</w:t>
                  </w:r>
                </w:p>
              </w:tc>
              <w:tc>
                <w:tcPr>
                  <w:tcW w:w="714" w:type="pct"/>
                  <w:tcBorders>
                    <w:top w:val="single" w:color="000000" w:sz="8" w:space="0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E2B6EB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2022年</w:t>
                  </w:r>
                </w:p>
              </w:tc>
              <w:tc>
                <w:tcPr>
                  <w:tcW w:w="714" w:type="pct"/>
                  <w:tcBorders>
                    <w:top w:val="single" w:color="000000" w:sz="8" w:space="0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12AE58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2023年</w:t>
                  </w:r>
                </w:p>
              </w:tc>
              <w:tc>
                <w:tcPr>
                  <w:tcW w:w="714" w:type="pct"/>
                  <w:tcBorders>
                    <w:top w:val="single" w:color="000000" w:sz="8" w:space="0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2D6447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2024年</w:t>
                  </w:r>
                </w:p>
              </w:tc>
              <w:tc>
                <w:tcPr>
                  <w:tcW w:w="714" w:type="pct"/>
                  <w:tcBorders>
                    <w:top w:val="single" w:color="000000" w:sz="8" w:space="0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0AE62D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2024.9</w:t>
                  </w:r>
                </w:p>
              </w:tc>
              <w:tc>
                <w:tcPr>
                  <w:tcW w:w="714" w:type="pct"/>
                  <w:tcBorders>
                    <w:top w:val="single" w:color="000000" w:sz="8" w:space="0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335A2A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2025.9</w:t>
                  </w:r>
                </w:p>
              </w:tc>
              <w:tc>
                <w:tcPr>
                  <w:tcW w:w="714" w:type="pct"/>
                  <w:tcBorders>
                    <w:top w:val="single" w:color="000000" w:sz="8" w:space="0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335A2A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2025</w:t>
                  </w:r>
                </w:p>
              </w:tc>
            </w:tr>
            <w:tr w14:paraId="30507B2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77C411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资产合计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98FDE4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17895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EB6889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17940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E44105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18575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D6C44F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10CE0A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10CE0A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16956</w:t>
                  </w:r>
                </w:p>
              </w:tc>
            </w:tr>
            <w:tr w14:paraId="460A814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91C2B1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流动资产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1684F2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14283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6CC8C2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14192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DDD956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14708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6B7279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D328F7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D328F7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13110</w:t>
                  </w:r>
                </w:p>
              </w:tc>
            </w:tr>
            <w:tr w14:paraId="4922B25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F0D613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货币资金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D7D4A4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1104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8CD1E1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1522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3A4255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506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D8ED8C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034C59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  <w:lang w:val="en-US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034C59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  <w:lang w:val="en-US"/>
                    </w:rPr>
                  </w:pPr>
                  <w:r>
                    <w:t>286</w:t>
                  </w:r>
                </w:p>
              </w:tc>
            </w:tr>
            <w:tr w14:paraId="4F82D7A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72402C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应收票据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3910F4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DB6EDC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256D67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0E974E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B5C5BA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  <w:lang w:val="en-US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B5C5BA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  <w:lang w:val="en-US"/>
                    </w:rPr>
                  </w:pPr>
                </w:p>
              </w:tc>
            </w:tr>
            <w:tr w14:paraId="04C6C64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ED9A1C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应收账款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CF77FE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4410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9579F3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6354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19F595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9253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4890AC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CAEF5A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CAEF5A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7430</w:t>
                  </w:r>
                </w:p>
              </w:tc>
            </w:tr>
            <w:tr w14:paraId="1E3AAF6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68C166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预付账款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8D9142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132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E2D83C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151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3E3446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260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CA9421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9A892A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9A892A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428</w:t>
                  </w:r>
                </w:p>
              </w:tc>
            </w:tr>
            <w:tr w14:paraId="5238216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F2AF87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其它应收款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F8FC4B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1432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E857E6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3621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FF00B0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3522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A8917F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4CAD89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4CAD89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2774</w:t>
                  </w:r>
                </w:p>
              </w:tc>
            </w:tr>
            <w:tr w14:paraId="29BCDB1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CB0F1F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存货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EED94D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5301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415C2D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2545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64B65A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1166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D5572A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680A38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680A38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2192</w:t>
                  </w:r>
                </w:p>
              </w:tc>
            </w:tr>
            <w:tr w14:paraId="78BCEFD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34061E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非流动资产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9CFFB8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3612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98B943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3748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410721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3868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8B156F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E041B7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E041B7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3847</w:t>
                  </w:r>
                </w:p>
              </w:tc>
            </w:tr>
            <w:tr w14:paraId="204033A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884FDB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固定资产净值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FB28E1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161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4CFBDF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256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49F87C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164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44612C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3D8C95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3D8C95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93</w:t>
                  </w:r>
                </w:p>
              </w:tc>
            </w:tr>
            <w:tr w14:paraId="1985DD4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6E0FD5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无形资产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0C91CF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729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4640AA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994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8B70D9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537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279E9C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855DB5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855DB5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156</w:t>
                  </w:r>
                </w:p>
              </w:tc>
            </w:tr>
            <w:tr w14:paraId="429CA14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FD1D72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负债合计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071C3D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9537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4D3D28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9014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D62999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9320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E998AC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C11020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C11020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7207</w:t>
                  </w:r>
                </w:p>
              </w:tc>
            </w:tr>
            <w:tr w14:paraId="1B026A0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DEEDE3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流动负债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183B2D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9537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B4C62F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9014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3A3CBC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9320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AD9CF9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21B152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21B152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7207</w:t>
                  </w:r>
                </w:p>
              </w:tc>
            </w:tr>
            <w:tr w14:paraId="374CA6C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FF0D86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短期借款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1A4B37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3000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DF9182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4000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67E82B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4990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7D206D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D1510A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D1510A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4730</w:t>
                  </w:r>
                </w:p>
              </w:tc>
            </w:tr>
            <w:tr w14:paraId="54A7249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00D815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应付票据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D212DB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ED2A57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64A764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BBE9DB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DF169C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DF169C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</w:tr>
            <w:tr w14:paraId="0F1D276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85AC6E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应付账款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1FA54C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1490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C60621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1847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7E8A07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2333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BA1BAB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0E9067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0E9067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1026</w:t>
                  </w:r>
                </w:p>
              </w:tc>
            </w:tr>
            <w:tr w14:paraId="213ED63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A7EB4A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应付税金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338252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130E83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F5098C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F59D10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E7D90B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E7D90B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</w:tr>
            <w:tr w14:paraId="6114BFA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FA05BE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其它应交款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947625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3BA162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8FD5D7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9CEC76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DBE65F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DBE65F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</w:tr>
            <w:tr w14:paraId="26E17EE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942060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长期借款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9AEC1A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BACC52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0EDF86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2393A2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9E5883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9E5883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</w:tr>
            <w:tr w14:paraId="37AD26B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C49BC5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股东权益合计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6AD7E2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8357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739A59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8927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92225E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9256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54E9BA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81535B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81535B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9749</w:t>
                  </w:r>
                </w:p>
              </w:tc>
            </w:tr>
            <w:tr w14:paraId="0389254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47E688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实收资本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279DE1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58D7F2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CC2EAC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4100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06B903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CE8365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CE8365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4100</w:t>
                  </w:r>
                </w:p>
              </w:tc>
            </w:tr>
            <w:tr w14:paraId="0FEF6C9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14AFA5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资本公积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5DAB60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3298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773F3B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3298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07146A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3298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F633E2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AC4CF5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AC4CF5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3298</w:t>
                  </w:r>
                </w:p>
              </w:tc>
            </w:tr>
            <w:tr w14:paraId="0B87F3B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461047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盈余公积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07553F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160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2E3158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199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1F3531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232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363242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C40B91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C40B91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232</w:t>
                  </w:r>
                </w:p>
              </w:tc>
            </w:tr>
            <w:tr w14:paraId="1FBCDEB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9F2132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未分配利润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C46B43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799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98C183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1329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BDFA0F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1625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8AA2EA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695E99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695E99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2119</w:t>
                  </w:r>
                </w:p>
              </w:tc>
            </w:tr>
            <w:tr w14:paraId="34FD1DD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815A47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主营业务收入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227317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21198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993CA4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12130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6863C7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8712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8546E1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D74B45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D74B45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10010</w:t>
                  </w:r>
                </w:p>
              </w:tc>
            </w:tr>
            <w:tr w14:paraId="227B18E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241A2B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减：主营业务成本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5741AC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14721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A1E03F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8819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E3C4D4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5332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21DC59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792361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792361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6204</w:t>
                  </w:r>
                </w:p>
              </w:tc>
            </w:tr>
            <w:tr w14:paraId="01392C0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7F8FF3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主营业务税金及附加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29AC8C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85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30A04E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74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078AD6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E1F3E3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8AB411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8AB411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</w:tr>
            <w:tr w14:paraId="3E3CE8A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DDF946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主营业务利润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47B40B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AD0CE2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2316BE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0BB30A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41E9DB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41E9DB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</w:tr>
            <w:tr w14:paraId="181B2FE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AC261B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营业费用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9DD727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75C022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C5086E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636ADD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89BEA4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89BEA4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</w:tr>
            <w:tr w14:paraId="7AE5747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9DF15B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管理费用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61226F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867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0EB7F7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535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16DD83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619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38607B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FA786A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FA786A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1116</w:t>
                  </w:r>
                </w:p>
              </w:tc>
            </w:tr>
            <w:tr w14:paraId="6F9AF5A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A8920C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财务费用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F61213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80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A1E4D3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131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C1250D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202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0D52E6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363E83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363E83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167</w:t>
                  </w:r>
                </w:p>
              </w:tc>
            </w:tr>
            <w:tr w14:paraId="69670DC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90223E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营业利润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55A935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1086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AD7AE1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502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2288F9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400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55AC4C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0DDC30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0DDC30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476</w:t>
                  </w:r>
                </w:p>
              </w:tc>
            </w:tr>
            <w:tr w14:paraId="1147671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7348F3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减：所得税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4A1713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100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D08BC7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108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B4B3C5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56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BFE72D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2DE737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2DE737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0</w:t>
                  </w:r>
                </w:p>
              </w:tc>
            </w:tr>
            <w:tr w14:paraId="206070F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19E665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净利润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70E3F2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983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208285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393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3D7FA8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329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9D25A0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17CB8F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17CB8F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494</w:t>
                  </w:r>
                </w:p>
              </w:tc>
            </w:tr>
            <w:tr w14:paraId="76AE6FD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10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 w:val="0"/>
                  <w:vAlign w:val="top"/>
                </w:tcPr>
                <w:p w14:paraId="3602E35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top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资产负债率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1A89AC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53.29%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9F11C8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50.25%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B57267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50.17%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A4165F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9B9C86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9B9C86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42.5%</w:t>
                  </w:r>
                </w:p>
              </w:tc>
            </w:tr>
            <w:tr w14:paraId="5910677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 w:val="0"/>
                  <w:vAlign w:val="top"/>
                </w:tcPr>
                <w:p w14:paraId="332ABDA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top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流动比率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1AC508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1.5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170847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1.57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E93CEA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1.58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474725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6F78E7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6F78E7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1.82</w:t>
                  </w:r>
                </w:p>
              </w:tc>
            </w:tr>
            <w:tr w14:paraId="7C1550D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 w:val="0"/>
                  <w:vAlign w:val="top"/>
                </w:tcPr>
                <w:p w14:paraId="2876D65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top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速动比率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C2C65C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0.94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55BD37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1.29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B1B702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1.45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293EC8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35DEBB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35DEBB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1.51</w:t>
                  </w:r>
                </w:p>
              </w:tc>
            </w:tr>
            <w:tr w14:paraId="67BDDEF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10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 w:val="0"/>
                  <w:vAlign w:val="top"/>
                </w:tcPr>
                <w:p w14:paraId="2882FDC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top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应收账款周转天数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E891A7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76.0天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7B618D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191.0天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18122D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388.0天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85E3A4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51CFD5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51CFD5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271.0天</w:t>
                  </w:r>
                </w:p>
              </w:tc>
            </w:tr>
            <w:tr w14:paraId="20168D4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10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 w:val="0"/>
                  <w:vAlign w:val="top"/>
                </w:tcPr>
                <w:p w14:paraId="78DDD17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top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存货周转天数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707BDA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131.0天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EA64B8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105.0天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34FF0C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80.0天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F8ADEC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1B4189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1B4189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129.0天</w:t>
                  </w:r>
                </w:p>
              </w:tc>
            </w:tr>
            <w:tr w14:paraId="1B87AC7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10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 w:val="0"/>
                  <w:vAlign w:val="top"/>
                </w:tcPr>
                <w:p w14:paraId="79C5D4D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top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预付账款周转天数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3DAA21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3.0天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6E6EFA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6.0天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C23DE1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18.0天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E13F70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DE1A3B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DE1A3B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25.0天</w:t>
                  </w:r>
                </w:p>
              </w:tc>
            </w:tr>
            <w:tr w14:paraId="1C7AF04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10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 w:val="0"/>
                  <w:vAlign w:val="top"/>
                </w:tcPr>
                <w:p w14:paraId="2DAD25D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top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应付帐款周转天数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E7F338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37.0天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44961A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76.0天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571740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160.0天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8FFF56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42B2CA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42B2CA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60.0天</w:t>
                  </w:r>
                </w:p>
              </w:tc>
            </w:tr>
            <w:tr w14:paraId="70DC090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auto" w:sz="4" w:space="0"/>
                    <w:right w:val="single" w:color="000000" w:sz="8" w:space="0"/>
                  </w:tcBorders>
                  <w:noWrap w:val="0"/>
                  <w:vAlign w:val="top"/>
                </w:tcPr>
                <w:p w14:paraId="39931C0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top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毛利润率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auto" w:sz="4" w:space="0"/>
                    <w:right w:val="single" w:color="000000" w:sz="8" w:space="0"/>
                  </w:tcBorders>
                  <w:noWrap/>
                  <w:vAlign w:val="center"/>
                </w:tcPr>
                <w:p w14:paraId="6487805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30.55%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auto" w:sz="4" w:space="0"/>
                    <w:right w:val="single" w:color="000000" w:sz="8" w:space="0"/>
                  </w:tcBorders>
                  <w:noWrap/>
                  <w:vAlign w:val="center"/>
                </w:tcPr>
                <w:p w14:paraId="0189D9C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27.3%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auto" w:sz="4" w:space="0"/>
                    <w:right w:val="single" w:color="000000" w:sz="8" w:space="0"/>
                  </w:tcBorders>
                  <w:noWrap/>
                  <w:vAlign w:val="center"/>
                </w:tcPr>
                <w:p w14:paraId="43DB318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38.8%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auto" w:sz="4" w:space="0"/>
                    <w:right w:val="single" w:color="000000" w:sz="8" w:space="0"/>
                  </w:tcBorders>
                  <w:noWrap/>
                  <w:vAlign w:val="center"/>
                </w:tcPr>
                <w:p w14:paraId="0B1CC5F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auto" w:sz="4" w:space="0"/>
                    <w:right w:val="single" w:color="000000" w:sz="8" w:space="0"/>
                  </w:tcBorders>
                  <w:noWrap/>
                  <w:vAlign w:val="center"/>
                </w:tcPr>
                <w:p w14:paraId="14C42D2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auto" w:sz="4" w:space="0"/>
                    <w:right w:val="single" w:color="000000" w:sz="8" w:space="0"/>
                  </w:tcBorders>
                  <w:noWrap/>
                  <w:vAlign w:val="center"/>
                </w:tcPr>
                <w:p w14:paraId="14C42D2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38.02%</w:t>
                  </w:r>
                </w:p>
              </w:tc>
            </w:tr>
            <w:tr w14:paraId="44BF058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7E52EAC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top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净利润率</w:t>
                  </w:r>
                </w:p>
              </w:tc>
              <w:tc>
                <w:tcPr>
                  <w:tcW w:w="714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30245B3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4.64%</w:t>
                  </w:r>
                </w:p>
              </w:tc>
              <w:tc>
                <w:tcPr>
                  <w:tcW w:w="714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126979D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3.24%</w:t>
                  </w:r>
                </w:p>
              </w:tc>
              <w:tc>
                <w:tcPr>
                  <w:tcW w:w="714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5BBC0BC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3.78%</w:t>
                  </w:r>
                </w:p>
              </w:tc>
              <w:tc>
                <w:tcPr>
                  <w:tcW w:w="714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4DA7C25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1C79891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1C79891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4.94%</w:t>
                  </w:r>
                </w:p>
              </w:tc>
            </w:tr>
          </w:tbl>
          <w:p w14:paraId="5CA02251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lang w:val="zh-CN"/>
              </w:rPr>
            </w:pP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</w:r>
          </w:p>
          <w:p w14:paraId="2D611363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pP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（1）应收账款 9253万元，主要构成及趋势变动情况： 2025年末应收账款为7430万元，较2024年末的9253万元下降19.7%，回款情况有所改善。但该科目自2022年以来持续快速增长，2023年、2024年同比增幅分别为44.1%和45.6%，当前余额仍处于高位。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</w:p>
          <w:p w14:paraId="0A5EB4C5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pP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（2）其他应收款 3522万元，主要构成及趋势变动情况： 其他应收款2025年末为2774万元，较2024年末的3522万元下降21.2%，但较2022年末的1432万元仍处于高位。由于材料未披露具体构成，无法判断其款项性质及回收风险。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</w:p>
          <w:p w14:paraId="669763E4">
            <w:commentRangeStart w:id="4"/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3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）存货2192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万元，主要构成及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趋势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变动情况：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  <w:t xml:space="preserve">     企业存货在2025年末为2192万元，较2024年末的1166万元大幅增长88.0%，结束了自2022年（5301万元）以来的连续下降趋势。结合资产负债表，存货占总资产比重有所回升，但具体存货结构及增长原因，材料中未提供明细说明。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commentRangeEnd w:id="4"/>
            <w:r>
              <w:rPr>
                <w:rStyle w:val="CommentReference"/>
              </w:rPr>
              <w:commentReference w:id="4"/>
            </w:r>
          </w:p>
          <w:p w14:paraId="0DB2C097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pP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（4）长期投资 1626万元，主要构成及趋势变动情况： 长期投资期末余额3123万元，较年初2518万元增长605万元，增幅达24.0%，呈显著扩张趋势。该科目自2022年以来持续增长，2025年增速较2024年（由1626万元增至2518万元，增幅54.9%）有所放缓。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</w:p>
          <w:p w14:paraId="688E94A4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（5）应付账款1026万元，主要构成及趋势变动情况： 企业2025年末应付账款为1026万元，较2024年末的2333万元大幅下降56.0%，降幅显著。结合报表数据，其应付账款由年初的2333万元降至年末的1026万元，减少了1308万元。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</w:p>
          <w:p w14:paraId="5881D757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6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）其他应付款168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万元，主要构成及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趋势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变动情况：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  <w:t xml:space="preserve">  根据财务报表，2025年末其他应付款为168万元，较2024年末的648万元大幅下降480万元，降幅达74.1%。该科目余额已回落至接近2023年水平，显示企业对非经营性往来款项的清理取得显著成效。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</w:p>
          <w:p w14:paraId="544264FA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pP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 xml:space="preserve">（7）主营业务收入变动原因： 企业主营业务为智慧水利与智慧教育。根据材料，2025年营收为1010万元。收入结构显示水利占比46%、教育占比54%。企业紧跟国家水利政策与教育战略发展需求，推出相应解决方案，与超过1000所高校及科研院所合作，服务1600多家政企客户，业务持续发展。               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</w:p>
          <w:p w14:paraId="487F6E47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eastAsia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8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）盈利能力变动原因：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  <w:t xml:space="preserve"> 企业持续投入研发，近三年研发费用分别为895万元（2023年）、1262万元（2024年）、1049万元（2025年），研发人员占比高（2025年达53%）。但关联子公司如福建中锐教育科技有限公司（净利润-1275万元）、福建中锐汉鼎信息技术有限公司（净利润-682万元）存在较大亏损，可能对整体盈利能力造成一定影响。 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 xml:space="preserve">      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  <w:t xml:space="preserve"> 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 xml:space="preserve">      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  <w:t xml:space="preserve">  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 xml:space="preserve"> </w:t>
            </w:r>
          </w:p>
          <w:p w14:paraId="247144CC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pP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9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）固定资产投资变动情况</w:t>
            </w:r>
            <w:r>
              <w:rPr>
                <w:rFonts w:hint="eastAsia" w:ascii="宋体" w:hAnsi="宋体" w:cs="宋体"/>
                <w:b/>
                <w:bCs w:val="0"/>
                <w:snapToGrid w:val="0"/>
                <w:kern w:val="0"/>
                <w:szCs w:val="21"/>
                <w:highlight w:val="none"/>
                <w:lang w:val="zh-CN"/>
              </w:rPr>
              <w:t>（</w:t>
            </w:r>
            <w:r>
              <w:rPr>
                <w:rFonts w:hint="eastAsia" w:ascii="宋体" w:hAnsi="宋体" w:cs="宋体"/>
                <w:b/>
                <w:bCs w:val="0"/>
                <w:snapToGrid w:val="0"/>
                <w:kern w:val="0"/>
                <w:szCs w:val="21"/>
                <w:highlight w:val="none"/>
                <w:lang w:val="en-US" w:eastAsia="zh-CN"/>
              </w:rPr>
              <w:t>后续若有大额固定资产投入计划，分析投入及资金安排</w:t>
            </w:r>
            <w:r>
              <w:rPr>
                <w:rFonts w:hint="eastAsia" w:ascii="宋体" w:hAnsi="宋体" w:cs="宋体"/>
                <w:b/>
                <w:bCs w:val="0"/>
                <w:snapToGrid w:val="0"/>
                <w:kern w:val="0"/>
                <w:szCs w:val="21"/>
                <w:highlight w:val="none"/>
                <w:lang w:val="zh-CN"/>
              </w:rPr>
              <w:t>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： 根据提供的财务报表，资产负债表未列示“固定资产”科目，无法分析其投资变动情况。非流动资产部分数据缺失，无法进行趋势或同比分析。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</w:p>
          <w:p w14:paraId="7B09B5AD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（10）其他变动较大的财务指标（包括但不限于预付账款、预收账款等，如有请说明）： 根据提供的2025年资产负债表，企业2025年末货币资金为286万元，较年初的506万元大幅下降43.6%；同时，存货从年初的1166万元激增至2192万元，增幅达87.9%。其他应收款由年初的3522万元下降至2774万元，降幅为21.2%。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</w:p>
          <w:p w14:paraId="0A792E2F">
            <w:pPr>
              <w:pStyle w:val="11"/>
              <w:rPr>
                <w:rFonts w:hint="eastAsia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 xml:space="preserve">                                                                                               </w:t>
            </w:r>
          </w:p>
          <w:p w14:paraId="0368571C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2" w:firstLineChars="200"/>
              <w:jc w:val="left"/>
              <w:rPr>
                <w:rFonts w:hint="eastAsia" w:ascii="宋体" w:hAnsi="宋体" w:eastAsia="宋体" w:cs="宋体"/>
                <w:b w:val="0"/>
                <w:bCs/>
                <w:snapToGrid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b w:val="0"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eastAsia="宋体" w:cs="宋体"/>
                <w:b w:val="0"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eastAsia="宋体" w:cs="宋体"/>
                <w:b w:val="0"/>
                <w:bCs/>
                <w:snapToGrid w:val="0"/>
                <w:szCs w:val="21"/>
                <w:highlight w:val="none"/>
                <w:u w:val="single"/>
                <w:lang w:val="en-US" w:eastAsia="zh-CN"/>
              </w:rPr>
            </w:r>
          </w:p>
          <w:p w14:paraId="1ED2298A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2" w:firstLineChars="200"/>
              <w:jc w:val="left"/>
              <w:rPr>
                <w:rFonts w:hint="default"/>
                <w:b/>
                <w:bCs/>
                <w:highlight w:val="none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 w:val="0"/>
                <w:snapToGrid w:val="0"/>
                <w:color w:val="auto"/>
                <w:szCs w:val="21"/>
                <w:highlight w:val="none"/>
                <w:u w:val="none"/>
                <w:lang w:val="en-US" w:eastAsia="zh-CN"/>
              </w:rPr>
              <w:t>最近三年现金流量表分析：  根据审计报告及财务报表：</w:t>
              <w:br/>
              <w:t>2023年：经营活动现金流入小计112072779.26元，流出小计109379398.13元，经营活动产生的现金流量净额约为269万元。</w:t>
              <w:br/>
              <w:t>2024年：经营活动现金流入小计80298955.33元，流出小计89259104.66元（计算值），经营活动产生的现金流量净额约为-896万元。</w:t>
              <w:br/>
              <w:t xml:space="preserve">2025年：销售商品、提供劳务收到的现金103852568.95元，收到税费返还2643784.65元，收到其他与经营活动有关的现金41,???（数据不完整）。整体看，2024年经营活动现金流为负，可能与业务扩张、支付采购款及费用增加有关。 </w:t>
            </w:r>
            <w:r>
              <w:rPr>
                <w:rFonts w:hint="eastAsia"/>
                <w:b w:val="0"/>
                <w:bCs/>
                <w:snapToGrid w:val="0"/>
                <w:color w:val="auto"/>
                <w:szCs w:val="21"/>
                <w:highlight w:val="none"/>
                <w:u w:val="none"/>
                <w:lang w:val="en-US" w:eastAsia="zh-CN"/>
              </w:rPr>
            </w:r>
            <w:r>
              <w:rPr>
                <w:rFonts w:hint="eastAsia"/>
                <w:b w:val="0"/>
                <w:bCs/>
                <w:snapToGrid w:val="0"/>
                <w:szCs w:val="21"/>
                <w:highlight w:val="none"/>
                <w:u w:val="none"/>
                <w:lang w:val="en-US" w:eastAsia="zh-CN"/>
              </w:rPr>
            </w:r>
          </w:p>
          <w:tbl>
            <w:tblPr>
              <w:tblStyle w:val="14"/>
              <w:tblW w:w="9774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95"/>
              <w:gridCol w:w="2169"/>
              <w:gridCol w:w="2170"/>
              <w:gridCol w:w="2170"/>
              <w:gridCol w:w="2170"/>
            </w:tblGrid>
            <w:tr w14:paraId="5AAE266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95" w:type="dxa"/>
                  <w:noWrap w:val="0"/>
                  <w:vAlign w:val="center"/>
                </w:tcPr>
                <w:p w14:paraId="747825D3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center"/>
                    <w:rPr>
                      <w:rFonts w:hint="default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年份</w:t>
                  </w:r>
                </w:p>
              </w:tc>
              <w:tc>
                <w:tcPr>
                  <w:tcW w:w="2169" w:type="dxa"/>
                  <w:noWrap w:val="0"/>
                  <w:vAlign w:val="center"/>
                </w:tcPr>
                <w:p w14:paraId="7762C40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default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经营性现金流净额</w:t>
                  </w:r>
                </w:p>
              </w:tc>
              <w:tc>
                <w:tcPr>
                  <w:tcW w:w="2170" w:type="dxa"/>
                  <w:noWrap w:val="0"/>
                  <w:vAlign w:val="center"/>
                </w:tcPr>
                <w:p w14:paraId="07492A3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default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投资性现金流净额</w:t>
                  </w:r>
                </w:p>
              </w:tc>
              <w:tc>
                <w:tcPr>
                  <w:tcW w:w="2170" w:type="dxa"/>
                  <w:noWrap w:val="0"/>
                  <w:vAlign w:val="center"/>
                </w:tcPr>
                <w:p w14:paraId="446E87A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default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筹资性现金流净额</w:t>
                  </w:r>
                </w:p>
              </w:tc>
              <w:tc>
                <w:tcPr>
                  <w:tcW w:w="2170" w:type="dxa"/>
                  <w:noWrap w:val="0"/>
                  <w:vAlign w:val="center"/>
                </w:tcPr>
                <w:p w14:paraId="51F6255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现金及现金等价物</w:t>
                  </w:r>
                </w:p>
                <w:p w14:paraId="4208C6A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default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净增加额</w:t>
                  </w:r>
                </w:p>
              </w:tc>
            </w:tr>
            <w:tr w14:paraId="5ADA161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95" w:type="dxa"/>
                  <w:noWrap w:val="0"/>
                  <w:vAlign w:val="top"/>
                </w:tcPr>
                <w:p w14:paraId="1179FCE4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center"/>
                    <w:rPr>
                      <w:rFonts w:hint="default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2022</w:t>
                  </w:r>
                </w:p>
              </w:tc>
              <w:tc>
                <w:tcPr>
                  <w:tcW w:w="2169" w:type="dxa"/>
                  <w:noWrap w:val="0"/>
                  <w:vAlign w:val="top"/>
                </w:tcPr>
                <w:p w14:paraId="71EC4F1B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-4373</w:t>
                  </w:r>
                </w:p>
              </w:tc>
              <w:tc>
                <w:tcPr>
                  <w:tcW w:w="2170" w:type="dxa"/>
                  <w:noWrap w:val="0"/>
                  <w:vAlign w:val="top"/>
                </w:tcPr>
                <w:p w14:paraId="31785388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-3747</w:t>
                  </w:r>
                </w:p>
              </w:tc>
              <w:tc>
                <w:tcPr>
                  <w:tcW w:w="2170" w:type="dxa"/>
                  <w:noWrap w:val="0"/>
                  <w:vAlign w:val="top"/>
                </w:tcPr>
                <w:p w14:paraId="22BC6B8C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3182</w:t>
                  </w:r>
                </w:p>
              </w:tc>
              <w:tc>
                <w:tcPr>
                  <w:tcW w:w="2170" w:type="dxa"/>
                  <w:noWrap w:val="0"/>
                  <w:vAlign w:val="top"/>
                </w:tcPr>
                <w:p w14:paraId="45C01C05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-4938</w:t>
                  </w:r>
                </w:p>
              </w:tc>
            </w:tr>
            <w:tr w14:paraId="63BB175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95" w:type="dxa"/>
                  <w:noWrap w:val="0"/>
                  <w:vAlign w:val="top"/>
                </w:tcPr>
                <w:p w14:paraId="1480D00C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center"/>
                    <w:rPr>
                      <w:rFonts w:hint="default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2023</w:t>
                  </w:r>
                </w:p>
              </w:tc>
              <w:tc>
                <w:tcPr>
                  <w:tcW w:w="2169" w:type="dxa"/>
                  <w:noWrap w:val="0"/>
                  <w:vAlign w:val="top"/>
                </w:tcPr>
                <w:p w14:paraId="70814868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269</w:t>
                  </w:r>
                </w:p>
              </w:tc>
              <w:tc>
                <w:tcPr>
                  <w:tcW w:w="2170" w:type="dxa"/>
                  <w:noWrap w:val="0"/>
                  <w:vAlign w:val="top"/>
                </w:tcPr>
                <w:p w14:paraId="0448FBC2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-716</w:t>
                  </w:r>
                </w:p>
              </w:tc>
              <w:tc>
                <w:tcPr>
                  <w:tcW w:w="2170" w:type="dxa"/>
                  <w:noWrap w:val="0"/>
                  <w:vAlign w:val="top"/>
                </w:tcPr>
                <w:p w14:paraId="471E028B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864</w:t>
                  </w:r>
                </w:p>
              </w:tc>
              <w:tc>
                <w:tcPr>
                  <w:tcW w:w="2170" w:type="dxa"/>
                  <w:noWrap w:val="0"/>
                  <w:vAlign w:val="top"/>
                </w:tcPr>
                <w:p w14:paraId="7EA400BB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418</w:t>
                  </w:r>
                </w:p>
              </w:tc>
            </w:tr>
            <w:tr w14:paraId="46267FB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95" w:type="dxa"/>
                  <w:noWrap w:val="0"/>
                  <w:vAlign w:val="top"/>
                </w:tcPr>
                <w:p w14:paraId="62D40D1C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center"/>
                    <w:rPr>
                      <w:rFonts w:hint="default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2024</w:t>
                  </w:r>
                </w:p>
              </w:tc>
              <w:tc>
                <w:tcPr>
                  <w:tcW w:w="2169" w:type="dxa"/>
                  <w:noWrap w:val="0"/>
                  <w:vAlign w:val="top"/>
                </w:tcPr>
                <w:p w14:paraId="11A4EBE4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-896</w:t>
                  </w:r>
                </w:p>
              </w:tc>
              <w:tc>
                <w:tcPr>
                  <w:tcW w:w="2170" w:type="dxa"/>
                  <w:noWrap w:val="0"/>
                  <w:vAlign w:val="top"/>
                </w:tcPr>
                <w:p w14:paraId="2AB9740F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-922</w:t>
                  </w:r>
                </w:p>
              </w:tc>
              <w:tc>
                <w:tcPr>
                  <w:tcW w:w="2170" w:type="dxa"/>
                  <w:noWrap w:val="0"/>
                  <w:vAlign w:val="top"/>
                </w:tcPr>
                <w:p w14:paraId="3DB724E8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802</w:t>
                  </w:r>
                </w:p>
              </w:tc>
              <w:tc>
                <w:tcPr>
                  <w:tcW w:w="2170" w:type="dxa"/>
                  <w:noWrap w:val="0"/>
                  <w:vAlign w:val="top"/>
                </w:tcPr>
                <w:p w14:paraId="0CD2D0DD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-1015</w:t>
                  </w:r>
                </w:p>
              </w:tc>
            </w:tr>
          </w:tbl>
          <w:p w14:paraId="3591524A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2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zh-CN"/>
              </w:rPr>
            </w:r>
          </w:p>
          <w:p w14:paraId="13920AEA">
            <w:pPr>
              <w:widowControl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六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借款人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融资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/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对外担保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/实控人征信情况</w:t>
            </w:r>
          </w:p>
          <w:p w14:paraId="69868171">
            <w:pPr>
              <w:pStyle w:val="9"/>
              <w:numPr>
                <w:ilvl w:val="0"/>
                <w:numId w:val="0"/>
              </w:numP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/>
                <w:highlight w:val="none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highlight w:val="none"/>
                <w:lang w:val="en-US" w:eastAsia="zh-CN" w:bidi="ar-SA"/>
              </w:rPr>
              <w:t xml:space="preserve">  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 w:val="21"/>
                <w:szCs w:val="21"/>
                <w:highlight w:val="none"/>
                <w:lang w:val="en-US" w:eastAsia="zh-CN" w:bidi="ar-SA"/>
              </w:rPr>
              <w:t xml:space="preserve">  1.融资及对外担保情况</w:t>
            </w:r>
          </w:p>
          <w:p w14:paraId="42E9A1DA">
            <w:pPr>
              <w:pStyle w:val="9"/>
              <w:numPr>
                <w:ilvl w:val="0"/>
                <w:numId w:val="0"/>
              </w:numPr>
              <w:ind w:firstLine="420" w:firstLineChars="200"/>
              <w:rPr>
                <w:rFonts w:hint="eastAsia" w:ascii="宋体" w:hAnsi="宋体" w:eastAsia="宋体" w:cs="宋体"/>
                <w:bCs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-SA"/>
              </w:rPr>
              <w:t>截至2025年12月31日，公司各行贷款余额合计4440万元，其中交通银行屏东支行1000万元、海峡银行金山支行500万元、厦门国际银行台江支行640万元、兴业银行环球支行1000万元、工商银行500万元、中国银行福建省分行600万元、广发银行鼓楼支行200万元，五级分类正常。材料未提供对外担保情况。材料未提供不良记录情况。</w:t>
            </w:r>
          </w:p>
          <w:tbl>
            <w:tblPr>
              <w:tblStyle w:val="13"/>
              <w:tblW w:w="4997" w:type="pct"/>
              <w:jc w:val="center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354"/>
              <w:gridCol w:w="818"/>
              <w:gridCol w:w="1354"/>
              <w:gridCol w:w="1354"/>
              <w:gridCol w:w="1623"/>
              <w:gridCol w:w="1623"/>
              <w:gridCol w:w="1357"/>
              <w:gridCol w:w="1358"/>
            </w:tblGrid>
            <w:tr w14:paraId="4797BF2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80" w:hRule="atLeast"/>
                <w:jc w:val="center"/>
              </w:trPr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365DDB32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  <w:t>融资机构</w:t>
                  </w:r>
                </w:p>
              </w:tc>
              <w:tc>
                <w:tcPr>
                  <w:tcW w:w="37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17D580CE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  <w:t>品种</w:t>
                  </w: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3E33EC5A">
                  <w:pPr>
                    <w:spacing w:line="240" w:lineRule="auto"/>
                    <w:jc w:val="center"/>
                    <w:rPr>
                      <w:rFonts w:hint="default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  <w:t>敞口额度</w:t>
                  </w: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16C40424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  <w:t>敞口余额</w:t>
                  </w: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24FAC9F1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  <w:t>业务起始日</w:t>
                  </w: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351B014B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  <w:t>业务到期日</w:t>
                  </w: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4C8A8D9B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  <w:t>担保方式</w:t>
                  </w: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1BC95E0F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  <w:t>五级分类</w:t>
                  </w:r>
                </w:p>
              </w:tc>
            </w:tr>
            <w:tr w14:paraId="430442E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80" w:hRule="atLeast"/>
                <w:jc w:val="center"/>
              </w:trPr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160A7077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交通银行屏东支行</w:t>
                  </w:r>
                </w:p>
              </w:tc>
              <w:tc>
                <w:tcPr>
                  <w:tcW w:w="37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7F666768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流贷</w:t>
                  </w: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5D146FD7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57EE6485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44D99216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2026.4.24</w:t>
                  </w: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2D9F5144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黄祖海</w:t>
                  </w: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7EDBC608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39028500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</w:tr>
            <w:tr w14:paraId="3E3562E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80" w:hRule="atLeast"/>
                <w:jc w:val="center"/>
              </w:trPr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497FD3B5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海峡银行-金山支行</w:t>
                  </w:r>
                </w:p>
              </w:tc>
              <w:tc>
                <w:tcPr>
                  <w:tcW w:w="37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1CAF18F8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流贷加担保</w:t>
                  </w: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50F8D95F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5D2ACB83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47F50C3B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2026.10.15</w:t>
                  </w: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4C5E539D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黄祖海.陈其俤.福州市融资担保有限公司.福建恒运投资合伙企业（有限合伙）</w:t>
                  </w: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3E078235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7FBE1FB7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</w:tr>
            <w:tr w14:paraId="0DAE118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70" w:hRule="atLeast"/>
                <w:jc w:val="center"/>
              </w:trPr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6BFAFEDB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厦门国际银行台江支行</w:t>
                  </w:r>
                </w:p>
              </w:tc>
              <w:tc>
                <w:tcPr>
                  <w:tcW w:w="37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5279E379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流贷</w:t>
                  </w: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274F717C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4D198F39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20FEBB90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2026.11.21</w:t>
                  </w: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0295822D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黄祖海.陈其俤</w:t>
                  </w: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3476CA7F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18E6263B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</w:tr>
            <w:tr w14:paraId="69C18A2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70" w:hRule="atLeast"/>
                <w:jc w:val="center"/>
              </w:trPr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09B3C0CF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兴业银行-环球支行</w:t>
                  </w:r>
                </w:p>
              </w:tc>
              <w:tc>
                <w:tcPr>
                  <w:tcW w:w="37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29DA096D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  <w:t>合计</w:t>
                  </w: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2FE8BDB0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50725CE1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14048CA5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2025.11.25</w:t>
                  </w: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3A17426C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2026.11.25</w:t>
                  </w: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3F14E017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黄祖海.陈其俤.中锐汉鼎</w:t>
                  </w: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372440EC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</w:tr>
          </w:tbl>
          <w:p w14:paraId="17C0B0C6">
            <w:commentRangeStart w:id="5"/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/>
              <w:jc w:val="left"/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lang w:val="en-US" w:eastAsia="zh-CN"/>
              </w:rPr>
              <w:t>（若有）涉及中长期借款的反馈中长期借款还款计划及还款资金安排情况：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 xml:space="preserve">                              </w:t>
            </w:r>
            <w:commentRangeEnd w:id="5"/>
            <w:r>
              <w:rPr>
                <w:rStyle w:val="CommentReference"/>
              </w:rPr>
              <w:commentReference w:id="5"/>
            </w:r>
          </w:p>
          <w:p w14:paraId="73E83C36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/>
              <w:jc w:val="left"/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lang w:val="en-US" w:eastAsia="zh-CN"/>
              </w:rPr>
            </w:r>
          </w:p>
          <w:p w14:paraId="547A6D1A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/>
              <w:jc w:val="left"/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lang w:val="en-US" w:eastAsia="zh-CN"/>
              </w:rPr>
            </w:r>
          </w:p>
          <w:p w14:paraId="76CE32AE">
            <w:commentRangeStart w:id="6"/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/>
              <w:jc w:val="left"/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</w:rPr>
              <w:t>（若有）对外担保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lang w:val="en-US" w:eastAsia="zh-CN"/>
              </w:rPr>
              <w:t>情况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</w:rPr>
              <w:t>：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  <w:t xml:space="preserve">           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 xml:space="preserve">                  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  <w:t xml:space="preserve">  </w:t>
            </w:r>
            <w:commentRangeEnd w:id="6"/>
            <w:r>
              <w:rPr>
                <w:rStyle w:val="CommentReference"/>
              </w:rPr>
              <w:commentReference w:id="6"/>
            </w:r>
          </w:p>
          <w:p w14:paraId="4355488A">
            <w:commentRangeStart w:id="7"/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/>
              <w:jc w:val="left"/>
              <w:rPr>
                <w:rFonts w:hint="default" w:ascii="宋体" w:hAnsi="宋体" w:eastAsia="宋体" w:cs="宋体"/>
                <w:snapToGrid w:val="0"/>
                <w:kern w:val="0"/>
                <w:sz w:val="21"/>
                <w:szCs w:val="21"/>
                <w:highlight w:val="none"/>
                <w:u w:val="singl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  <w:t xml:space="preserve">（若有）不良记录情况: </w:t>
            </w:r>
            <w:r>
              <w:rPr>
                <w:rFonts w:hint="eastAsia" w:ascii="宋体" w:hAnsi="宋体" w:eastAsia="宋体" w:cs="宋体"/>
                <w:snapToGrid w:val="0"/>
                <w:kern w:val="0"/>
                <w:sz w:val="21"/>
                <w:szCs w:val="21"/>
                <w:highlight w:val="none"/>
                <w:u w:val="single"/>
                <w:lang w:val="en-US" w:eastAsia="zh-CN" w:bidi="ar-SA"/>
              </w:rPr>
              <w:t xml:space="preserve">                               </w:t>
            </w:r>
            <w:commentRangeEnd w:id="7"/>
            <w:r>
              <w:rPr>
                <w:rStyle w:val="CommentReference"/>
              </w:rPr>
              <w:commentReference w:id="7"/>
            </w:r>
          </w:p>
          <w:p w14:paraId="0BD0E5B0">
            <w:commentRangeStart w:id="8"/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22" w:firstLineChars="200"/>
              <w:jc w:val="both"/>
              <w:textAlignment w:val="auto"/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截至2025年7月23日，查询信用报告，黄祖海名下有未结清贷款账户1笔，余额1000万元，为中行个人经营贷款，经营主体为[待补充]，有未销户信用卡账户1笔，余额0元。全部未结清贷款估算下月应还款额0元，贷记卡最近6个月平均使用额度27元，准贷记卡最近6个月平均透支余额0元；承担担保责任账户有1笔，承担共同还款责任账户有0笔，余额1000万元，为[待补充]担保。客户近5年贷款累计逾期期数为1期，其中逾期金额小于等于500元的期数为0；客户近5年贷款连续逾期期数为1期，其中连续逾期小于等于500元的期数为0，经反馈，为遗忘导致，现已结清。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highlight w:val="none"/>
                <w:u w:val="single"/>
                <w:lang w:val="en-US" w:eastAsia="zh-CN"/>
              </w:rPr>
            </w:r>
            <w:commentRangeEnd w:id="8"/>
            <w:r>
              <w:rPr>
                <w:rStyle w:val="CommentReference"/>
              </w:rPr>
            </w:r>
          </w:p>
          <w:p w14:paraId="5424B92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2" w:firstLineChars="200"/>
              <w:jc w:val="left"/>
              <w:textAlignment w:val="baseline"/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材料未提供实控人配偶出生年份及个人征信信息。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</w:p>
          <w:p w14:paraId="27DBD94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  <w:t>（七）科技情况分析（科技型企业填写）</w:t>
            </w:r>
          </w:p>
          <w:p w14:paraId="0C37BEE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211" w:firstLineChars="100"/>
              <w:jc w:val="left"/>
              <w:textAlignment w:val="baseline"/>
              <w:rPr>
                <w:rFonts w:hint="eastAsia" w:ascii="宋体" w:hAnsi="宋体" w:cs="宋体"/>
                <w:b/>
                <w:bCs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1.科技类型与评分</w:t>
            </w:r>
          </w:p>
          <w:p w14:paraId="4283556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ind w:firstLine="422" w:firstLineChars="200"/>
              <w:jc w:val="left"/>
              <w:textAlignment w:val="baseline"/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科技型企业类型：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</w:rPr>
              <w:t>☑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科技型中小企业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（第几轮，有效期至X年X月X日）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；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</w:rPr>
              <w:t>☑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高新技术企业；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创新型中小企业；</w:t>
            </w:r>
          </w:p>
          <w:p w14:paraId="2E216E6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ind w:firstLine="1687" w:firstLineChars="800"/>
              <w:jc w:val="left"/>
              <w:textAlignment w:val="baseline"/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“专精特新”中小企业；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专精特新“小巨人”企业；</w:t>
            </w:r>
          </w:p>
          <w:p w14:paraId="0EFFADC8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ind w:firstLine="1687" w:firstLineChars="800"/>
              <w:jc w:val="left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制造业单项冠军企业；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国家技术创新示范企业</w:t>
            </w:r>
          </w:p>
          <w:p w14:paraId="6C01223F">
            <w:pPr>
              <w:pStyle w:val="7"/>
              <w:ind w:firstLine="422" w:firstLineChars="200"/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lang w:val="en-US" w:eastAsia="zh-CN" w:bidi="ar-SA"/>
              </w:rPr>
              <w:t>科技型企业评分：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  <w:t xml:space="preserve"> 企业为信息技术服务业公司，聚焦智慧水利与智慧教育，近三年研发投入持续，2025年研发费用1049万元，占营收10.5%，研发人员39人占比53%。拥有自主研发的智慧水利平台解决方案并获得省级科技奖项，符合科技型企业特征。 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lang w:val="en-US" w:eastAsia="zh-CN" w:bidi="ar-SA"/>
              </w:rPr>
              <w:t>分</w:t>
            </w:r>
          </w:p>
          <w:p w14:paraId="787DC0F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211" w:firstLineChars="10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※2.研发投入情况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：</w:t>
            </w:r>
          </w:p>
          <w:p w14:paraId="460D4DDD">
            <w:pPr>
              <w:widowControl/>
              <w:numPr>
                <w:ilvl w:val="0"/>
                <w:numId w:val="0"/>
              </w:numPr>
              <w:spacing w:line="240" w:lineRule="auto"/>
              <w:ind w:firstLine="422" w:firstLineChars="200"/>
              <w:jc w:val="left"/>
              <w:rPr>
                <w:rFonts w:hint="eastAsia" w:ascii="宋体" w:hAnsi="宋体" w:eastAsia="宋体" w:cs="宋体"/>
                <w:b/>
                <w:bCs w:val="0"/>
                <w:kern w:val="2"/>
                <w:szCs w:val="21"/>
                <w:highlight w:val="no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1"/>
                <w:highlight w:val="none"/>
                <w:lang w:val="en-US" w:eastAsia="zh-CN"/>
              </w:rPr>
              <w:t>①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1"/>
                <w:highlight w:val="none"/>
                <w:lang w:eastAsia="zh-CN"/>
              </w:rPr>
              <w:t>核心</w:t>
            </w:r>
            <w:r>
              <w:rPr>
                <w:rFonts w:hint="eastAsia" w:ascii="宋体" w:hAnsi="宋体" w:cs="宋体"/>
                <w:b/>
                <w:bCs w:val="0"/>
                <w:kern w:val="2"/>
                <w:sz w:val="21"/>
                <w:szCs w:val="21"/>
                <w:highlight w:val="none"/>
                <w:lang w:val="en-US" w:eastAsia="zh-CN"/>
              </w:rPr>
              <w:t>研发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1"/>
                <w:highlight w:val="none"/>
                <w:lang w:eastAsia="zh-CN"/>
              </w:rPr>
              <w:t>人员是否</w:t>
            </w:r>
            <w:r>
              <w:rPr>
                <w:rFonts w:hint="eastAsia" w:ascii="宋体" w:hAnsi="宋体" w:cs="宋体"/>
                <w:b/>
                <w:bCs w:val="0"/>
                <w:kern w:val="2"/>
                <w:sz w:val="21"/>
                <w:szCs w:val="21"/>
                <w:highlight w:val="none"/>
                <w:lang w:val="en-US" w:eastAsia="zh-CN"/>
              </w:rPr>
              <w:t>享有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1"/>
                <w:highlight w:val="none"/>
                <w:lang w:eastAsia="zh-CN"/>
              </w:rPr>
              <w:t>股权激励：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Cs w:val="21"/>
                <w:highlight w:val="none"/>
                <w:lang w:eastAsia="zh-CN"/>
              </w:rPr>
              <w:t>是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Cs w:val="21"/>
                <w:highlight w:val="none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☑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Cs w:val="21"/>
                <w:highlight w:val="none"/>
                <w:lang w:eastAsia="zh-CN"/>
              </w:rPr>
              <w:t>否</w:t>
            </w:r>
          </w:p>
          <w:p w14:paraId="5EFD5548">
            <w:pPr>
              <w:widowControl/>
              <w:numPr>
                <w:ilvl w:val="0"/>
                <w:numId w:val="0"/>
              </w:numPr>
              <w:spacing w:line="240" w:lineRule="auto"/>
              <w:ind w:firstLine="422" w:firstLineChars="200"/>
              <w:jc w:val="left"/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1"/>
                <w:highlight w:val="none"/>
                <w:lang w:val="en-US" w:eastAsia="zh-CN"/>
              </w:rPr>
              <w:t>②近三年研发投入占比及研发人员占比</w:t>
            </w:r>
          </w:p>
          <w:tbl>
            <w:tblPr>
              <w:tblStyle w:val="14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76"/>
              <w:gridCol w:w="936"/>
              <w:gridCol w:w="2826"/>
              <w:gridCol w:w="1296"/>
              <w:gridCol w:w="1296"/>
              <w:gridCol w:w="1296"/>
            </w:tblGrid>
            <w:tr w14:paraId="20626E9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5A9C2D4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center"/>
                    <w:textAlignment w:val="baseline"/>
                    <w:rPr>
                      <w:rFonts w:hint="eastAsia" w:ascii="宋体" w:hAnsi="宋体" w:eastAsia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年份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9107C17">
                  <w:pPr>
                    <w:numPr>
                      <w:ilvl w:val="0"/>
                      <w:numId w:val="0"/>
                    </w:numPr>
                    <w:spacing w:before="0" w:beforeLines="0" w:line="240" w:lineRule="auto"/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18"/>
                      <w:szCs w:val="18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研发费用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AAB0030">
                  <w:pPr>
                    <w:numPr>
                      <w:ilvl w:val="0"/>
                      <w:numId w:val="0"/>
                    </w:numPr>
                    <w:spacing w:before="0" w:beforeLines="0" w:line="240" w:lineRule="auto"/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18"/>
                      <w:szCs w:val="18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研发费用占比</w:t>
                  </w: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（研发费用/</w:t>
                  </w:r>
                  <w:r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营收</w:t>
                  </w: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）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0DE82046">
                  <w:pPr>
                    <w:numPr>
                      <w:ilvl w:val="0"/>
                      <w:numId w:val="0"/>
                    </w:numPr>
                    <w:spacing w:before="0" w:beforeLines="0" w:line="240" w:lineRule="auto"/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18"/>
                      <w:szCs w:val="18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eastAsia="zh-CN"/>
                    </w:rPr>
                    <w:t>研发人员</w:t>
                  </w:r>
                  <w:r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人数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91FB8D1">
                  <w:pPr>
                    <w:numPr>
                      <w:ilvl w:val="0"/>
                      <w:numId w:val="0"/>
                    </w:numPr>
                    <w:spacing w:before="0" w:beforeLines="0" w:line="240" w:lineRule="auto"/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18"/>
                      <w:szCs w:val="18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研发人员占比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3866DDBC">
                  <w:pPr>
                    <w:numPr>
                      <w:ilvl w:val="0"/>
                      <w:numId w:val="0"/>
                    </w:numPr>
                    <w:spacing w:before="0" w:beforeLines="0" w:line="240" w:lineRule="auto"/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18"/>
                      <w:szCs w:val="18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eastAsia="zh-CN"/>
                    </w:rPr>
                    <w:t>研发人员</w:t>
                  </w:r>
                  <w:r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薪酬</w:t>
                  </w:r>
                </w:p>
              </w:tc>
            </w:tr>
            <w:tr w14:paraId="6887720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398729C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center"/>
                    <w:textAlignment w:val="baseline"/>
                    <w:rPr>
                      <w:rFonts w:hint="default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2022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FC3C12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1447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E8C0C3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8E90B8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18CF5F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7359BA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</w:tr>
            <w:tr w14:paraId="7F546D0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27AC7DE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center"/>
                    <w:textAlignment w:val="baseline"/>
                    <w:rPr>
                      <w:rFonts w:hint="default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2023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C67A1B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895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94C0E2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7.4%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1CD783E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888AD2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0C524C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</w:tr>
            <w:tr w14:paraId="57F3134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23857EE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center"/>
                    <w:textAlignment w:val="baseline"/>
                    <w:rPr>
                      <w:rFonts w:hint="default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2024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F5E657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1262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D8BD3D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14.5%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69F176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A00D3F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38B5B5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</w:tr>
          </w:tbl>
          <w:p w14:paraId="10018B81">
            <w:pPr>
              <w:pStyle w:val="9"/>
              <w:numPr>
                <w:ilvl w:val="0"/>
                <w:numId w:val="0"/>
              </w:numPr>
              <w:ind w:firstLine="422" w:firstLineChars="200"/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企业为高新技术企业。核心研发人员享有股权激励。近三年研发投入占比及研发人员占比情况为：2023年研发费用占比7.4%，研发人员占比44%；2024年研发费用占比14.5%，研发人员占比49%；2025年研发费用占比10.5%，研发人员占比53%。</w:t>
            </w:r>
            <w:r>
              <w:rPr>
                <w:rFonts w:hint="eastAsia" w:ascii="宋体" w:hAnsi="宋体" w:cs="宋体"/>
                <w:b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u w:val="single"/>
                <w:lang w:val="en-US" w:eastAsia="zh-CN" w:bidi="ar-SA"/>
              </w:rPr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u w:val="none"/>
                <w:lang w:val="en-US" w:eastAsia="zh-CN" w:bidi="ar-SA"/>
              </w:rPr>
            </w:r>
          </w:p>
          <w:tbl>
            <w:tblPr>
              <w:tblStyle w:val="14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347"/>
              <w:gridCol w:w="936"/>
              <w:gridCol w:w="576"/>
              <w:gridCol w:w="1116"/>
              <w:gridCol w:w="1836"/>
            </w:tblGrid>
            <w:tr w14:paraId="44A4E30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50CE8793">
                  <w:pPr>
                    <w:numPr>
                      <w:ilvl w:val="0"/>
                      <w:numId w:val="0"/>
                    </w:numPr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color w:val="auto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发明/实用专利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7DF6663">
                  <w:pPr>
                    <w:numPr>
                      <w:ilvl w:val="0"/>
                      <w:numId w:val="0"/>
                    </w:numPr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18"/>
                      <w:szCs w:val="18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/>
                      <w:color w:val="auto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专利名称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DFF5A45">
                  <w:pPr>
                    <w:numPr>
                      <w:ilvl w:val="0"/>
                      <w:numId w:val="0"/>
                    </w:numPr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18"/>
                      <w:szCs w:val="18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/>
                      <w:color w:val="auto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证号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1CE23429">
                  <w:pPr>
                    <w:numPr>
                      <w:ilvl w:val="0"/>
                      <w:numId w:val="0"/>
                    </w:numPr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18"/>
                      <w:szCs w:val="18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/>
                      <w:color w:val="auto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是否已质押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119F5CC">
                  <w:pPr>
                    <w:numPr>
                      <w:ilvl w:val="0"/>
                      <w:numId w:val="0"/>
                    </w:numPr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18"/>
                      <w:szCs w:val="18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/>
                      <w:color w:val="auto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评估价值（如适用）</w:t>
                  </w:r>
                </w:p>
              </w:tc>
            </w:tr>
            <w:tr w14:paraId="3B0DEB5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4B7B871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center"/>
                    <w:textAlignment w:val="baseline"/>
                    <w:rPr>
                      <w:rFonts w:hint="default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F6A3EC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发明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6E4637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设备故障的检测处理方法、装置和网络设备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99ABBA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ZL201010512112.7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F7B177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否</w:t>
                  </w:r>
                </w:p>
              </w:tc>
            </w:tr>
            <w:tr w14:paraId="129195E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4CEA10A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center"/>
                    <w:textAlignment w:val="baseline"/>
                    <w:rPr>
                      <w:rFonts w:hint="default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A8A6BA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发明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AF83B3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数据缓存管理方法及装置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63AFA2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ZL201010601468.8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E53775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否</w:t>
                  </w:r>
                </w:p>
              </w:tc>
            </w:tr>
            <w:tr w14:paraId="071BF16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1E9AF9B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center"/>
                    <w:textAlignment w:val="baseline"/>
                    <w:rPr>
                      <w:rFonts w:hint="default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D6F39A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发明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85581D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一种Web远程docker容器桌面的方法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708A89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ZL201910907578.8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DC2EAB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否</w:t>
                  </w:r>
                </w:p>
              </w:tc>
            </w:tr>
          </w:tbl>
          <w:p w14:paraId="2935449F">
            <w:pPr>
              <w:pStyle w:val="9"/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</w:p>
          <w:p w14:paraId="662F63FD">
            <w:pPr>
              <w:pStyle w:val="9"/>
              <w:rPr>
                <w:rFonts w:hint="default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  <w:t>（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  <w:t>八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  <w:t>）综合效益分析</w:t>
            </w:r>
          </w:p>
          <w:p w14:paraId="39908C0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 w:after="93" w:afterLines="30"/>
              <w:ind w:firstLine="420" w:firstLineChars="20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pPr>
            <w:r>
              <w:rPr>
                <w:rFonts w:hint="eastAsia" w:ascii="宋体" w:hAnsi="宋体" w:cs="宋体"/>
                <w:b w:val="0"/>
                <w:bCs w:val="0"/>
                <w:snapToGrid w:val="0"/>
                <w:color w:val="auto"/>
                <w:kern w:val="0"/>
                <w:szCs w:val="21"/>
                <w:highlight w:val="none"/>
                <w:lang w:val="en-US" w:eastAsia="zh-CN"/>
              </w:rPr>
              <w:t>材料未提供企业在我行综合效益相关数据。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auto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auto"/>
                <w:kern w:val="0"/>
                <w:szCs w:val="21"/>
                <w:highlight w:val="none"/>
                <w:lang w:eastAsia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auto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  <w:lang w:eastAsia="zh-CN"/>
              </w:rPr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</w:r>
          </w:p>
          <w:p w14:paraId="6148F89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 w:after="93" w:afterLines="30"/>
              <w:ind w:firstLine="420" w:firstLineChars="200"/>
              <w:jc w:val="left"/>
              <w:textAlignment w:val="baseline"/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 w:val="0"/>
                <w:bCs w:val="0"/>
                <w:snapToGrid w:val="0"/>
                <w:kern w:val="0"/>
                <w:szCs w:val="21"/>
                <w:highlight w:val="none"/>
                <w:lang w:val="en-US" w:eastAsia="zh-CN"/>
              </w:rPr>
              <w:t>材料未提供预计综合效益相关数据。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auto"/>
                <w:kern w:val="0"/>
                <w:szCs w:val="21"/>
                <w:highlight w:val="none"/>
                <w:lang w:eastAsia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auto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eastAsia="zh-CN"/>
              </w:rPr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</w:r>
          </w:p>
          <w:p w14:paraId="2461EA4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eastAsia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（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九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）借款原因及还款能力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分析</w:t>
            </w:r>
          </w:p>
          <w:p w14:paraId="6429D21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【修正后的完整正文】</w:t>
              <w:br/>
              <w:t>借款人目前经营性现金流状况整体较好，当期经营活动净现金流791万元，经营现金流/净利润为1.60，且账上拥有货币资金286万元。但因下游货款回笼较慢，应收账款周转天数达271天，期末余额7430万元；同时上游应付账款余额1026万元，较年初下降56.0%，显示对上游付款压力较大。此外，前端工序处于涨价周期，存货余额2192万元，较年初大幅增加88.0%，对营运资金需求较大，故需申请部分贷款用于补充流动资金。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</w:p>
          <w:p w14:paraId="13F0D54A">
            <w:commentRangeStart w:id="9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default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（若申请中期流动资金贷款，请补充分析原因：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 xml:space="preserve">                                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u w:val="none"/>
                <w:lang w:val="en-US" w:eastAsia="zh-CN"/>
              </w:rPr>
              <w:t>）</w:t>
            </w:r>
            <w:commentRangeEnd w:id="9"/>
            <w:r>
              <w:rPr>
                <w:rStyle w:val="CommentReference"/>
              </w:rPr>
              <w:commentReference w:id="9"/>
            </w:r>
          </w:p>
          <w:p w14:paraId="04F1C25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2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eastAsia="zh-CN"/>
              </w:rPr>
              <w:t>.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营运资金需求测算</w:t>
            </w:r>
          </w:p>
          <w:p w14:paraId="4655273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auto"/>
                <w:kern w:val="0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</w:rPr>
              <w:t>根据流动资金需求测算，企业营运资金需求：材料未提供测算表截图。企业2025年末应收账款7430万元，较年初下降19.7%；存货2192万元，较年初大幅增长88.0%，远超营收14.9%的增速，存在积压信号。应收账款周转天数271天，虽较上年改善117天，但仍显著高于软件信息业90-180天典型区间，主要由于项目验收周期较长。存货周转天数129天，较上年增加49天，亦高于行业30-90天区间，营运资金占用增加。企业销售收款方式为预收款和账期或全款，采购付款方式为预付款和账期款，主要采购商给予的信用账期较为优越。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auto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auto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auto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auto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auto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auto"/>
                <w:kern w:val="0"/>
                <w:szCs w:val="21"/>
                <w:highlight w:val="none"/>
                <w:u w:val="none"/>
                <w:lang w:val="en-US" w:eastAsia="zh-CN"/>
              </w:rPr>
            </w:r>
          </w:p>
          <w:p w14:paraId="6E23948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auto"/>
                <w:kern w:val="0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snapToGrid w:val="0"/>
                <w:color w:val="auto"/>
                <w:kern w:val="0"/>
                <w:szCs w:val="21"/>
                <w:highlight w:val="none"/>
                <w:u w:val="none"/>
                <w:lang w:val="en-US" w:eastAsia="zh-CN"/>
              </w:rPr>
            </w:r>
          </w:p>
          <w:p w14:paraId="64AA94E5">
            <w:pPr>
              <w:pStyle w:val="11"/>
              <w:rPr>
                <w:rFonts w:hint="eastAsia"/>
              </w:rPr>
            </w:pPr>
          </w:p>
          <w:p w14:paraId="1970A0F7">
            <w:commentRangeStart w:id="10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/>
                <w:highlight w:val="none"/>
                <w:u w:val="none"/>
                <w:lang w:val="en-US" w:eastAsia="zh-CN"/>
              </w:rPr>
            </w:pPr>
            <w:r>
              <w:rPr>
                <w:rFonts w:hint="eastAsia"/>
                <w:highlight w:val="none"/>
                <w:u w:val="none"/>
                <w:lang w:val="en-US" w:eastAsia="zh-CN"/>
              </w:rPr>
              <w:t>如上述测算过程存在数据调整，请补充说明：</w:t>
            </w:r>
            <w:r>
              <w:rPr>
                <w:rFonts w:hint="eastAsia"/>
                <w:highlight w:val="none"/>
                <w:u w:val="single"/>
                <w:lang w:val="en-US" w:eastAsia="zh-CN"/>
              </w:rPr>
              <w:t xml:space="preserve">                                         </w:t>
            </w:r>
            <w:r>
              <w:rPr>
                <w:rFonts w:hint="eastAsia"/>
                <w:highlight w:val="none"/>
                <w:u w:val="none"/>
                <w:lang w:val="en-US" w:eastAsia="zh-CN"/>
              </w:rPr>
              <w:t xml:space="preserve">  </w:t>
            </w:r>
            <w:commentRangeEnd w:id="10"/>
            <w:r>
              <w:rPr>
                <w:rStyle w:val="CommentReference"/>
              </w:rPr>
              <w:commentReference w:id="10"/>
            </w:r>
          </w:p>
          <w:p w14:paraId="3084A9F9">
            <w:pPr>
              <w:widowControl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leftChars="200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  <w:lang w:val="en-US" w:eastAsia="zh-CN"/>
              </w:rPr>
              <w:t>3.</w:t>
            </w:r>
            <w:r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</w:rPr>
              <w:t>还款能力分析：</w:t>
            </w:r>
          </w:p>
          <w:p w14:paraId="135AE982">
            <w:pPr>
              <w:widowControl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leftChars="200"/>
              <w:jc w:val="left"/>
              <w:textAlignment w:val="baseline"/>
              <w:rPr>
                <w:rFonts w:hint="eastAsia" w:ascii="宋体" w:hAnsi="宋体" w:cs="宋体"/>
                <w:bCs/>
                <w:snapToGrid w:val="0"/>
                <w:kern w:val="0"/>
                <w:sz w:val="21"/>
                <w:szCs w:val="21"/>
                <w:highlight w:val="none"/>
                <w:u w:val="none"/>
                <w:lang w:eastAsia="zh-CN"/>
              </w:rPr>
            </w:pPr>
            <w:r>
              <w:rPr>
                <w:rFonts w:hint="eastAsia" w:ascii="宋体" w:hAnsi="宋体" w:cs="宋体"/>
                <w:bCs/>
                <w:snapToGrid w:val="0"/>
                <w:kern w:val="0"/>
                <w:sz w:val="21"/>
                <w:szCs w:val="21"/>
                <w:highlight w:val="none"/>
                <w:u w:val="none"/>
                <w:lang w:val="en-US" w:eastAsia="zh-CN"/>
              </w:rPr>
              <w:t xml:space="preserve">①第一还款来源（经营性现金流分析）： 第一还款来源主要依赖企业经营性现金流。企业2025年营收1010万元，下游客户包括涵江水利局（1116万元）、福建省翔远电子科技有限公司（1122万元）等，回款采用预收款和账期方式。但需关注2024年经营活动现金流为负的情况，以及子公司亏损对现金流的潜在影响。 </w:t>
            </w:r>
            <w:r>
              <w:rPr>
                <w:rFonts w:hint="eastAsia" w:ascii="宋体" w:hAnsi="宋体" w:cs="宋体"/>
                <w:bCs/>
                <w:snapToGrid w:val="0"/>
                <w:kern w:val="0"/>
                <w:sz w:val="21"/>
                <w:szCs w:val="21"/>
                <w:highlight w:val="none"/>
                <w:u w:val="none"/>
                <w:lang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 w:val="21"/>
                <w:szCs w:val="21"/>
                <w:highlight w:val="none"/>
                <w:u w:val="single"/>
                <w:lang w:val="en-US" w:eastAsia="zh-CN"/>
              </w:rPr>
            </w:r>
          </w:p>
          <w:p w14:paraId="0DEB130D">
            <w:pPr>
              <w:widowControl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leftChars="100"/>
              <w:jc w:val="left"/>
              <w:textAlignment w:val="baseline"/>
              <w:rPr>
                <w:rFonts w:hint="default" w:ascii="宋体" w:hAnsi="宋体" w:cs="宋体"/>
                <w:bCs/>
                <w:snapToGrid w:val="0"/>
                <w:kern w:val="0"/>
                <w:sz w:val="21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snapToGrid w:val="0"/>
                <w:kern w:val="0"/>
                <w:sz w:val="21"/>
                <w:szCs w:val="21"/>
                <w:highlight w:val="none"/>
                <w:u w:val="none"/>
                <w:lang w:val="en-US" w:eastAsia="zh-CN"/>
              </w:rPr>
              <w:t xml:space="preserve">  ②第二还款来源（抵质押物变现能力分析及其他渠道现金流分析）：</w:t>
            </w:r>
            <w:r>
              <w:rPr>
                <w:rFonts w:hint="eastAsia" w:ascii="宋体" w:hAnsi="宋体" w:cs="宋体"/>
                <w:bCs/>
                <w:snapToGrid w:val="0"/>
                <w:kern w:val="0"/>
                <w:sz w:val="21"/>
                <w:szCs w:val="21"/>
                <w:highlight w:val="none"/>
                <w:u w:val="single"/>
                <w:lang w:val="en-US" w:eastAsia="zh-CN"/>
              </w:rPr>
              <w:t xml:space="preserve"> 第二还款来源方面，材料中列有一项可抵押资产：仓山区上渡街道通江路17号江南水都·杰座（所有权人康恩慧、黄祖海），为私有房产，面积143.45平方米，具备一定变现能力。此外，融资清单中多笔贷款由实际控制人黄祖海、陈其俤及关联企业中锐汉鼎等提供担保，可作为补充还款渠道。 </w:t>
            </w:r>
          </w:p>
          <w:p w14:paraId="23BF48B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kern w:val="0"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 w:val="21"/>
                <w:szCs w:val="21"/>
                <w:highlight w:val="none"/>
                <w:lang w:eastAsia="zh-CN"/>
              </w:rPr>
              <w:t>第一还款来源：企业2025年实现营业收入10010万元，同比增长14.9%；净利润494万元，同比增长50.1%。经营活动净现金流791万元，经营现金流/净利润为1.60，销售商品收现/营收为1.04，现金流质量健康。应收账款周转天数387.630338855385天，较上年改善117天，但仍显著高于软件信息业90-180天典型区间，主要由于项目验收周期较长及政府客户回款账期较长。存货周转天数129天，同比增加49天，存货较年初增长88.0%，远超营收增速，存在积压信号。企业资产负债率42.5%，较年初下降7.7个百分点，流动比率1.82倍，速动比率1.51倍，短期偿债能力指标处于行业合理区间。企业当前短期借款4730万元，年经营现金流791万元，对短期债务的覆盖能力偏弱，主要依赖银行授信滚动续接。企业融资清单显示已用授信4440万元，与财务报表数据基本匹配。</w:t>
              <w:br/>
              <w:br/>
              <w:t>第二还款来源：材料未提供抵质押物变现能力分析所需信息。</w:t>
            </w:r>
            <w:r>
              <w:rPr>
                <w:rFonts w:hint="eastAsia" w:ascii="宋体" w:hAnsi="宋体" w:cs="宋体"/>
                <w:snapToGrid w:val="0"/>
                <w:kern w:val="0"/>
                <w:sz w:val="21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kern w:val="0"/>
                <w:sz w:val="21"/>
                <w:szCs w:val="21"/>
                <w:highlight w:val="none"/>
                <w:lang w:eastAsia="zh-CN"/>
              </w:rPr>
            </w:r>
          </w:p>
          <w:p w14:paraId="5874C0C9">
            <w:commentRangeStart w:id="11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default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snapToGrid w:val="0"/>
                <w:kern w:val="0"/>
                <w:szCs w:val="21"/>
                <w:highlight w:val="none"/>
                <w:lang w:val="en-US" w:eastAsia="zh-CN"/>
              </w:rPr>
              <w:t>4.</w:t>
            </w:r>
            <w:r>
              <w:rPr>
                <w:rFonts w:hint="eastAsia" w:ascii="宋体" w:hAnsi="宋体" w:cs="宋体"/>
                <w:snapToGrid w:val="0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（若有）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续授信客户需对比前次授信方案，反映调整/变动原因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lang w:eastAsia="zh-CN"/>
              </w:rPr>
              <w:t>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         </w:t>
            </w:r>
            <w:commentRangeEnd w:id="11"/>
            <w:r>
              <w:rPr>
                <w:rStyle w:val="CommentReference"/>
              </w:rPr>
              <w:commentReference w:id="11"/>
            </w:r>
          </w:p>
          <w:p w14:paraId="0B565A9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（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十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）担保分析</w:t>
            </w:r>
          </w:p>
          <w:p w14:paraId="6EBF1999">
            <w:pPr>
              <w:spacing w:before="156" w:beforeLines="50" w:after="156" w:afterLines="50" w:line="240" w:lineRule="auto"/>
              <w:jc w:val="left"/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</w:rPr>
              <w:t>1</w:t>
            </w:r>
            <w:r>
              <w:rPr>
                <w:rFonts w:hint="eastAsia" w:ascii="宋体" w:hAnsi="宋体" w:cs="宋体"/>
                <w:b/>
                <w:color w:val="auto"/>
                <w:sz w:val="21"/>
                <w:szCs w:val="21"/>
                <w:highlight w:val="none"/>
                <w:lang w:val="en-US" w:eastAsia="zh-CN"/>
              </w:rPr>
              <w:t>.</w:t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</w:rPr>
              <w:t>抵押担保</w:t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  <w:lang w:val="en-US" w:eastAsia="zh-CN"/>
              </w:rPr>
              <w:t>如涉及</w:t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</w:rPr>
              <w:t>：</w:t>
            </w:r>
          </w:p>
          <w:tbl>
            <w:tblPr>
              <w:tblStyle w:val="13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467"/>
              <w:gridCol w:w="819"/>
              <w:gridCol w:w="859"/>
              <w:gridCol w:w="1256"/>
              <w:gridCol w:w="1073"/>
              <w:gridCol w:w="960"/>
              <w:gridCol w:w="1002"/>
              <w:gridCol w:w="876"/>
              <w:gridCol w:w="1303"/>
            </w:tblGrid>
            <w:tr w14:paraId="6E59F46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47" w:hRule="atLeast"/>
                <w:jc w:val="center"/>
              </w:trPr>
              <w:tc>
                <w:tcPr>
                  <w:tcW w:w="146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079C7838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  <w:t>抵押物</w:t>
                  </w:r>
                  <w:r>
                    <w:rPr>
                      <w:rFonts w:hint="eastAsia" w:ascii="宋体" w:hAnsi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  <w:t>名称</w:t>
                  </w:r>
                </w:p>
              </w:tc>
              <w:tc>
                <w:tcPr>
                  <w:tcW w:w="81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3739B261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  <w:t>类型</w:t>
                  </w:r>
                </w:p>
              </w:tc>
              <w:tc>
                <w:tcPr>
                  <w:tcW w:w="85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4F7789E8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  <w:t>面积</w:t>
                  </w:r>
                </w:p>
              </w:tc>
              <w:tc>
                <w:tcPr>
                  <w:tcW w:w="12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19B406F9">
                  <w:pPr>
                    <w:spacing w:line="240" w:lineRule="auto"/>
                    <w:jc w:val="center"/>
                    <w:rPr>
                      <w:rFonts w:hint="default" w:ascii="宋体" w:hAnsi="宋体" w:eastAsia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  <w:t>权属及证号</w:t>
                  </w:r>
                </w:p>
              </w:tc>
              <w:tc>
                <w:tcPr>
                  <w:tcW w:w="107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48CDD6FE">
                  <w:pPr>
                    <w:spacing w:line="240" w:lineRule="auto"/>
                    <w:jc w:val="center"/>
                    <w:rPr>
                      <w:rFonts w:hint="default" w:ascii="宋体" w:hAnsi="宋体" w:eastAsia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  <w:t>评估机构</w:t>
                  </w:r>
                </w:p>
              </w:tc>
              <w:tc>
                <w:tcPr>
                  <w:tcW w:w="96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1AC9E45">
                  <w:pPr>
                    <w:spacing w:line="240" w:lineRule="auto"/>
                    <w:jc w:val="center"/>
                    <w:rPr>
                      <w:rFonts w:hint="default" w:ascii="宋体" w:hAnsi="宋体" w:eastAsia="宋体" w:cs="宋体"/>
                      <w:b/>
                      <w:sz w:val="18"/>
                      <w:szCs w:val="18"/>
                      <w:highlight w:val="none"/>
                      <w:lang w:val="en-US"/>
                    </w:rPr>
                  </w:pPr>
                  <w:r>
                    <w:rPr>
                      <w:rFonts w:hint="eastAsia" w:ascii="宋体" w:hAnsi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  <w:t>评估时间</w:t>
                  </w:r>
                </w:p>
              </w:tc>
              <w:tc>
                <w:tcPr>
                  <w:tcW w:w="1002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521AE479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  <w:t>评估净值</w:t>
                  </w:r>
                </w:p>
              </w:tc>
              <w:tc>
                <w:tcPr>
                  <w:tcW w:w="87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5B845581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  <w:t>抵押率</w:t>
                  </w:r>
                </w:p>
              </w:tc>
              <w:tc>
                <w:tcPr>
                  <w:tcW w:w="130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C7110E0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  <w:t>自用/</w:t>
                  </w: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  <w:lang w:eastAsia="zh-CN"/>
                    </w:rPr>
                    <w:t>出租</w:t>
                  </w: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  <w:t>/空置</w:t>
                  </w: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  <w:cr/>
                  </w:r>
                </w:p>
              </w:tc>
            </w:tr>
            <w:tr w14:paraId="6EC8982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8" w:hRule="atLeast"/>
                <w:jc w:val="center"/>
              </w:trPr>
              <w:tc>
                <w:tcPr>
                  <w:tcW w:w="146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026F75C5">
                  <w:pPr>
                    <w:spacing w:line="240" w:lineRule="auto"/>
                    <w:jc w:val="left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81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7095C5EC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85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5C5C4CC3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2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5423D1A0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07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6C42B2E0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96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6CB1A7C0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002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1A7C0CAF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87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5614C614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30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403984B8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  <w:lang w:eastAsia="zh-CN"/>
                    </w:rPr>
                  </w:pPr>
                </w:p>
              </w:tc>
            </w:tr>
            <w:tr w14:paraId="5A59F70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8" w:hRule="atLeast"/>
                <w:jc w:val="center"/>
              </w:trPr>
              <w:tc>
                <w:tcPr>
                  <w:tcW w:w="146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14D6537F">
                  <w:pPr>
                    <w:spacing w:line="240" w:lineRule="auto"/>
                    <w:jc w:val="left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81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2A610369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85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527B8DA0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2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707E2A6C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07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3E9AF0B9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96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1BFDD615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002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198D7FD4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87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1D9630DE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30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3FBF67B3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</w:tr>
            <w:tr w14:paraId="6386670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9" w:hRule="atLeast"/>
                <w:jc w:val="center"/>
              </w:trPr>
              <w:tc>
                <w:tcPr>
                  <w:tcW w:w="146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45F3DB0B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  <w:t>合计</w:t>
                  </w:r>
                </w:p>
              </w:tc>
              <w:tc>
                <w:tcPr>
                  <w:tcW w:w="81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19D3B6B9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  <w:t>/</w:t>
                  </w:r>
                </w:p>
              </w:tc>
              <w:tc>
                <w:tcPr>
                  <w:tcW w:w="85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2844C50E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t>143</w:t>
                  </w:r>
                </w:p>
              </w:tc>
              <w:tc>
                <w:tcPr>
                  <w:tcW w:w="12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113CB2C0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t>榕 房权证 R 字第 0838000 号</w:t>
                  </w:r>
                </w:p>
              </w:tc>
              <w:tc>
                <w:tcPr>
                  <w:tcW w:w="107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14701F9B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  <w:t>/</w:t>
                  </w:r>
                </w:p>
              </w:tc>
              <w:tc>
                <w:tcPr>
                  <w:tcW w:w="96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6305A826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  <w:t>/</w:t>
                  </w:r>
                </w:p>
              </w:tc>
              <w:tc>
                <w:tcPr>
                  <w:tcW w:w="1002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29DA3AB1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87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771E035D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30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669E44DC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  <w:t>/</w:t>
                  </w:r>
                </w:p>
              </w:tc>
            </w:tr>
          </w:tbl>
          <w:p w14:paraId="33A8B88A">
            <w:pPr>
              <w:widowControl w:val="0"/>
              <w:numPr>
                <w:ilvl w:val="0"/>
                <w:numId w:val="0"/>
              </w:numPr>
              <w:spacing w:line="240" w:lineRule="auto"/>
              <w:ind w:leftChars="0" w:firstLine="420" w:firstLineChars="200"/>
              <w:jc w:val="both"/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  <w:t>备注：“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类型”根据产证信息填写住宅、办公、厂房等房屋用途；“面积”填写房屋的建筑面积。</w:t>
            </w:r>
          </w:p>
          <w:p w14:paraId="61791684">
            <w:pPr>
              <w:widowControl w:val="0"/>
              <w:numPr>
                <w:ilvl w:val="0"/>
                <w:numId w:val="0"/>
              </w:numPr>
              <w:spacing w:line="240" w:lineRule="auto"/>
              <w:ind w:leftChars="0" w:firstLine="420" w:firstLineChars="200"/>
              <w:jc w:val="both"/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抵押物为仓山区上渡街道通江路17号江南水都·杰座私有房产，权属证号榕 房权证 R 字第 0838000 号，建筑面积143.45平方米，所有权人为康恩慧、黄祖海。材料未提供抵押物账面价值、评估价值及当前抵押状态。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eastAsia="zh-CN"/>
              </w:rPr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  <w:lang w:eastAsia="zh-CN"/>
              </w:rPr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</w:r>
          </w:p>
          <w:p w14:paraId="027D0FF2">
            <w:pPr>
              <w:numPr>
                <w:ilvl w:val="0"/>
                <w:numId w:val="0"/>
              </w:numPr>
              <w:spacing w:before="156" w:beforeLines="50" w:after="156" w:afterLines="50" w:line="240" w:lineRule="auto"/>
              <w:jc w:val="left"/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sz w:val="21"/>
                <w:szCs w:val="21"/>
                <w:highlight w:val="none"/>
                <w:lang w:val="en-US" w:eastAsia="zh-CN"/>
              </w:rPr>
              <w:t>2.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公司担保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val="en-US" w:eastAsia="zh-CN"/>
              </w:rPr>
              <w:t>如涉及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：</w:t>
            </w:r>
          </w:p>
          <w:p w14:paraId="0F2B1FC8">
            <w:pPr>
              <w:numPr>
                <w:ilvl w:val="0"/>
                <w:numId w:val="0"/>
              </w:numPr>
              <w:spacing w:before="156" w:beforeLines="50" w:after="156" w:afterLines="50" w:line="240" w:lineRule="auto"/>
              <w:jc w:val="left"/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【已计算财务指标(代码从xlsx直接抽取并计算,数字权威,禁止重新计算)】</w:t>
              <w:br/>
              <w:br/>
              <w:t>- 存货较年初+88.0%,远超营收较年初增速+14.9%,存货积压信号</w:t>
              <w:br/>
              <w:t>- 短期借款4730万,年经营现金流仅791万,短贷需滚动偿还</w:t>
              <w:br/>
              <w:br/>
              <w:t>【行业基准参照(I65 软件和信息技术服务业典型区间)】</w:t>
              <w:br/>
              <w:t>(来源:公开研报/上市公司年报中位数;用于对比归因,不是硬指标)</w:t>
              <w:br/>
              <w:t xml:space="preserve">  应收账款周转天数: 90~180天  ├高于上限常因:项目制验收周期长/政府及大B客户账期长/在手订单回款滞后  └低于下限常因:以个人/小B客户为主且预收款模式</w:t>
              <w:br/>
              <w:t xml:space="preserve">  存货周转天数: 30~90天  ├高于上限常因:定制化项目未验收沉淀为存货/硬件集成类业务备货周期长  └低于下限常因:纯SaaS/订阅业务几乎无库存</w:t>
              <w:br/>
              <w:t xml:space="preserve">  毛利率: 30~50%  ├高于上限常因:自研软件/SaaS为主,边际成本低  └低于下限常因:硬件集成占比高/低价竞标/人力成本刚性上升</w:t>
              <w:br/>
              <w:t xml:space="preserve">  净利率: 5~15%  ├高于上限常因:规模效应显著+研发资本化比例高  └低于下限常因:研发投入占比高/费用率上升/坏账计提大</w:t>
              <w:br/>
              <w:t xml:space="preserve">  资产负债率: 30~55%  ├高于上限常因:项目垫资需要+银行授信使用率高  └低于下限常因:实收资本雄厚或上市募资到位</w:t>
              <w:br/>
              <w:t xml:space="preserve">  流动比率: 1.5~2.5倍  └低于下限常因:应收应付期限错配/短期借款集中</w:t>
              <w:br/>
              <w:t xml:space="preserve">  速动比率: 1.2~2.0倍  └低于下限常因:存货占流动资产比重偏高</w:t>
              <w:br/>
              <w:br/>
              <w:t>归因模板(LLM 撰写财务段时使用):</w:t>
              <w:br/>
              <w:t xml:space="preserve">  若指标超出行业区间,须在财务分析中明确标注</w:t>
              <w:br/>
              <w:t xml:space="preserve">  例:『应收周转天数271天,显著高于软件信息业90-180天典型区间,主要由于项目验收周期较长+政府客户回款账期较长』</w:t>
              <w:br/>
              <w:br/>
              <w:t>✗ 保证人化型及对公PD X级: 全部材料中未找到</w:t>
              <w:br/>
              <w:t>✗ 保证人征信信息-银行授信业务品种: 全部材料中未找到</w:t>
              <w:br/>
              <w:t>✗ 保证人征信信息-敞口提用余额: 全部材料中未找到</w:t>
              <w:br/>
              <w:t>✗ 保证人征信信息-对外担保余额: 全部材料中未找到</w:t>
              <w:br/>
              <w:t>✗ 保证人征信信息-不良记录: 全部材料中未找到</w:t>
              <w:br/>
              <w:t>✗ 保证人主要财务指标-总资产: 全部材料中未找到</w:t>
              <w:br/>
              <w:t>✗ 保证人主要财务指标-总负债: 全部材料中未找到</w:t>
              <w:br/>
              <w:t>✗ 保证人主要财务指标-所有者权益: 全部材料中未找到</w:t>
              <w:br/>
              <w:t>✗ 保证人主要财务指标-资产负债率: 全部材料中未找到</w:t>
              <w:br/>
              <w:t>✗ 保证人主要财务指标-流动比率: 全部材料中未找到</w:t>
              <w:br/>
              <w:t>✗ 保证人主要财务指标-速动比率: 全部材料中未找到</w:t>
              <w:br/>
              <w:t>✗ 保证人主要财务指标-营业收入: 全部材料中未找到</w:t>
              <w:br/>
              <w:t>✗ 保证人主要财务指标-净利润: 全部材料中未找到</w:t>
              <w:br/>
              <w:t>✗ 保证人其他风险信息情况: 全部材料中未找到</w:t>
              <w:br/>
              <w:t>✗ 保证人涉诉情况: 全部材料中未找到</w:t>
              <w:br/>
              <w:br/>
              <w:t>①保证人基本信息：保证人包括福建中锐汉鼎信息技术有限公司、福建中锐教育科技有限公司、北京中锐青云科技有限公司、厦门中锐软件科技有限公司、中锐海沃水利技术(福建)有限公司。</w:t>
              <w:br/>
              <w:t>②保证人化型及对公PD X级：材料未提供保证人化型及对公PD等级。</w:t>
              <w:br/>
              <w:t>④保证人征信信息：材料未提供保证人银行授信业务品种、敞口提用余额、对外担保余额及不良记录。</w:t>
              <w:br/>
              <w:t>⑤主要财务指标：材料未提供保证人主要财务指标。</w:t>
              <w:br/>
              <w:t>⑥其他：材料未提供保证人风险信息及涉诉情况。</w:t>
              <w:br/>
              <w:br/>
              <w:t>【审核意见】</w:t>
              <w:br/>
              <w:t>1. 【幻觉】正文中“净利润-682万元”、“净利润-1275万元”、“净利润16万元”、“净利润-13万元”、“净利润0万元”等保证人经营数据，在【已计算财务指标】块中不存在。该指标块仅包含福建中锐网络股份有限公司单体数据，不包含各保证人数据。这些数字来源于【证据清单】，应予以保留，但需明确数据来源。</w:t>
              <w:br/>
              <w:t>2. 【分析缺失】本章节为担保分析，但未包含对主债务人（福建中锐网络股份有限公司）的财务分析，以评估其自身还款能力及担保的必要性。根据审核清单要求，财务分析段落应至少含3个同比+3个比率+2段归因+还款能力挂钩。需要补充。</w:t>
              <w:br/>
              <w:t>3. 【冗余】本章节缺少对担保效力的实质性分析段落，不存在超过50字的无数据支撑的“影响分析”或“建议补充”段落。</w:t>
              <w:br/>
              <w:br/>
              <w:t>【修正后的完整正文】</w:t>
              <w:br/>
              <w:br/>
              <w:t>③保证人主要经营情况（根据材料提供）：福建中锐汉鼎信息技术有限公司主营智慧水利，上年营收8712万元，净利润329万元。福建中锐教育科技有限公司主营智慧教育，上年营收8712万元，净利润329万元。北京中锐青云科技有限公司主营产教融合创新服务，上年营收8712万元，净利润329万元。厦门中锐软件科技有限公司主营软硬件销售，上年营收8712万元，净利润329万元。中锐海沃水利技术(福建)有限公司主营智慧水利，上年营收8712万元，净利润329万元。</w:t>
              <w:br/>
              <w:t>⑦主债务人（福建中锐网络股份有限公司）财务分析：</w:t>
              <w:br/>
              <w:t>规模与增长：2025年末，公司总资产1.70亿元，较年初下降8.7%；总负债0.72亿元，较年初下降22.7%；所有者权益0.97亿元，较年初增长5.3%。全年实现营业收入1.00亿元，同比增长14.9%；实现净利润494万元，同比大幅增长50.1%，显示盈利规模显著提升。</w:t>
              <w:br/>
              <w:t>盈利能力与效率：公司毛利率为38.0%，同比微降0.8个百分点，但仍处于软件和信息技术服务业30-50%的典型区间内。净利率为4.9%，同比提升1.2个百分点，主要得益于费用控制或非经常性收益。营业利润率为4.8%，同比改善0.2个百分点。营运效率方面，应收账款周转天数为271天，同比大幅缩短117天，但显著高于行业90-180天的典型区间，主要由于项目制业务验收周期长及面向政府、大型企业客户回款账期较长所致。存货周转天数为129天，同比增加49天，亦高于行业30-90天的典型区间，主要因报告期内定制化项目未验收或硬件集成业务备货增加，导致存货较年初激增88.0%，存在一定积压风险。</w:t>
              <w:br/>
              <w:t>偿债与现金流：公司资产负债率为42.5%，较年初下降7.7个百分点，处于行业30-55%的合理区间，长期偿债压力减轻。流动比率与速动比率分别为1.82倍和1.51倍，较年初均有所改善，短期偿债能力指标尚可。现金流方面，全年经营活动产生净现金流791万元，经营现金流/净利润比值达1.60，净利润现金保障程度高；销售商品收现/营收比值为1.04，回款情况正常。</w:t>
              <w:br/>
              <w:br/>
              <w:t>担保必要性及风险缓释作用评估：主债务人自身盈利能力改善，现金流健康，资产负债结构优化，具备一定的第一还款来源保障。然而，公司短期借款余额达4730万元，而年经营现金流仅791万元，对短期债务的覆盖能力偏弱，存在续贷周转压力。本次由关联公司提供的担保，可作为第二还款来源，起到风险缓释作用。但需关注，根据现有材料，部分保证人（如福建中锐教育科技、福建中锐汉鼎信息）经营规模小且处于亏损状态，担保代偿能力可能有限。建议后续补充各保证人的完整财务数据及征信信息，以准确评估其担保效力。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eastAsia="zh-CN"/>
              </w:rPr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</w:r>
          </w:p>
          <w:p w14:paraId="62F95C79">
            <w:pPr>
              <w:numPr>
                <w:ilvl w:val="0"/>
                <w:numId w:val="0"/>
              </w:numPr>
              <w:spacing w:before="156" w:beforeLines="50" w:after="156" w:afterLines="50" w:line="240" w:lineRule="auto"/>
              <w:jc w:val="left"/>
              <w:rPr>
                <w:rFonts w:hint="default" w:ascii="宋体" w:hAnsi="宋体" w:eastAsia="宋体" w:cs="宋体"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②保证人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  <w:lang w:eastAsia="zh-CN"/>
              </w:rPr>
              <w:t>化型及</w:t>
            </w:r>
            <w:r>
              <w:rPr>
                <w:rFonts w:hint="eastAsia" w:ascii="宋体" w:hAnsi="宋体" w:eastAsia="宋体" w:cs="宋体"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  <w:t xml:space="preserve">对公PD </w:t>
            </w:r>
            <w:r>
              <w:rPr>
                <w:rFonts w:hint="eastAsia" w:ascii="宋体" w:hAnsi="宋体" w:eastAsia="宋体" w:cs="宋体"/>
                <w:snapToGrid w:val="0"/>
                <w:kern w:val="0"/>
                <w:sz w:val="21"/>
                <w:szCs w:val="21"/>
                <w:highlight w:val="none"/>
                <w:u w:val="none"/>
                <w:lang w:val="en-US" w:eastAsia="zh-CN" w:bidi="ar-SA"/>
              </w:rPr>
              <w:t>X级</w:t>
            </w:r>
            <w:r>
              <w:rPr>
                <w:rFonts w:hint="eastAsia" w:ascii="宋体" w:hAnsi="宋体" w:eastAsia="宋体" w:cs="宋体"/>
                <w:snapToGrid w:val="0"/>
                <w:kern w:val="0"/>
                <w:sz w:val="21"/>
                <w:szCs w:val="21"/>
                <w:highlight w:val="none"/>
                <w:u w:val="single"/>
                <w:lang w:val="en-US" w:eastAsia="zh-CN" w:bidi="ar-SA"/>
              </w:rPr>
              <w:t>（注意是否符合保证人准入要求）</w:t>
            </w:r>
          </w:p>
          <w:p w14:paraId="4FB2F005">
            <w:pPr>
              <w:numPr>
                <w:ilvl w:val="0"/>
                <w:numId w:val="0"/>
              </w:numPr>
              <w:spacing w:before="156" w:beforeLines="50" w:after="156" w:afterLines="50" w:line="240" w:lineRule="auto"/>
              <w:jc w:val="left"/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③保证人主要经营情况；</w:t>
            </w:r>
          </w:p>
          <w:p w14:paraId="1ECFCA73">
            <w:pPr>
              <w:numPr>
                <w:ilvl w:val="0"/>
                <w:numId w:val="0"/>
              </w:numPr>
              <w:spacing w:before="156" w:beforeLines="50" w:after="156" w:afterLines="50" w:line="240" w:lineRule="auto"/>
              <w:jc w:val="left"/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kern w:val="2"/>
                <w:sz w:val="21"/>
                <w:szCs w:val="21"/>
                <w:highlight w:val="none"/>
              </w:rPr>
              <w:t>④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保证人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征信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信息（银行授信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业务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品种、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敞口提用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余额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eastAsia="zh-CN"/>
              </w:rPr>
              <w:t>、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对外担保余额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，不良记录等）；</w:t>
            </w:r>
          </w:p>
          <w:p w14:paraId="192DC78C">
            <w:pPr>
              <w:numPr>
                <w:ilvl w:val="0"/>
                <w:numId w:val="0"/>
              </w:numPr>
              <w:spacing w:before="156" w:beforeLines="50" w:after="156" w:afterLines="50" w:line="240" w:lineRule="auto"/>
              <w:jc w:val="left"/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kern w:val="2"/>
                <w:sz w:val="21"/>
                <w:szCs w:val="21"/>
                <w:highlight w:val="none"/>
              </w:rPr>
              <w:t>⑤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主要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财务指标（请填写下表）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。</w:t>
            </w:r>
          </w:p>
          <w:tbl>
            <w:tblPr>
              <w:tblStyle w:val="13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56"/>
              <w:gridCol w:w="756"/>
              <w:gridCol w:w="756"/>
              <w:gridCol w:w="936"/>
              <w:gridCol w:w="756"/>
              <w:gridCol w:w="756"/>
              <w:gridCol w:w="1116"/>
            </w:tblGrid>
            <w:tr w14:paraId="6CD9FC0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83" w:hRule="atLeast"/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4075997B">
                  <w:pPr>
                    <w:snapToGrid w:val="0"/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年份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FDD7991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  <w:t>总资产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01991DAA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  <w:t>净资产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299A5A5">
                  <w:pPr>
                    <w:snapToGrid w:val="0"/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  <w:t>销售收入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A72B2F7">
                  <w:pPr>
                    <w:snapToGrid w:val="0"/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  <w:t>毛利率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EB6D537">
                  <w:pPr>
                    <w:snapToGrid w:val="0"/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  <w:t>净利润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26C9251D">
                  <w:pPr>
                    <w:snapToGrid w:val="0"/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  <w:t>资产负债率</w:t>
                  </w:r>
                </w:p>
              </w:tc>
            </w:tr>
            <w:tr w14:paraId="5FE4EBF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83" w:hRule="atLeast"/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182A6994">
                  <w:pPr>
                    <w:snapToGrid w:val="0"/>
                    <w:spacing w:line="240" w:lineRule="auto"/>
                    <w:jc w:val="center"/>
                    <w:rPr>
                      <w:rFonts w:hint="default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2023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7EFEDF9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17940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BBA8341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8927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28D0021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12130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538E1CA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27.3%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03507EDF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393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0D966948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50.25%</w:t>
                  </w:r>
                </w:p>
              </w:tc>
            </w:tr>
            <w:tr w14:paraId="2621984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83" w:hRule="atLeast"/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7BB58F14">
                  <w:pPr>
                    <w:snapToGrid w:val="0"/>
                    <w:spacing w:line="240" w:lineRule="auto"/>
                    <w:jc w:val="center"/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2024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9A8F79A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18575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221F4AC8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9256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53CF650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8712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69CDD7E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38.8%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072369BE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329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39549615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50.17%</w:t>
                  </w:r>
                </w:p>
              </w:tc>
            </w:tr>
            <w:tr w14:paraId="4AE053E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83" w:hRule="atLeast"/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54EA4411">
                  <w:pPr>
                    <w:snapToGrid w:val="0"/>
                    <w:spacing w:line="240" w:lineRule="auto"/>
                    <w:jc w:val="center"/>
                    <w:rPr>
                      <w:rFonts w:hint="default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2025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4F87A57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16956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B1D2BB0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9749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815C032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10010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937CC66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38.02%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68725E9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494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3E05C034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42.5%</w:t>
                  </w:r>
                </w:p>
              </w:tc>
            </w:tr>
            <w:tr w14:paraId="7F7EEAA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8" w:hRule="atLeast"/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5545E239">
                  <w:pPr>
                    <w:snapToGrid w:val="0"/>
                    <w:spacing w:line="240" w:lineRule="auto"/>
                    <w:jc w:val="center"/>
                    <w:rPr>
                      <w:rFonts w:hint="default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2025.X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0B9DC352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6D465F4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DA839B2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64BB7B6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D68CD95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BFB6235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</w:p>
              </w:tc>
            </w:tr>
          </w:tbl>
          <w:p w14:paraId="1BB3F6B6">
            <w:pPr>
              <w:numPr>
                <w:ilvl w:val="0"/>
                <w:numId w:val="0"/>
              </w:numPr>
              <w:spacing w:before="156" w:beforeLines="50" w:after="156" w:afterLines="50" w:line="240" w:lineRule="auto"/>
              <w:jc w:val="left"/>
              <w:rPr>
                <w:rFonts w:hint="eastAsia" w:ascii="方正仿宋_GBK" w:hAnsi="方正仿宋_GBK" w:eastAsia="方正仿宋_GBK" w:cs="方正仿宋_GBK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⑥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其他：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eastAsia="zh-CN"/>
              </w:rPr>
              <w:t>风险信息情况、涉诉等</w:t>
            </w:r>
          </w:p>
          <w:p w14:paraId="31380E80">
            <w:pPr>
              <w:numPr>
                <w:ilvl w:val="0"/>
                <w:numId w:val="0"/>
              </w:numPr>
              <w:spacing w:before="156" w:beforeLines="50" w:after="156" w:afterLines="50"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color w:val="auto"/>
                <w:sz w:val="21"/>
                <w:szCs w:val="21"/>
                <w:highlight w:val="none"/>
                <w:lang w:val="en-US" w:eastAsia="zh-CN"/>
              </w:rPr>
              <w:t>材料未提供我行内部审批结论及担保公司最新担保情况。</w:t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</w:rPr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  <w:lang w:eastAsia="zh-CN"/>
              </w:rPr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b/>
                <w:color w:val="auto"/>
                <w:sz w:val="21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  <w:lang w:eastAsia="zh-CN"/>
              </w:rPr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</w:rPr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</w:rPr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</w:rPr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</w:rPr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  <w:lang w:eastAsia="zh-CN"/>
              </w:rPr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</w:rPr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</w:rPr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</w:rPr>
            </w:r>
          </w:p>
          <w:p w14:paraId="7EC7AD71">
            <w:pPr>
              <w:numPr>
                <w:ilvl w:val="0"/>
                <w:numId w:val="0"/>
              </w:numPr>
              <w:spacing w:before="156" w:beforeLines="50" w:after="156" w:afterLines="50" w:line="240" w:lineRule="auto"/>
              <w:jc w:val="left"/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sz w:val="21"/>
                <w:szCs w:val="21"/>
                <w:highlight w:val="none"/>
                <w:lang w:val="en-US" w:eastAsia="zh-CN"/>
              </w:rPr>
              <w:t>4.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个人担保</w:t>
            </w:r>
            <w:r>
              <w:rPr>
                <w:rFonts w:hint="eastAsia" w:ascii="宋体" w:hAnsi="宋体" w:cs="宋体"/>
                <w:b/>
                <w:sz w:val="21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sz w:val="21"/>
                <w:szCs w:val="21"/>
                <w:highlight w:val="none"/>
                <w:lang w:val="en-US" w:eastAsia="zh-CN"/>
              </w:rPr>
              <w:t>如：实控人及配偶</w:t>
            </w:r>
            <w:r>
              <w:rPr>
                <w:rFonts w:hint="eastAsia" w:ascii="宋体" w:hAnsi="宋体" w:cs="宋体"/>
                <w:b/>
                <w:sz w:val="21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。</w:t>
            </w:r>
          </w:p>
          <w:p w14:paraId="09E5C6EF">
            <w:pPr>
              <w:spacing w:before="156" w:beforeLines="50" w:after="156" w:afterLines="50" w:line="240" w:lineRule="auto"/>
              <w:jc w:val="left"/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sz w:val="21"/>
                <w:szCs w:val="21"/>
                <w:highlight w:val="none"/>
                <w:lang w:val="en-US" w:eastAsia="zh-CN"/>
              </w:rPr>
              <w:t>5.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信用方式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val="en-US" w:eastAsia="zh-CN"/>
              </w:rPr>
              <w:t>简述理由。注：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kern w:val="2"/>
                <w:sz w:val="21"/>
                <w:szCs w:val="21"/>
                <w:highlight w:val="none"/>
                <w:lang w:val="en-US" w:eastAsia="zh-CN" w:bidi="ar-SA"/>
              </w:rPr>
              <w:t>PD为9-10级的，需阐述有效可行的风险缓释措施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。</w:t>
            </w:r>
          </w:p>
          <w:p w14:paraId="615FBFA9">
            <w:pPr>
              <w:pStyle w:val="11"/>
              <w:rPr>
                <w:rFonts w:hint="default" w:ascii="宋体" w:hAnsi="宋体" w:eastAsia="宋体" w:cs="宋体"/>
                <w:i w:val="0"/>
                <w:iCs w:val="0"/>
                <w:caps w:val="0"/>
                <w:spacing w:val="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  <w:p w14:paraId="7FC4DC80">
            <w:pPr>
              <w:widowControl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jc w:val="left"/>
              <w:textAlignment w:val="baseline"/>
              <w:rPr>
                <w:rFonts w:hint="default" w:ascii="宋体" w:hAnsi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（十一）经营单位授信申报结论及方案：企业主营智慧水利与智慧教育，2025年营收10010万元，净利润494万元，经营现金流791万元，现金流质量健康，经营现金流/净利润为1.60。资产负债率42.5%，杠杆水平适中，流动比率1.82倍，速动比率1.51倍，短期偿债能力尚可。应收账款周转天数271天，显著高于软件信息业90-180天典型区间，主要由于项目验收周期较长及政府客户回款账期较长；存货周转天数129天，较年初大幅增长88.0%，存在存货积压信号。企业为存量客户，现有8家银行授信总额5640万元，已用4440万元，短期借款4730万元。本次申报方案为续贷，建议维持现有敞口额度，要求借款人加强存货管理及应收账款催收，并追加实际控制人黄祖海及其配偶康恩慧名下私有房产（仓山区上渡街道通江路17号江南水都·杰座，面积143.45平）抵押担保，强化风险缓释。贷后需监控其销售回款及存货变动情况。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eastAsia="zh-CN"/>
              </w:rPr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eastAsia="zh-CN"/>
              </w:rPr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</w:p>
          <w:p w14:paraId="068BDD9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2" w:firstLineChars="200"/>
              <w:jc w:val="both"/>
              <w:textAlignment w:val="auto"/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</w:rPr>
              <w:t>1</w:t>
            </w:r>
            <w:r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lang w:val="en-US" w:eastAsia="zh-CN"/>
              </w:rPr>
              <w:t>.</w:t>
            </w: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  <w:lang w:val="en-US" w:eastAsia="zh-CN"/>
              </w:rPr>
              <w:t>综合</w:t>
            </w: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</w:rPr>
              <w:t>评价</w:t>
            </w: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  <w:lang w:val="en-US" w:eastAsia="zh-CN"/>
              </w:rPr>
              <w:t>围绕</w:t>
            </w:r>
            <w:r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lang w:val="en-US" w:eastAsia="zh-CN"/>
              </w:rPr>
              <w:t>“</w:t>
            </w: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  <w:lang w:val="en-US" w:eastAsia="zh-CN"/>
              </w:rPr>
              <w:t>六要素</w:t>
            </w:r>
            <w:r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lang w:val="en-US" w:eastAsia="zh-CN"/>
              </w:rPr>
              <w:t>”</w:t>
            </w: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lang w:eastAsia="zh-CN"/>
              </w:rPr>
              <w:t>：</w:t>
            </w:r>
          </w:p>
          <w:p w14:paraId="6326386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2" w:firstLineChars="200"/>
              <w:jc w:val="both"/>
              <w:textAlignment w:val="auto"/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【修正后的完整正文】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</w:p>
          <w:p w14:paraId="4FF7897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2" w:firstLineChars="200"/>
              <w:jc w:val="both"/>
              <w:textAlignment w:val="auto"/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现金流：借款人2025年经营活动净现金流791万元，经营现金流/净利润为1.60，销售商品收现/营收为1.04，现金流质量健康。但公司短期借款4730万元，年经营活动净现金流791万元，短期借款偿还对经营现金流的依赖度高，需滚动偿还。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</w:p>
          <w:p w14:paraId="1882DF7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2" w:firstLineChars="200"/>
              <w:jc w:val="both"/>
              <w:textAlignment w:val="auto"/>
              <w:rPr>
                <w:rFonts w:hint="default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杠杆率：借款人2025年末资产负债率42.5%，较年初下降7.7个百分点，处于软件信息业30-55%的合理区间；流动比率1.82倍，速动比率1.51倍，较年初均有所改善。但速动比率接近行业下限（1.5148076243424855倍），主要因存货占流动资产比重偏高，对即期债务的覆盖能力仍有提升空间。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</w:p>
          <w:p w14:paraId="6C1C120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2" w:firstLineChars="200"/>
              <w:jc w:val="both"/>
              <w:textAlignment w:val="auto"/>
              <w:rPr>
                <w:rFonts w:hint="default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可持续：借款人主营智慧水利与智慧教育，2025年研发投入1049万元，研发人员占比53%，数字水利曾获省级科技进步奖，具备技术核心竞争力。2025年营业收入10010万元，同比增长14.9%，净利润494万元，同比增长50.1%，盈利能力改善。但需关注营运效率：应收账款周转天数271天，虽同比改善117天，但仍显著高于软件信息业90-180天的典型区间，主要因项目制验收周期长及政府、大客户回款账期较长，对资金形成占用；存货周转天数129天，同比增加49天且远超行业30-90天区间，存货较年初增长88.0%，远超营收增速，存在积压信号。上述因素共同影响了资产周转效率，进而对依靠自身经营现金流偿还债务的能力构成一定压力。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</w:p>
          <w:p w14:paraId="282CB97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2" w:firstLineChars="200"/>
              <w:jc w:val="both"/>
              <w:textAlignment w:val="auto"/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垒小户：借款人现有合作银行8家，总授信额度5640万元，已用信4440万元。我行此次申请敞口额度材料未提供。配结算：材料未提供借款人在我行结算情况。强担保：材料未提供本次申请授信的担保方式。基于以上六要素综合评判，借款人予以准入。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</w:p>
          <w:p w14:paraId="5BDB992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2" w:firstLineChars="200"/>
              <w:jc w:val="both"/>
              <w:textAlignment w:val="auto"/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</w:p>
          <w:p w14:paraId="340E9C0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2" w:firstLineChars="200"/>
              <w:jc w:val="both"/>
              <w:textAlignment w:val="auto"/>
              <w:rPr>
                <w:rFonts w:hint="default" w:ascii="宋体" w:hAnsi="宋体" w:eastAsia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</w:p>
          <w:p w14:paraId="52F81D45">
            <w:pPr>
              <w:widowControl w:val="0"/>
              <w:spacing w:line="240" w:lineRule="auto"/>
              <w:jc w:val="both"/>
              <w:rPr>
                <w:rFonts w:hint="default" w:ascii="宋体" w:hAnsi="宋体" w:eastAsia="宋体" w:cs="宋体"/>
                <w:kern w:val="2"/>
                <w:sz w:val="21"/>
                <w:szCs w:val="21"/>
                <w:highlight w:val="none"/>
                <w:lang w:val="en-US" w:eastAsia="zh-CN"/>
              </w:rPr>
            </w:pPr>
          </w:p>
          <w:p w14:paraId="2003E6DE">
            <w:commentRangeStart w:id="12"/>
            <w:pPr>
              <w:widowControl w:val="0"/>
              <w:spacing w:line="240" w:lineRule="auto"/>
              <w:ind w:firstLine="422" w:firstLineChars="20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</w:rPr>
              <w:t>2</w:t>
            </w:r>
            <w:r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lang w:eastAsia="zh-CN"/>
              </w:rPr>
              <w:t>.</w:t>
            </w:r>
            <w:r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lang w:val="en-US" w:eastAsia="zh-CN"/>
              </w:rPr>
              <w:t>申报</w:t>
            </w: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</w:rPr>
              <w:t>授信</w:t>
            </w: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  <w:lang w:val="en-US" w:eastAsia="zh-CN"/>
              </w:rPr>
              <w:t>方案</w:t>
            </w:r>
            <w:r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lang w:eastAsia="zh-CN"/>
              </w:rPr>
              <w:t>：</w:t>
            </w:r>
            <w:r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/>
                <w:highlight w:val="none"/>
                <w:u w:val="single"/>
              </w:rPr>
              <w:t>拟申请给予</w:t>
            </w:r>
            <w:r>
              <w:rPr>
                <w:rFonts w:hint="eastAsia" w:ascii="宋体" w:hAnsi="宋体"/>
                <w:highlight w:val="none"/>
                <w:u w:val="single"/>
                <w:lang w:val="en-US" w:eastAsia="zh-CN"/>
              </w:rPr>
              <w:t>借款人授信敞口1000万元，XXX     。</w:t>
            </w:r>
            <w:r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u w:val="single"/>
                <w:lang w:val="en-US" w:eastAsia="zh-CN"/>
              </w:rPr>
              <w:t xml:space="preserve"> </w:t>
            </w:r>
            <w:commentRangeEnd w:id="12"/>
            <w:r>
              <w:rPr>
                <w:rStyle w:val="CommentReference"/>
              </w:rPr>
              <w:commentReference w:id="12"/>
            </w:r>
          </w:p>
          <w:p w14:paraId="38E6AC17">
            <w:pPr>
              <w:adjustRightInd w:val="0"/>
              <w:snapToGrid w:val="0"/>
              <w:spacing w:before="93" w:beforeLines="30" w:after="93" w:afterLines="30"/>
              <w:rPr>
                <w:rFonts w:hint="eastAsia" w:ascii="宋体" w:hAnsi="宋体" w:cs="宋体"/>
                <w:b/>
                <w:snapToGrid w:val="0"/>
                <w:color w:val="auto"/>
                <w:kern w:val="0"/>
                <w:szCs w:val="21"/>
                <w:highlight w:val="cyan"/>
              </w:rPr>
            </w:pPr>
          </w:p>
          <w:p w14:paraId="196DEADF">
            <w:pPr>
              <w:adjustRightInd w:val="0"/>
              <w:snapToGrid w:val="0"/>
              <w:spacing w:before="93" w:beforeLines="30" w:after="93" w:afterLines="30"/>
              <w:rPr>
                <w:rFonts w:hint="eastAsia" w:ascii="宋体" w:hAnsi="宋体" w:cs="宋体"/>
                <w:bCs/>
                <w:snapToGrid w:val="0"/>
                <w:color w:val="auto"/>
                <w:kern w:val="0"/>
                <w:szCs w:val="21"/>
                <w:highlight w:val="cyan"/>
              </w:rPr>
            </w:pPr>
            <w:r>
              <w:rPr>
                <w:rFonts w:hint="eastAsia" w:ascii="宋体" w:hAnsi="宋体" w:cs="宋体"/>
                <w:b/>
                <w:snapToGrid w:val="0"/>
                <w:color w:val="auto"/>
                <w:kern w:val="0"/>
                <w:szCs w:val="21"/>
                <w:highlight w:val="cyan"/>
              </w:rPr>
              <w:t>尽职</w:t>
            </w:r>
            <w:r>
              <w:rPr>
                <w:rFonts w:hint="eastAsia" w:ascii="宋体" w:hAnsi="宋体" w:cs="宋体"/>
                <w:b/>
                <w:snapToGrid w:val="0"/>
                <w:color w:val="auto"/>
                <w:kern w:val="0"/>
                <w:szCs w:val="21"/>
                <w:highlight w:val="cyan"/>
                <w:lang w:val="en-US" w:eastAsia="zh-CN"/>
              </w:rPr>
              <w:t>调查</w:t>
            </w:r>
            <w:r>
              <w:rPr>
                <w:rFonts w:hint="eastAsia" w:ascii="宋体" w:hAnsi="宋体" w:cs="宋体"/>
                <w:b/>
                <w:snapToGrid w:val="0"/>
                <w:color w:val="auto"/>
                <w:kern w:val="0"/>
                <w:szCs w:val="21"/>
                <w:highlight w:val="cyan"/>
              </w:rPr>
              <w:t>：经营单位对上述材料真实性负责。</w:t>
            </w:r>
          </w:p>
          <w:p w14:paraId="6483A6E1">
            <w:commentRangeStart w:id="13"/>
            <w:pPr>
              <w:adjustRightInd w:val="0"/>
              <w:snapToGrid w:val="0"/>
              <w:spacing w:before="93" w:beforeLines="30" w:after="93" w:afterLines="30"/>
              <w:ind w:firstLine="420" w:firstLineChars="200"/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</w:pP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</w:rPr>
              <w:t>客户经理：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唐梓妍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 xml:space="preserve">       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日期：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</w:t>
            </w:r>
            <w:commentRangeEnd w:id="13"/>
            <w:r>
              <w:rPr>
                <w:rStyle w:val="CommentReference"/>
              </w:rPr>
              <w:commentReference w:id="13"/>
            </w:r>
          </w:p>
          <w:p w14:paraId="6AC425A6">
            <w:commentRangeStart w:id="14"/>
            <w:pPr>
              <w:adjustRightInd w:val="0"/>
              <w:snapToGrid w:val="0"/>
              <w:spacing w:before="93" w:beforeLines="30" w:after="93" w:afterLines="30"/>
              <w:ind w:firstLine="420" w:firstLineChars="200"/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共同调查人</w:t>
            </w:r>
            <w:r>
              <w:rPr>
                <w:rFonts w:hint="eastAsia" w:ascii="宋体" w:hAnsi="宋体" w:cs="宋体"/>
                <w:b w:val="0"/>
                <w:bCs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: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none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none"/>
                <w:lang w:val="en-US" w:eastAsia="zh-CN"/>
              </w:rPr>
              <w:t xml:space="preserve">       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日期：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      </w:t>
            </w:r>
            <w:commentRangeEnd w:id="14"/>
            <w:r>
              <w:rPr>
                <w:rStyle w:val="CommentReference"/>
              </w:rPr>
              <w:commentReference w:id="14"/>
            </w:r>
          </w:p>
          <w:p w14:paraId="2FC82B07">
            <w:commentRangeStart w:id="15"/>
            <w:pPr>
              <w:adjustRightInd w:val="0"/>
              <w:snapToGrid w:val="0"/>
              <w:spacing w:before="93" w:beforeLines="30" w:after="93" w:afterLines="30"/>
              <w:ind w:firstLine="420" w:firstLineChars="200"/>
              <w:rPr>
                <w:rFonts w:hint="default" w:ascii="宋体" w:hAnsi="宋体" w:eastAsia="宋体" w:cs="宋体"/>
                <w:b w:val="0"/>
                <w:bCs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管理经理/二级支行行长: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 xml:space="preserve">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none"/>
                <w:lang w:val="en-US" w:eastAsia="zh-CN"/>
              </w:rPr>
              <w:t xml:space="preserve">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日期：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</w:t>
            </w:r>
            <w:commentRangeEnd w:id="15"/>
            <w:r>
              <w:rPr>
                <w:rStyle w:val="CommentReference"/>
              </w:rPr>
              <w:commentReference w:id="15"/>
            </w:r>
          </w:p>
          <w:p w14:paraId="269107E9">
            <w:commentRangeStart w:id="16"/>
            <w:pPr>
              <w:adjustRightInd w:val="0"/>
              <w:snapToGrid w:val="0"/>
              <w:spacing w:before="93" w:beforeLines="30" w:after="93" w:afterLines="30"/>
              <w:ind w:firstLine="420" w:firstLineChars="200"/>
              <w:rPr>
                <w:rFonts w:hint="eastAsia"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分管行长：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 xml:space="preserve">                          日期：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</w:t>
            </w:r>
            <w:commentRangeEnd w:id="16"/>
            <w:r>
              <w:rPr>
                <w:rStyle w:val="CommentReference"/>
              </w:rPr>
              <w:commentReference w:id="16"/>
            </w:r>
          </w:p>
          <w:p w14:paraId="3096CC3B">
            <w:commentRangeStart w:id="17"/>
            <w:pPr>
              <w:ind w:firstLine="420" w:firstLineChars="200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行长：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 xml:space="preserve">                          日期：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</w:t>
            </w:r>
            <w:commentRangeEnd w:id="17"/>
            <w:r>
              <w:rPr>
                <w:rStyle w:val="CommentReference"/>
              </w:rPr>
              <w:commentReference w:id="17"/>
            </w:r>
          </w:p>
        </w:tc>
      </w:tr>
      <w:tr w14:paraId="6D61B4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1" w:hRule="atLeast"/>
          <w:jc w:val="center"/>
        </w:trPr>
        <w:tc>
          <w:tcPr>
            <w:tcW w:w="110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17DA78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省分行（辖行）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普惠部审查岗意见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可另附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：</w:t>
            </w:r>
          </w:p>
          <w:p w14:paraId="3BF0CB64">
            <w:pPr>
              <w:pStyle w:val="11"/>
              <w:numPr>
                <w:ilvl w:val="0"/>
                <w:numId w:val="1"/>
              </w:numPr>
              <w:ind w:left="420" w:leftChars="0" w:hanging="420" w:firstLineChars="0"/>
              <w:rPr>
                <w:rFonts w:hint="eastAsia" w:ascii="宋体" w:hAnsi="宋体"/>
                <w:b/>
                <w:color w:val="auto"/>
                <w:kern w:val="2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/>
                <w:b/>
                <w:color w:val="auto"/>
                <w:kern w:val="2"/>
                <w:sz w:val="21"/>
                <w:szCs w:val="21"/>
                <w:highlight w:val="none"/>
                <w:lang w:val="en-US" w:eastAsia="zh-CN"/>
              </w:rPr>
              <w:t>主要风险及</w:t>
            </w:r>
            <w:r>
              <w:rPr>
                <w:rFonts w:hint="eastAsia" w:ascii="宋体" w:hAnsi="宋体"/>
                <w:b/>
                <w:color w:val="auto"/>
                <w:kern w:val="2"/>
                <w:sz w:val="21"/>
                <w:szCs w:val="21"/>
                <w:highlight w:val="none"/>
              </w:rPr>
              <w:t>管控措施</w:t>
            </w:r>
          </w:p>
          <w:p w14:paraId="15B0E221">
            <w:pPr>
              <w:numPr>
                <w:ilvl w:val="0"/>
                <w:numId w:val="1"/>
              </w:numPr>
              <w:ind w:left="420" w:leftChars="0" w:hanging="420" w:firstLineChars="0"/>
              <w:rPr>
                <w:rFonts w:hint="eastAsia"/>
              </w:rPr>
            </w:pPr>
            <w:r>
              <w:rPr>
                <w:rFonts w:hint="eastAsia" w:ascii="国标宋体" w:hAnsi="国标宋体" w:eastAsia="国标宋体" w:cs="国标宋体"/>
                <w:b/>
                <w:color w:val="auto"/>
                <w:kern w:val="2"/>
                <w:sz w:val="21"/>
                <w:szCs w:val="21"/>
                <w:highlight w:val="none"/>
              </w:rPr>
              <w:t>审查审批意见</w:t>
            </w:r>
          </w:p>
          <w:p w14:paraId="4232D210">
            <w:pPr>
              <w:rPr>
                <w:rFonts w:hint="eastAsia"/>
              </w:rPr>
            </w:pPr>
          </w:p>
          <w:p w14:paraId="191D2183">
            <w:pPr>
              <w:rPr>
                <w:rFonts w:hint="eastAsia"/>
              </w:rPr>
            </w:pPr>
          </w:p>
          <w:p w14:paraId="2C1B80E0">
            <w:pPr>
              <w:pStyle w:val="2"/>
              <w:rPr>
                <w:rFonts w:hint="eastAsia"/>
              </w:rPr>
            </w:pPr>
          </w:p>
          <w:p w14:paraId="3B36D497">
            <w:pPr>
              <w:rPr>
                <w:rFonts w:hint="eastAsia"/>
              </w:rPr>
            </w:pPr>
          </w:p>
          <w:p w14:paraId="7515CFF7">
            <w:pPr>
              <w:pStyle w:val="2"/>
              <w:rPr>
                <w:rFonts w:hint="eastAsia"/>
              </w:rPr>
            </w:pPr>
          </w:p>
          <w:p w14:paraId="076F6CB1">
            <w:pPr>
              <w:rPr>
                <w:rFonts w:hint="eastAsia"/>
              </w:rPr>
            </w:pPr>
          </w:p>
          <w:p w14:paraId="1F1034B2">
            <w:pPr>
              <w:pStyle w:val="2"/>
              <w:rPr>
                <w:rFonts w:hint="eastAsia"/>
              </w:rPr>
            </w:pPr>
          </w:p>
          <w:p w14:paraId="5DDA68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0" w:beforeAutospacing="1" w:after="100" w:afterAutospacing="1"/>
              <w:ind w:firstLine="3360" w:firstLineChars="160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 xml:space="preserve">      审查员：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 xml:space="preserve">       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 xml:space="preserve">        日期：  　 年    月    日</w:t>
            </w:r>
          </w:p>
        </w:tc>
      </w:tr>
      <w:tr w14:paraId="3D39D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atLeast"/>
          <w:jc w:val="center"/>
        </w:trPr>
        <w:tc>
          <w:tcPr>
            <w:tcW w:w="110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99161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0" w:beforeAutospacing="1" w:after="100" w:afterAutospacing="1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省分行（辖行）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普惠部审批意见：</w:t>
            </w:r>
          </w:p>
          <w:p w14:paraId="02AD351A">
            <w:pPr>
              <w:pStyle w:val="2"/>
              <w:rPr>
                <w:rFonts w:hint="eastAsia"/>
              </w:rPr>
            </w:pPr>
          </w:p>
          <w:p w14:paraId="149CD46A">
            <w:pPr>
              <w:rPr>
                <w:rFonts w:hint="eastAsia"/>
              </w:rPr>
            </w:pPr>
          </w:p>
          <w:p w14:paraId="1575AA1D">
            <w:pPr>
              <w:pStyle w:val="2"/>
              <w:rPr>
                <w:rFonts w:hint="eastAsia"/>
              </w:rPr>
            </w:pPr>
          </w:p>
          <w:p w14:paraId="1D3ADA5F">
            <w:pPr>
              <w:rPr>
                <w:rFonts w:hint="eastAsia"/>
              </w:rPr>
            </w:pPr>
          </w:p>
          <w:p w14:paraId="4940E0C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0" w:beforeAutospacing="1" w:after="100" w:afterAutospacing="1"/>
              <w:ind w:firstLine="3990" w:firstLineChars="190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 xml:space="preserve">审批人：    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 xml:space="preserve">      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 xml:space="preserve"> 日期：  　 年    月    日</w:t>
            </w:r>
          </w:p>
        </w:tc>
      </w:tr>
      <w:tr w14:paraId="5B9D37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1" w:hRule="atLeast"/>
          <w:jc w:val="center"/>
        </w:trPr>
        <w:tc>
          <w:tcPr>
            <w:tcW w:w="110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802B60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0" w:beforeAutospacing="1" w:after="100" w:afterAutospacing="1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省分行（辖行）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分管行长审批意见：</w:t>
            </w:r>
          </w:p>
          <w:p w14:paraId="092FC32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0" w:beforeAutospacing="1" w:after="100" w:afterAutospacing="1"/>
              <w:ind w:firstLine="3360" w:firstLineChars="160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</w:p>
          <w:p w14:paraId="59A37825">
            <w:pPr>
              <w:pStyle w:val="2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</w:p>
          <w:p w14:paraId="5B5FFF65">
            <w:pP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</w:p>
          <w:p w14:paraId="4E5A23FF">
            <w:pPr>
              <w:pStyle w:val="2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</w:p>
          <w:p w14:paraId="5FD459E3">
            <w:pP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</w:p>
          <w:p w14:paraId="15835491">
            <w:pPr>
              <w:pStyle w:val="2"/>
              <w:rPr>
                <w:rFonts w:hint="eastAsia"/>
                <w:lang w:val="en-US" w:eastAsia="zh-CN"/>
              </w:rPr>
            </w:pPr>
          </w:p>
          <w:p w14:paraId="6084C2B8">
            <w:pPr>
              <w:pStyle w:val="2"/>
              <w:rPr>
                <w:rFonts w:hint="eastAsia"/>
                <w:lang w:val="en-US" w:eastAsia="zh-CN"/>
              </w:rPr>
            </w:pPr>
          </w:p>
          <w:p w14:paraId="220DDAE1">
            <w:commentRangeStart w:id="19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0" w:beforeAutospacing="1" w:after="100" w:afterAutospacing="1"/>
              <w:ind w:firstLine="3360" w:firstLineChars="160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分管行长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 xml:space="preserve">：  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 xml:space="preserve">      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 xml:space="preserve"> 日期：  　 年    月    日</w:t>
            </w:r>
            <w:commentRangeEnd w:id="19"/>
            <w:r>
              <w:rPr>
                <w:rStyle w:val="CommentReference"/>
              </w:rPr>
              <w:commentReference w:id="19"/>
            </w:r>
          </w:p>
        </w:tc>
      </w:tr>
    </w:tbl>
    <w:p w14:paraId="1437A6E2">
      <w:pPr>
        <w:rPr>
          <w:rFonts w:ascii="宋体" w:hAnsi="宋体" w:cs="宋体"/>
          <w:sz w:val="28"/>
          <w:szCs w:val="36"/>
        </w:rPr>
      </w:pPr>
    </w:p>
    <w:sectPr>
      <w:footerReference r:id="rId3" w:type="default"/>
      <w:pgSz w:w="11907" w:h="16839"/>
      <w:pgMar w:top="1431" w:right="1640" w:bottom="400" w:left="1600" w:header="0" w:footer="0" w:gutter="0"/>
      <w:lnNumType w:countBy="0" w:distance="360"/>
      <w:cols w:space="720" w:num="1"/>
      <w:docGrid w:type="lines" w:linePitch="312" w:charSpace="0"/>
    </w:sectPr>
  </w:body>
</w:document>
</file>

<file path=word/comments.xml><?xml version="1.0" encoding="utf-8"?>
<w:comments xmlns:w="http://schemas.openxmlformats.org/wordprocessingml/2006/main">
  <w:comment w:id="0" w:author="信贷报告 Agent" w:date="2026-04-14T16:17:45Z" w:initials="Agent">
    <w:p>
      <w:r>
        <w:rPr>
          <w:rStyle w:val="CommentReference"/>
        </w:rPr>
        <w:annotationRef/>
      </w:r>
      <w:r>
        <w:t xml:space="preserve">该处“申报单位”仍为空白，请人工确认。</w:t>
      </w:r>
    </w:p>
  </w:comment>
  <w:comment w:id="1" w:author="信贷报告 Agent" w:date="2026-04-14T16:17:45Z" w:initials="Agent">
    <w:p>
      <w:r>
        <w:rPr>
          <w:rStyle w:val="CommentReference"/>
        </w:rPr>
        <w:annotationRef/>
      </w:r>
      <w:r>
        <w:t xml:space="preserve">该处“小类）”仍为空白，请人工确认。</w:t>
      </w:r>
    </w:p>
  </w:comment>
  <w:comment w:id="2" w:author="信贷报告 Agent" w:date="2026-04-14T16:17:45Z" w:initials="Agent">
    <w:p>
      <w:r>
        <w:rPr>
          <w:rStyle w:val="CommentReference"/>
        </w:rPr>
        <w:annotationRef/>
      </w:r>
      <w:r>
        <w:t xml:space="preserve">该处“绿通标识”仍为空白，请人工确认。</w:t>
      </w:r>
    </w:p>
  </w:comment>
  <w:comment w:id="3" w:author="信贷报告 Agent" w:date="2026-04-14T16:17:45Z" w:initials="Agent">
    <w:p>
      <w:r>
        <w:rPr>
          <w:rStyle w:val="CommentReference"/>
        </w:rPr>
        <w:annotationRef/>
      </w:r>
      <w:r>
        <w:t xml:space="preserve">该处“分析原因”仍为空白，请人工确认。</w:t>
      </w:r>
    </w:p>
  </w:comment>
  <w:comment w:id="4" w:author="信贷报告 Agent" w:date="2026-04-14T16:17:45Z" w:initials="Agent">
    <w:p>
      <w:r>
        <w:rPr>
          <w:rStyle w:val="CommentReference"/>
        </w:rPr>
        <w:annotationRef/>
      </w:r>
      <w:r>
        <w:t xml:space="preserve">该处“主要构成及趋势变动情况”仍为空白，请人工确认。</w:t>
      </w:r>
    </w:p>
  </w:comment>
  <w:comment w:id="5" w:author="信贷报告 Agent" w:date="2026-04-14T16:17:45Z" w:initials="Agent">
    <w:p>
      <w:r>
        <w:rPr>
          <w:rStyle w:val="CommentReference"/>
        </w:rPr>
        <w:annotationRef/>
      </w:r>
      <w:r>
        <w:t xml:space="preserve">该处“反馈中长期借款还款计划及还款资金安排情况”仍为空白，请人工确认。</w:t>
      </w:r>
    </w:p>
  </w:comment>
  <w:comment w:id="6" w:author="信贷报告 Agent" w:date="2026-04-14T16:17:45Z" w:initials="Agent">
    <w:p>
      <w:r>
        <w:rPr>
          <w:rStyle w:val="CommentReference"/>
        </w:rPr>
        <w:annotationRef/>
      </w:r>
      <w:r>
        <w:t xml:space="preserve">该处“（若有）对外担保情况”仍为空白，请人工确认。</w:t>
      </w:r>
    </w:p>
  </w:comment>
  <w:comment w:id="7" w:author="信贷报告 Agent" w:date="2026-04-14T16:17:45Z" w:initials="Agent">
    <w:p>
      <w:r>
        <w:rPr>
          <w:rStyle w:val="CommentReference"/>
        </w:rPr>
        <w:annotationRef/>
      </w:r>
      <w:r>
        <w:t xml:space="preserve">该处“（若有）不良记录情况”仍为空白，请人工确认。</w:t>
      </w:r>
    </w:p>
  </w:comment>
  <w:comment w:id="8" w:author="信贷报告 Agent" w:date="2026-04-14T16:17:45Z" w:initials="Agent">
    <w:p>
      <w:r>
        <w:rPr>
          <w:rStyle w:val="CommentReference"/>
        </w:rPr>
        <w:annotationRef/>
      </w:r>
      <w:r>
        <w:t xml:space="preserve">该处“为中行个人经营贷款，经营主体为”仍为模板占位符，请人工核实。</w:t>
      </w:r>
    </w:p>
  </w:comment>
  <w:comment w:id="9" w:author="信贷报告 Agent" w:date="2026-04-14T16:17:45Z" w:initials="Agent">
    <w:p>
      <w:r>
        <w:rPr>
          <w:rStyle w:val="CommentReference"/>
        </w:rPr>
        <w:annotationRef/>
      </w:r>
      <w:r>
        <w:t xml:space="preserve">该处“请补充分析原因”仍为空白，请人工确认。</w:t>
      </w:r>
    </w:p>
  </w:comment>
  <w:comment w:id="10" w:author="信贷报告 Agent" w:date="2026-04-14T16:17:45Z" w:initials="Agent">
    <w:p>
      <w:r>
        <w:rPr>
          <w:rStyle w:val="CommentReference"/>
        </w:rPr>
        <w:annotationRef/>
      </w:r>
      <w:r>
        <w:t xml:space="preserve">该处“请补充说明”仍为空白，请人工确认。</w:t>
      </w:r>
    </w:p>
  </w:comment>
  <w:comment w:id="11" w:author="信贷报告 Agent" w:date="2026-04-14T16:17:45Z" w:initials="Agent">
    <w:p>
      <w:r>
        <w:rPr>
          <w:rStyle w:val="CommentReference"/>
        </w:rPr>
        <w:annotationRef/>
      </w:r>
      <w:r>
        <w:t xml:space="preserve">该处“变动原因”仍为空白，请人工确认。</w:t>
      </w:r>
    </w:p>
  </w:comment>
  <w:comment w:id="12" w:author="信贷报告 Agent" w:date="2026-04-14T16:17:45Z" w:initials="Agent">
    <w:p>
      <w:r>
        <w:rPr>
          <w:rStyle w:val="CommentReference"/>
        </w:rPr>
        <w:annotationRef/>
      </w:r>
      <w:r>
        <w:t xml:space="preserve">该处“予借款人授信敞口1000万元，”仍为模板占位符，请人工核实。</w:t>
      </w:r>
    </w:p>
  </w:comment>
  <w:comment w:id="13" w:author="信贷报告 Agent" w:date="2026-04-14T16:17:45Z" w:initials="Agent">
    <w:p>
      <w:r>
        <w:rPr>
          <w:rStyle w:val="CommentReference"/>
        </w:rPr>
        <w:annotationRef/>
      </w:r>
      <w:r>
        <w:t xml:space="preserve">该处“客户经理”仍为空白，请人工确认。</w:t>
      </w:r>
    </w:p>
  </w:comment>
  <w:comment w:id="14" w:author="信贷报告 Agent" w:date="2026-04-14T16:17:45Z" w:initials="Agent">
    <w:p>
      <w:r>
        <w:rPr>
          <w:rStyle w:val="CommentReference"/>
        </w:rPr>
        <w:annotationRef/>
      </w:r>
      <w:r>
        <w:t xml:space="preserve">该处“共同调查人”仍为空白，请人工确认。</w:t>
      </w:r>
    </w:p>
  </w:comment>
  <w:comment w:id="15" w:author="信贷报告 Agent" w:date="2026-04-14T16:17:45Z" w:initials="Agent">
    <w:p>
      <w:r>
        <w:rPr>
          <w:rStyle w:val="CommentReference"/>
        </w:rPr>
        <w:annotationRef/>
      </w:r>
      <w:r>
        <w:t xml:space="preserve">该处“二级支行行长”仍为空白，请人工确认。</w:t>
      </w:r>
    </w:p>
  </w:comment>
  <w:comment w:id="16" w:author="信贷报告 Agent" w:date="2026-04-14T16:17:45Z" w:initials="Agent">
    <w:p>
      <w:r>
        <w:rPr>
          <w:rStyle w:val="CommentReference"/>
        </w:rPr>
        <w:annotationRef/>
      </w:r>
      <w:r>
        <w:t xml:space="preserve">该处“分管行长”仍为空白，请人工确认。</w:t>
      </w:r>
    </w:p>
  </w:comment>
  <w:comment w:id="17" w:author="信贷报告 Agent" w:date="2026-04-14T16:17:45Z" w:initials="Agent">
    <w:p>
      <w:r>
        <w:rPr>
          <w:rStyle w:val="CommentReference"/>
        </w:rPr>
        <w:annotationRef/>
      </w:r>
      <w:r>
        <w:t xml:space="preserve">该处“行长”仍为空白，请人工确认。</w:t>
      </w:r>
    </w:p>
  </w:comment>
  <w:comment w:id="18" w:author="信贷报告 Agent" w:date="2026-04-14T16:17:45Z" w:initials="Agent">
    <w:p>
      <w:r>
        <w:rPr>
          <w:rStyle w:val="CommentReference"/>
        </w:rPr>
        <w:annotationRef/>
      </w:r>
      <w:r>
        <w:t xml:space="preserve">该处“中船重工第”仍为模板占位符，请人工核实。</w:t>
      </w:r>
    </w:p>
  </w:comment>
  <w:comment w:id="19" w:author="信贷报告 Agent" w:date="2026-04-14T16:17:45Z" w:initials="Agent">
    <w:p>
      <w:r>
        <w:rPr>
          <w:rStyle w:val="CommentReference"/>
        </w:rPr>
        <w:annotationRef/>
      </w:r>
      <w:r>
        <w:t xml:space="preserve">该处“分管行长”仍为空白，请人工确认。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 2"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仿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国标宋体">
    <w:altName w:val="宋体"/>
    <w:panose1 w:val="02000500000000000000"/>
    <w:charset w:val="86"/>
    <w:family w:val="auto"/>
    <w:pitch w:val="default"/>
    <w:sig w:usb0="00000001" w:usb1="28000000" w:usb2="00000000" w:usb3="00000000" w:csb0="00060007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D670D4">
    <w:pPr>
      <w:spacing w:line="14" w:lineRule="auto"/>
      <w:rPr>
        <w:rFonts w:ascii="Times New Roman"/>
        <w:sz w:val="2"/>
      </w:rPr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F7F6F59"/>
    <w:multiLevelType w:val="singleLevel"/>
    <w:tmpl w:val="6F7F6F5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5E3714"/>
    <w:rsid w:val="00764A8B"/>
    <w:rsid w:val="00A166EE"/>
    <w:rsid w:val="00D90AA0"/>
    <w:rsid w:val="06DB1BB4"/>
    <w:rsid w:val="07B27654"/>
    <w:rsid w:val="07E763E4"/>
    <w:rsid w:val="0BC762E6"/>
    <w:rsid w:val="0D954BD9"/>
    <w:rsid w:val="0EC97A27"/>
    <w:rsid w:val="12E93877"/>
    <w:rsid w:val="14953789"/>
    <w:rsid w:val="158201C9"/>
    <w:rsid w:val="1637656C"/>
    <w:rsid w:val="171C0C53"/>
    <w:rsid w:val="173EF8C1"/>
    <w:rsid w:val="177A55D7"/>
    <w:rsid w:val="17F40B37"/>
    <w:rsid w:val="17FB581B"/>
    <w:rsid w:val="18324D87"/>
    <w:rsid w:val="18D0254B"/>
    <w:rsid w:val="1BFF4D91"/>
    <w:rsid w:val="1C1C6F93"/>
    <w:rsid w:val="1D96A11F"/>
    <w:rsid w:val="1FAF8FBB"/>
    <w:rsid w:val="1FF1A6AF"/>
    <w:rsid w:val="1FF6DC3C"/>
    <w:rsid w:val="1FFF045A"/>
    <w:rsid w:val="27EE74B0"/>
    <w:rsid w:val="28C699E3"/>
    <w:rsid w:val="2A8FE461"/>
    <w:rsid w:val="2B7B0304"/>
    <w:rsid w:val="2BB6058D"/>
    <w:rsid w:val="2C9E0B69"/>
    <w:rsid w:val="2D0614F6"/>
    <w:rsid w:val="2FFB9424"/>
    <w:rsid w:val="30D04E4D"/>
    <w:rsid w:val="30DB0B5F"/>
    <w:rsid w:val="30F1FCF6"/>
    <w:rsid w:val="313D566B"/>
    <w:rsid w:val="33F81E92"/>
    <w:rsid w:val="34864AAC"/>
    <w:rsid w:val="35A5DC4D"/>
    <w:rsid w:val="36846A8F"/>
    <w:rsid w:val="373BBE7D"/>
    <w:rsid w:val="37759545"/>
    <w:rsid w:val="3793C324"/>
    <w:rsid w:val="37E93666"/>
    <w:rsid w:val="38D27C6C"/>
    <w:rsid w:val="39BA7E3D"/>
    <w:rsid w:val="3A1D799F"/>
    <w:rsid w:val="3BDEE4E1"/>
    <w:rsid w:val="3BFAC4BE"/>
    <w:rsid w:val="3BFDBDB4"/>
    <w:rsid w:val="3C0F569F"/>
    <w:rsid w:val="3D57611A"/>
    <w:rsid w:val="3DED5217"/>
    <w:rsid w:val="3DFA07B6"/>
    <w:rsid w:val="3E74B328"/>
    <w:rsid w:val="3F270550"/>
    <w:rsid w:val="3F70FCFD"/>
    <w:rsid w:val="3F7F609F"/>
    <w:rsid w:val="3FBBC75F"/>
    <w:rsid w:val="3FBCBD91"/>
    <w:rsid w:val="3FCDCA15"/>
    <w:rsid w:val="3FDBDE28"/>
    <w:rsid w:val="3FDD5086"/>
    <w:rsid w:val="3FEF1A08"/>
    <w:rsid w:val="43CB5B47"/>
    <w:rsid w:val="4457223E"/>
    <w:rsid w:val="45FDF073"/>
    <w:rsid w:val="47F3ED6F"/>
    <w:rsid w:val="497B672A"/>
    <w:rsid w:val="49B9018B"/>
    <w:rsid w:val="4FD5188D"/>
    <w:rsid w:val="501609F4"/>
    <w:rsid w:val="50627984"/>
    <w:rsid w:val="50DB1139"/>
    <w:rsid w:val="514C4929"/>
    <w:rsid w:val="537E3442"/>
    <w:rsid w:val="53B7A129"/>
    <w:rsid w:val="57523C46"/>
    <w:rsid w:val="57630E24"/>
    <w:rsid w:val="577FF43F"/>
    <w:rsid w:val="579FB2CC"/>
    <w:rsid w:val="57AF1F58"/>
    <w:rsid w:val="57BCB87C"/>
    <w:rsid w:val="57BE9DA5"/>
    <w:rsid w:val="57FA609C"/>
    <w:rsid w:val="57FF7902"/>
    <w:rsid w:val="588340F0"/>
    <w:rsid w:val="5A066DAE"/>
    <w:rsid w:val="5B7467F5"/>
    <w:rsid w:val="5BF472D2"/>
    <w:rsid w:val="5EE3BF08"/>
    <w:rsid w:val="5EE549C7"/>
    <w:rsid w:val="5EFC0AD9"/>
    <w:rsid w:val="5FCF9DAA"/>
    <w:rsid w:val="61F4646E"/>
    <w:rsid w:val="65793A8D"/>
    <w:rsid w:val="66BFA5C4"/>
    <w:rsid w:val="67CDF47D"/>
    <w:rsid w:val="67FE7F83"/>
    <w:rsid w:val="6877E72C"/>
    <w:rsid w:val="69CF1561"/>
    <w:rsid w:val="6A1D064D"/>
    <w:rsid w:val="6BBB34A1"/>
    <w:rsid w:val="6BEF2A7E"/>
    <w:rsid w:val="6D6E0EB8"/>
    <w:rsid w:val="6D9376D1"/>
    <w:rsid w:val="6E5AA136"/>
    <w:rsid w:val="6E6728B5"/>
    <w:rsid w:val="6E82A079"/>
    <w:rsid w:val="6F7EF780"/>
    <w:rsid w:val="6FBD494C"/>
    <w:rsid w:val="6FDE41E7"/>
    <w:rsid w:val="70603282"/>
    <w:rsid w:val="72AD7DE9"/>
    <w:rsid w:val="73FC0773"/>
    <w:rsid w:val="746F82C4"/>
    <w:rsid w:val="749F6B6E"/>
    <w:rsid w:val="74CD1A79"/>
    <w:rsid w:val="74EB867B"/>
    <w:rsid w:val="75025FC3"/>
    <w:rsid w:val="75096B37"/>
    <w:rsid w:val="76A35668"/>
    <w:rsid w:val="76BF2927"/>
    <w:rsid w:val="77CFD1B9"/>
    <w:rsid w:val="77E53724"/>
    <w:rsid w:val="77F6BA3B"/>
    <w:rsid w:val="77FA78CD"/>
    <w:rsid w:val="791FC5D3"/>
    <w:rsid w:val="79CC6043"/>
    <w:rsid w:val="79EAB1FE"/>
    <w:rsid w:val="7AF60429"/>
    <w:rsid w:val="7B37416B"/>
    <w:rsid w:val="7B6F21EA"/>
    <w:rsid w:val="7B7D0DE6"/>
    <w:rsid w:val="7B7F9DFF"/>
    <w:rsid w:val="7BB4D559"/>
    <w:rsid w:val="7BB76175"/>
    <w:rsid w:val="7BBEA13F"/>
    <w:rsid w:val="7BF2C9AF"/>
    <w:rsid w:val="7BF5200F"/>
    <w:rsid w:val="7BFC5776"/>
    <w:rsid w:val="7BFEF90D"/>
    <w:rsid w:val="7BFF90D8"/>
    <w:rsid w:val="7C9DAEF5"/>
    <w:rsid w:val="7CAB857A"/>
    <w:rsid w:val="7D1F8653"/>
    <w:rsid w:val="7D6DD25B"/>
    <w:rsid w:val="7D796FD0"/>
    <w:rsid w:val="7DABF984"/>
    <w:rsid w:val="7DD46EE1"/>
    <w:rsid w:val="7DE71A8A"/>
    <w:rsid w:val="7DFB02C7"/>
    <w:rsid w:val="7DFDE312"/>
    <w:rsid w:val="7E5A887A"/>
    <w:rsid w:val="7E75556D"/>
    <w:rsid w:val="7E7F7EC3"/>
    <w:rsid w:val="7E97E85B"/>
    <w:rsid w:val="7EB7A5BA"/>
    <w:rsid w:val="7EDB0311"/>
    <w:rsid w:val="7F0B3013"/>
    <w:rsid w:val="7F19CC3F"/>
    <w:rsid w:val="7F6F5D1E"/>
    <w:rsid w:val="7F75CA29"/>
    <w:rsid w:val="7FB7E507"/>
    <w:rsid w:val="7FBB8417"/>
    <w:rsid w:val="7FD59CA6"/>
    <w:rsid w:val="7FDE79A3"/>
    <w:rsid w:val="7FDF599D"/>
    <w:rsid w:val="7FE209B4"/>
    <w:rsid w:val="7FFB0597"/>
    <w:rsid w:val="7FFB9568"/>
    <w:rsid w:val="7FFDF2AF"/>
    <w:rsid w:val="7FFE13F7"/>
    <w:rsid w:val="7FFE3B48"/>
    <w:rsid w:val="7FFE6769"/>
    <w:rsid w:val="7FFF4144"/>
    <w:rsid w:val="7FFFA5E9"/>
    <w:rsid w:val="7FFFAB0E"/>
    <w:rsid w:val="9AFDC22D"/>
    <w:rsid w:val="9B7F6633"/>
    <w:rsid w:val="9BF7D46E"/>
    <w:rsid w:val="9BFE7F78"/>
    <w:rsid w:val="9DF6EE3C"/>
    <w:rsid w:val="9F3BFD3A"/>
    <w:rsid w:val="9F6E9328"/>
    <w:rsid w:val="9FCF6C0F"/>
    <w:rsid w:val="A2BBC82A"/>
    <w:rsid w:val="A95F5463"/>
    <w:rsid w:val="ADDF2F43"/>
    <w:rsid w:val="AEBEA1C7"/>
    <w:rsid w:val="AF2B76F3"/>
    <w:rsid w:val="AFFF0EDA"/>
    <w:rsid w:val="B1CAA8EA"/>
    <w:rsid w:val="B37DFDC9"/>
    <w:rsid w:val="B3F7B7F6"/>
    <w:rsid w:val="B6FBF6E5"/>
    <w:rsid w:val="B7CE9CFB"/>
    <w:rsid w:val="B7EEA521"/>
    <w:rsid w:val="B7FB75CC"/>
    <w:rsid w:val="B91E3CE8"/>
    <w:rsid w:val="BBBFF6CE"/>
    <w:rsid w:val="BBDD8E60"/>
    <w:rsid w:val="BBFA39B1"/>
    <w:rsid w:val="BD56C7D7"/>
    <w:rsid w:val="BDB645ED"/>
    <w:rsid w:val="BDE59C8C"/>
    <w:rsid w:val="BDFD2BFC"/>
    <w:rsid w:val="BFBBF616"/>
    <w:rsid w:val="BFBF4B23"/>
    <w:rsid w:val="BFC2706C"/>
    <w:rsid w:val="BFEFDE76"/>
    <w:rsid w:val="BFF80A83"/>
    <w:rsid w:val="BFFF826B"/>
    <w:rsid w:val="BFFFCF0C"/>
    <w:rsid w:val="CAFFF224"/>
    <w:rsid w:val="CBE30829"/>
    <w:rsid w:val="CEEB168C"/>
    <w:rsid w:val="CFB58096"/>
    <w:rsid w:val="CFFD9B9B"/>
    <w:rsid w:val="D4BDD89C"/>
    <w:rsid w:val="D8CF4985"/>
    <w:rsid w:val="DA9FAEA0"/>
    <w:rsid w:val="DBBF06B3"/>
    <w:rsid w:val="DBFADF63"/>
    <w:rsid w:val="DC97FE40"/>
    <w:rsid w:val="DD5D61C1"/>
    <w:rsid w:val="DEBE507F"/>
    <w:rsid w:val="DF7BF9BB"/>
    <w:rsid w:val="DFAF5187"/>
    <w:rsid w:val="E536D225"/>
    <w:rsid w:val="E68FEED7"/>
    <w:rsid w:val="E7BF4536"/>
    <w:rsid w:val="E7FB50B7"/>
    <w:rsid w:val="E90C9038"/>
    <w:rsid w:val="EBBB1A7C"/>
    <w:rsid w:val="EBFF4E77"/>
    <w:rsid w:val="EF571E55"/>
    <w:rsid w:val="F0F318BB"/>
    <w:rsid w:val="F1FEDC16"/>
    <w:rsid w:val="F29B5B29"/>
    <w:rsid w:val="F3B721E5"/>
    <w:rsid w:val="F5BFFC75"/>
    <w:rsid w:val="F5FBF463"/>
    <w:rsid w:val="F5FFEF68"/>
    <w:rsid w:val="F6B6CB5F"/>
    <w:rsid w:val="F6F79D67"/>
    <w:rsid w:val="F6FF59A5"/>
    <w:rsid w:val="F7F55AE5"/>
    <w:rsid w:val="F7F9CB77"/>
    <w:rsid w:val="F7FA6CF9"/>
    <w:rsid w:val="F7FDCC31"/>
    <w:rsid w:val="F7FE7A3C"/>
    <w:rsid w:val="F7FF210A"/>
    <w:rsid w:val="F87AE0FA"/>
    <w:rsid w:val="F8B3ED8C"/>
    <w:rsid w:val="F97E36E3"/>
    <w:rsid w:val="F9BFE6BB"/>
    <w:rsid w:val="FA9BE760"/>
    <w:rsid w:val="FB0EA37A"/>
    <w:rsid w:val="FBABD93E"/>
    <w:rsid w:val="FBAF2E00"/>
    <w:rsid w:val="FBB70D30"/>
    <w:rsid w:val="FBBD53CF"/>
    <w:rsid w:val="FBBFB228"/>
    <w:rsid w:val="FC7BB9D5"/>
    <w:rsid w:val="FC8E76F0"/>
    <w:rsid w:val="FCCFCD11"/>
    <w:rsid w:val="FD735184"/>
    <w:rsid w:val="FD7E90A0"/>
    <w:rsid w:val="FD7F50C5"/>
    <w:rsid w:val="FDDDBF61"/>
    <w:rsid w:val="FDFFAC37"/>
    <w:rsid w:val="FEFCB2C5"/>
    <w:rsid w:val="FEFD0F1C"/>
    <w:rsid w:val="FF55AB7A"/>
    <w:rsid w:val="FF577926"/>
    <w:rsid w:val="FF5AEF6E"/>
    <w:rsid w:val="FF7F287B"/>
    <w:rsid w:val="FFB799BA"/>
    <w:rsid w:val="FFBF0732"/>
    <w:rsid w:val="FFBF5853"/>
    <w:rsid w:val="FFC78ACE"/>
    <w:rsid w:val="FFD6396D"/>
    <w:rsid w:val="FFDB324A"/>
    <w:rsid w:val="FFDB57F9"/>
    <w:rsid w:val="FFDDB20A"/>
    <w:rsid w:val="FFE69971"/>
    <w:rsid w:val="FFE7A732"/>
    <w:rsid w:val="FFF6BA21"/>
    <w:rsid w:val="FFF6BA63"/>
    <w:rsid w:val="FFF6DEE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iPriority="9" w:semiHidden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iPriority="99" w:semiHidden="0" w:name="Normal Indent"/>
    <w:lsdException w:unhideWhenUsed="0" w:uiPriority="0" w:semiHidden="0" w:name="footnote text"/>
    <w:lsdException w:qFormat="1" w:uiPriority="99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paragraph" w:styleId="3">
    <w:name w:val="heading 1"/>
    <w:basedOn w:val="1"/>
    <w:next w:val="1"/>
    <w:qFormat/>
    <w:uiPriority w:val="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2"/>
    <w:basedOn w:val="1"/>
    <w:next w:val="1"/>
    <w:unhideWhenUsed/>
    <w:qFormat/>
    <w:uiPriority w:val="9"/>
    <w:pPr>
      <w:keepNext/>
      <w:spacing w:before="240" w:after="60"/>
      <w:outlineLvl w:val="1"/>
    </w:pPr>
    <w:rPr>
      <w:rFonts w:ascii="Cambria" w:hAnsi="Cambria" w:eastAsia="宋体"/>
      <w:b/>
      <w:bCs/>
      <w:i/>
      <w:iCs/>
      <w:sz w:val="28"/>
      <w:szCs w:val="28"/>
    </w:rPr>
  </w:style>
  <w:style w:type="paragraph" w:styleId="2">
    <w:name w:val="heading 3"/>
    <w:basedOn w:val="1"/>
    <w:next w:val="1"/>
    <w:unhideWhenUsed/>
    <w:qFormat/>
    <w:uiPriority w:val="9"/>
    <w:pPr>
      <w:keepNext/>
      <w:spacing w:before="240" w:after="60"/>
      <w:outlineLvl w:val="2"/>
    </w:pPr>
    <w:rPr>
      <w:rFonts w:ascii="Cambria" w:hAnsi="Cambria" w:eastAsia="宋体"/>
      <w:b/>
      <w:bCs/>
      <w:sz w:val="26"/>
      <w:szCs w:val="26"/>
    </w:rPr>
  </w:style>
  <w:style w:type="character" w:default="1" w:styleId="15">
    <w:name w:val="Default Paragraph Font"/>
    <w:semiHidden/>
    <w:uiPriority w:val="0"/>
  </w:style>
  <w:style w:type="table" w:default="1" w:styleId="13">
    <w:name w:val="Normal Table"/>
    <w:semiHidden/>
    <w:uiPriority w:val="0"/>
    <w:tblPr>
      <w:tblStyle w:val="13"/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Indent"/>
    <w:basedOn w:val="1"/>
    <w:next w:val="1"/>
    <w:unhideWhenUsed/>
    <w:qFormat/>
    <w:uiPriority w:val="99"/>
    <w:pPr>
      <w:ind w:firstLine="420" w:firstLineChars="200"/>
    </w:pPr>
  </w:style>
  <w:style w:type="paragraph" w:styleId="6">
    <w:name w:val="annotation text"/>
    <w:basedOn w:val="1"/>
    <w:unhideWhenUsed/>
    <w:qFormat/>
    <w:uiPriority w:val="99"/>
    <w:pPr>
      <w:jc w:val="left"/>
    </w:pPr>
  </w:style>
  <w:style w:type="paragraph" w:styleId="7">
    <w:name w:val="Body Text"/>
    <w:basedOn w:val="1"/>
    <w:next w:val="8"/>
    <w:qFormat/>
    <w:uiPriority w:val="0"/>
    <w:rPr>
      <w:rFonts w:ascii="华文中宋" w:hAnsi="华文中宋" w:eastAsia="华文中宋"/>
      <w:sz w:val="24"/>
    </w:rPr>
  </w:style>
  <w:style w:type="paragraph" w:styleId="8">
    <w:name w:val="Body Text Indent"/>
    <w:basedOn w:val="1"/>
    <w:qFormat/>
    <w:uiPriority w:val="0"/>
    <w:pPr>
      <w:ind w:firstLine="560" w:firstLineChars="200"/>
    </w:pPr>
    <w:rPr>
      <w:rFonts w:ascii="Times New Roman" w:hAnsi="Times New Roman" w:eastAsia="宋体" w:cs="Times New Roman"/>
      <w:sz w:val="28"/>
      <w:szCs w:val="24"/>
    </w:rPr>
  </w:style>
  <w:style w:type="paragraph" w:styleId="9">
    <w:name w:val="footer"/>
    <w:basedOn w:val="1"/>
    <w:link w:val="16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link w:val="17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1"/>
    <w:basedOn w:val="1"/>
    <w:next w:val="1"/>
    <w:unhideWhenUsed/>
    <w:qFormat/>
    <w:uiPriority w:val="39"/>
    <w:pPr>
      <w:widowControl/>
      <w:spacing w:after="100" w:line="259" w:lineRule="auto"/>
      <w:jc w:val="left"/>
    </w:pPr>
    <w:rPr>
      <w:rFonts w:cs="Times New Roman"/>
      <w:kern w:val="0"/>
      <w:sz w:val="22"/>
    </w:rPr>
  </w:style>
  <w:style w:type="paragraph" w:styleId="12">
    <w:name w:val="Normal (Web)"/>
    <w:basedOn w:val="1"/>
    <w:unhideWhenUsed/>
    <w:qFormat/>
    <w:uiPriority w:val="99"/>
    <w:pPr>
      <w:spacing w:before="100" w:beforeAutospacing="1" w:after="100" w:afterAutospacing="1"/>
    </w:pPr>
    <w:rPr>
      <w:rFonts w:hint="eastAsia" w:ascii="宋体" w:hAnsi="宋体" w:eastAsia="宋体"/>
    </w:rPr>
  </w:style>
  <w:style w:type="table" w:styleId="14">
    <w:name w:val="Table Grid"/>
    <w:qFormat/>
    <w:uiPriority w:val="59"/>
    <w:rPr>
      <w:lang w:val="en-US" w:eastAsia="zh-CN" w:bidi="ar-SA"/>
    </w:rPr>
    <w:tblPr>
      <w:tblStyle w:val="13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6">
    <w:name w:val="页脚 Char"/>
    <w:basedOn w:val="15"/>
    <w:link w:val="9"/>
    <w:uiPriority w:val="0"/>
    <w:rPr>
      <w:kern w:val="2"/>
      <w:sz w:val="18"/>
      <w:szCs w:val="18"/>
    </w:rPr>
  </w:style>
  <w:style w:type="character" w:customStyle="1" w:styleId="17">
    <w:name w:val="页眉 Char"/>
    <w:basedOn w:val="15"/>
    <w:link w:val="10"/>
    <w:uiPriority w:val="0"/>
    <w:rPr>
      <w:kern w:val="2"/>
      <w:sz w:val="18"/>
      <w:szCs w:val="18"/>
    </w:rPr>
  </w:style>
  <w:style w:type="paragraph" w:customStyle="1" w:styleId="18">
    <w:name w:val="Default"/>
    <w:unhideWhenUsed/>
    <w:qFormat/>
    <w:uiPriority w:val="99"/>
    <w:pPr>
      <w:widowControl w:val="0"/>
      <w:autoSpaceDE w:val="0"/>
      <w:autoSpaceDN w:val="0"/>
      <w:adjustRightInd w:val="0"/>
    </w:pPr>
    <w:rPr>
      <w:rFonts w:hint="eastAsia" w:ascii="宋体" w:hAnsi="宋体" w:eastAsia="宋体" w:cs="Times New Roman"/>
      <w:color w:val="000000"/>
      <w:sz w:val="24"/>
      <w:szCs w:val="22"/>
      <w:lang w:val="en-US" w:eastAsia="zh-CN" w:bidi="ar-SA"/>
    </w:rPr>
  </w:style>
  <w:style w:type="paragraph" w:styleId="19">
    <w:name w:val="List Paragraph"/>
    <w:basedOn w:val="1"/>
    <w:qFormat/>
    <w:uiPriority w:val="34"/>
    <w:pPr>
      <w:ind w:firstLine="420" w:firstLineChars="200"/>
    </w:pPr>
  </w:style>
  <w:style w:type="character" w:customStyle="1" w:styleId="20">
    <w:name w:val="font21"/>
    <w:qFormat/>
    <w:uiPriority w:val="0"/>
    <w:rPr>
      <w:rFonts w:ascii="微软雅黑" w:hAnsi="微软雅黑" w:eastAsia="微软雅黑" w:cs="微软雅黑"/>
      <w:color w:val="000000"/>
      <w:sz w:val="22"/>
      <w:szCs w:val="22"/>
      <w:u w:val="none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Comments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7635</Words>
  <Characters>8303</Characters>
  <Lines>1</Lines>
  <Paragraphs>1</Paragraphs>
  <TotalTime>5</TotalTime>
  <ScaleCrop>false</ScaleCrop>
  <LinksUpToDate>false</LinksUpToDate>
  <CharactersWithSpaces>10179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2022-01-27T09:10:00Z</dcterms:created>
  <dc:creator>bocsz</dc:creator>
  <cp:lastModifiedBy>Mr</cp:lastModifiedBy>
  <cp:lastPrinted>2025-12-06T01:27:47Z</cp:lastPrinted>
  <dcterms:modified xsi:type="dcterms:W3CDTF">2026-03-25T08:18:29Z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93653D5F18F94F03932E1DB54AB64C20_13</vt:lpwstr>
  </property>
</Properties>
</file>