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福建省分行普惠法人授信申报及审查审批意见表（2025新版）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申报单位：[待补充]</w:t>
              <w:tab/>
              <w:tab/>
              <w:tab/>
              <w:tab/>
              <w:tab/>
              <w:t>客户经理：[待补充]                联系电话：[待补充]</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[待补充]；上年度销售额 [待补充]；上年度末员工人数 [待补充]</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申报额度：[待补充]；申报敞口：[待补充]；【上一期授信敞口（若有）：[待补充]】</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业务品种：[待补充]；业务期限：[待补充]；授信期限：[待补充]</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担保方式：[待补充]；【上一期授信担保方式：[待补充]】</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大学国家大学科技园8号楼5层。经营地为租用办公楼，租用总面积2523平，年租金115万。实际主营业务为软件和信息技术服务。上年度末社保人数69人；注册资本：4100万元、实收资本：4100万元；法定代表人：黄祖海。股权穿透后实际控制人持股比例：材料未提供。</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commentRangeStart w:id="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commentRangeEnd w:id="3"/>
            <w:r>
              <w:rPr>
                <w:rStyle w:val="CommentReference"/>
              </w:rPr>
              <w:commentReference w:id="3"/>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t xml:space="preserve"> 73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黄祖海 </w:t>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根据材料，未提及近两年企业股权变动情况。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本次授信面访的具体时间及双方会面人员信息。实控人黄祖海，本科学历，自2000年起长期从事网络技术行业，曾任职于福建实达网络科技有限公司、福建星网锐捷网络有限公司，2012年创立中锐网络并担任董事长兼总裁至今，行业经验丰富。</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2025年</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北京中锐青云科技有限公司</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股权融资</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213</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r>
                    <w:t>2026年</w:t>
                  </w: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r>
                    <w:t>4640</w:t>
                  </w: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r>
                    <w:t>交通银行、海峡银行、厦门国际银行、兴业银行、工商银行、中国银行、广发银行</w:t>
                  </w: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r>
                    <w:t>流贷</w:t>
                  </w: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r>
                    <w:t>4640</w:t>
                  </w: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材料未提供近三年我行给予的授信敞口。</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2025 年 12 月 2025年10月 日，经531系统查询，借款人 2025 年 10 月   日提贷 500万元，到期日 2026 年 10 月   日，贷款采取自主支付方式发放，通过调取借款人账户流水，1. 500万元向 锐捷网络股份有限公司 有限公司支付 500 货款（已提供发票）；2. 500万元转至工行同户名账户，穿透查看用于向 1 个人支付采购竹刨花原料款 500万元，其余用于支付税款；3.XX万元元转至农行同户名账户(基本户），用于向37个员工支付工资款。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借款人应于2024年4月25日提贷1000万元，到期日2026年4月24日，贷款采取自主支付方式发放，通过调取借款人账户流水，1.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借款人应于2025年10月15日提贷500万元，到期日2026年10月15日，贷款采取自主支付方式发放，通过调取借款人账户流水，1.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借款人应于2025年11月21日提贷640万元，到期日2026年11月21日，贷款采取自主支付方式发放，通过调取借款人账户流水，1.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借款人应于2025年11月25日提贷1000万元，到期日2026年11月25日，贷款采取自主支付方式发放，通过调取借款人账户流水，1.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黄色预警提示法定代表人黄祖海目前信用卡存在逾期，经核实，未对借款人造成实质性风险。</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实际控制人：黄祖海，中国国籍，身份证号350124197704201694，配偶康恩慧（身份证号352101197802182324）。持有湖南大学电子商务专业本科学历。行业工作经历：2000年5月至2001年12月，任福建实达网络科技有限公司技术工程师；2002年1月至2003年1月，任该公司技术经理；2003年1月至2011年12月，任福建星网锐捷网络有限公司技术部总经理；2012年1月至2016年3月，任福建中锐网络科技有限公司法定代表人、执行董事兼总经理；2016年3月至今，任福建中锐网络股份有限公司董事长兼总裁。</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情况小结：借款人共有5家全资或控股子公司。其中，福建中锐汉鼎信息技术有限公司主营智慧水利；福建中锐教育科技有限公司主营智慧教育；北京中锐青云科技有限公司主营产教融合创新服务，最新获得外部融资；厦门中锐软件科技有限公司主营软硬件销售；中锐海沃水利技术(福建)有限公司主营智慧水利。关联企业总体经营规模有限，多数处于业务投入期或微利状态。</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母公司（福建中锐网络股份有限公司）财务分析：2025年末，公司总资产16956万元，较年初下降8.7%；总负债7207万元，较年初下降22.7%；所有者权益9749万元，较年初增长5.3%。2025年度，公司实现营业收入10010万元，同比增长14.9%；实现净利润494万元，同比大幅增长50.1%。盈利能力方面，毛利率为38.0%（同比微降0.8个百分点），净利率为4.9%（同比提升1.2个百分点），营业利润率为4.8%（同比提升0.2个百分点）。偿债能力显著改善，资产负债率降至42.5%（较年初下降7.7个百分点），流动比率和速动比率分别提升至1.82倍和1.51倍。营运效率呈现分化：应收账款周转天数大幅改善至271天（同比减少117天），但存货周转天数恶化至129天（同比增加49天）。现金流方面，经营活动净现金流为791万元，经营现金流/净利润比值为1.60，销售收现/营收比值为1.04，显示现金流质量健康。</w:t>
              <w:br/>
              <w:t>财务表现归因：1）盈利增长主要源于营收规模扩张及费用控制，带动净利率提升。2）偿债能力改善主要得益于负债总额的显著压降，特别是应付账款较年初减少56.0%，以及所有者权益的增长。3）应收账款周转改善，反映公司回款管理有所加强，但271天的周转天数仍显著高于软件信息业90-180天的典型区间，主要由于项目制验收周期较长及大客户回款账期较长。4）存货周转恶化，存货较年初激增88.0%，远超营收增速，存在积压信号，可能因定制化项目未验收或为特定项目备货所致。</w:t>
              <w:br/>
              <w:t>还款能力挂钩：公司短期借款为4730万元，而年度经营现金流为791万元，存在一定的短期偿债压力，需依赖信贷滚动。但公司整体资产负债结构优化，现金流生成能力健康，为债务偿还提供了一定基础。需重点关注存货积压对流动性的潜在影响及短期借款的续接情况。</w:t>
            </w:r>
            <w:r>
              <w:rPr>
                <w:rFonts w:hint="eastAsia" w:ascii="宋体" w:hAnsi="宋体" w:cs="宋体"/>
                <w:snapToGrid w:val="0"/>
                <w:kern w:val="0"/>
                <w:szCs w:val="21"/>
                <w:highlight w:val="none"/>
                <w:u w:val="single"/>
              </w:rPr>
            </w:r>
          </w:p>
          <w:p w14:paraId="29070FDD">
            <w:pPr>
              <w:ind w:firstLine="422" w:firstLineChars="200"/>
              <w:jc w:val="left"/>
              <w:outlineLvl w:val="0"/>
              <w:rPr>
                <w:rFonts w:hint="eastAsia" w:ascii="宋体" w:hAnsi="宋体" w:cs="宋体"/>
                <w:snapToGrid w:val="0"/>
                <w:kern w:val="0"/>
                <w:szCs w:val="21"/>
                <w:highlight w:val="none"/>
                <w:u w:val="single"/>
              </w:rPr>
            </w:pPr>
            <w:r>
              <w:t xml:space="preserve">收入下滑趋势在2025年得到扭转并恢复增长，同时毛利率在经历波动后于近两年稳定在较高水平，显示盈利能力的改善与企稳。收入、毛利与净利润需联动分析，重点关注利润兑现与毛利波动是否匹配。若收入扩张快于利润兑现，应审慎评估盈利质量的可持续性。</w:t>
            </w:r>
          </w:p>
          <w:p w14:paraId="29070FDD">
            <w:pPr>
              <w:ind w:firstLine="422" w:firstLineChars="200"/>
              <w:jc w:val="left"/>
              <w:outlineLvl w:val="0"/>
              <w:rPr>
                <w:rFonts w:hint="eastAsia" w:ascii="宋体" w:hAnsi="宋体" w:cs="宋体"/>
                <w:snapToGrid w:val="0"/>
                <w:kern w:val="0"/>
                <w:szCs w:val="21"/>
                <w:highlight w:val="none"/>
                <w:u w:val="single"/>
              </w:rPr>
            </w:pPr>
            <w:r>
              <w:t xml:space="preserve">企业短期偿债压力显著加剧，货币资金对短期债务的保障能力持续恶化。尽管流动比率有所改善且整体负债水平呈下降趋势，但核心流动性储备的严重不足构成了主要的信用风险。偿债能力由杠杆水平与流动性共同决定，需同步观察资产负债率和短债覆盖能力。</w:t>
            </w:r>
          </w:p>
          <w:p w14:paraId="29070FDD">
            <w:pPr>
              <w:ind w:firstLine="422" w:firstLineChars="200"/>
              <w:jc w:val="left"/>
              <w:outlineLvl w:val="0"/>
              <w:rPr>
                <w:rFonts w:hint="eastAsia" w:ascii="宋体" w:hAnsi="宋体" w:cs="宋体"/>
                <w:snapToGrid w:val="0"/>
                <w:kern w:val="0"/>
                <w:szCs w:val="21"/>
                <w:highlight w:val="none"/>
                <w:u w:val="single"/>
              </w:rPr>
            </w:pPr>
            <w:r>
              <w:t xml:space="preserve">应收账款回收效率持续恶化，周转天数显著延长，表明公司回款能力严重不足。存货管理波动剧烈，近期库存水平大幅反弹，可能面临滞销风险或备货策略调整。整体运营效率呈现恶化趋势，资产流动性风险较高。</w:t>
            </w:r>
          </w:p>
          <w:p w14:paraId="29070FDD">
            <w:pPr>
              <w:ind w:firstLine="422" w:firstLineChars="200"/>
              <w:jc w:val="left"/>
              <w:outlineLvl w:val="0"/>
              <w:rPr>
                <w:rFonts w:hint="eastAsia" w:ascii="宋体" w:hAnsi="宋体" w:cs="宋体"/>
                <w:snapToGrid w:val="0"/>
                <w:kern w:val="0"/>
                <w:szCs w:val="21"/>
                <w:highlight w:val="none"/>
                <w:u w:val="single"/>
              </w:rPr>
            </w:pPr>
            <w:r>
              <w:t xml:space="preserve">经营现金流波动剧烈且整体偏弱，呈现间歇性净流入状态，表明主营业务造血能力不稳定。公司持续依赖外部融资维持投资活动，但筹资活动净流入呈收缩趋势，2025年转为净流出，显示外部融资环境趋紧。整体现金流结构显示企业尚未形成自我造血的良性循环，对融资依赖度较高。</w:t>
            </w:r>
          </w:p>
          <w:p w14:paraId="29070FDD">
            <w:pPr>
              <w:ind w:firstLine="422" w:firstLineChars="200"/>
              <w:jc w:val="left"/>
              <w:outlineLvl w:val="0"/>
              <w:rPr>
                <w:rFonts w:hint="eastAsia" w:ascii="宋体" w:hAnsi="宋体" w:cs="宋体"/>
                <w:snapToGrid w:val="0"/>
                <w:kern w:val="0"/>
                <w:szCs w:val="21"/>
                <w:highlight w:val="none"/>
                <w:u w:val="single"/>
              </w:rPr>
            </w:pPr>
            <w:r>
              <w:t xml:space="preserve">应收账款周转天数持续恶化，已显著超过风险阈值，表明客户回款能力严重不足，信用风险急剧升高。货币资金对短期借款的覆盖率已降至极低水平，远低于安全阈值，企业面临严峻的短期偿债压力，流动性风险极高。尽管资产负债率呈改善趋势且未触发阈值，但前述两项核心指标的严重恶化已构成重大风险信号。</w:t>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材料未提供集团合并财务报表。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智慧水利与智慧教育业务。智慧水利业务提供水灾害、水工程、水资源等六大重点应用解决方案；智慧教育业务聚焦数字人才培养，对接产业与院校需求。收入结构为水利占比46%、教育占比54%。主要下游客户包括涵江水利局（销售额1116万元，占比10.02%）、福建省翔远电子科技有限公司（销售额1122万元，占比9.92%）等。材料未提供主营芯片设计、28nm级芯片销售及其应用领域信息。</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为高新技术企业（2025年12月8日认定），主营智慧水利与智慧教育业务。智慧水利产品包括大坝安全智能监测平台、智慧水利流域四预系统等，曾获福建省科技进步奖二等奖，已成功应用于福建省300余座大中小型水库。智慧教育业务与全国超过1000所高校及科研院所建立产学研合作，服务1600多家政企客户。企业近三年研发投入持续，2025年达1049万元，研发人员占比53%。上游主要供应商为锐捷网络股份有限公司（上年采购额占比19.77%）等，下游主要客户为涵江水利局（上年销售额占比10.02%）等。企业销售采用预收款和账期方式，采购享有供应商给予的信用账期。</w:t>
              <w:br/>
              <w:br/>
              <w:t>从财务表现看，企业核心竞争力得到一定体现，但也需关注潜在风险。盈利能力持续改善：2025年营业收入1.00亿元，同比增长14.9%；净利润494万元，同比大幅增长50.1%；净利率4.9%，同比提升1.2个百分点，主要得益于收入规模增长及费用控制。偿债能力显著增强：资产负债率42.5%，较年初下降7.7个百分点；流动比率1.82倍，速动比率1.51倍，均较年初有所提升，短期偿债指标处于行业基准（流动比率1.818974657571668倍，速动比率1.5148076243424855倍）的健康区间内，整体偿债压力减轻。营运效率呈现分化：应收账款周转天数271天，同比大幅改善117天，但仍显著高于软件信息业90-180天的典型区间，主要由于项目制验收周期长及政府、大B客户回款账期较长；存货周转天数129天，同比增加49天，且远超行业30-90天的区间，存货较年初激增88.0%，远超营收增速，存在存货积压风险，可能与定制化项目未验收或硬件备货周期长有关。现金流质量健康：经营活动净现金流791万元，为净利润的1.60倍，销售收现比1.04，显示盈利的现金保障能力良好。与还款能力挂钩分析：企业短期借款4730万元，而年经营现金流净额791万元，表明对短期债务的覆盖能力偏弱，主要依赖再融资滚动偿还；但得益于所有者权益增长（较年初+5.3%）及负债总额压降（较年初-22.7%），整体财务结构趋于稳健，为偿还银行借款提供了基础保障。材料未提供产品准入门槛的具体描述及与上下游合作的具体年限。</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公司主营业务为智慧水利与智慧教育，2025年实现营业收入10010万元，同比增长14.9%。其中智慧水利业务收入占比46%，智慧教育业务收入占比54%。前五大客户合计销售额3562万元，最大客户涵江水利局销售额1116万元，占比10.02%。销售收款方式为预收款和账期或全款。材料未提供生产工艺流程。</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上游主要为锐捷网络股份有限公司、北京星链南天科技有限公司、广州浩瀚星图信息技术有限公司、新天科技股份有限公司、精导信息技术有限公司司。下游主要客户包括涵江水利局、福建省翔远电子科技有限公司、三明水利水电工程有限公司顺昌分公司、福州市福清公路事业发展中心、济南展雄电子有限公司。企业应收账款周转天数271天，显著高于软件信息业90-180天典型区间，主要由于项目验收周期较长及客户回款账期较长；存货周转天数129天，亦高于行业30-90天区间，存货较年初增长88.0%，存在积压。经营账期材料未提供。</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材料未提供在手订单列表。</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w:t>
                  </w: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材料未提供财务真实性验证相关材料。</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借款人近三年及最近一期财务数据如下：2025年末总资产16956万元，较年初下降8.7%；总负债7207万元，较年初下降22.7%；资产负债率42.5%，较年初下降7.7个百分点，低于软件信息业30-55%典型区间。2025年营业收入10010万元，同比增长14.9%；净利润494万元，同比增长50.1%；净利率4.9%，同比提升1.2个百分点，处于行业5-15%区间下限。</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（1）应收账款 6354万元，主要构成及趋势变动情况： 2025年末应收账款为7430万元，较2024年末的9253万元下降19.7%，回款情况有所改善。但该科目自2022年以来持续快速增长，2023年、2024年同比增幅分别为44.1%和45.6%，当前余额仍处于高位。</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 3621万元，主要构成及趋势变动情况： 企业其他应收款2025年末为2774万元，较2024年末的3522万元下降21.2%，呈回落趋势。该科目在2023年曾大幅增长至3621万元，目前虽有所压降，但余额仍显著高于2022年的1432万元水平。</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commentRangeStart w:id="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）存货2192</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存货为2192万元，较2024年末的1166万元大幅增长88.0%，结束了自2022年（5301万元）以来的连续下降趋势。结合资产负债表，存货占总资产比重较低，但鉴于缺乏存货构成及对应业务合同等材料，其大幅增加的具体原因尚不明确。</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commentRangeEnd w:id="4"/>
            <w:r>
              <w:rPr>
                <w:rStyle w:val="CommentReference"/>
              </w:rPr>
              <w:commentReference w:id="4"/>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（4）长期投资 1626万元，主要构成及趋势变动情况： 企业长期投资由2024年的2518万元增长至2025年的3123万元，同比增加605万元，增幅达24.0%，呈现显著扩张趋势。该科目连续两年增长，但财务报表材料片段中未披露具体构成及变动原因。</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5</w:t>
            </w:r>
            <w:r>
              <w:rPr>
                <w:rFonts w:hint="eastAsia" w:ascii="宋体" w:hAnsi="宋体" w:cs="宋体"/>
                <w:snapToGrid w:val="0"/>
                <w:color w:val="000000"/>
                <w:kern w:val="0"/>
                <w:szCs w:val="21"/>
                <w:highlight w:val="none"/>
                <w:lang w:val="zh-CN"/>
              </w:rPr>
              <w:t>）应付</w:t>
            </w:r>
            <w:r>
              <w:rPr>
                <w:rFonts w:hint="eastAsia" w:ascii="宋体" w:hAnsi="宋体" w:cs="宋体"/>
                <w:snapToGrid w:val="0"/>
                <w:color w:val="000000"/>
                <w:kern w:val="0"/>
                <w:szCs w:val="21"/>
                <w:highlight w:val="none"/>
              </w:rPr>
              <w:t>账款1026</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 应付账款期末余额为1026万元，较2024年末的2333万元大幅下降56.0%。结合报表数据，该科目从2022年的1490万元持续增长至2024年，但在2025年出现显著回落。</w:t>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（6）其他应付款168万元，主要构成及趋势变动情况：  截至2025年末，公司其他应付款为168万元，较2024年末的648万元大幅下降480万元，降幅达74.1%。结合历史数据，该科目余额在2023年（185万元）及2024年（648万元）曾连续快速增长，2025年显著回落。根据提供的财务报表，2025年末其他应付款具体金额为168万元，与年初余额648万元相比变动趋势一致，但材料未提供具体构成及变动原因。</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7</w:t>
            </w:r>
            <w:r>
              <w:rPr>
                <w:rFonts w:hint="eastAsia" w:ascii="宋体" w:hAnsi="宋体" w:cs="宋体"/>
                <w:b w:val="0"/>
                <w:bCs w:val="0"/>
                <w:snapToGrid w:val="0"/>
                <w:color w:val="000000"/>
                <w:kern w:val="0"/>
                <w:szCs w:val="21"/>
                <w:highlight w:val="none"/>
                <w:lang w:val="zh-CN"/>
              </w:rPr>
              <w:t>）主营业务收入变动原因：</w:t>
            </w:r>
            <w:r>
              <w:rPr>
                <w:rFonts w:hint="eastAsia" w:ascii="宋体" w:hAnsi="宋体" w:cs="宋体"/>
                <w:b w:val="0"/>
                <w:bCs w:val="0"/>
                <w:snapToGrid w:val="0"/>
                <w:color w:val="000000"/>
                <w:kern w:val="0"/>
                <w:szCs w:val="21"/>
                <w:highlight w:val="none"/>
                <w:u w:val="single"/>
                <w:lang w:val="zh-CN"/>
              </w:rPr>
              <w:t xml:space="preserve"> 企业主营业务为智慧水利与智慧教育。根据收入结构，水利占比46%、教育占比54%，业务结构较为均衡。智慧水利业务受益于国家政策支持，已成功应用于福建省300+座水库；智慧教育业务与全国超1000所高校及科研院所合作，服务1600多家政企客户。主要下游客户包括涵江水利局、福建省翔远电子科技有限公司等，业务来源稳定。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企业近年持续投入研发，2023-2025年研发费用分别为895万元、1262万元、1049万元，占营收比重较高（7.4%-14.5%）。研发人员占比从44%提升至53%，体现了技术驱动的发展模式。但部分控股子公司（如福建中锐教育科技有限公司、福建中锐汉鼎信息技术有限公司）存在较大亏损，对整体盈利能力产生一定拖累。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材料未提供后续大额固定资产投入计划及资金安排信息，建议补充投资预算、采购/建设进度、资金来源（自有/贷款/补贴等）及预计形成资产情况。</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企业2025年末货币资金余额为286万元，较年初的506万元大幅下降43.6%。同时，存货余额为2192万元，较年初的1166万元激增87.9%，占用了较多营运资金。</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（1）应收账款7430万元，较年初下降19.7%，主要由于回款改善，周转天数271天，同比缩短117天，但仍显著高于软件信息业90-180天典型区间。（2）其他应收款2774万元，较年初下降21.2%。</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  根据提供的现金流量表数据：</w:t>
              <w:br/>
              <w:t>2023年：经营活动现金流入小计112072779.26元，其中销售商品、提供劳务收到的现金93640251.43元。</w:t>
              <w:br/>
              <w:t>2024年：经营活动现金流入小计80298955.33元，其中销售商品、提供劳务收到的现金48902379.43元，较上年有所下降。</w:t>
              <w:br/>
              <w:t xml:space="preserve">2025年：销售商品、提供劳务收到的现金103852568.95元，收到税费返还2643784.65元，显示经营活动现金流入有所回升。 </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3）存货2192万元，较年初大幅增长88.0%，远超营收增速，存货周转天数129天，同比增加49天，高于行业30-90天典型区间，存在积压信号。（4）材料未提供长期投资数据。（5）应付账款1026万元，较年初下降56.0%。（6）其他应付款168万元，较年初下降74.1%。（7）材料未提供主营业务收入变动原因。（8）材料未提供盈利能力变动原因。（9）材料未提供固定资产投资变动情况。（10）材料未提供其他变动较大的财务指标。</w:t>
              <w:br/>
              <w:t>2025年经营活动净现金流791万元，经营现金流/净利润为1.60，质量健康；投资活动净流出586万元；筹资活动净流出426万元。短期借款4730万元，需依赖经营现金流滚动偿还。</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2025年末，公司各行贷款余额合计4440万元，其中交通银行屏东支行1000万元、海峡银行金山支行500万元、厦门国际银行台江支行640万元、兴业银行环球支行1000万元、工商银行500万元、中国银行福建省分行600万元、广发银行鼓楼支行200万元，五级分类正常。材料未提供中长期借款还款计划及还款资金安排情况。材料未提供对外担保情况。材料未提供不良记录情况。</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材料中未提供中长期借款的具体信息。现有融资清单中的8笔授信均为流动资金贷款，期限均在1-2年，未涉及中长期借款。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5"/>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5"/>
            <w:r>
              <w:rPr>
                <w:rStyle w:val="CommentReference"/>
              </w:rPr>
              <w:commentReference w:id="5"/>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材料中未提及借款人有不良信用记录。 </w:t>
            </w:r>
          </w:p>
          <w:p w14:paraId="0BD0E5B0">
            <w:commentRangeStart w:i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2.实控人个人征信信息：截至2025年7月23日，查询信用报告，黄祖海名下有未结清贷款账户1笔，余额1000万元，为中行个人经营贷款，经营主体为[待补充]，有未销户信用卡账户1笔，余额0元。全部未结清贷款估算下月应还款额0元，贷记卡最近6个月平均使用额度27元，准贷记卡最近6个月平均透支余额0元；承担担保责任账户有1笔，承担共同还款责任账户有0笔，余额1000万元，为[待补充]担保。根据预警规则的后台计算，客户近5年贷款累计逾期期数为1期，其中逾期金额小于等于500元的期数为0；客户近5年贷款连续逾期期数为1期，其中连续逾期小于等于500元的期数为0，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6"/>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材料未提供实控人配偶籍贯及个人征信信息。</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企业属于其他未列明信息技术服务业，主营业务为智慧水利与智慧教育解决方案，研发投入持续且占比较高（2025年10.5%），研发人员占比达53%，符合科技型企业特征。但材料未提供具体的评分体系及得分。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科技型企业类型：高新技术企业。科技型企业评分：材料未提供。核心研发人员享有股权激励。近三年研发投入占比及研发人员占比：2023年研发费用占比7.4%，研发人员占比44%；2024年研发费用占比14.5%，研发人员占比49%；2025年研发费用占比10.5%，研发人员占比53%。</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材料未提供企业在我行综合效益相关数据。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借款人目前经营性现金流状况整体较好，当期经营活动净现金流791万元，且账上拥有货币资金286万元，但因对上游账款预付或现付、下游货款回笼较慢，应收账款周转天数达271天，且存货较年初大幅增长88.0%至2192万元，对营运资金需求较大，故需申请部分贷款用于补充流动资金。</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材料中未提及本次申请中期流动资金贷款。 </w:t>
            </w:r>
            <w:r>
              <w:rPr>
                <w:rFonts w:hint="eastAsia" w:ascii="宋体" w:hAnsi="宋体" w:cs="宋体"/>
                <w:b/>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材料未提供营运资金需求测算过程及结果。</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材料中未提供具体的流动资金贷款需求测算过程及数据调整说明。 </w:t>
            </w:r>
            <w:r>
              <w:rPr>
                <w:rFonts w:hint="eastAsia"/>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 xml:space="preserve">①第一还款来源（经营性现金流分析）： 第一还款来源主要依赖于企业经营活动产生的现金流。企业2025年销售商品、提供劳务收到的现金约为10385万元，显示主营业务回款能力。下游客户包括水利局、事业单位及科技公司，回款相对有保障。但需关注子公司亏损对集团整体现金流的消耗。 </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第二还款来源方面，材料中列示一项可抵押资产：实控人黄祖海及其配偶康恩慧共有的位于仓山区上渡街道通江路17号江南水都·杰座的私有房产，面积143.45平方米。该房产可作为补充担保，但其评估价值未提供，变现能力需结合当地房地产市场情况判断。此外，现有授信均由实控人黄祖海、关联人陈其俤及关联企业（如中锐汉鼎）提供连带责任保证，并有一笔由福州市融资担保有限公司提供担保，增强了第二还款来源的保障。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第一还款来源方面，企业2025年实现营业收入10010万元，同比增长14.9%；净利润494万元，同比增长50.1%，盈利能力改善，主要得益于收入规模增长及费用控制。经营活动净现金流791万元，经营现金流/净利润为1.60，销售商品收现/营收为1.04，现金流质量健康，对净利润覆盖良好，为核心还款来源提供了现金保障。企业资产负债率42.5%，较年初下降7.7个百分点，处于软件信息业30-55%的典型区间，长期偿债压力减轻。流动比率1.82倍、速动比率1.51倍，较年初均有所提升，短期偿债指标尚可。但需关注，应收账款周转天数387.630338855385天，较去年改善117天，但仍显著高于行业90-180天区间，主要由于项目制验收周期较长及下游政府、大企业客户采用分期结算，导致回款速度偏慢，占用了营运资金。存货周转天数129天，同比增加49天，且高于行业30-90天区间，同时存货较年初大幅增长88.0%至2192万元，远超营收增速，存在定制化项目未验收或备货积压迹象，增加了资产流动性风险。企业短期借款4730万元，而年经营现金流791万元，货币资金仅286万元，短期债务的滚动偿还对经营回款的及时性依赖较大。企业融资清单显示，其在多家银行共有流贷敞口，还款来源主要依赖上述经营回款及现金流。</w:t>
              <w:br/>
              <w:br/>
              <w:t>第二还款来源方面，材料未提供可用于抵押的资产评估价、账面价值及抵押状态。</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7"/>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7"/>
            <w:r>
              <w:rPr>
                <w:rStyle w:val="CommentReference"/>
              </w:rPr>
              <w:commentReference w:id="7"/>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抵押物为仓山区上渡街道通江路17号江南水都·杰座，权属证号榕 房权证 R 字第 0838000 号，类型为私有房产，建筑面积143.45平方米，所有权人为康恩慧、黄祖海。材料未提供抵押物评估价值及当前抵押状态。</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①保证人基本信息：福建中锐汉鼎信息技术有限公司成立于2018年1月11日，为有限责任公司（法人独资），注册资本1000万元，主营业务为智慧水利。</w:t>
              <w:br/>
              <w:t>②保证人化型及对公PD X级：材料未提供保证人对公PD评级。</w:t>
              <w:br/>
              <w:t>③保证人主要经营情况：根据现有材料，保证人上年度营业收入8712万元，净利润329万元（注：此数据来源于客户提供的结构化材料，非本报告主债务人“福建中锐网络股份有限公司”的财务数据）。</w:t>
              <w:br/>
              <w:t>④保证人征信信息：材料未提供保证人银行授信业务品种、敞口提用余额、对外担保余额及不良记录。</w:t>
              <w:br/>
              <w:t>⑤主要财务指标：材料未提供保证人财务报表。</w:t>
              <w:br/>
              <w:t>⑥其他：材料未提供保证人风险信息及涉诉情况。</w:t>
              <w:br/>
              <w:br/>
              <w:t>（注：本段落为根据现有材料对担保方基本信息的客观陈述，未进行深入的财务分析。）</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材料未提供我行内部审批结论及担保公司最新担保情况。</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十一）经营单位授信申报结论及方案：企业为存量客户，2025年营业收入10010万元，净利润494万元，经营现金流791万元，现金流对净利润覆盖倍数1.60，质量健康。年末资产负债率42.5%，杠杆水平适中。应收账款周转天数271天，显著高于软件信息业90-180天典型区间，主要由于项目验收周期较长及政府、大B客户回款账期长；存货周转天数129天，亦高于行业30-90天区间，存货较年初增长88.0%，存在一定积压。企业现有银行授信总额5640万元，已用4440万元，其中短期借款4730万元，需依赖经营现金流滚动偿还。主要下游客户包括涵江水利局等政府及企业单位，上游供应商为锐捷网络等知名厂商。本次申报方案为存量续贷，授信额度维持不变，要求借款人加强应收账款催收，控制存货规模。担保措施追加实际控制人黄祖海及其配偶康恩慧名下位于仓山区上渡街道通江路17号江南水都·杰座的房产抵押，并追加关联企业福建中锐汉鼎信息技术有限公司、福建中锐教育科技有限公司、北京中锐青云科技有限公司、厦门中锐软件科技有限公司、中锐海沃水利技术(福建)有限公司的连带责任保证。贷后需监控企业销售回款及存货变动，确保授信资金用于日常经营周转。</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借款人2025年经营性现金流净流入791万元，经营现金流/净利润为1.60，销售商品收现/营收为1.04，现金流质量健康。但需关注，公司短期借款4730万元，年经营现金流791万元，短期债务偿还对现金流形成一定压力。</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借款人资产负债率42.5%，较年初下降7.7个百分点，处于软件和信息技术服务业30-55%的典型区间，杠杆水平适中；流动比率1.82倍，速动比率1.51倍，均处于行业合理区间（流动比率1.818974657571668倍，速动比率1.5148076243424855倍），偿债能力指标有所改善。然而，速动比率接近区间下限，主要因存货占流动资产比重偏高。</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借款人主营智慧水利、智慧教育，2025年营业收入10010万元，同比增长14.9%；净利润494万元，同比增长50.1%。盈利能力方面，毛利率38.0%（同比微降0.8个百分点），净利率4.9%（同比提升1.2个百分点），毛利率处于行业30-38.02164897742376%的合理区间，净利率接近区间下限，主要因研发等费用投入较高。营运效率呈现分化：应收账款周转天数271天，同比显著改善117天，但仍显著高于软件信息业90-180天典型区间，主要由于项目验收周期较长及政府、大企业客户回款账期较长；存货周转天数129天，同比增加49天，且超出行业30-90天典型区间，反映存货积压，可能与定制化项目未验收或备货周期长有关。 公司研发投入较高（据客户材料，2025年研发费用1049万元，占比10.5%），其智慧水利平台解决方案曾获省级奖项，具备一定技术竞争力，有助于维持其在智慧水利、教育领域的市场地位和订单获取能力。</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垒小户：借款人现有授信合计5640万元，已用4440万元，合作银行包括交通银行屏东支行、海峡银行-金山支行等。公司短期借款4730万元，均为信用方式。配结算：材料未提供借款人在我行结算情况。强担保：材料未提供本次授信具体担保方式。</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8"/>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8"/>
            <w:r>
              <w:rPr>
                <w:rStyle w:val="CommentReference"/>
              </w:rPr>
              <w:commentReference w:id="8"/>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9"/>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9"/>
            <w:r>
              <w:rPr>
                <w:rStyle w:val="CommentReference"/>
              </w:rPr>
              <w:commentReference w:id="9"/>
            </w:r>
          </w:p>
          <w:p w14:paraId="6AC425A6">
            <w:commentRangeStart w:id="10"/>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0"/>
            <w:r>
              <w:rPr>
                <w:rStyle w:val="CommentReference"/>
              </w:rPr>
              <w:commentReference w:id="10"/>
            </w:r>
          </w:p>
          <w:p w14:paraId="2FC82B07">
            <w:commentRangeStart w:id="11"/>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1"/>
            <w:r>
              <w:rPr>
                <w:rStyle w:val="CommentReference"/>
              </w:rPr>
              <w:commentReference w:id="11"/>
            </w:r>
          </w:p>
          <w:p w14:paraId="269107E9">
            <w:commentRangeStart w:id="12"/>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2"/>
            <w:r>
              <w:rPr>
                <w:rStyle w:val="CommentReference"/>
              </w:rPr>
              <w:commentReference w:id="12"/>
            </w:r>
          </w:p>
          <w:p w14:paraId="3096CC3B">
            <w:commentRangeStart w:id="13"/>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3"/>
            <w:r>
              <w:rPr>
                <w:rStyle w:val="CommentReference"/>
              </w:rPr>
              <w:commentReference w:id="13"/>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14"/>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4"/>
            <w:r>
              <w:rPr>
                <w:rStyle w:val="CommentReference"/>
              </w:rPr>
              <w:commentReference w:id="14"/>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4T16:43:29Z" w:initials="Agent">
    <w:p>
      <w:r>
        <w:rPr>
          <w:rStyle w:val="CommentReference"/>
        </w:rPr>
        <w:annotationRef/>
      </w:r>
      <w:r>
        <w:t xml:space="preserve">该处“申报单位”仍为空白，请人工确认。</w:t>
      </w:r>
    </w:p>
  </w:comment>
  <w:comment w:id="1" w:author="信贷报告 Agent" w:date="2026-04-14T16:43:29Z" w:initials="Agent">
    <w:p>
      <w:r>
        <w:rPr>
          <w:rStyle w:val="CommentReference"/>
        </w:rPr>
        <w:annotationRef/>
      </w:r>
      <w:r>
        <w:t xml:space="preserve">该处“小类）”仍为空白，请人工确认。</w:t>
      </w:r>
    </w:p>
  </w:comment>
  <w:comment w:id="2" w:author="信贷报告 Agent" w:date="2026-04-14T16:43:29Z" w:initials="Agent">
    <w:p>
      <w:r>
        <w:rPr>
          <w:rStyle w:val="CommentReference"/>
        </w:rPr>
        <w:annotationRef/>
      </w:r>
      <w:r>
        <w:t xml:space="preserve">该处“绿通标识”仍为空白，请人工确认。</w:t>
      </w:r>
    </w:p>
  </w:comment>
  <w:comment w:id="3" w:author="信贷报告 Agent" w:date="2026-04-14T16:43:29Z" w:initials="Agent">
    <w:p>
      <w:r>
        <w:rPr>
          <w:rStyle w:val="CommentReference"/>
        </w:rPr>
        <w:annotationRef/>
      </w:r>
      <w:r>
        <w:t xml:space="preserve">该处“□排污许可证（编号：”仍为模板占位符，请人工核实。</w:t>
      </w:r>
    </w:p>
  </w:comment>
  <w:comment w:id="4" w:author="信贷报告 Agent" w:date="2026-04-14T16:43:29Z" w:initials="Agent">
    <w:p>
      <w:r>
        <w:rPr>
          <w:rStyle w:val="CommentReference"/>
        </w:rPr>
        <w:annotationRef/>
      </w:r>
      <w:r>
        <w:t xml:space="preserve">该处“主要构成及趋势变动情况”仍为空白，请人工确认。</w:t>
      </w:r>
    </w:p>
  </w:comment>
  <w:comment w:id="5" w:author="信贷报告 Agent" w:date="2026-04-14T16:43:29Z" w:initials="Agent">
    <w:p>
      <w:r>
        <w:rPr>
          <w:rStyle w:val="CommentReference"/>
        </w:rPr>
        <w:annotationRef/>
      </w:r>
      <w:r>
        <w:t xml:space="preserve">该处“（若有）对外担保情况”仍为空白，请人工确认。</w:t>
      </w:r>
    </w:p>
  </w:comment>
  <w:comment w:id="6" w:author="信贷报告 Agent" w:date="2026-04-14T16:43:29Z" w:initials="Agent">
    <w:p>
      <w:r>
        <w:rPr>
          <w:rStyle w:val="CommentReference"/>
        </w:rPr>
        <w:annotationRef/>
      </w:r>
      <w:r>
        <w:t xml:space="preserve">该处“为中行个人经营贷款，经营主体为”仍为模板占位符，请人工核实。</w:t>
      </w:r>
    </w:p>
  </w:comment>
  <w:comment w:id="7" w:author="信贷报告 Agent" w:date="2026-04-14T16:43:29Z" w:initials="Agent">
    <w:p>
      <w:r>
        <w:rPr>
          <w:rStyle w:val="CommentReference"/>
        </w:rPr>
        <w:annotationRef/>
      </w:r>
      <w:r>
        <w:t xml:space="preserve">该处“变动原因”仍为空白，请人工确认。</w:t>
      </w:r>
    </w:p>
  </w:comment>
  <w:comment w:id="8" w:author="信贷报告 Agent" w:date="2026-04-14T16:43:29Z" w:initials="Agent">
    <w:p>
      <w:r>
        <w:rPr>
          <w:rStyle w:val="CommentReference"/>
        </w:rPr>
        <w:annotationRef/>
      </w:r>
      <w:r>
        <w:t xml:space="preserve">该处“予借款人授信敞口1000万元，”仍为模板占位符，请人工核实。</w:t>
      </w:r>
    </w:p>
  </w:comment>
  <w:comment w:id="9" w:author="信贷报告 Agent" w:date="2026-04-14T16:43:29Z" w:initials="Agent">
    <w:p>
      <w:r>
        <w:rPr>
          <w:rStyle w:val="CommentReference"/>
        </w:rPr>
        <w:annotationRef/>
      </w:r>
      <w:r>
        <w:t xml:space="preserve">该处“客户经理”仍为空白，请人工确认。</w:t>
      </w:r>
    </w:p>
  </w:comment>
  <w:comment w:id="10" w:author="信贷报告 Agent" w:date="2026-04-14T16:43:29Z" w:initials="Agent">
    <w:p>
      <w:r>
        <w:rPr>
          <w:rStyle w:val="CommentReference"/>
        </w:rPr>
        <w:annotationRef/>
      </w:r>
      <w:r>
        <w:t xml:space="preserve">该处“共同调查人”仍为空白，请人工确认。</w:t>
      </w:r>
    </w:p>
  </w:comment>
  <w:comment w:id="11" w:author="信贷报告 Agent" w:date="2026-04-14T16:43:29Z" w:initials="Agent">
    <w:p>
      <w:r>
        <w:rPr>
          <w:rStyle w:val="CommentReference"/>
        </w:rPr>
        <w:annotationRef/>
      </w:r>
      <w:r>
        <w:t xml:space="preserve">该处“二级支行行长”仍为空白，请人工确认。</w:t>
      </w:r>
    </w:p>
  </w:comment>
  <w:comment w:id="12" w:author="信贷报告 Agent" w:date="2026-04-14T16:43:29Z" w:initials="Agent">
    <w:p>
      <w:r>
        <w:rPr>
          <w:rStyle w:val="CommentReference"/>
        </w:rPr>
        <w:annotationRef/>
      </w:r>
      <w:r>
        <w:t xml:space="preserve">该处“分管行长”仍为空白，请人工确认。</w:t>
      </w:r>
    </w:p>
  </w:comment>
  <w:comment w:id="13" w:author="信贷报告 Agent" w:date="2026-04-14T16:43:29Z" w:initials="Agent">
    <w:p>
      <w:r>
        <w:rPr>
          <w:rStyle w:val="CommentReference"/>
        </w:rPr>
        <w:annotationRef/>
      </w:r>
      <w:r>
        <w:t xml:space="preserve">该处“行长”仍为空白，请人工确认。</w:t>
      </w:r>
    </w:p>
  </w:comment>
  <w:comment w:id="14" w:author="信贷报告 Agent" w:date="2026-04-14T16:43:29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