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2012年1月，经营地址位于福州大学国家大学科技园8号楼5层。经营地为租用办公楼，租用总面积2523平，年租金115万。实际主营业务为软件开发、系统集成及技术服务，主要面向政府及企事业单位客户。上年度末社保人数69人；注册资本：4100万元、实收资本：4100万元；法定代表人：黄祖海，1978年出生，本科学历，长期从事信息技术行业。股权穿透后实际控制人为黄祖海，持股比例51.22%。</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39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材料中未提及近两年企业股权变动情况。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材料未提供面访时间及双方会面人员信息。实控人黄祖海，湖南大学电子商务专业本科学历，自2000年起进入行业，现任福建中锐网络股份有限公司董事长兼总裁。</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2025年</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北京中锐青云科技有限公司</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股权融资</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2134</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2024 年 12 月 2025年10月 日，经531系统查询，借款人 2025 年 10 月   日提贷 500万元，到期日 2026 年 10 月   日，贷款采取自主支付方式发放，通过调取借款人账户流水，1. 500万元向 锐捷网络股份有限公司 有限公司支付 500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授信金额1000万元，业务起始日2024.4.25，业务到期日2026.4.24，担保方式黄祖海</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授信金额500万元，业务起始日2025.10.15，业务到期日2026.10.15，担保方式黄祖海.陈其俤.福州市融资担保有限公司.福建恒运投资合伙企业（有限合伙）</w:t>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已落实</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授信金额640万元，业务起始日2025.11.21，业务到期日2026.11.21，担保方式黄祖海.陈其俤</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授信金额1000万元，已用金额700万元，业务起始日2025.11.25，业务到期日2026.11.25，担保方式黄祖海.陈其俤.中锐汉鼎</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已落实</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黄色预警提示法定代表人目前信用卡存在逾期。综合评判，未对借款人造成实质性风险。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commentRangeStart w:id="3"/>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w:t>
            </w:r>
            <w:commentRangeEnd w:id="3"/>
            <w:r>
              <w:rPr>
                <w:rStyle w:val="CommentReference"/>
              </w:rPr>
              <w:commentReference w:id="3"/>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实际控制人：黄祖海，中国国籍，身份证号350124197704201694，湖南大学电子商务专业本科学历。行业工作经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配偶：康恩慧，身份证号352101197802182324。</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关联企业关系：可附图</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t>关联企业情况小结：借款人下属5家全资或控股子公司，均处于初创或培育期，总体经营规模有限。其中福建中锐汉鼎信息技术有限公司主营智慧水利，上年收入1223万元，净亏损682万元；福建中锐教育科技有限公司主营智慧教育，上年收入21万元，净亏损1275万元；北京中锐青云科技有限公司主营产教融合，上年收入204万元，净利润329万元；厦门中锐软件科技有限公司主营软硬件销售，上年收入7万元，净亏损13万元；中锐海沃水利技术(福建)有限公司主营智慧水利，上年无主营业务收入，净利润8712万元。</w:t>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材料未提供集团合并财务报表。</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智慧水利与智慧教育业务。智慧水利业务提供涵盖水灾害、水工程、水资源等六大重点应用的解决方案；智慧教育业务聚焦数字人才培养，对接产业与院校需求。收入结构为水利占比46%、教育占比54%。主要下游客户包括涵江水利局、福建省翔远电子科技有限公司等，对应销售产品分别为智慧水利解决方案及软硬件销售等。</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为高新技术企业，主营智慧水利与智慧教育业务。智慧水利方面，拥有大坝安全智能监测平台等解决方案，曾获福建省科技进步奖二等奖，方案已应用于福建省300余座水库；智慧教育方面，与全国超1000所高校及科研院所合作，服务1600多家政企客户。近三年持续投入研发，2025年研发费用1049万元，占营收10.5%，研发人员占比53%。企业上游采购主要采用预付款和账期方式，下游销售采用预收款和账期方式，主要客户涵江水利局上年销售额1116万元，占比10.02%。</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公司主营业务为智慧水利与智慧教育。2025年实现营业收入10010万元，其中智慧水利业务收入占比约46%，智慧教育业务收入占比约54%。材料未提供产品生产量、销量及分产品销售收入具体金额。</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上游主要供应商包括锐捷网络股份有限公司、北京星链南天科技有限公司、广州浩瀚星图信息技术有限公司、新天科技股份有限公司、精导信息技术有限公司。下游主要客户有涵江水利局、福建省翔远电子科技有限公司、三明水利水电工程有限公司顺昌分公司、福州市福清公路事业发展中心、济南展雄电子有限公司。从财务表现看，企业2025年营业收入同比增长14.9%至10010万元，净利润同比大幅增长50.1%至494万元，盈利能力改善；毛利率为38.0%（同比-0.8pct），净利率为4.9%（同比+1.2pct），营业利润率为4.8%（同比+0.2pct）。偿债能力方面，资产负债率较年初下降42.5个百分点至42.5%，流动比率与速动比率分别提升至1.82倍和1.51倍，整体偿债指标改善。营运效率呈现分化：应收账款周转天数同比大幅缩短270.9天至271天，回款效率有所提升，但仍显著高于软件信息业90-180天典型区间，主要由于项目验收周期较长及客户回款账期较长；存货周转天数同比增加129.0天至129天，亦高于行业30-90天区间，且存货较年初大幅增长88.0%，远超营收增速，存在积压风险。企业当期经营活动净现金流为791万元，经营现金流/净利润达1.60，现金流质量健康。综合来看，企业盈利增长、偿债能力增强且现金流健康，对还款形成支撑；但需关注存货积压对流动性的占用以及较长的应收款账期，其短期借款4730万元仍需依赖经营现金流的持续生成及外部融资滚动偿还。</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r>
              <w:t>收入下滑趋势在2025年得到扭转并恢复增长，同时毛利率在经历波动后于近两年稳定在较高水平，盈利能力的稳定性有所改善。收入、毛利与净利润需联动分析，重点关注利润兑现与毛利波动是否匹配。若收入扩张快于利润兑现，应审慎评估盈利质量的可持续性。</w:t>
            </w: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借款人近三年及最近一期财务数据如下：</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规模与增长：2025年末，公司总资产16956万元，较年初下降8.7%；总负债7207万元，较年初下降22.7%；所有者权益9749万元，较年初增长5.3%。2025年度，公司实现营业收入1010万元，同比增长14.9%；实现净利润494万元，同比大幅增长50.1%，显示盈利规模有所提升。</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w:t>
            </w:r>
            <w:r>
              <w:rPr>
                <w:rFonts w:hint="eastAsia" w:ascii="宋体" w:hAnsi="宋体" w:cs="宋体"/>
                <w:snapToGrid w:val="0"/>
                <w:color w:val="000000"/>
                <w:kern w:val="0"/>
                <w:szCs w:val="21"/>
                <w:highlight w:val="none"/>
              </w:rPr>
              <w:t>账款7430</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材 2025年末应收账款为7430万元，较2024年末的9253万元下降19.7%，回款情况有所改善。但该科目自2022年以来持续快速增长，2023年及2024年同比增幅分别达44.1%和45.6%，需关注其前期增长过快可能带来的坏账风险。</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2</w:t>
            </w:r>
            <w:r>
              <w:rPr>
                <w:rFonts w:hint="eastAsia" w:ascii="宋体" w:hAnsi="宋体" w:cs="宋体"/>
                <w:bCs/>
                <w:snapToGrid w:val="0"/>
                <w:color w:val="000000"/>
                <w:kern w:val="0"/>
                <w:szCs w:val="21"/>
                <w:highlight w:val="none"/>
                <w:lang w:val="zh-CN"/>
              </w:rPr>
              <w:t>）其他应收款2774</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材 2025年末其他应收款为2774万元，较2024年末的3522万元下降21.2%，呈回落趋势。该科目在2023年曾大幅增长至3621万元，目前虽有所压降，但余额仍显著高于2022年的1432万元水平。</w:t>
            </w:r>
          </w:p>
          <w:p w14:paraId="669763E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材料中 企业存货在2025年末为2192万元，较2024年末的1166万元大幅增长88.0%，结束了自2022年（5301万元）以来的连续下降趋势。结合资产负债表，存货占总流动资产的比例由2024年末的7.9%上升至16.7%，资产结构有所变化。</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4</w:t>
            </w:r>
            <w:r>
              <w:rPr>
                <w:rFonts w:hint="eastAsia" w:ascii="宋体" w:hAnsi="宋体" w:cs="宋体"/>
                <w:bCs/>
                <w:snapToGrid w:val="0"/>
                <w:color w:val="000000"/>
                <w:kern w:val="0"/>
                <w:szCs w:val="21"/>
                <w:highlight w:val="none"/>
                <w:lang w:val="zh-CN"/>
              </w:rPr>
              <w:t>）长期投资</w:t>
            </w:r>
            <w:r>
              <w:rPr>
                <w:rFonts w:hint="eastAsia" w:ascii="宋体" w:hAnsi="宋体" w:cs="宋体"/>
                <w:snapToGrid w:val="0"/>
                <w:color w:val="000000"/>
                <w:kern w:val="0"/>
                <w:szCs w:val="21"/>
                <w:highlight w:val="none"/>
                <w:u w:val="single"/>
                <w:lang w:val="zh-CN"/>
              </w:rPr>
              <w:t xml:space="preserve">        </w:t>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长期投资2025年末为3123万元，较2024年末的2518万元增长605万元，增幅达24.0%。该科目自2022年以来呈持续增长趋势，近两年增速加快，但财务报表中未披露具体构成，无法判断其投资性质与风险。</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5</w:t>
            </w:r>
            <w:r>
              <w:rPr>
                <w:rFonts w:hint="eastAsia" w:ascii="宋体" w:hAnsi="宋体" w:cs="宋体"/>
                <w:snapToGrid w:val="0"/>
                <w:color w:val="000000"/>
                <w:kern w:val="0"/>
                <w:szCs w:val="21"/>
                <w:highlight w:val="none"/>
                <w:lang w:val="zh-CN"/>
              </w:rPr>
              <w:t>）应付</w:t>
            </w:r>
            <w:r>
              <w:rPr>
                <w:rFonts w:hint="eastAsia" w:ascii="宋体" w:hAnsi="宋体" w:cs="宋体"/>
                <w:snapToGrid w:val="0"/>
                <w:color w:val="000000"/>
                <w:kern w:val="0"/>
                <w:szCs w:val="21"/>
                <w:highlight w:val="none"/>
              </w:rPr>
              <w:t>账款1026</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 应付账款期末余额为1026万元，较2024年末的2333万元大幅下降56.0%。结合资产负债表，其减少额（-1307万元）与流动负债总额的变动趋势一致，但材料未提供具体原因说明。</w:t>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2025年末其他应付款为168万元，较2024年末的648万元大幅下降480万元，降幅达74.1%。该科目余额已回落至接近2023年水平，显示企业对外部非经营性款项的偿付压力显著减轻。</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企业主营业务为智慧水利和智慧教育。根据收入结构，水利占比46%、教育占比54%。企业紧跟国家战略，在智慧水利方面推出系列解决方案，应用于福建省300+座水库；在智慧教育方面与超1000所高校合作，服务1600多家政企客户，推动业务发展。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w:t>
            </w:r>
            <w:r>
              <w:rPr>
                <w:rFonts w:hint="eastAsia" w:ascii="宋体" w:hAnsi="宋体" w:cs="宋体"/>
                <w:b w:val="0"/>
                <w:bCs w:val="0"/>
                <w:snapToGrid w:val="0"/>
                <w:color w:val="000000"/>
                <w:kern w:val="0"/>
                <w:szCs w:val="21"/>
                <w:highlight w:val="none"/>
                <w:u w:val="single"/>
                <w:lang w:val="zh-CN"/>
              </w:rPr>
              <w:t xml:space="preserve"> 企业近年持续投入研发，2023-2025年研发费用分别为895万、1262万、1049万，研发人员占比高（44%-53%）。但部分子公司（如中锐教育、中锐汉鼎）处于亏损状态，对整体盈利造成一定拖累。企业核心竞争力在于数字水利和数字教育领域的自主研发与产学研合作。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根据提供的2025年资产负债表，企业“固定资产”科目数据缺失，无法分析其投资变动情况。因此，无法对2022至2025年期间的固定资产投资趋势进行量化评估。</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根据提供的2025年资产负债表，企业货币资金期末余额为286万元，较年初的506万元大幅减少43.6%，主要占用了营运资金。由于未提供2022至2024年数据，无法进行多期趋势分析。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货币资金对短期借款的保障能力持续大幅减弱，短期流动性风险显著上升。尽管流动比率逐年改善且整体负债水平呈下降趋势，但核心偿债资源的急剧萎缩构成了主要风险点。偿债能力由杠杆水平与流动性共同决定，需同步观察资产负债率和短债覆盖能力。</w:t>
            </w:r>
          </w:p>
          <w:p w14:paraId="0A792E2F">
            <w:pPr>
              <w:pStyle w:val="11"/>
              <w:rPr>
                <w:rFonts w:hint="eastAsia"/>
                <w:lang w:val="en-US" w:eastAsia="zh-CN"/>
              </w:rPr>
            </w:pPr>
            <w:r>
              <w:t xml:space="preserve">应收账款周转效率持续恶化，回款能力显著下降。存货管理波动剧烈，近期库存积压风险明显上升。运营效率需重点跟踪应收账款周转与收入扩张的匹配程度。</w:t>
            </w:r>
          </w:p>
          <w:p w14:paraId="0A792E2F">
            <w:pPr>
              <w:pStyle w:val="11"/>
              <w:rPr>
                <w:rFonts w:hint="eastAsia"/>
                <w:lang w:val="en-US" w:eastAsia="zh-CN"/>
              </w:rPr>
            </w:pPr>
            <w:r>
              <w:t xml:space="preserve">经营现金流波动剧烈且整体偏弱，呈现间歇性正负交替，表明主营业务造血能力不稳定。公司持续依赖外部融资支撑投资活动，但筹资现金流呈收缩趋势，2025年转为净流出反映融资环境趋紧。现金流结构显示企业仍处于投资扩张期，但经营现金流的脆弱性可能制约其长期可持续发展。</w:t>
            </w:r>
          </w:p>
          <w:p w14:paraId="0A792E2F">
            <w:pPr>
              <w:pStyle w:val="11"/>
              <w:rPr>
                <w:rFonts w:hint="eastAsia"/>
                <w:lang w:val="en-US" w:eastAsia="zh-CN"/>
              </w:rPr>
            </w:pPr>
            <w:r>
              <w:t xml:space="preserve">企业应收账款周转天数持续恶化，已连续三年显著高于行业风险阈值，表明其回款能力严重不足，存在较高的坏账风险。同时，货币资金对短期借款的覆盖率急剧下降至极低水平，企业短期偿债能力严重不足，面临严峻的流动性危机。尽管资产负债率呈下降趋势，但前述两项关键指标的严重恶化已构成重大风险信号。</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盈利能力：2025年，公司毛利率为38.0%，同比下降0.8个百分点，但仍处于软件和信息技术服务业30-50%的典型区间内，表明其业务模式仍保持一定的附加值。净利率为4.9%，同比提升1.2个百分点，接近行业典型区间（5-15%）下限，盈利能力的改善主要得益于费用控制或非经常性损益。营业利润率为4.8%，同比微增0.2个百分点。</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根据审计报告及财务报表：</w:t>
              <w:br/>
              <w:t>2023年：经营活动现金流入小计112072779.26元，销售商品、提供劳务收到的现金93640251.43元。</w:t>
              <w:br/>
              <w:t>2024年：经营活动现金流入小计80298955.33元，销售商品、提供劳务收到的现金48902379.43元，同比有所下降。</w:t>
              <w:br/>
              <w:t xml:space="preserve">2025年：销售商品、提供劳务收到的现金103852568.95元，较2024年显著回升。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偿债能力：2025年末，公司资产负债率为42.5%，较年初下降7.7个百分点，处于行业30-55%区间的中低位，长期偿债压力减轻。流动比率与速动比率分别为1.82倍和1.51倍，较年初均有所改善，且均处于或接近行业健康区间（流动比率1.818974657571668倍，速动比率1.5148076243424855倍），短期流动性风险可控。</w:t>
              <w:br/>
              <w:t>营运效率：应收账款周转天数为271天，同比大幅缩短117天，周转效率显著改善，但仍显著高于软件信息业90-180天的典型区间上限，这主要由于项目制验收周期较长及面向政府、大企业客户回款账期较长所致。存货周转天数为129天，同比增加49天，且远超行业30-90天的典型区间，周转速度明显恶化，与存货期末余额较年初大幅增长88.0%直接相关，该增速远超营收同比增速(+14.9%)，存在存货积压迹象。</w:t>
              <w:br/>
              <w:t>关键科目变动：2025年末应收账款7430万元，较2024年末下降19.7%；其他应收款2774万元，较2024年末下降21.2%；存货2192万元，较年初大幅增长88.0%；应付账款126万元，较2024年末下降56.0%；其他应付款168万元，较2024年末下降74.1%。材料未提供上述科目构成及变动的具体说明。</w:t>
              <w:br/>
              <w:t>现金流分析：2025年，公司经营活动净现金流为791万元，经营现金流/净利润达1.60，销售商品收现/营收为1.04，均处于健康水平，表明净利润有充足的现金保障，收入回款情况良好。然而，公司期末短期借款为4730万元，而年度经营现金流净额仅为791万元，经营现金流对短期债务的覆盖能力偏弱，短期偿债对再融资或资产变现存在一定依赖。投资活动净现金流为-586万元，筹资活动净现金流为-426万元。材料未提供2023、2024年完整的现金流量表数据。</w:t>
              <w:br/>
              <w:t>总结与还款能力挂钩：公司整体盈利改善，负债率下降，流动性比率处于安全边际。但需重点关注存货积压导致的营运资金占用增加，以及应收账款周转天数虽改善但仍处高位带来的回款压力。尤其值得注意的是，公司短期借款规模较大，而内生经营现金流对短期债务的覆盖能力有限，主要依赖债务滚动偿还，在信贷审批中需审慎评估其再融资能力与流动性管理状况。</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2025年末，公司各行贷款余额合计4440万元，其中交通银行屏东支行1000万元、海峡银行金山支行500万元、厦门国际银行台江支行640万元、兴业银行环球支行1000万元、工商银行500万元、中国银行福建省分行600万元、广发银行鼓楼支行200万元，五级分类正常。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4"/>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4"/>
            <w:r>
              <w:rPr>
                <w:rStyle w:val="CommentReference"/>
              </w:rPr>
              <w:commentReference w:id="4"/>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5"/>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5"/>
            <w:r>
              <w:rPr>
                <w:rStyle w:val="CommentReference"/>
              </w:rPr>
              <w:commentReference w:id="5"/>
            </w:r>
          </w:p>
          <w:p w14:paraId="4355488A">
            <w:commentRangeStart w:id="6"/>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6"/>
            <w:r>
              <w:rPr>
                <w:rStyle w:val="CommentReference"/>
              </w:rPr>
              <w:commentReference w:id="6"/>
            </w:r>
          </w:p>
          <w:p w14:paraId="0BD0E5B0">
            <w:commentRangeStart w:i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2.实控人个人征信信息：截至2025年7月23日，查询信用报告，黄祖海名下有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有1笔，承担共同还款责任账户有0笔，余额1000万元，为[待补充]担保。根据预警规则的后台计算，客户近5年贷款累计逾期期数为1期，其中逾期金额小于等于500元的期数为0；客户近5年贷款连续逾期期数为1期，其中连续逾期小于等于500元的期数为0，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7"/>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康恩慧，中国国籍，福建福州人，1978年生。材料未提供个人征信信息。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企业研发投入持续，2023-2025年研发费用占营收比例分别为7.4%、14.5%、10.5%，研发人员占比44%-53%，拥有智慧水利平台等自主研发成果，并获得省级科技奖项，符合科技型企业特征。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材料未提供科技型企业类型及评分信息。核心研发人员享有股权激励。近三年研发投入占比分别为7.4%（2023年）、14.5%（2024年）、10.5%（2025年）；研发人员占比分别为44%（2023年）、49%（2024年）、53%（2025年）。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材料未提供企业在我行综合效益相关数据。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791万元，且账上拥有货币资金286万元，但因对上游账款采用预付款和账期款方式、下游货款回笼较慢（应收账款周转天数271天），且存货较年初大幅增加88.0%至2192万元，对营运资金需求较大，故需申请部分贷款用于补充流动资金。</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8"/>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8"/>
            <w:r>
              <w:rPr>
                <w:rStyle w:val="CommentReference"/>
              </w:rPr>
              <w:commentReference w:id="8"/>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9"/>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9"/>
            <w:r>
              <w:rPr>
                <w:rStyle w:val="CommentReference"/>
              </w:rPr>
              <w:commentReference w:id="9"/>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①</w:t>
            </w:r>
            <w:r>
              <w:rPr>
                <w:rFonts w:hint="eastAsia" w:ascii="宋体" w:hAnsi="宋体" w:cs="宋体"/>
                <w:bCs/>
                <w:snapToGrid w:val="0"/>
                <w:kern w:val="0"/>
                <w:sz w:val="21"/>
                <w:szCs w:val="21"/>
                <w:highlight w:val="none"/>
                <w:u w:val="none"/>
                <w:lang w:eastAsia="zh-CN"/>
              </w:rPr>
              <w:t>第一还款来源（经营性现金流分析）：</w:t>
            </w:r>
            <w:r>
              <w:rPr>
                <w:rFonts w:hint="eastAsia" w:ascii="宋体" w:hAnsi="宋体" w:cs="宋体"/>
                <w:bCs/>
                <w:snapToGrid w:val="0"/>
                <w:kern w:val="0"/>
                <w:sz w:val="21"/>
                <w:szCs w:val="21"/>
                <w:highlight w:val="none"/>
                <w:u w:val="single"/>
                <w:lang w:val="en-US" w:eastAsia="zh-CN"/>
              </w:rPr>
              <w:t xml:space="preserve"> 第一还款来源主要依赖企业经营性现金流。企业2025年销售商品、提供劳务收到现金约10385万元，显示主营业务回款能力。下游客户包括涵江水利局、福建省翔远电子科技等，回款采用预收款和账期方式，有助于现金流管理。但需关注部分子公司亏损对集团整体现金流的影响。 </w:t>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第二还款来源方面，企业实际控制人黄祖海及其配偶康恩慧名下拥有私有房产（仓山区上渡街道通江路17号江南水都·杰座，面积143.45㎡），可作为潜在抵质押物。此外，企业关联方（如黄祖海、陈其俤、中锐汉鼎等）为现有银行融资提供了连带责任保证，增强了第二还款来源保障。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企业2025年经营活动净现金流791万元，净利润494万元，经营现金流/净利润比值1.60，销售商品收现/营收比值1.04，现金流质量健康，对利息及到期债务具备一定覆盖能力。营业收入10010万元，同比增长14.9%；净利润494万元，同比增长50.1%，盈利能力改善。毛利率38.0%，净利率4.9%，净利率低于软件信息业5-15%典型区间，主要由于研发及管理费用占比较高。营业利润率4.8%，同比微增0.2个百分点。应收账款周转天数387.6天，较上年改善117天，但仍显著高于行业90-180天典型区间，主要由于项目验收周期长及下游客户分期结算。存货周转天数79.8天，较上年增加49天，且高于行业30-90天典型区间，存货期末值2192万元较年初增长88.0%，存在积压迹象。资产负债率42.5%，较年初下降7.7个百分点；流动比率1.82倍，速动比率1.51倍，均处于行业合理区间，短期偿债能力尚可。企业短期借款4730万元，年经营现金流791万元，需关注短期债务滚动偿还压力。应付账款1026万元，较年初大幅下降56.0%，减轻了部分流动负债压力。货币资金286万元，较年初下降43.6%，期末现金储备偏紧，进一步凸显了对经营现金流及债务滚动的依赖。企业主要下游客户为政府及国企单位，结算方式为分期，与应收周转较慢特征相符。</w:t>
              <w:br/>
              <w:br/>
              <w:t>第二还款来源方面，本笔授信由黄祖海、陈其俤、福州市融资担保有限公司、福建恒运投资合伙企业（有限合伙）、中锐汉鼎提供保证担保。借款人关联企业包括福建中锐汉鼎信息技术有限公司等5家，其中4家上年净利润为负，担保代偿能力普遍较弱。材料未提供抵押物评估价值。</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0"/>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0"/>
            <w:r>
              <w:rPr>
                <w:rStyle w:val="CommentReference"/>
              </w:rPr>
              <w:commentReference w:id="10"/>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抵押物为仓山区上渡街道通江路17号江南水都·杰座，权属证号榕 房权证 R 字第 0838000 号，类型为私有房产，建筑面积143.45平方米，所有权人为康恩慧、黄祖海。材料未提供抵押物账面价值、评估价值及当前抵押状态。</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 存货较年初+88.0%,远超营收较年初增速+14.9%,存货积压信号</w:t>
              <w:br/>
              <w:t>- 短期借款4730万,年经营现金流仅791万,短贷需滚动偿还</w:t>
              <w:br/>
              <w:br/>
              <w:t>归因模板(LLM 撰写财务段时使用):</w:t>
              <w:br/>
              <w:t xml:space="preserve">  若指标超出行业区间,须在财务分析中明确标注</w:t>
              <w:br/>
              <w:t xml:space="preserve">  例:『应收周转天数271天,显著高于软件信息业90-180天典型区间,主要由于项目验收周期较长+政府客户回款账期较长』</w:t>
              <w:br/>
              <w:br/>
              <w:t>①保证人基本信息：保证人包括福建中锐汉鼎信息技术有限公司、福建中锐教育科技有限公司、北京中锐青云科技有限公司、厦门中锐软件科技有限公司、中锐海沃水利技术(福建)有限公司。</w:t>
              <w:br/>
              <w:t>②保证人化型及对公PD X级：材料未提供保证人化型及对公PD等级。</w:t>
              <w:br/>
              <w:t>③保证人主要经营情况：福建中锐汉鼎信息技术有限公司成立于2018年1月11日，注册资本1000万元，主营智慧水利，上年营收8712万元，净利润329万元。福建中锐教育科技有限公司成立于2022年6月28日，注册资本1000万元，主营智慧教育，上年营收8712万元，净利润329万元。北京中锐青云科技有限公司成立于2020年9月23日，注册资本1000万元，主营产教融合创新服务，上年营收8712万元，净利润329万元。厦门中锐软件科技有限公司成立于2016年12月19日，注册资本1200万元，主营软硬件销售，上年营收8712万元，净利润329万元。中锐海沃水利技术(福建)有限公司成立于2018年1月10日，注册资本1000万元，主营智慧水利，上年营收8712万元，净利润329万元。</w:t>
              <w:br/>
              <w:t>④保证人征信信息：材料未提供保证人征信信息。</w:t>
              <w:br/>
              <w:t>⑤主要财务指标：材料未提供保证人主要财务指标。</w:t>
              <w:br/>
              <w:t>⑥其他：材料未提供保证人风险信息及涉诉情况。</w:t>
              <w:br/>
              <w:t>⑦主担保人（母公司）财务能力分析：本笔贷款的主要担保方为上述保证人的控股母公司福建中锐网络股份有限公司。其单体报表显示，2025年公司营业收入同比+14.9%至10010万元，净利润同比大幅增长+50.1%至494万元，盈利能力有所改善。偿债能力方面，资产负债率较年初下降7.7个百分点至42.5%，流动比率与速动比率分别较年初提升至1.82倍和1.51倍，均处于行业健康区间，短期偿债压力有所缓解。营运效率呈现分化：应收账款周转天数同比大幅缩短117天至271天，回款管理改善；但存货周转天数同比增加49天至129天，显著高于软件信息业30-90天的典型区间，主要由于定制化项目未验收沉淀为存货，存在一定积压风险。现金流方面，经营活动净现金流为791万元，经营现金流/净利润达1.60，净利润现金保障倍数健康。综合来看，母公司整体财务结构稳健，盈利与偿债指标改善，但需关注存货积压对流动性的占用以及短期借款（4730万元）的滚动偿还压力。其作为保证人，具备一定的代偿能力基础。</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材料未提供我行内部审批结论及担保公司最新担保情况。</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企业2025年营业收入10010万元，同比增长14.9%，净利润494万元，同比增长50.1%。经营活动净现金流791万元，经营现金流/净利润为1.60，销售收现比为1.04，现金流质量健康，能有效覆盖短期借款利息。资产负债率42.5%，处于软件信息业30-55%的合理区间，流动比率1.82倍、速动比率1.51倍，短期偿债能力尚可。但应收账款周转天数271天，显著高于行业90-180天典型区间，主要由于项目制验收周期长及政府客户回款账期较长；存货周转天数129天，亦高于行业30-90天区间，存货较年初增长88.0%，存在一定积压。企业为存量客户，现有银行授信总额5640万元，已用4440万元，担保方式主要为个人及关联企业保证。材料未提供本次申报授信的具体方案。</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现金流：借款人2025年经营活动净现金流791万元，经营现金流/净利润为1.60，销售商品收现/营收为1.04，现金流质量健康。公司短期借款4730万元，年经营现金流791万元，需关注短贷滚动偿还压力。</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资产负债率42.5%，较年初下降7.7个百分点，处于软件信息业30-55%的典型区间，主要因负债总额下降及权益增长所致；流动比率1.82倍，速动比率1.51倍，均处于行业健康区间（流动比率1.5-2.5倍，速动比率1.2-2.0倍），偿债能力指标处于改善区间。</w:t>
            </w:r>
            <w:r>
              <w:rPr>
                <w:rFonts w:hint="eastAsia" w:ascii="宋体" w:hAnsi="宋体" w:eastAsia="宋体" w:cs="宋体"/>
                <w:snapToGrid w:val="0"/>
                <w:kern w:val="0"/>
                <w:szCs w:val="21"/>
                <w:highlight w:val="none"/>
                <w:u w:val="single"/>
                <w:lang w:val="en-US" w:eastAsia="zh-CN"/>
              </w:rPr>
            </w:r>
          </w:p>
          <w:p w14:paraId="1882DF71">
            <w:commentRangeStart w:id="1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智慧水利、智慧教育，研发投入力度较大，研发人员占比较高，并荣获“2022年度福建省科技进步奖二等奖、水利科学技术奖一等奖”，技术储备与研发能力较强，有助于维持其在智慧水利等领域的竞争优势，为未来收入增长和盈利改善提供支撑，进而增强长期还款能力。垒小户：借款人现有授信合计5640万元，已用4440万元。配结算：结算情况待补充。</w:t>
            </w:r>
            <w:r>
              <w:rPr>
                <w:rFonts w:hint="eastAsia" w:ascii="宋体" w:hAnsi="宋体" w:eastAsia="宋体" w:cs="宋体"/>
                <w:snapToGrid w:val="0"/>
                <w:kern w:val="0"/>
                <w:szCs w:val="21"/>
                <w:highlight w:val="none"/>
                <w:u w:val="single"/>
                <w:lang w:val="en-US" w:eastAsia="zh-CN"/>
              </w:rPr>
            </w:r>
            <w:commentRangeEnd w:id="11"/>
            <w:r>
              <w:rPr>
                <w:rStyle w:val="CommentReference"/>
              </w:rPr>
              <w:commentReference w:id="11"/>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强担保：借款人可抵押资产为仓山区上渡街道通江路17号江南水都·杰座。</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2"/>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2"/>
            <w:r>
              <w:rPr>
                <w:rStyle w:val="CommentReference"/>
              </w:rPr>
              <w:commentReference w:id="12"/>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6AC425A6">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4"/>
            <w:r>
              <w:rPr>
                <w:rStyle w:val="CommentReference"/>
              </w:rPr>
              <w:commentReference w:id="14"/>
            </w:r>
          </w:p>
          <w:p w14:paraId="2FC82B07">
            <w:commentRangeStart w:id="15"/>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269107E9">
            <w:commentRangeStart w:id="16"/>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3096CC3B">
            <w:commentRangeStart w:id="17"/>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commentRangeStart w:id="18"/>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8"/>
            <w:r>
              <w:rPr>
                <w:rStyle w:val="CommentReference"/>
              </w:rPr>
              <w:commentReference w:id="18"/>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7:11:51Z" w:initials="Agent">
    <w:p>
      <w:r>
        <w:rPr>
          <w:rStyle w:val="CommentReference"/>
        </w:rPr>
        <w:annotationRef/>
      </w:r>
      <w:r>
        <w:t xml:space="preserve">该处“申报单位”仍为空白，请人工确认。</w:t>
      </w:r>
    </w:p>
  </w:comment>
  <w:comment w:id="1" w:author="信贷报告 Agent" w:date="2026-04-14T17:11:51Z" w:initials="Agent">
    <w:p>
      <w:r>
        <w:rPr>
          <w:rStyle w:val="CommentReference"/>
        </w:rPr>
        <w:annotationRef/>
      </w:r>
      <w:r>
        <w:t xml:space="preserve">该处“小类）”仍为空白，请人工确认。</w:t>
      </w:r>
    </w:p>
  </w:comment>
  <w:comment w:id="2" w:author="信贷报告 Agent" w:date="2026-04-14T17:11:51Z" w:initials="Agent">
    <w:p>
      <w:r>
        <w:rPr>
          <w:rStyle w:val="CommentReference"/>
        </w:rPr>
        <w:annotationRef/>
      </w:r>
      <w:r>
        <w:t xml:space="preserve">该处“绿通标识”仍为空白，请人工确认。</w:t>
      </w:r>
    </w:p>
  </w:comment>
  <w:comment w:id="3" w:author="信贷报告 Agent" w:date="2026-04-14T17:11:51Z" w:initials="Agent">
    <w:p>
      <w:r>
        <w:rPr>
          <w:rStyle w:val="CommentReference"/>
        </w:rPr>
        <w:annotationRef/>
      </w:r>
      <w:r>
        <w:t xml:space="preserve">该处“分析原因”仍为空白，请人工确认。</w:t>
      </w:r>
    </w:p>
  </w:comment>
  <w:comment w:id="4" w:author="信贷报告 Agent" w:date="2026-04-14T17:11:51Z" w:initials="Agent">
    <w:p>
      <w:r>
        <w:rPr>
          <w:rStyle w:val="CommentReference"/>
        </w:rPr>
        <w:annotationRef/>
      </w:r>
      <w:r>
        <w:t xml:space="preserve">该处“反馈中长期借款还款计划及还款资金安排情况”仍为空白，请人工确认。</w:t>
      </w:r>
    </w:p>
  </w:comment>
  <w:comment w:id="5" w:author="信贷报告 Agent" w:date="2026-04-14T17:11:51Z" w:initials="Agent">
    <w:p>
      <w:r>
        <w:rPr>
          <w:rStyle w:val="CommentReference"/>
        </w:rPr>
        <w:annotationRef/>
      </w:r>
      <w:r>
        <w:t xml:space="preserve">该处“（若有）对外担保情况”仍为空白，请人工确认。</w:t>
      </w:r>
    </w:p>
  </w:comment>
  <w:comment w:id="6" w:author="信贷报告 Agent" w:date="2026-04-14T17:11:51Z" w:initials="Agent">
    <w:p>
      <w:r>
        <w:rPr>
          <w:rStyle w:val="CommentReference"/>
        </w:rPr>
        <w:annotationRef/>
      </w:r>
      <w:r>
        <w:t xml:space="preserve">该处“（若有）不良记录情况”仍为空白，请人工确认。</w:t>
      </w:r>
    </w:p>
  </w:comment>
  <w:comment w:id="7" w:author="信贷报告 Agent" w:date="2026-04-14T17:11:51Z" w:initials="Agent">
    <w:p>
      <w:r>
        <w:rPr>
          <w:rStyle w:val="CommentReference"/>
        </w:rPr>
        <w:annotationRef/>
      </w:r>
      <w:r>
        <w:t xml:space="preserve">该处“为中行个人经营贷款，经营主体为”仍为模板占位符，请人工核实。</w:t>
      </w:r>
    </w:p>
  </w:comment>
  <w:comment w:id="8" w:author="信贷报告 Agent" w:date="2026-04-14T17:11:51Z" w:initials="Agent">
    <w:p>
      <w:r>
        <w:rPr>
          <w:rStyle w:val="CommentReference"/>
        </w:rPr>
        <w:annotationRef/>
      </w:r>
      <w:r>
        <w:t xml:space="preserve">该处“请补充分析原因”仍为空白，请人工确认。</w:t>
      </w:r>
    </w:p>
  </w:comment>
  <w:comment w:id="9" w:author="信贷报告 Agent" w:date="2026-04-14T17:11:51Z" w:initials="Agent">
    <w:p>
      <w:r>
        <w:rPr>
          <w:rStyle w:val="CommentReference"/>
        </w:rPr>
        <w:annotationRef/>
      </w:r>
      <w:r>
        <w:t xml:space="preserve">该处“请补充说明”仍为空白，请人工确认。</w:t>
      </w:r>
    </w:p>
  </w:comment>
  <w:comment w:id="10" w:author="信贷报告 Agent" w:date="2026-04-14T17:11:51Z" w:initials="Agent">
    <w:p>
      <w:r>
        <w:rPr>
          <w:rStyle w:val="CommentReference"/>
        </w:rPr>
        <w:annotationRef/>
      </w:r>
      <w:r>
        <w:t xml:space="preserve">该处“变动原因”仍为空白，请人工确认。</w:t>
      </w:r>
    </w:p>
  </w:comment>
  <w:comment w:id="11" w:author="信贷报告 Agent" w:date="2026-04-14T17:11:51Z" w:initials="Agent">
    <w:p>
      <w:r>
        <w:rPr>
          <w:rStyle w:val="CommentReference"/>
        </w:rPr>
        <w:annotationRef/>
      </w:r>
      <w:r>
        <w:t xml:space="preserve">该处“可持续：借款人主营智慧水利、智慧教育，研发投入力度较大，研发”仍为待补充，请人工补充。</w:t>
      </w:r>
    </w:p>
  </w:comment>
  <w:comment w:id="12" w:author="信贷报告 Agent" w:date="2026-04-14T17:11:51Z" w:initials="Agent">
    <w:p>
      <w:r>
        <w:rPr>
          <w:rStyle w:val="CommentReference"/>
        </w:rPr>
        <w:annotationRef/>
      </w:r>
      <w:r>
        <w:t xml:space="preserve">该处“予借款人授信敞口1000万元，”仍为模板占位符，请人工核实。</w:t>
      </w:r>
    </w:p>
  </w:comment>
  <w:comment w:id="13" w:author="信贷报告 Agent" w:date="2026-04-14T17:11:51Z" w:initials="Agent">
    <w:p>
      <w:r>
        <w:rPr>
          <w:rStyle w:val="CommentReference"/>
        </w:rPr>
        <w:annotationRef/>
      </w:r>
      <w:r>
        <w:t xml:space="preserve">该处“客户经理”仍为空白，请人工确认。</w:t>
      </w:r>
    </w:p>
  </w:comment>
  <w:comment w:id="14" w:author="信贷报告 Agent" w:date="2026-04-14T17:11:51Z" w:initials="Agent">
    <w:p>
      <w:r>
        <w:rPr>
          <w:rStyle w:val="CommentReference"/>
        </w:rPr>
        <w:annotationRef/>
      </w:r>
      <w:r>
        <w:t xml:space="preserve">该处“共同调查人”仍为空白，请人工确认。</w:t>
      </w:r>
    </w:p>
  </w:comment>
  <w:comment w:id="15" w:author="信贷报告 Agent" w:date="2026-04-14T17:11:51Z" w:initials="Agent">
    <w:p>
      <w:r>
        <w:rPr>
          <w:rStyle w:val="CommentReference"/>
        </w:rPr>
        <w:annotationRef/>
      </w:r>
      <w:r>
        <w:t xml:space="preserve">该处“二级支行行长”仍为空白，请人工确认。</w:t>
      </w:r>
    </w:p>
  </w:comment>
  <w:comment w:id="16" w:author="信贷报告 Agent" w:date="2026-04-14T17:11:51Z" w:initials="Agent">
    <w:p>
      <w:r>
        <w:rPr>
          <w:rStyle w:val="CommentReference"/>
        </w:rPr>
        <w:annotationRef/>
      </w:r>
      <w:r>
        <w:t xml:space="preserve">该处“分管行长”仍为空白，请人工确认。</w:t>
      </w:r>
    </w:p>
  </w:comment>
  <w:comment w:id="17" w:author="信贷报告 Agent" w:date="2026-04-14T17:11:51Z" w:initials="Agent">
    <w:p>
      <w:r>
        <w:rPr>
          <w:rStyle w:val="CommentReference"/>
        </w:rPr>
        <w:annotationRef/>
      </w:r>
      <w:r>
        <w:t xml:space="preserve">该处“行长”仍为空白，请人工确认。</w:t>
      </w:r>
    </w:p>
  </w:comment>
  <w:comment w:id="18" w:author="信贷报告 Agent" w:date="2026-04-14T17:11:51Z" w:initials="Agent">
    <w:p>
      <w:r>
        <w:rPr>
          <w:rStyle w:val="CommentReference"/>
        </w:rPr>
        <w:annotationRef/>
      </w:r>
      <w:r>
        <w:t xml:space="preserve">该处“审查员”仍为空白，请人工确认。</w:t>
      </w:r>
    </w:p>
  </w:comment>
  <w:comment w:id="19" w:author="信贷报告 Agent" w:date="2026-04-14T17:11:51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