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申报单位：客户经理：联系电话：</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16956万元；上年度销售额 10010万元；上年度末员工人数 73 人</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大学国家大学科技园8号楼5层。经营地为租用办公楼，租用总面积2523平，年租金115万。实际主营业务为软件开发、系统集成及信息技术服务。上年度末社保人数69人；注册资本：4100万元、实收资本：4100万元；法定代表人：黄祖海，1975年出生，本科学历，长期从事信息技术行业。股权穿透后实际控制人持股比例：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材料中未提及近两年企业股权变动情况。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材料未提供面访时间及双方会面人员。实控人黄祖海拥有湖南大学电子商务专业本科学历，自2000年起长期从事网络技术行业，曾任福建星网锐捷网络有限公司技术部总经理，行业经验丰富。</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投资机构</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融资阶段</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投后估值</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自2017年以来，我行与借款人建立授信合作关系，近三年分别给予其500、400、500万授信敞口。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2026 年 1 月 2026年01月 日，经531系统查询，借款人 2026 年 1 月   日提贷 200万元，到期日 2027 年 1 月   日，贷款采取自主支付方式发放，通过调取借款人账户流水，1. 200万元向 广发银行鼓楼支行 有限公司支付 广发银行鼓楼支行 货款（已提供发票）；2. 200万元转至工行同户名账户，穿透查看用于向 锐捷网络股份有限公司 个人支付采购竹刨花原料款 943万元，其余用于支付税款；3.XX万元元转至农行同户名账户(基本户），用于向37个员工支付工资款。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黄色预警提示法定代表人黄祖海目前信用卡存在逾期。综合评判，未对借款人造成实质性风险。</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3"/>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3"/>
            <w:r>
              <w:rPr>
                <w:rStyle w:val="CommentReference"/>
              </w:rPr>
              <w:commentReference w:id="3"/>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实控人：黄祖海，中国国籍，福建福州人，湖南大学电子商务专业本科学历。行业工作经历：2000年5月至2001年12月，福建实达网络科技有限公司技术工程师；2002年1月至2003年1月，福建实达网络科技有限公司技术经理；2003年1月至2011年12月，福建星网锐捷网络有限公司技术部总经理；2012年1月至2016年3月，福建中锐网络科技有限公司法定代表人、执行董事兼总经理；2016年3月至今，福建中锐网络股份有限公司董事长兼总裁。配偶康恩慧（身份证号：352101197802182324）。家庭主要资产为仓山区上渡街道通江路17号江南水都·杰座房产。</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关联企业关系：借款人福建中锐网络股份有限公司下属5家全资或控股子公司。</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关联企业主要为拓展智慧水利、智慧教育等细分领域设立，总体经营规模有限。其中，福建中锐汉鼎信息技术有限公司主营智慧水利，上年收入1223万元，净亏损682万元；福建中锐教育科技有限公司主营智慧教育，上年收入21万元，净亏损1275万元；北京中锐青云科技有限公司主营产教融合，上年收入204万元，净利润329万元；厦门中锐软件科技有限公司主营软硬件销售，上年收入7万元，净亏损13万元；中锐海沃水利技术(福建)有限公司主营智慧水利，上年无主营业务收入，净利润8712万元。关联企业整体处于投入期，对借款人盈利贡献有限。</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材料未提供集团合并财务数据。</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业务为智慧水利与智慧教育。智慧水利业务提供涵盖水灾害、水工程、水资源、水生态水环境、水监督、水政务等六大重点应用的解决方案；智慧教育业务聚焦网络、人工智能、智慧行业领域，提供数字人才培养解决方案。材料未提供主营芯片设计、芯片制程及具体产品应用信息。</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主营智慧水利与智慧教育，其中智慧水利平台解决方案已应用于福建省300余座水库，智慧教育业务与全国超1000所高校及科研院所建立产学研合作。企业研发投入持续，2025年研发费用1049万元，占营收10.5%，研发人员占比53%。收入结构为水利46%、教育54%。上游结算享有较优信用账期，下游采用预收款与账期结合方式。</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产品生产、销量及生产工艺流程相关信息。2025年公司实现营业收入10010万元，同比增长14.9%。收入结构以智慧教育（54%）和智慧水利（46%）为主。前五大客户销售额合计3562万元，主要客户包括涵江水利局（1116万元，智慧水利）、福建省翔远电子科技有限公司（1122万元，软硬件销售）等。</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4.上下游情况：企业上游为中芯国际等。下游客户有中电二十七所、中电五十四所、中电西安乾景防务、中国兵器工业导航与控制技术研究所等，客户资质较强，均为国有大型企业、院所。</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经营账期与周转效率：企业总体营运资金周转效率偏慢，应收账款周转天数同比缩短271天至271天，但仍显著高于软件信息业90-180天典型区间，主要由于项目验收周期较长及下游客户回款账期较长。存货周转天数同比延长129天至129天，高于行业30-90天典型区间，存货较年初增长88.0%，存在积压信号。较长的应收和存货周转天数占用了大量营运资金，导致企业短期偿债对经营现金流的依赖度较高，结合短期借款4730万元与年经营现金流791万元的情况，需关注其短期债务的滚动偿还能力。</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材料未提供最新在手订单列表。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下滑趋势在2025年得到扭转并恢复增长，同时毛利率在经历波动后于近两年稳定在较高水平，显示盈利能力的改善与巩固。毛利率标准差处于可控范围，表明盈利质量趋于稳定。收入、毛利与净利润需联动分析，重点关注利润兑现与毛利波动是否匹配。</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材料未提供财务真实性验证相关材料。借款人近三年及最近一期财务数据如下：2025年末总资产16956万元，较年初下降8.7%；总负债7207万元，较年初下降22.7%；资产负债率较年初下降42.5个百分点至42.5%，处于软件信息业30-55%的典型区间。营业收入10010万元，同比增长14.9%；净利润494万元，同比增长50.1%；净利率同比上升4.9个百分点至4.9%，盈利能力改善。流动比率1.82倍，速动比率1.51倍，偿债能力指标均较年初提升。</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（1）应收账款7430万元，较年初下降19.7%，主要由于回款改善，周转天数同比缩短117天至271天，但仍显著高于软件信息业90-180天典型区间，主要由于项目验收周期较长。（2）其他应收款2774万元，较年初下降21.2%。</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9253万元，主要构成及趋势变动情况： 2025年末应收账款为7430万元，较2024年末的9253万元下降19.7%，回款情况有所改善。但该科目近三年持续快速增长，2023年及2024年同比增幅分别为44.1%和45.6%，资产占用仍处高位。</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3522万元，主要构成及趋势变动情况： 2025年末其他应收款为2774万元，较2024年末的3522万元下降21.2%，呈回落趋势。该科目在2023年曾大幅增长至3621万元，目前余额仍显著高于2022年末的1432万元。</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 0万元，主要构成及趋势变动情况： 企业存货在2025年末为2192万元，较2024年末的1166万元大幅增长88.0%，结束了自2022年（5301万元）以来的连续下降趋势。结合资产负债表，存货占总流动资产（13110万元）的比重约为16.7%，需关注其快速回升的具体构成及合理性。</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长期投资期末余额3123万元，较年初2518万元增长605万元，增幅达24.0%。该科目自2022年以来呈持续增长态势，近三年累计增长近一倍，但财务报表材料中未披露其具体构成及变动原因。</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0万元，主要构成及趋势变动情况： 应付账款期末余额为1026万元，较2024年末的2333万元大幅下降56.0%，降幅显著。结合资产负债表，其减少可能与公司支付前期采购款或调整供应商结算政策有关，但具体原因需企业进一步说明。</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0万元，主要构成及趋势变动情况： 其他应付款期末余额为168万元，较2024年末的648万元大幅下降480万元，降幅达74.1%。该科目余额已回落至接近2023年185万元的水平，显示企业对外部非经营性往来款项的偿付压力显著减轻。</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企业主营业务为智慧水利与智慧教育。根据材料，2025年营收为1010万元，但未提供前两年营收数据，无法直接计算变动。从下游客户看，主要客户为水利局、电子科技公司等，业务结构稳定。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材料未提供最近三年的具体利润数据，无法分析盈利能力变动。关联企业中，福建中锐汉鼎信息技术有限公司上年净利润-682万元，福建中锐教育科技有限公司上年净利润-1275万元，显示部分关联业务处于亏损状态，可能对整体盈利能力造成一定拖累。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根据提供的资产负债表，2025年末“固定资产”科目数据缺失，无法分析其变动情况。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根据提供的2025年资产负债表，企业存货期末余额为2192万元，较年初的1166万元大幅增长87.9%，变动显著。由于材料中未提供其他变动较大财务指标的具体数据，无法进行进一步分析。</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大幅削弱。尽管流动比率有所改善且资产负债率呈下降趋势，但核心流动性指标的急剧恶化表明企业面临严峻的即时支付风险。偿债能力由杠杆水平与流动性共同决定，需同步观察资产负债率和短债覆盖能力。</w:t>
            </w:r>
          </w:p>
          <w:p w14:paraId="0A792E2F">
            <w:pPr>
              <w:pStyle w:val="11"/>
              <w:rPr>
                <w:rFonts w:hint="eastAsia"/>
                <w:lang w:val="en-US" w:eastAsia="zh-CN"/>
              </w:rPr>
            </w:pPr>
            <w:r>
              <w:t xml:space="preserve">应收账款回收效率持续恶化，周转天数大幅攀升且波动剧烈，显示回款能力显著下降。存货管理在连续两年大幅削减后于2025年急剧反弹，库存水平波动异常，可能影响运营稳定性。运营效率需重点跟踪应收账款周转与收入扩张的匹配程度。</w:t>
            </w:r>
          </w:p>
          <w:p w14:paraId="0A792E2F">
            <w:pPr>
              <w:pStyle w:val="11"/>
              <w:rPr>
                <w:rFonts w:hint="eastAsia"/>
                <w:lang w:val="en-US" w:eastAsia="zh-CN"/>
              </w:rPr>
            </w:pPr>
            <w:r>
              <w:t xml:space="preserve">经营现金流波动剧烈且整体偏弱，呈现间歇性净流入状态，表明主营业务造血能力不稳定。公司持续依赖外部融资支持投资活动，但筹资活动净流入呈收缩趋势，2025年转为净流出，显示融资环境趋紧或偿债压力上升。整体现金流结构显示企业仍处于投资扩张期，但自身经营造血能力不足，对融资依赖度较高。</w:t>
            </w:r>
          </w:p>
          <w:p w14:paraId="0A792E2F">
            <w:pPr>
              <w:pStyle w:val="11"/>
              <w:rPr>
                <w:rFonts w:hint="eastAsia"/>
                <w:lang w:val="en-US" w:eastAsia="zh-CN"/>
              </w:rPr>
            </w:pPr>
            <w:r>
              <w:t xml:space="preserve">应收账款周转天数持续恶化，已显著超过风险阈值，表明客户回款能力严重不足，信用风险高企。货币资金对短期借款的覆盖率已降至极低水平，远低于安全阈值，企业面临严峻的短期偿债压力。尽管资产负债率呈下降趋势且未触发阈值，但已无法掩盖其因营运效率低下和流动性枯竭所引发的整体信用状况恶化。</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3）存货2192万元，较年初大幅增长88.0%，远超营收增速，存货积压信号明显，周转天数较年初延长49天至129天，高于软件信息业30-90天典型区间。（4）材料未提供长期投资数据。（5）应付账款1026万元，较年初下降56.0%。（6）其他应付款168万元，较年初下降74.1%。（7）材料未提供主营业务收入变动原因。（8）材料未提供盈利能力变动原因。（9）材料未提供固定资产投资变动情况。（10）材料未提供其他变动较大的财务指标说明。</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  根据审计报告及财务报表：</w:t>
              <w:br/>
              <w:t>2023年经营活动现金流量：销售商品、提供劳务收到的现金为93640251.43元（约9364万元）。</w:t>
              <w:br/>
              <w:t>2024年经营活动现金流量：销售商品、提供劳务收到的现金为48902379.43元（约4890万元），较2023年下降明显。</w:t>
              <w:br/>
              <w:t>2025年经营活动现金流量：销售商品、提供劳务收到的现金为103852568.95元（约10385万元），较2024年大幅回升。</w:t>
              <w:br/>
              <w:t xml:space="preserve">总体看，经营活动现金流波动较大，2024年收款减少，2025年恢复增长。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2025年经营活动净现金流791万元，为净利润的1.60倍，现金流质量健康；投资活动净流出586万元；筹资活动净流出426万元。短期借款4730万元，需依赖经营现金流滚动偿还。</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公司各行贷款余额合计4440万元，其中交通银行屏东支行1000万元、海峡银行金山支行500万元、厦门国际银行台江支行640万元、兴业银行环球支行1000万元、工商银行500万元、中国银行福建省分行600万元、广发银行鼓楼支行200万元，五级分类正常。材料未提供中长期借款还款计划及还款资金安排情况。材料未提供对外担保情况。材料未提供不良记录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材料中所有融资清单均为流动资金贷款，未提及中长期借款，故无相关信息。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4"/>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4"/>
            <w:r>
              <w:rPr>
                <w:rStyle w:val="CommentReference"/>
              </w:rPr>
              <w:commentReference w:id="4"/>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材料中未提及借款人有不良信用记录。 </w:t>
            </w:r>
          </w:p>
          <w:p w14:paraId="0BD0E5B0">
            <w:commentRangeStart w:i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信用报告，黄祖海名下有未结清贷款账户1笔，余额1000万元，为中行个人经营贷款，经营主体为某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某有限公司担保。根据预警规则的后台计算，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5"/>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材料未提供实控人配偶籍贯、出生年份及个人征信信息。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材料未提供科技型企业评分数据。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科技型企业类型：科技型中小企业。核心研发人员享有股权激励。近三年研发投入占比分别为7.4%、14.5%、10.5%，研发人员占比分别为44%、49%、53%。</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材料未提供企业在我行综合效益相关数据。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791万元，但账上货币资金为286万元。因对上游账款采用预付款和账期款方式结算，下游货款回笼较慢，应收账款周转天数达271天，且存货较年初大幅增长88.0%，对营运资金需求较大，故需申请贷款用于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材料未提及申请中期流动资金贷款。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材料未提供营运资金需求测算过程及结果。</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材料未提供测算过程及数据调整说明。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第一还款来源主要依赖企业经营性现金流。企业2025年销售商品、提供劳务收到现金约10385万元，显示主营业务回款能力尚可。但需关注其现金流波动性及关联企业亏损对整体现金流的潜在影响。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方面，材料中仅列示一项可抵押资产（康恩慧、黄祖海共有的私有房产），但未提供评估价及抵押状态。其他担保方式主要为实际控制人黄祖海、陈其俤及关联企业（如中锐汉鼎）提供保证担保。抵质押物变现能力取决于房产市场价值及流动性。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企业2025年实现营业收入10010万元，同比增长14.9%；净利润494万元，同比增长50.1%。经营活动净现金流791万元，经营现金流/净利润为1.60，销售商品收现/营收为1.04，现金流质量健康。盈利能力改善，净利率由2024年的3.8%上升至2025年的4.9%，毛利率38.0%处于软件信息业30-50%典型区间。偿债能力改善，资产负债率由2024年末的42.50%下降至2025年末的42.5%，流动比率1.82倍、速动比率1.51倍均处于行业合理区间。营运效率方面，应收账款周转天数271天，显著高于软件信息业90-180天典型区间，主要由于项目验收周期较长及政府客户回款账期较长，但同比缩短117天，回款有所改善；存货周转天数129天，高于行业30-90天区间，且同比延长49天，存货较年初增长88.0%至2192万元，存在积压信号。企业短期借款4730万元，年经营现金流791万元，需关注短期债务滚动偿还压力。总体来看，企业盈利与经营现金流能够覆盖日常经营与部分债务周转，但短期偿债对再融资存在一定依赖。</w:t>
              <w:br/>
              <w:br/>
              <w:t>②第二还款来源（抵质押物变现能力分析及其他渠道现金流分析）：材料未提供抵质押物评估价值。</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6"/>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6"/>
            <w:r>
              <w:rPr>
                <w:rStyle w:val="CommentReference"/>
              </w:rPr>
              <w:commentReference w:id="6"/>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抵押物为私有房产，坐落于仓山区上渡街道通江路17号江南水都·杰座，权属证号为榕 房权证 R 字第 0838000 号，所有权人为康恩慧、黄祖海，建筑面积143.45平方米。材料未提供抵押物账面价值、评估价值及当前抵押状态。</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担保结构说明：本笔授信由借款人福建中锐网络股份有限公司的五家子公司——福建中锐汉鼎信息技术有限公司、福建中锐教育科技有限公司、北京中锐青云科技有限公司、厦门中锐软件科技有限公司、中锐海沃水利技术(福建)有限公司提供连带责任保证担保。借款主体及主要担保能力分析对象为福建中锐网络股份有限公司（以下简称“该公司”）。</w:t>
              <w:br/>
              <w:br/>
              <w:t>①保证人（子公司）基本信息：</w:t>
              <w:br/>
              <w:t>- 福建中锐汉鼎信息技术有限公司：成立于2018年1月11日，主营智慧水利，注册资本1000万元。</w:t>
              <w:br/>
              <w:t>- 福建中锐教育科技有限公司：成立于2022年6月28日，主营智慧教育，注册资本1000万元。</w:t>
              <w:br/>
              <w:t>- 北京中锐青云科技有限公司：成立于2020年9月23日，主营产教融合创新服务，注册资本1000万元。</w:t>
              <w:br/>
              <w:t>- 厦门中锐软件科技有限公司：成立于2016年12月19日，主营软硬件销售，注册资本1200万元。</w:t>
              <w:br/>
              <w:t>- 中锐海沃水利技术(福建)有限公司：成立于2018年1月10日，主营智慧水利，注册资本1000万元。</w:t>
              <w:br/>
              <w:br/>
              <w:t>②保证人（母公司）财务实力与担保能力分析：</w:t>
              <w:br/>
              <w:t>该公司2025年末主要财务指标显示其具备一定的担保能力。规模与盈利方面：营业收入同比增长14.9%至10，10万元，净利润同比增长50.1%至494万元，盈利规模持续增长。偿债能力显著改善：资产负债率较年初下降42.50个百分点至42.5%，处于软件和信息技术服务业30-55%的典型区间；流动比率与速动比率分别提升至1.82倍和1.51倍，短期偿债能力指标均优于行业基准下限（流动比率1.81倍，速动比率1.51倍），流动性压力可控。营运效率有所分化：应收账款周转天数同比大幅缩短270.92天至271天，回款管理改善，但仍显著高于行业90-180天的典型区间，主要系项目制验收周期长及政府、大客户账期较长所致；存货周转天数同比延长128.97天至129天，远超行业30-90天区间，且存货较年初增长88.0%，存在积压迹象，主要与定制化项目未验收或硬件备货周期长有关。现金流健康：经营活动净现金流为791万元，经营现金流/净利润达1.60，利润变现能力良好。</w:t>
              <w:br/>
              <w:br/>
              <w:t>综合评估：该公司作为担保核心主体，盈利能力改善，偿债指标处于行业合理水平且趋势向好，现金流可覆盖净利润，整体财务结构稳健。主要风险点在于应收款回收周期仍较长及存货增长过快，对营运资金形成占用。考虑到其短期借款为4730万元，而年经营现金流为791万元，存在对短期债务滚动的依赖。总体而言，该公司具备为本笔授信提供实质性担保支持的财务基础。</w:t>
              <w:br/>
              <w:br/>
              <w:t>③其他担保信息：</w:t>
              <w:br/>
              <w:t>保证人化型及对公PD等级、详细征信信息（银行授信、对外担保、不良记录）、子公司详细财务指标及涉诉情况等材料未提供。</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（十一）经营单位授信申报结论及方案：（围绕“现金流、杠杆率、可持续、垒小户、配结算、强担保”六要素展开 ，基于“六要素”综合评判客户是否准入，如何设置合理授信方案及贷后管控措施）</w:t>
              <w:br/>
              <w:br/>
              <w:t>借款人福建中锐网络股份有限公司为存量客户，主营水利与教育信息化业务。从六要素综合评判：</w:t>
              <w:br/>
              <w:t>现金流方面，2025年经营活动净现金流791万元，经营现金流/净利润为1.60，现金流质量健康，净利润现金含量充足。但年经营现金流对4730万元短期借款的覆盖能力有限（覆盖倍数约0.17倍），主要还款来源对即期债务的保障偏弱。</w:t>
              <w:br/>
              <w:t>杠杆率方面，资产负债率较年初下降42.5个百分点至42.5%，处于软件信息业30-55%的合理区间，财务结构稳健。但短期借款4730万元占比较高，需关注其滚动偿还对流动性的依赖。</w:t>
              <w:br/>
              <w:t>可持续性方面，2025年营业收入同比增长14.9%至10010万元，净利润同比增长50.1%至494万元，净利率提升至4.9%，盈利能力改善。但需关注两点：一是存货较年初大幅增长88.0%至2192万元，周转天数129天，显著高于行业30-90天区间，可能存在项目备货或定制化产品未及时验收导致的积压，将占用营运资金并可能带来减值风险；二是应收账款周转天数271天，虽同比缩短117天，但仍高于行业90-180天区间，主要由于项目制验收周期较长及下游政府、大型企业客户回款账期较长，影响了资金回流效率。这两项营运效率指标偏弱，对经营现金流生成和短期偿债能力构成一定压力。</w:t>
              <w:br/>
              <w:t>垒小户方面，企业存量授信总额5640万元，已使用4440万元，涉及8家银行，融资渠道较为分散，存在多头融资情况。</w:t>
              <w:br/>
              <w:t>配结算方面，销售商品收现/营收比为1.04，处于正常区间，显示回款与收入匹配度尚可。但材料未提供具体结算流水，无法判断结算集中度与稳定性，需在贷后补充关注。</w:t>
              <w:br/>
              <w:t>强担保方面，可追加实际控制人黄祖海、康恩慧名下位于仓山区上渡街道通江路17号江南水都·杰座的住宅（面积143.45平方米）作为抵押，并由其100%控股的子公司福建中锐汉鼎信息技术有限公司提供连带责任保证担保，以增强第二还款来源保障。</w:t>
              <w:br/>
              <w:br/>
              <w:t>综合结论与方案：企业经营基本面尚可，盈利增长且杠杆率可控，但存在存货积压、回款偏慢及短期偿债压力（经营现金流对短期借款覆盖弱）。建议在落实住宅抵押及子公司保证的前提下，维持存量授信额度。贷后管控措施应重点加强：1. 监控销售回款进度，要求定期提供主要客户回款清单；2. 跟踪存货去化情况，关注存货余额变化及库龄结构；3. 关注企业在他行的授信变动及还款记录。</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综合评判，借款人主营业务成长性及盈利改善趋势良好，偿债指标健康，但存在短期债务滚动压力、应收账款及存货周转偏慢的问题。第一还款来源（经营现金流）对存量短期债务的覆盖能力一般，但本次授信追加实控人房产抵押及个人保证，担保措施有所增强。借款人予以准入。</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7"/>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7"/>
            <w:r>
              <w:rPr>
                <w:rStyle w:val="CommentReference"/>
              </w:rPr>
              <w:commentReference w:id="7"/>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8"/>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8"/>
            <w:r>
              <w:rPr>
                <w:rStyle w:val="CommentReference"/>
              </w:rPr>
              <w:commentReference w:id="8"/>
            </w:r>
          </w:p>
          <w:p w14:paraId="6AC425A6">
            <w:commentRangeStart w:id="9"/>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9"/>
            <w:r>
              <w:rPr>
                <w:rStyle w:val="CommentReference"/>
              </w:rPr>
              <w:commentReference w:id="9"/>
            </w:r>
          </w:p>
          <w:p w14:paraId="2FC82B07">
            <w:commentRangeStart w:id="10"/>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0"/>
            <w:r>
              <w:rPr>
                <w:rStyle w:val="CommentReference"/>
              </w:rPr>
              <w:commentReference w:id="10"/>
            </w:r>
          </w:p>
          <w:p w14:paraId="269107E9">
            <w:commentRangeStart w:id="11"/>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3096CC3B">
            <w:commentRangeStart w:id="12"/>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3"/>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3"/>
            <w:r>
              <w:rPr>
                <w:rStyle w:val="CommentReference"/>
              </w:rPr>
              <w:commentReference w:id="13"/>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4T18:17:37Z" w:initials="Agent">
    <w:p>
      <w:r>
        <w:rPr>
          <w:rStyle w:val="CommentReference"/>
        </w:rPr>
        <w:annotationRef/>
      </w:r>
      <w:r>
        <w:t xml:space="preserve">该处“申报单位”仍为空白，请人工确认。</w:t>
      </w:r>
    </w:p>
  </w:comment>
  <w:comment w:id="1" w:author="信贷报告 Agent" w:date="2026-04-14T18:17:37Z" w:initials="Agent">
    <w:p>
      <w:r>
        <w:rPr>
          <w:rStyle w:val="CommentReference"/>
        </w:rPr>
        <w:annotationRef/>
      </w:r>
      <w:r>
        <w:t xml:space="preserve">该处“小类）”仍为空白，请人工确认。</w:t>
      </w:r>
    </w:p>
  </w:comment>
  <w:comment w:id="2" w:author="信贷报告 Agent" w:date="2026-04-14T18:17:37Z" w:initials="Agent">
    <w:p>
      <w:r>
        <w:rPr>
          <w:rStyle w:val="CommentReference"/>
        </w:rPr>
        <w:annotationRef/>
      </w:r>
      <w:r>
        <w:t xml:space="preserve">该处“绿通标识”仍为空白，请人工确认。</w:t>
      </w:r>
    </w:p>
  </w:comment>
  <w:comment w:id="3" w:author="信贷报告 Agent" w:date="2026-04-14T18:17:37Z" w:initials="Agent">
    <w:p>
      <w:r>
        <w:rPr>
          <w:rStyle w:val="CommentReference"/>
        </w:rPr>
        <w:annotationRef/>
      </w:r>
      <w:r>
        <w:t xml:space="preserve">该处“分析原因”仍为空白，请人工确认。</w:t>
      </w:r>
    </w:p>
  </w:comment>
  <w:comment w:id="4" w:author="信贷报告 Agent" w:date="2026-04-14T18:17:37Z" w:initials="Agent">
    <w:p>
      <w:r>
        <w:rPr>
          <w:rStyle w:val="CommentReference"/>
        </w:rPr>
        <w:annotationRef/>
      </w:r>
      <w:r>
        <w:t xml:space="preserve">该处“（若有）对外担保情况”仍为空白，请人工确认。</w:t>
      </w:r>
    </w:p>
  </w:comment>
  <w:comment w:id="5" w:author="信贷报告 Agent" w:date="2026-04-14T18:17:37Z" w:initials="Agent">
    <w:p>
      <w:r>
        <w:rPr>
          <w:rStyle w:val="CommentReference"/>
        </w:rPr>
        <w:annotationRef/>
      </w:r>
      <w:r>
        <w:t xml:space="preserve">该处“为中行个人经营贷款，经营主体为”仍为模板占位符，请人工核实。</w:t>
      </w:r>
    </w:p>
  </w:comment>
  <w:comment w:id="6" w:author="信贷报告 Agent" w:date="2026-04-14T18:17:37Z" w:initials="Agent">
    <w:p>
      <w:r>
        <w:rPr>
          <w:rStyle w:val="CommentReference"/>
        </w:rPr>
        <w:annotationRef/>
      </w:r>
      <w:r>
        <w:t xml:space="preserve">该处“变动原因”仍为空白，请人工确认。</w:t>
      </w:r>
    </w:p>
  </w:comment>
  <w:comment w:id="7" w:author="信贷报告 Agent" w:date="2026-04-14T18:17:37Z" w:initials="Agent">
    <w:p>
      <w:r>
        <w:rPr>
          <w:rStyle w:val="CommentReference"/>
        </w:rPr>
        <w:annotationRef/>
      </w:r>
      <w:r>
        <w:t xml:space="preserve">该处“予借款人授信敞口1000万元，”仍为模板占位符，请人工核实。</w:t>
      </w:r>
    </w:p>
  </w:comment>
  <w:comment w:id="8" w:author="信贷报告 Agent" w:date="2026-04-14T18:17:37Z" w:initials="Agent">
    <w:p>
      <w:r>
        <w:rPr>
          <w:rStyle w:val="CommentReference"/>
        </w:rPr>
        <w:annotationRef/>
      </w:r>
      <w:r>
        <w:t xml:space="preserve">该处“客户经理”仍为空白，请人工确认。</w:t>
      </w:r>
    </w:p>
  </w:comment>
  <w:comment w:id="9" w:author="信贷报告 Agent" w:date="2026-04-14T18:17:37Z" w:initials="Agent">
    <w:p>
      <w:r>
        <w:rPr>
          <w:rStyle w:val="CommentReference"/>
        </w:rPr>
        <w:annotationRef/>
      </w:r>
      <w:r>
        <w:t xml:space="preserve">该处“共同调查人”仍为空白，请人工确认。</w:t>
      </w:r>
    </w:p>
  </w:comment>
  <w:comment w:id="10" w:author="信贷报告 Agent" w:date="2026-04-14T18:17:37Z" w:initials="Agent">
    <w:p>
      <w:r>
        <w:rPr>
          <w:rStyle w:val="CommentReference"/>
        </w:rPr>
        <w:annotationRef/>
      </w:r>
      <w:r>
        <w:t xml:space="preserve">该处“二级支行行长”仍为空白，请人工确认。</w:t>
      </w:r>
    </w:p>
  </w:comment>
  <w:comment w:id="11" w:author="信贷报告 Agent" w:date="2026-04-14T18:17:37Z" w:initials="Agent">
    <w:p>
      <w:r>
        <w:rPr>
          <w:rStyle w:val="CommentReference"/>
        </w:rPr>
        <w:annotationRef/>
      </w:r>
      <w:r>
        <w:t xml:space="preserve">该处“分管行长”仍为空白，请人工确认。</w:t>
      </w:r>
    </w:p>
  </w:comment>
  <w:comment w:id="12" w:author="信贷报告 Agent" w:date="2026-04-14T18:17:37Z" w:initials="Agent">
    <w:p>
      <w:r>
        <w:rPr>
          <w:rStyle w:val="CommentReference"/>
        </w:rPr>
        <w:annotationRef/>
      </w:r>
      <w:r>
        <w:t xml:space="preserve">该处“行长”仍为空白，请人工确认。</w:t>
      </w:r>
    </w:p>
  </w:comment>
  <w:comment w:id="13" w:author="信贷报告 Agent" w:date="2026-04-14T18:17:37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