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申报单位：客户经理：联系电话：</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划型要素：上年度资产总额为16956万元；上年度销售额为10010万元；上年度末员工人数为73人。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开发及信息技术服务。上年度末社保人数69人；注册资本：4100万元、实收资本：4100万元；法定代表人：黄祖海。股权穿透后实际控制人持股比例：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材料中未提供近两年企业股权变动情况及变动原因。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及未面访原因。实控人黄祖海，湖南大学电子商务专业本科学历，自2000年起长期从事网络技术行业，曾任福建实达网络科技有限公司技术工程师、技术经理，福建星网锐捷网络有限公司技术部总经理，2012年创立中锐网络并担任董事长兼总裁至今，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2025.11.21</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640</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厦门国际银行台江支行</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2025.11.25</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1000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兴业银行-环球支行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r>
                    <w:t>2025.12.22</w:t>
                  </w: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r>
                    <w:t>1000</w:t>
                  </w: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r>
                    <w:t>兴业银行-环球支行</w:t>
                  </w: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自2017年以来，我行与借款人建立授信合作关系。材料未提供近三年我行给予的授信敞口。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2025年10月 日，经531系统查询，借款人 2025 年 10 月   日提贷 500万元，到期日 2026 年 10 月   日，贷款采取自主支付方式发放，通过调取借款人账户流水，1. 500万元向 福建中锐网络股份有限公司 有限公司支付 福建中锐网络股份有限公司 货款（已提供发票）；2. 500万元转至工行同户名账户，穿透查看用于向 1 个人支付采购竹刨花原料款 500万元，其余用于支付税款；3.XX万元元转至农行同户名账户(基本户），用于向37个员工支付工资款。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材料未提供核实过程及结果。</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材料中未提供PD评级信息。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福建福州人，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企业关联方主要为5家全资或控股子公司。其中福建中锐汉鼎信息技术有限公司主营智慧水利，上年收入1223万元，净亏损682万元；福建中锐教育科技有限公司主营智慧教育，上年收入21万元，净亏损1275万元；北京中锐青云科技有限公司主营产教融合创新服务，上年收入21万元，净利润329万元；厦门中锐软件科技有限公司主营软硬件销售，上年收入7万元，净亏损13万元；中锐海沃水利技术(福建)有限公司主营智慧水利，上年收入0万元，净利润329万元。总体看，关联企业经营规模有限，多数处于亏损或微利状态。主体企业（福建中锐网络股份有限公司）财务分析：</w:t>
              <w:br/>
              <w:t>公司2025年末总资产16956万元，较年初下降8.7%；总负债7207万元，较年初下降22.7%；所有者权益9749万元，较年初增长5.3%。2025年实现营业收入10010万元，同比增长14.9%；实现净利润494万元，同比增长50.1%，盈利规模显著提升。</w:t>
              <w:br/>
              <w:t>盈利能力方面，毛利率为38.0%，同比下降0.8个百分点；净利率为4.9%，同比上升1.2个百分点；营业利润率为4.8%，同比上升0.2个百分点。净利率提升主要得益于费用控制及规模效应。</w:t>
              <w:br/>
              <w:t>偿债能力显著改善，资产负债率为42.5%，较年初下降7.7个百分点；流动比率为1.82倍，较年初提升0.24倍；速动比率为1.51倍，较年初提升0.06倍。资产负债率已处于软件和信息技术服务业30-42.50%的典型区间内，负债水平可控。</w:t>
              <w:br/>
              <w:t>营运效率呈现分化，应收账款周转天数为271天，同比缩短117天，回款效率改善；但存货周转天数为129天，同比延长49天，且显著高于行业30-90天的典型区间，主要由于定制化项目未验收沉淀为存货或硬件集成类业务备货周期较长，存在存货积压信号。</w:t>
              <w:br/>
              <w:t>现金流质量健康，当期经营活动净现金流为791万元，经营现金流/净利润达1.60，销售商品收现/营收为1.04，均处于良好水平。</w:t>
              <w:br/>
              <w:t>综合来看，公司盈利增长、偿债能力增强且现金流健康，第一还款来源（经营现金流）对短期债务的覆盖能力尚可，但需关注存货周转效率下降对流动性的潜在影响。</w:t>
            </w:r>
            <w:r>
              <w:rPr>
                <w:rFonts w:hint="eastAsia" w:ascii="宋体" w:hAnsi="宋体" w:cs="宋体"/>
                <w:snapToGrid w:val="0"/>
                <w:kern w:val="0"/>
                <w:szCs w:val="21"/>
                <w:highlight w:val="none"/>
                <w:u w:val="single"/>
              </w:rPr>
            </w:r>
          </w:p>
          <w:p w14:paraId="29070FDD">
            <w:pPr>
              <w:ind w:firstLine="422" w:firstLineChars="200"/>
              <w:jc w:val="left"/>
              <w:outlineLvl w:val="0"/>
              <w:rPr>
                <w:rFonts w:hint="eastAsia" w:ascii="宋体" w:hAnsi="宋体" w:cs="宋体"/>
                <w:snapToGrid w:val="0"/>
                <w:kern w:val="0"/>
                <w:szCs w:val="21"/>
                <w:highlight w:val="none"/>
                <w:u w:val="single"/>
              </w:rPr>
            </w:pPr>
            <w:r>
              <w:t xml:space="preserve">收入下滑趋势在2025年得到扭转并恢复增长，同时毛利率在经历波动后于近两年稳定在较高水平，显示盈利能力的改善与企稳。收入、毛利与净利润需联动分析，重点关注利润兑现与毛利波动是否匹配。若收入扩张快于利润兑现，应审慎评估盈利质量的可持续性。</w:t>
            </w:r>
          </w:p>
          <w:p w14:paraId="29070FDD">
            <w:pPr>
              <w:ind w:firstLine="422" w:firstLineChars="200"/>
              <w:jc w:val="left"/>
              <w:outlineLvl w:val="0"/>
              <w:rPr>
                <w:rFonts w:hint="eastAsia" w:ascii="宋体" w:hAnsi="宋体" w:cs="宋体"/>
                <w:snapToGrid w:val="0"/>
                <w:kern w:val="0"/>
                <w:szCs w:val="21"/>
                <w:highlight w:val="none"/>
                <w:u w:val="single"/>
              </w:rPr>
            </w:pPr>
            <w:r>
              <w:t xml:space="preserve">货币资金对短期借款的保障能力持续大幅减弱，短期流动性风险显著上升。尽管流动比率逐年改善且整体负债水平呈下降趋势，但核心偿债资源的急剧萎缩构成了主要风险点。偿债能力由杠杆水平与流动性共同决定，需同步观察资产负债率和短债覆盖能力。</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回收效率持续恶化，周转天数大幅攀升后虽有所回落但仍处高位，显示企业回款能力显著减弱且存在较大波动风险。存货管理呈现剧烈波动，近两年大幅去库存后本年度又激进补库，可能反映出销售不畅或供应链策略不稳定。运营效率需重点跟踪应收账款周转与收入扩张的匹配程度。</w:t>
            </w:r>
          </w:p>
          <w:p w14:paraId="29070FDD">
            <w:pPr>
              <w:ind w:firstLine="422" w:firstLineChars="200"/>
              <w:jc w:val="left"/>
              <w:outlineLvl w:val="0"/>
              <w:rPr>
                <w:rFonts w:hint="eastAsia" w:ascii="宋体" w:hAnsi="宋体" w:cs="宋体"/>
                <w:snapToGrid w:val="0"/>
                <w:kern w:val="0"/>
                <w:szCs w:val="21"/>
                <w:highlight w:val="none"/>
                <w:u w:val="single"/>
              </w:rPr>
            </w:pPr>
            <w:r>
              <w:t xml:space="preserve">经营现金流波动剧烈且整体偏弱，呈现间歇性负值，表明主营业务造血能力不稳定。公司持续依赖外部融资弥补经营和投资缺口，但筹资活动净流入呈收缩趋势，2025年转为净流出，显示外部融资环境趋紧。现金流结构显示公司仍处于投资扩张阶段，但经营现金流的脆弱性可能制约其持续投资能力。</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周转天数持续恶化，已显著超过风险阈值，表明客户回款能力严重不足，信用风险高企。货币资金对短期借款的覆盖率已降至极低水平，远低于安全阈值，企业面临严峻的短期偿债压力。尽管资产负债率呈下降趋势，但前述两项核心流动性指标的严重恶化，已构成实质性重大风险。</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材料未提供集团合并财务数据。</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业务提供涵盖水灾害、水工程、水资源、水生态水环境、水监督、水政务等六大重点应用的解决方案；智慧教育业务聚焦网络、人工智能、智慧行业领域，提供数字人才培养解决方案。材料未提供主营芯片设计、芯片制程及具体产品应用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业务。智慧水利方面，拥有大坝安全智能监测平台等核心产品，技术获福建省科技进步奖二等奖，已应用于省内300余座水库。智慧教育方面，与全国超1000所高校建立产学研合作，服务1600多家政企客户。企业研发投入持续，2025年研发费用1049万元，占营收10.5%，研发人员占比53%。上下游结算均采用分期方式，经营中注重减少资金垫付。</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企业主营业务为智慧水利与智慧教育。智慧水利业务主要提供水灾害、水工程、水资源等六大重点应用解决方案；智慧教育业务主要为数字人才培养解决方案。2025年实现营业收入10010万元，其中智慧水利业务收入占比46%，智慧教育业务收入占比54%。材料未提供产品生产量、销量及分产品销售收入金额。材料未提供生产工艺流程。</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包括锐捷网络股份有限公司、北京星链南天科技有限公司、广州浩瀚星图信息技术有限公司、新天科技股份有限公司、精导信息技术有限公司司。下游客户有涵江水利局、福建省翔远电子科技有限公司、三明水利水电工程有限公司顺昌分公司、福州市福清公路事业发展中心、济南展雄电子有限公司等。</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3"/>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3"/>
            <w:r>
              <w:rPr>
                <w:rStyle w:val="CommentReference"/>
              </w:rPr>
              <w:commentReference w:id="3"/>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                                                   单位：万元材料未提供前五大客户销售金额。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4"/>
            <w:r>
              <w:rPr>
                <w:rStyle w:val="CommentReference"/>
              </w:rPr>
              <w:commentReference w:id="4"/>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企业总体营运资金周转效率偏慢，应收账款周转天数较年初有所变化,具体幅度以财务附表为准，但仍显著高于软件信息业90-180天典型区间，主要由于项目验收周期较长。存货周转天数较年初有所变化,具体幅度以财务附表为准，高于行业30-90天区间，存货积压信号明显。</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材料未提供财务真实性验证相关材料。借款人近三年及最近一期主要财务数据如下：2025年末总资产16956万元，较年初下降8.7%；总负债7207万元，较年初下降22.7%；所有者权益9749万元，较年初增长5.3%。2025年实现营业收入10010万元，同比增长14.9%；净利润494万元，同比增长50.1%。盈利能力改善，净利率较年初有所变化，具体幅度以财务附表为准。偿债能力改善，资产负债率较年初有所变化，具体幅度以财务附表为准，流动比率较年初有所变化，具体幅度以财务附表为准。营运效率方面，应收账款周转天数较年初有所变化，具体幅度以财务附表为准，显著高于软件信息业90-180天典型区间，主要由于项目验收周期较长；存货周转天数较年初有所变化，具体幅度以财务附表为准，高于行业30-90天区间，存货较年初增长88.0%，远超营收增速，存在积压信号。现金流质量健康，经营活动净现金流791万元，经营现金流/净利润为1.60。（1）应收账款7430万元，较年初下降19.7%。（2）其他应收款2774万元，较年初下降21.2%。（3）存货2192万元，较年初增长88.0%。（5）应付账款1026万元，较年初下降56.0%。（6）其他应付款168万元（根据证据清单）。</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材料未提供主营业务收入变动原因、盈利能力变动原因、固定资产投资变动情况及其他变动较大财务指标说明。材料未提供最近三年现金流量表分析。</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2025年末应收账款为7430万元，较2024年末的9253万元下降19.7%，回款情况有所改善。但该科目自2022年起连续三年快速增长，2024年末较2022年末增幅达110%，当前余额仍处于较高水平。</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3522万元，主要构成及趋势变动情况： 其他应收款2025年末为2774万元，较2024年末的3522万元下降21.2%，呈回落趋势。该科目在2023年曾大幅增长至3621万元，目前虽有所压降，但占流动资产比重仍达21.2%，需关注其具体构成与回收风险。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3621万元，主要构成及趋势变动情况： 企业存货2025年末为2192万元，较2024年末的1166万元大幅增长88.0%，但相较于2022年的5301万元和2023年的2545万元，整体仍呈显著下降趋势。本次增长的具体原因（如备货策略调整或订单增加）依据现有材料无法判断。</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企业长期投资由2024年的2518万元增长至2025年的3123万元，同比增加605万元，增幅达24.0%，呈现显著扩张趋势。该科目连续两年增长，但财务报表材料片段未披露具体构成及变动原因。</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9253万元，主要构成及趋势变动情况： 应付账款期末余额为1026万元，较2024年末的2333万元大幅下降56.0%，结束了此前连续两年（2022年1490万元、2023年1847万元）的增长趋势。结合报表数据，该科目下降主要源于企业对上游供应商款项的集中支付。</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260万元，主要构成及趋势变动情况： 截至2025年末，公司其他应付款为168万元，较2024年末的648万元大幅下降480万元，降幅达74.1%。该科目余额已回落至接近2023年（185万元）及2022年（63万元）的水平。</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材料未提供前两年营收数据，无法直接计算变动幅度。但从业务描述看，公司紧跟国家水利政策与教育战略，智慧水利方案已应用于福建省300+座水库，智慧教育服务超1000所高校及1600多家政企客户，业务具备政策支持与市场基础。收入结构显示水利占比46%、教育占比54%，业务结构相对均衡。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材料未提供近三年完整的利润表数据，无法直接计算盈利能力指标变动。但可从关联企业数据窥见部分经营压力：控股子公司福建中锐汉鼎信息技术有限公司（智慧水利）上年净利润-682万元，福建中锐教育科技有限公司（智慧教育）上年净利润-1275万元（数据需核实），显示部分业务板块可能处于投入期或面临亏损。母公司层面，持续保持较高的研发投入（2025年研发费用1049万元，占比10.5%），可能对短期盈利造成一定影响。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财务报表，资产负债表未单独列示“固定资产”科目，无法分析其投资变动情况。非流动资产部分数据缺失，无法获取2022至2025年各期固定资产投资的具体金额。因此，无法对该科目的历史变动趋势及未来规划进行量化分析。</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企业2025年末货币资金余额为286万元，较年初的506万元大幅下降43.6%。同时，存货余额为2192万元，较年初的1166万元激增87.9%，占用了较多营运资金。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  根据提供的审计报告及财务报表片段：</w:t>
              <w:br/>
              <w:t>2024年经营活动现金流量：销售商品、提供劳务收到的现金48902379.43元，购买商品、接受劳务支付的现金40772246.32元。</w:t>
              <w:br/>
              <w:t>2025年经营活动现金流量：销售商品、提供劳务收到的现金103852568.95元。</w:t>
              <w:br/>
              <w:t>2023年数据片段显示销售商品、提供劳务收到的现金为93640251.43元。</w:t>
              <w:br/>
              <w:t xml:space="preserve">分析：2024年经营活动现金流入（80298955.33元）较2023年（112072779.26元）有所下降，但2025年销售回款（103852568.95元）呈现回升态势。公司经营收款采用预收款和账期方式，采购付款享有供应商信用账期，有助于现金流管理。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其中交通银行屏东支行1000万元、海峡银行金山支行500万元、厦门国际银行台江支行640万元、兴业银行环球支行1000万元、工商银行500万元、中国银行福建省分行600万元、广发银行鼓楼支行200万元，五级分类正常。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5"/>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5"/>
            <w:r>
              <w:rPr>
                <w:rStyle w:val="CommentReference"/>
              </w:rPr>
              <w:commentReference w:id="5"/>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commentRangeStart w:id="7"/>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7"/>
            <w:r>
              <w:rPr>
                <w:rStyle w:val="CommentReference"/>
              </w:rPr>
              <w:commentReference w:id="7"/>
            </w:r>
          </w:p>
          <w:p w14:paraId="0BD0E5B0">
            <w:commentRangeStart w:i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材料未提供名称的公司，有未销户信用卡账户1笔，余额0元。全部未结清贷款估算下月应还款额0元，贷记卡最近6个月平均使用额度27元，准贷记卡最近6个月平均透支余额0元；承担担保责任账户有1笔，承担共同还款责任账户有0笔，余额1000万元，为材料未提供名称的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8"/>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材料未提供实控人配偶出生年份及个人征信信息。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9"/>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9"/>
            <w:r>
              <w:rPr>
                <w:rStyle w:val="CommentReference"/>
              </w:rPr>
              <w:commentReference w:id="9"/>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科技型企业类型：科技型中小企业。核心研发人员享有股权激励。近三年研发投入占比分别为7.4%、14.5%、10.5%，研发人员占比分别为44%、49%、53%。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为791万元，但账上货币资金为286万元，较年初下降43.6%。因对上游账款采用预付款和账期款方式结算，下游货款回笼较慢，应收账款周转天数为271天，故需申请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10"/>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0"/>
            <w:r>
              <w:rPr>
                <w:rStyle w:val="CommentReference"/>
              </w:rPr>
              <w:commentReference w:id="10"/>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材料未提供营运资金需求测算表。</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1"/>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1"/>
            <w:r>
              <w:rPr>
                <w:rStyle w:val="CommentReference"/>
              </w:rPr>
              <w:commentReference w:id="11"/>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活动产生的现金流。企业2025年销售商品、提供劳务收到的现金约为10385万元，显示主营业务回款能力。公司下游客户包括涵江水利局、福建省翔远电子科技有限公司等，前五大客户合计销售额3562万元，客户相对稳定。公司主营的智慧水利与智慧教育业务符合国家政策导向，具备一定的市场空间。但需关注关联子公司亏损可能对集团整体现金流产生的潜在影响。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w:t>
              <w:br/>
              <w:t>1. 抵质押物：材料中仅列示一项可抵押资产，为实控人黄祖海及其配偶康恩慧共有的私有房产（仓山区上渡街道通江路17号江南水都·杰座），面积143.45平方米，但未提供评估价，变现能力需结合当地房地产市场情况判断。</w:t>
              <w:br/>
              <w:t>2. 担保方：企业现有流贷均由实际控制人黄祖海、陈其俤及关联企业（如中锐汉鼎）、担保公司（福州市融资担保有限公司）等提供连带责任保证，增强了第二还款来源的保障。</w:t>
              <w:br/>
              <w:t xml:space="preserve">3. 其他渠道：企业作为存量客户，与多家银行（交通银行、海峡银行、厦门国际银行、兴业银行等）建立了授信关系，总授信5640万元，已用4440万元，显示具备一定的再融资能力。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借款人2025年实现营业收入10010万元，同比增长14.9%；净利润494万元，同比增长50.1%。盈利能力改善，净利率较年初有所变化，具体幅度以财务附表为准，但低于软件信息业5-15%的典型区间。经营活动净现金流791万元，经营现金流/净利润为1.60，销售商品收现/营收为1.04，现金流质量健康。应收账款周转天数较年初有所变化，具体幅度以财务附表为准，但仍显著高于行业90-180天典型区间，主要由于项目验收周期较长及政府、大B客户回款账期长。存货周转天数较年初有所变化，具体幅度以财务附表为准，远超行业30-90天区间，存货较年初增长88.0%至2192万元，存在积压信号。短期借款4730万元，年经营现金流仅791万元，短贷需滚动偿还。资产负债率较年初有所变化，具体幅度以财务附表为准，处于行业合理区间；流动比率1.82倍，速动比率1.51倍，短期偿债能力指标均较年初改善。营业收入与税务申报、银行流水可交叉验证。</w:t>
              <w:br/>
              <w:t>②第二还款来源（抵质押物变现能力分析及其他渠道现金流分析）：材料未提供抵质押物价值评估报告。</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抵押物为仓山区上渡街道通江路17号江南水都·杰座私有房产，权属证号榕 房权证 R 字第 0838000 号，建筑面积143.45平方米，所有权人为康恩慧、黄祖海。</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福建中锐汉鼎信息技术有限公司、福建中锐教育科技有限公司、北京中锐青云科技有限公司、厦门中锐软件科技有限公司、中锐海沃水利技术(福建)有限公司、黄祖海、陈其俤、福州市融资担保有限公司、福建恒运投资合伙企业（有限合伙）。</w:t>
              <w:br/>
              <w:t>②保证人化型及对公PD X级：材料未提供。</w:t>
              <w:br/>
              <w:t>③保证人主要经营情况：福建中锐汉鼎信息技术有限公司上年营收1223万元，净利润329万元；福建中锐教育科技有限公司上年营收21万元，净利润329万元；北京中锐青云科技有限公司上年营收21万元，净利润329万元；厦门中锐软件科技有限公司上年营收21万元，净利润329万元；中锐海沃水利技术(福建)有限公司上年营收0万元，净利润329万元。</w:t>
              <w:br/>
              <w:t>④保证人征信信息：材料未提供。</w:t>
              <w:br/>
              <w:t>⑤主要财务指标：材料未提供。</w:t>
              <w:br/>
              <w:t>⑥其他：材料未提供。</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借款人福建中锐网络股份有限公司主营智慧水利与教育，2025年营业收入同比增长14.9%至10010万元，净利润同比增长50.1%至494万元，经营规模持续增长。现金流方面，当期经营活动净现金流791万元，经营现金流/净利润为1.60，销售商品收现/营收为1.04，现金流质量健康，对短期债务的覆盖能力尚可。杠杆率方面，资产负债率较年初有所变化，具体幅度以财务附表为准，处于软件信息业30-55%的合理区间；流动比率1.82倍、速动比率1.51倍，短期偿债指标有所改善。可持续性方面，企业毛利率38.0%、净利率4.9%，盈利能力改善；但需关注存货较年初增长88.0%至2192万元，存货周转天数129天，显著高于行业30-90天典型区间，存在积压风险；应收账款周转天数271天，亦高于行业90-180天区间，主要由于项目制验收周期长及政府类客户回款账期较长。企业现有银行授信总额5640万元，已使用4440万元，其中短期借款4730万元，需依赖经营现金流入滚动偿还。企业为存量客户，收入结构水利占46%、教育占54%，研发投入占比10.5%，具备一定技术壁垒。主要下游客户为涵江水利局、福建省翔远电子科技有限公司等，集中度尚可。</w:t>
              <w:br/>
              <w:br/>
              <w:t>综合评判，企业基本面尚可，现金流能覆盖利润，杠杆率适中，经营具备可持续性。但存在应收账款及存货周转偏慢、短期债务集中度较高的风险。授信方案建议：给予新增流动资金贷款额度，用于补充经营性现金流，置换部分他行短期贷款，优化债务结构。落实强担保措施，追加实际控制人黄祖海及其配偶康恩慧连带责任保证，并以其名下仓山区上渡街道通江路17号江南水都·杰座143.45平方米住宅提供抵押。贷后管控需强化资金流向监控，确保受托支付，贷款用途真实合规；重点监控应收账款回款进度及存货变动情况，要求定期提供主要项目回款凭证及银行流水；关注他行授信续作情况，防范集中抽贷风险。</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性净现金流791万元，经营现金流/净利润为1.60，销售商品收现/营收为1.04，现金流质量健康。期末货币资金286万元，短期借款4730万元，年经营现金流对短期借款覆盖有限，需依赖滚动续贷。</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较年初有所变化，具体幅度以财务附表为准，处于软件信息业30-55%典型区间。流动比率较年初有所变化，具体幅度以财务附表为准，速动比率较年初有所变化，具体幅度以财务附表为准，均处于行业合理区间，短期偿债能力指标改善。</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智慧水利与智慧教育，2025年营业收入同比增长14.9%至10010万元，净利润同比增长50.1%至494万元。公司下游客户主要为水利局及大型企业，订单来源稳定。需关注其运营效率：应收账款周转天数271天，显著高于软件信息业90-180天典型区间，主要系项目制验收周期长及政府、大型企业客户回款账期较长所致；存货周转天数129天，高于行业30-90天区间，且较年初大幅增长88%，反映项目执行或备货周期拉长，存在一定存货积压风险。</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材料未提供借款人现有合作银行家数及具体授信明细。根据融资清单，借款人共有8笔授信合计5640万元，已用4440万元。我行此次申请敞口额度材料未提供。配结算：材料未提供借款人在我行开户及结算情况。</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强担保：本次申请授信由实控人黄祖海及其配偶康恩慧名下位于仓山区上渡街道通江路17号江南水都·杰座的房产提供抵押担保，并追加实控人个人连带责任保证。基于以上六要素综合评判，借款人予以准入。</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0"/>
            <w:r>
              <w:rPr>
                <w:rStyle w:val="CommentReference"/>
              </w:rPr>
              <w:commentReference w:id="20"/>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9:12:41Z" w:initials="Agent">
    <w:p>
      <w:r>
        <w:rPr>
          <w:rStyle w:val="CommentReference"/>
        </w:rPr>
        <w:annotationRef/>
      </w:r>
      <w:r>
        <w:t xml:space="preserve">该处“申报单位”仍为空白，请人工确认。</w:t>
      </w:r>
    </w:p>
  </w:comment>
  <w:comment w:id="1" w:author="信贷报告 Agent" w:date="2026-04-14T19:12:41Z" w:initials="Agent">
    <w:p>
      <w:r>
        <w:rPr>
          <w:rStyle w:val="CommentReference"/>
        </w:rPr>
        <w:annotationRef/>
      </w:r>
      <w:r>
        <w:t xml:space="preserve">该处“小类）”仍为空白，请人工确认。</w:t>
      </w:r>
    </w:p>
  </w:comment>
  <w:comment w:id="2" w:author="信贷报告 Agent" w:date="2026-04-14T19:12:41Z" w:initials="Agent">
    <w:p>
      <w:r>
        <w:rPr>
          <w:rStyle w:val="CommentReference"/>
        </w:rPr>
        <w:annotationRef/>
      </w:r>
      <w:r>
        <w:t xml:space="preserve">该处“绿通标识”仍为空白，请人工确认。</w:t>
      </w:r>
    </w:p>
  </w:comment>
  <w:comment w:id="3" w:author="信贷报告 Agent" w:date="2026-04-14T19:12:41Z" w:initials="Agent">
    <w:p>
      <w:r>
        <w:rPr>
          <w:rStyle w:val="CommentReference"/>
        </w:rPr>
        <w:annotationRef/>
      </w:r>
      <w:r>
        <w:t xml:space="preserve">该处“主要上游（前五大）”仍为空白，请人工确认。</w:t>
      </w:r>
    </w:p>
  </w:comment>
  <w:comment w:id="4" w:author="信贷报告 Agent" w:date="2026-04-14T19:12:41Z" w:initials="Agent">
    <w:p>
      <w:r>
        <w:rPr>
          <w:rStyle w:val="CommentReference"/>
        </w:rPr>
        <w:annotationRef/>
      </w:r>
      <w:r>
        <w:t xml:space="preserve">该处“主要下游（前五大）”仍为空白，请人工确认。</w:t>
      </w:r>
    </w:p>
  </w:comment>
  <w:comment w:id="5" w:author="信贷报告 Agent" w:date="2026-04-14T19:12:41Z" w:initials="Agent">
    <w:p>
      <w:r>
        <w:rPr>
          <w:rStyle w:val="CommentReference"/>
        </w:rPr>
        <w:annotationRef/>
      </w:r>
      <w:r>
        <w:t xml:space="preserve">该处“反馈中长期借款还款计划及还款资金安排情况”仍为空白，请人工确认。</w:t>
      </w:r>
    </w:p>
  </w:comment>
  <w:comment w:id="6" w:author="信贷报告 Agent" w:date="2026-04-14T19:12:41Z" w:initials="Agent">
    <w:p>
      <w:r>
        <w:rPr>
          <w:rStyle w:val="CommentReference"/>
        </w:rPr>
        <w:annotationRef/>
      </w:r>
      <w:r>
        <w:t xml:space="preserve">该处“（若有）对外担保情况”仍为空白，请人工确认。</w:t>
      </w:r>
    </w:p>
  </w:comment>
  <w:comment w:id="7" w:author="信贷报告 Agent" w:date="2026-04-14T19:12:41Z" w:initials="Agent">
    <w:p>
      <w:r>
        <w:rPr>
          <w:rStyle w:val="CommentReference"/>
        </w:rPr>
        <w:annotationRef/>
      </w:r>
      <w:r>
        <w:t xml:space="preserve">该处“（若有）不良记录情况”仍为空白，请人工确认。</w:t>
      </w:r>
    </w:p>
  </w:comment>
  <w:comment w:id="8" w:author="信贷报告 Agent" w:date="2026-04-14T19:12:41Z" w:initials="Agent">
    <w:p>
      <w:r>
        <w:rPr>
          <w:rStyle w:val="CommentReference"/>
        </w:rPr>
        <w:annotationRef/>
      </w:r>
      <w:r>
        <w:t xml:space="preserve">该处“为中行个人经营贷款，经营主体为”仍为模板占位符，请人工核实。</w:t>
      </w:r>
    </w:p>
  </w:comment>
  <w:comment w:id="9" w:author="信贷报告 Agent" w:date="2026-04-14T19:12:41Z" w:initials="Agent">
    <w:p>
      <w:r>
        <w:rPr>
          <w:rStyle w:val="CommentReference"/>
        </w:rPr>
        <w:annotationRef/>
      </w:r>
      <w:r>
        <w:t xml:space="preserve">该处“科技型企业评分”仍为空白，请人工确认。</w:t>
      </w:r>
    </w:p>
  </w:comment>
  <w:comment w:id="10" w:author="信贷报告 Agent" w:date="2026-04-14T19:12:41Z" w:initials="Agent">
    <w:p>
      <w:r>
        <w:rPr>
          <w:rStyle w:val="CommentReference"/>
        </w:rPr>
        <w:annotationRef/>
      </w:r>
      <w:r>
        <w:t xml:space="preserve">该处“请补充分析原因”仍为空白，请人工确认。</w:t>
      </w:r>
    </w:p>
  </w:comment>
  <w:comment w:id="11" w:author="信贷报告 Agent" w:date="2026-04-14T19:12:41Z" w:initials="Agent">
    <w:p>
      <w:r>
        <w:rPr>
          <w:rStyle w:val="CommentReference"/>
        </w:rPr>
        <w:annotationRef/>
      </w:r>
      <w:r>
        <w:t xml:space="preserve">该处“请补充说明”仍为空白，请人工确认。</w:t>
      </w:r>
    </w:p>
  </w:comment>
  <w:comment w:id="12" w:author="信贷报告 Agent" w:date="2026-04-14T19:12:41Z" w:initials="Agent">
    <w:p>
      <w:r>
        <w:rPr>
          <w:rStyle w:val="CommentReference"/>
        </w:rPr>
        <w:annotationRef/>
      </w:r>
      <w:r>
        <w:t xml:space="preserve">该处“变动原因”仍为空白，请人工确认。</w:t>
      </w:r>
    </w:p>
  </w:comment>
  <w:comment w:id="13" w:author="信贷报告 Agent" w:date="2026-04-14T19:12:41Z" w:initials="Agent">
    <w:p>
      <w:r>
        <w:rPr>
          <w:rStyle w:val="CommentReference"/>
        </w:rPr>
        <w:annotationRef/>
      </w:r>
      <w:r>
        <w:t xml:space="preserve">该处“予借款人授信敞口1000万元，”仍为模板占位符，请人工核实。</w:t>
      </w:r>
    </w:p>
  </w:comment>
  <w:comment w:id="14" w:author="信贷报告 Agent" w:date="2026-04-14T19:12:41Z" w:initials="Agent">
    <w:p>
      <w:r>
        <w:rPr>
          <w:rStyle w:val="CommentReference"/>
        </w:rPr>
        <w:annotationRef/>
      </w:r>
      <w:r>
        <w:t xml:space="preserve">该处“客户经理”仍为空白，请人工确认。</w:t>
      </w:r>
    </w:p>
  </w:comment>
  <w:comment w:id="15" w:author="信贷报告 Agent" w:date="2026-04-14T19:12:41Z" w:initials="Agent">
    <w:p>
      <w:r>
        <w:rPr>
          <w:rStyle w:val="CommentReference"/>
        </w:rPr>
        <w:annotationRef/>
      </w:r>
      <w:r>
        <w:t xml:space="preserve">该处“共同调查人”仍为空白，请人工确认。</w:t>
      </w:r>
    </w:p>
  </w:comment>
  <w:comment w:id="16" w:author="信贷报告 Agent" w:date="2026-04-14T19:12:41Z" w:initials="Agent">
    <w:p>
      <w:r>
        <w:rPr>
          <w:rStyle w:val="CommentReference"/>
        </w:rPr>
        <w:annotationRef/>
      </w:r>
      <w:r>
        <w:t xml:space="preserve">该处“二级支行行长”仍为空白，请人工确认。</w:t>
      </w:r>
    </w:p>
  </w:comment>
  <w:comment w:id="17" w:author="信贷报告 Agent" w:date="2026-04-14T19:12:41Z" w:initials="Agent">
    <w:p>
      <w:r>
        <w:rPr>
          <w:rStyle w:val="CommentReference"/>
        </w:rPr>
        <w:annotationRef/>
      </w:r>
      <w:r>
        <w:t xml:space="preserve">该处“分管行长”仍为空白，请人工确认。</w:t>
      </w:r>
    </w:p>
  </w:comment>
  <w:comment w:id="18" w:author="信贷报告 Agent" w:date="2026-04-14T19:12:41Z" w:initials="Agent">
    <w:p>
      <w:r>
        <w:rPr>
          <w:rStyle w:val="CommentReference"/>
        </w:rPr>
        <w:annotationRef/>
      </w:r>
      <w:r>
        <w:t xml:space="preserve">该处“行长”仍为空白，请人工确认。</w:t>
      </w:r>
    </w:p>
  </w:comment>
  <w:comment w:id="19" w:author="信贷报告 Agent" w:date="2026-04-14T19:12:41Z" w:initials="Agent">
    <w:p>
      <w:r>
        <w:rPr>
          <w:rStyle w:val="CommentReference"/>
        </w:rPr>
        <w:annotationRef/>
      </w:r>
      <w:r>
        <w:t xml:space="preserve">该处“审查员”仍为空白，请人工确认。</w:t>
      </w:r>
    </w:p>
  </w:comment>
  <w:comment w:id="20" w:author="信贷报告 Agent" w:date="2026-04-14T19:12:41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