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申报单位：客户经理：联系电话：</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16956万元；上年度销售额 10010万元；上年度末员工人数 73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实际主营业务为软件和信息技术服务。上年度末社保人数69人；注册资本：4100万元、实收资本：4100万元；法定代表人：黄祖海。股权穿透后实际控制人持股比例：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根据材料，未提及近两年企业股权发生变动。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材料未提供面访时间、双方会面人员及面访评价。</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未提供</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自2017年以来，我行与借款人建立授信合作关系。材料未提供近三年具体授信敞口数据。</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2026 年 1 月 2026年01月 日，经531系统查询，借款人 2026 年 01 月   日提贷 200万元，到期日 2027 年 01 月   日，贷款采取自主支付方式发放，通过调取借款人账户流水，1. 200万元向 广发银行鼓楼支行 有限公司支付 200 货款（已提供发票）；2. 200万元转至工行同户名账户，穿透查看用于向 1 个人支付采购竹刨花原料款 200万元，其余用于支付税款；3.XX万元元转至农行同户名账户(基本户），用于向37个员工支付工资款。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未提供</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黄色预警提示法定代表人目前信用卡存在逾期，经核实，材料未提供核实过程及结果。综合评判，材料未提供综合评判结论。</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福建福州人，湖南大学电子商务专业本科学历。行业工作经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家庭主要资产为仓山区上渡街道通江路17号江南水都·杰座房产，所有权人为康恩慧、黄祖海。</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借款人福建中锐网络股份有限公司全资控股福建中锐汉鼎信息技术有限公司、福建中锐教育科技有限公司、北京中锐青云科技有限公司、厦门中锐软件科技有限公司，并持有中锐海沃水利技术(福建)有限公司84%股权。</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关联企业数量较多，但整体经营规模有限。其中，福建中锐汉鼎信息技术有限公司主营智慧水利，上年营业收入1223万元，上年净亏损682万元；福建中锐教育科技有限公司主营智慧教育，上年营业收入21万元，上年财务数据存疑待人工核实；北京中锐青云科技有限公司主营产教融合创新服务，上年营业收入204万元，上年净利润16万元；厦门中锐软件科技有限公司主营软硬件销售，上年营业收入7万元，上年财务数据存疑待人工核实；中锐海沃水利技术(福建)有限公司主营智慧水利，上年上年无主营业务收入，上年净利润规模极小(不足1万元)。</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智慧水利与智慧教育业务。智慧水利业务提供大坝安全智能监测、智慧水利流域四预等平台解决方案，已应用于福建省300余座水库；智慧教育业务聚焦数字人才培养，与超1000所高校合作，服务1600余家政企客户。收入结构方面，水利业务占比46%，教育业务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智慧水利与智慧教育业务。其智慧水利产品包括大坝安全智能监测平台等，方案已应用于福建省300余座水库，并获得省科技进步奖二等奖；智慧教育业务与全国超1000所高校及科研院所建立产学研合作，服务1600多家政企客户。企业研发投入持续，近三年研发人员占比均超44%，2025年达53%。上游采购主要给予信用账期，下游结算采用预收款与账期结合方式。业务收入中，水利占比46%，教育占比54%。</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智慧水利业务推出大坝安全智能监测平台、智慧水利流域四预系统等解决方案，已应用于福建省300余座水库。智慧教育业务聚焦数字人才培养，与全国超过1000所高校及科研院所建立产学研合作。2025年实现营业收入10010万元，同比增长14.9%。收入结构方面，智慧水利业务占比46%，智慧教育业务占比54%。前五大客户包括涵江水利局（1116万元，智慧水利）、福建省翔远电子科技有限公司（1122万元，软硬件销售）等。材料未提供生产工艺流程。</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                                                   单位：万元材料未提供前五大供应商采购金额。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commentRangeEnd w:id="4"/>
            <w:r>
              <w:rPr>
                <w:rStyle w:val="CommentReference"/>
              </w:rPr>
              <w:commentReference w:id="4"/>
            </w:r>
          </w:p>
          <w:p w14:paraId="7EA0A4A4">
            <w:commentRangeStart w:id="5"/>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                                                   单位：万元材料未提供前五大客户销售金额。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5"/>
            <w:r>
              <w:rPr>
                <w:rStyle w:val="CommentReference"/>
              </w:rPr>
              <w:commentReference w:id="5"/>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③经营账期与财务表现：企业总体营运资金周转效率偏慢，应收账款周转天数271天，同比缩短117天，但仍显著高于软件信息业90-180天典型区间，主要由于项目验收周期较长及政府、大客户回款账期长；存货周转天数129天，同比延长49天，高于行业30-90天区间，存货较年初增长88.0%，存在积压信号。</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从整体财务状况看，企业2025年经营规模与效益有所提升。营业收入同比增长14.9%至10010万元，净利润同比增长50.1%至494万元，盈利能力改善。毛利率为38.0%（同比下降0.8个百分点），净利率为4.9%（同比上升1.2个百分点），营业利润率为4.8%（同比上升0.2个百分点），净利率提升主要得益于费用控制。偿债能力方面，资产负债率较年初下降7.7个百分点至42.5%，流动比率与速动比率分别提升至1.82倍和1.51倍，均处于行业健康区间，短期偿债压力有所缓解。现金流方面，经营活动净现金流为791万元，经营现金流/净利润达1.60，销售收现比为1.04，现金流生成质量健康。综合来看，企业盈利增长、偿债指标改善且现金流健康，第一还款来源（经营现金流）对短期借款（4730万元）的覆盖能力虽有限，但整体财务结构稳健，为偿还债务提供了基础保障。</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下滑趋势在2025年得到扭转并恢复增长，同时毛利率在经历波动后于近两年稳定在较高水平，显示盈利能力的改善与巩固。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材料未提供财务真实性验证相关材料。借款人近三年财务数据，其中2023-2025年财务数据未提供审计报告。2025年末总资产16956万元，较年初下降8.7%；总负债7207万元，较年初下降22.7%；资产负债率较年初有所变化，具体幅度以财务附表为准，低于软件信息业30-55%典型区间。营业收入10010万元，同比增长14.9%；净利润494万元，同比增长50.1%；净利率较年初有所变化，具体幅度以财务附表为准，处于行业典型区间下限。流动比率较年初有所变化，具体幅度以财务附表为准，速动比率较年初有所变化，具体幅度以财务附表为准，短期偿债能力指标均处于行业合理区间。</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应收账款7430万元，较年初下降19.7%，近三年呈波动下降趋势。应收账款周转天数较年初有所变化，具体幅度以财务附表为准，周转效率有所改善，但仍显著高于软件信息业90-180天典型区间，主要由于项目验收周期较长及客户回款账期较长。其他应收款2774万元，较年初下降21.2%。存货2192万元，较年初大幅增长88.0%，远超营收增速，存在存货积压信号；存货周转天数较年初有所变化，具体幅度以财务附表为准，周转效率恶化，高于行业30-90天典型区间。应付账款1026万元，较年初下降56.0%。其他应付款168万元，较年初下降74.1%。</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14192万元，主要构成及趋势变动情况： 2025年末应收账款为7430万元，较2024年末的9253万元下降19.7%，回款情况有所改善。但该科目在2022至2024年间持续快速增长，由4410万元增至9253万元，累计增幅达110%，需关注其前期增长原因及资产质量。</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0万元，主要构成及趋势变动情况： 2025年末其他应收款为2774万元，较2024年末的3522万元下降21.2%，呈回落趋势。但该科目余额仍显著高于2022年末的1432万元，占流动资产比重较高。</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0万元，主要构成及趋势变动情况： 2025年末存货为2192万元，较2024年末的1166万元大幅增长88.0%，结束了自2022年（5301万元）以来的连续下降趋势。结合资产负债表，存货占总资产比重有所回升，但具体存货结构及增长原因（如原材料、在产品或产成品）依据现有材料无法判断。</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规模持续增长，2025年末达3123万元，较2024年末的2518万元增加605万元，增幅为24.0%。该科目自2022年末的1644万元起逐年上升，显示企业对外投资活动较为活跃。由于财务报表材料片段未披露长期投资的具体构成，无法进一步分析其投资性质与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14283万元，主要构成及趋势变动情况： 应付账款期末余额为1026万元，较年初的2333万元大幅下降56.0%，主要系公司支付了前期采购款项所致。该科目在2022至2024年间呈持续增长态势，2025年显著回落，需关注其与采购及付款节奏的匹配关系。</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0万元，主要构成及趋势变动情况： 2025年末其他应付款为168万元，较2024年末的648万元大幅下降480万元，降幅达74.1%。该科目余额已回落至接近2023年水平，显示企业对外部非经营性往来款项的偿付压力显著减轻。</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材料，2025年营收为1010万元，收入结构为水利占比46%、教育占比54%。企业紧跟国家水利政策与数字人才培养战略，推出相应解决方案，市场应用情况良好，与全国超过1000所高校及科研院所合作，服务1600多家政企客户，智慧水利方案已应用于福建省300+座水库。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材料未提供最近三年具体的利润数据，无法直接分析盈利能力变动。但可从关联企业数据窥见部分业务板块的盈利压力：控股子公司福建中锐汉鼎信息技术有限公司（智慧水利）上年净亏损682万元；福建中锐教育科技有限公司（智慧教育）上年净亏损1275万元（数据需核实）。母公司层面，持续的研发投入（近三年研发费用占比7.4%-14.5%）可能对短期盈利造成影响，但有助于构建长期技术壁垒。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根据提供的2025年资产负债表，未直接列示“固定资产”科目，且无2022至2024年数据，无法分析其投资变动趋势。</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根据提供的2025年资产负债表，企业2025年末货币资金为286万元，较年初的506万元大幅减少43.6%；同时，存货由年初的1166万元激增至2192万元，增幅达87.9%。其他财务指标因材料缺失，无法进行同比或趋势分析。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恶化至极低水平。尽管流动比率有所改善且资产负债率呈下降趋势，但核心流动性指标的急剧下滑表明企业面临严峻的即时支付风险。偿债能力由杠杆水平与流动性共同决定，需同步观察资产负债率和短债覆盖能力。</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2025年经营活动净现金流791万元，经营现金流/净利润为1.60，销售商品收现/营收为1.04，现金流质量健康。投资活动净流出586万元，筹资活动净流出426万元。期末货币资金286万元，较年初下降43.6%。短期借款4730万元，年经营现金流仅791万元，短期债务需滚动偿还。</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 xml:space="preserve">最近三年现金流量表分析：  材料仅提供了2025年部分现金流量数据：销售商品、提供劳务收到的现金为103852568.95元（约10385万元），收到的税费返还为2643784.65元（约264万元）。完整的最近三年（2023-2025）现金流量表数据缺失，无法进行全面分析。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应收账款周转效率持续恶化，回款能力显著下降。存货管理波动剧烈，存在库存积压风险。运营效率需重点跟踪应收账款周转与收入扩张的匹配程度。</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经营现金流波动剧烈且整体偏弱，呈现间歇性负值，表明主营业务造血能力不稳定。公司持续依赖外部融资弥补经营和投资缺口，但筹资活动净流入呈收缩趋势，2025年转为净流出，显示外部融资环境趋紧。现金流结构显示公司仍处于投资扩张阶段，但经营现金流的脆弱性可能制约其持续投资能力。</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持续恶化，远超警戒线，表明客户回款能力严重不足，存在显著的坏账风险。货币资金对短期借款的覆盖率急剧下降至极低水平，企业短期偿债能力极度脆弱，面临严重的流动性危机。尽管资产负债率有所改善，但前述两项核心指标的严重恶化已构成重大风险信号。</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4440万元，其中交通银行屏东支行1000万元、海峡银行金山支行500万元、厦门国际银行台江支行640万元、兴业银行环球支行1000万元、工商银行500万元、中国银行福建省分行600万元、广发银行鼓楼支行200万元，五级分类正常。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6"/>
            <w:r>
              <w:rPr>
                <w:rStyle w:val="CommentReference"/>
              </w:rPr>
              <w:commentReference w:id="6"/>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7"/>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7"/>
            <w:r>
              <w:rPr>
                <w:rStyle w:val="CommentReference"/>
              </w:rPr>
              <w:commentReference w:id="7"/>
            </w:r>
          </w:p>
          <w:p w14:paraId="4355488A">
            <w:commentRangeStart w:id="8"/>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8"/>
            <w:r>
              <w:rPr>
                <w:rStyle w:val="CommentReference"/>
              </w:rPr>
              <w:commentReference w:id="8"/>
            </w:r>
          </w:p>
          <w:p w14:paraId="0BD0E5B0">
            <w:commentRangeStart w:i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信用报告，黄祖海名下有未结清贷款账户1笔，余额1000万元，为中行个人经营贷款，经营主体为一家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一家有限公司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9"/>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康恩慧，中国国籍，1978年生。材料未提供其籍贯及个人征信信息。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显示企业为科技型企业，近三年持续进行研发投入（2023年895万、2024年1262万、2025年1049万），研发人员占比高（44%-53%），拥有自主研发的智慧水利平台解决方案并获得省级科技奖项。但未提供具体的评分体系及得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科技型企业类型：材料未提供科技型企业类型信息。</w:t>
              <w:br/>
              <w:t>科技型企业评分：材料未提供科技型企业评分。</w:t>
              <w:br/>
              <w:t>核心研发人员享有股权激励。</w:t>
              <w:br/>
              <w:t>近三年研发投入占比分别为7.4%（2023年）、14.5%（2024年）、10.5%（2025年）；研发人员占比分别为44%（2023年）、49%（2024年）、53%（2025年）。</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2025年经营活动净现金流为791万元，但账上货币资金为286万元。因对上游供应商采用预付款和账期款方式，对下游客户销售收款采用预收款和账期或全款方式，且存货较年初大幅增长88.0%至2192万元，存货周转天数同比延长49天至129天，应收账款周转天数虽同比缩短117天至271天，但仍处于较高水平，对营运资金需求较大，故需申请部分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10"/>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0"/>
            <w:r>
              <w:rPr>
                <w:rStyle w:val="CommentReference"/>
              </w:rPr>
              <w:commentReference w:id="10"/>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材料未提供营运资金需求测算表。</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1"/>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1"/>
            <w:r>
              <w:rPr>
                <w:rStyle w:val="CommentReference"/>
              </w:rPr>
              <w:commentReference w:id="11"/>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企业经营性现金流。根据2025年现金流量表部分数据，销售商品、提供劳务收到的现金约为10385万元。企业下游客户包括水利局、事业单位及科技公司，收款方式采用预收款和账期结合，有助于现金流管理。但需关注关联子公司亏损可能对集团整体现金流产生的影响。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第二还款来源分析：1. 抵质押物：材料中仅列示一项私有房产（仓山区上渡街道通江路17号江南水都·杰座），所有权人为康恩慧、黄祖海（实控人及其配偶），面积143.45平方米，但未提供评估价及抵押状态，变现能力待评估。2. 其他渠道：企业现有8笔银行流贷，授信合计5640万元，已用4440万元，均由实际控制人黄祖海、陈其俤及关联企业（如中锐汉鼎）等提供保证担保，显示外部融资渠道及担保资源尚可。但关联企业自身经营状况不佳，担保代偿能力有限。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企业2025年实现营业收入10010万元，同比增长14.9%；净利润494万元，同比增长50.1%。净利率较年初有所变化，具体幅度以财务附表为准，但低于软件信息业5-15%的典型区间。毛利率为38.0%，处于行业30-50%的合理区间。经营活动净现金流为791万元，经营现金流/净利润为1.60，销售商品收现/营收为1.04，现金流质量健康，对净利润覆盖良好。应收账款周转天数较年初有所变化，具体幅度以财务附表为准，但仍显著高于行业90-180天的典型区间，主要由于项目验收周期较长及政府客户回款账期较长。存货周转天数较年初有所变化，具体幅度以财务附表为准，远超行业30-90天的区间，存货较年初增长88.0%至2192万元，存在积压信号。企业短期借款4730万元，年经营现金流791万元，短期偿债对经营现金流的依赖度较高。企业资产负债率较年初有所变化，具体幅度以财务附表为准，流动比率提升至1.82倍，速动比率1.51倍，均处于行业合理区间，短期偿债能力指标有所改善。企业融资清单显示已用授信合计4440万元，需关注其整体债务偿付安排。</w:t>
              <w:br/>
              <w:br/>
              <w:t>②第二还款来源（抵质押物变现能力分析及其他渠道现金流分析）：实际控制人黄祖海及其配偶康恩慧名下拥有位于仓山区上渡街道通江路17号江南水都·杰座的房产，面积143.45平方米，权属证号为榕 房权证 R 字第 0838000 号。材料未提供该房产的账面价值、评估价值及当前抵押情况。关联企业福建中锐汉鼎信息技术有限公司上年净亏损682万元，福建中锐教育科技有限公司及厦门中锐软件科技有限公司财务数据存疑，待人工核实。</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2"/>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抵押物为仓山区上渡街道通江路17号江南水都·杰座私有房产，权属证号榕房权证R字第0838000号，所有权人为康恩慧、黄祖海，建筑面积143.45平方米。</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①保证人基本信息：保证人包括福建中锐汉鼎信息技术有限公司、福建中锐教育科技有限公司、北京中锐青云科技有限公司、厦门中锐软件科技有限公司、中锐海沃水利技术(福建)有限公司。</w:t>
              <w:br/>
              <w:t>②保证人化型及对公PD X级：材料未提供保证人化型及对公PD评级。</w:t>
              <w:br/>
              <w:t>③保证人主要经营情况：福建中锐汉鼎信息技术有限公司主营智慧水利，注册资本1000万元，营业收入1223万元，净亏损682万元。福建中锐教育科技有限公司主营智慧教育，注册资本1000万元，营业收入21万元，财务数据存疑待人工核实。北京中锐青云科技有限公司主营产教融合创新服务，注册资本1000万元，营业收入204万元，净利润16万元。厦门中锐软件科技有限公司主营软硬件销售，注册资本1200万元，营业收入7万元，财务数据存疑待人工核实。中锐海沃水利技术(福建)有限公司主营智慧水利，注册资本1000万元，上年无主营业务收入，净利润0万元。</w:t>
              <w:br/>
              <w:t>④保证人征信信息：材料未提供保证人征信信息。</w:t>
              <w:br/>
              <w:t>⑤主要财务指标：材料未提供保证人主要财务指标。</w:t>
              <w:br/>
              <w:t>⑥其他：材料未提供保证人风险信息及涉诉情况。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借款人福建中锐网络股份有限公司主营智慧水利与教育，2025年营收同比增长14.9%至10010万元，净利润同比增长50.1%至494万元，经营现金流791万元，对净利润覆盖倍数为1.60，现金流质量健康。资产负债率较年初下降7.7个百分点至42.5%，处于软件信息业30-55%的合理区间，但短期借款4730万元，需依赖经营现金流滚动偿还。应收账款周转天数同比缩短117天至271天，但仍显著高于行业90-180天典型区间，主要由于项目制验收周期长及政府客户回款账期长；存货周转天数同比延长49天至129天，远超行业30-90天区间，存货较年初增长88.0%，存在积压信号。企业为存量客户，现有银行授信合计5640万元，已使用4440万元。本次申报新增授信1000万元，用于补充流动资金，由实际控制人黄祖海及其配偶康恩慧提供名下位于仓山区上渡街道通江路17号江南水都·杰座的房产抵押，并追加实际控制人连带责任保证。贷后需监控销售回款进度，关注存货消化情况，确保贷款资金用于真实经营。</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经营现金流/净利润为1.60，销售商品收现/营收为1.04，现金流质量健康。经营活动净现金流同比（2024年数据缺失，无法计算同比），但经营现金流覆盖净利润倍数达1.60，显示利润实现质量较高。公司期末货币资金286万元，短期借款4730万元，年经营现金流仅791万元，短贷需滚动偿还，凸显了对银行融资的持续依赖，第一还款来源对短期债务的覆盖能力偏弱。</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资产负债率较年初有所变化，具体幅度以财务附表为准，处于软件信息技术服务业30-55%的典型区间内，结构稳健；流动比率较年初有所变化，具体幅度以财务附表为准，速动比率较年初有所变化，具体幅度以财务附表为准，两者均处于行业基准区间（流动比率1.5-1.81倍，速动比率1.2-1.51倍）的健康水平。偿债能力指标均呈改善趋势，主要得益于总负债较年初下降22.7%的幅度远超总资产8.7%的降幅，所有者权益增长夯实了资本基础，短期偿债压力有所缓解，为偿还银行贷款提供了更好的财务缓冲。</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智慧水利与智慧教育，在数字水利领域获省级科技进步奖，应用于省内300余座水库；数字教育服务超1000所高校及1600多家政企客户。公司研发人员占比53%，2025年研发投入1049万元，技术储备与市场基础较好。但需关注其存货周转天数较年初有所变化，具体幅度以财务附表为准，显著高于行业30-90天的典型区间，主要因智慧水利、教育项目定制化程度高、验收周期长导致存货积压；同时应收账款周转天数271天虽同比缩短117天，仍远高于行业90-180天区间，主因项目制及政府、大企业客户账期较长，对营运资金形成占用。</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借款人现有银行授信合计5640万元，已用4440万元。我行此次申请敞口额度材料未提供具体金额。公司名下无可抵押固定资产，主要资产为应收账款7430万元及存货2192万元。配结算：材料未提供借款人在我行结算情况。</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强担保：本次申请授信由实际控制人黄祖海及其配偶康恩慧名下位于仓山区上渡街道通江路17号江南水都·杰座的房产提供抵押，并追加实控人个人连带责任保证。基于以上六要素综合评判，借款人予以准入。</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3"/>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3"/>
            <w:r>
              <w:rPr>
                <w:rStyle w:val="CommentReference"/>
              </w:rPr>
              <w:commentReference w:id="13"/>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6AC425A6">
            <w:commentRangeStart w:id="1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5"/>
            <w:r>
              <w:rPr>
                <w:rStyle w:val="CommentReference"/>
              </w:rPr>
              <w:commentReference w:id="15"/>
            </w:r>
          </w:p>
          <w:p w14:paraId="2FC82B07">
            <w:commentRangeStart w:id="16"/>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269107E9">
            <w:commentRangeStart w:id="17"/>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3096CC3B">
            <w:commentRangeStart w:id="18"/>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2:06:01Z" w:initials="Agent">
    <w:p>
      <w:r>
        <w:rPr>
          <w:rStyle w:val="CommentReference"/>
        </w:rPr>
        <w:annotationRef/>
      </w:r>
      <w:r>
        <w:t xml:space="preserve">该处“申报单位”仍为空白，请人工确认。</w:t>
      </w:r>
    </w:p>
  </w:comment>
  <w:comment w:id="1" w:author="信贷报告 Agent" w:date="2026-04-15T12:06:01Z" w:initials="Agent">
    <w:p>
      <w:r>
        <w:rPr>
          <w:rStyle w:val="CommentReference"/>
        </w:rPr>
        <w:annotationRef/>
      </w:r>
      <w:r>
        <w:t xml:space="preserve">该处“小类）”仍为空白，请人工确认。</w:t>
      </w:r>
    </w:p>
  </w:comment>
  <w:comment w:id="2" w:author="信贷报告 Agent" w:date="2026-04-15T12:06:01Z" w:initials="Agent">
    <w:p>
      <w:r>
        <w:rPr>
          <w:rStyle w:val="CommentReference"/>
        </w:rPr>
        <w:annotationRef/>
      </w:r>
      <w:r>
        <w:t xml:space="preserve">该处“绿通标识”仍为空白，请人工确认。</w:t>
      </w:r>
    </w:p>
  </w:comment>
  <w:comment w:id="3" w:author="信贷报告 Agent" w:date="2026-04-15T12:06:01Z" w:initials="Agent">
    <w:p>
      <w:r>
        <w:rPr>
          <w:rStyle w:val="CommentReference"/>
        </w:rPr>
        <w:annotationRef/>
      </w:r>
      <w:r>
        <w:t xml:space="preserve">该处“分析原因”仍为空白，请人工确认。</w:t>
      </w:r>
    </w:p>
  </w:comment>
  <w:comment w:id="4" w:author="信贷报告 Agent" w:date="2026-04-15T12:06:01Z" w:initials="Agent">
    <w:p>
      <w:r>
        <w:rPr>
          <w:rStyle w:val="CommentReference"/>
        </w:rPr>
        <w:annotationRef/>
      </w:r>
      <w:r>
        <w:t xml:space="preserve">该处“主要上游（前五大）”仍为空白，请人工确认。</w:t>
      </w:r>
    </w:p>
  </w:comment>
  <w:comment w:id="5" w:author="信贷报告 Agent" w:date="2026-04-15T12:06:01Z" w:initials="Agent">
    <w:p>
      <w:r>
        <w:rPr>
          <w:rStyle w:val="CommentReference"/>
        </w:rPr>
        <w:annotationRef/>
      </w:r>
      <w:r>
        <w:t xml:space="preserve">该处“主要下游（前五大）”仍为空白，请人工确认。</w:t>
      </w:r>
    </w:p>
  </w:comment>
  <w:comment w:id="6" w:author="信贷报告 Agent" w:date="2026-04-15T12:06:01Z" w:initials="Agent">
    <w:p>
      <w:r>
        <w:rPr>
          <w:rStyle w:val="CommentReference"/>
        </w:rPr>
        <w:annotationRef/>
      </w:r>
      <w:r>
        <w:t xml:space="preserve">该处“反馈中长期借款还款计划及还款资金安排情况”仍为空白，请人工确认。</w:t>
      </w:r>
    </w:p>
  </w:comment>
  <w:comment w:id="7" w:author="信贷报告 Agent" w:date="2026-04-15T12:06:01Z" w:initials="Agent">
    <w:p>
      <w:r>
        <w:rPr>
          <w:rStyle w:val="CommentReference"/>
        </w:rPr>
        <w:annotationRef/>
      </w:r>
      <w:r>
        <w:t xml:space="preserve">该处“（若有）对外担保情况”仍为空白，请人工确认。</w:t>
      </w:r>
    </w:p>
  </w:comment>
  <w:comment w:id="8" w:author="信贷报告 Agent" w:date="2026-04-15T12:06:01Z" w:initials="Agent">
    <w:p>
      <w:r>
        <w:rPr>
          <w:rStyle w:val="CommentReference"/>
        </w:rPr>
        <w:annotationRef/>
      </w:r>
      <w:r>
        <w:t xml:space="preserve">该处“（若有）不良记录情况”仍为空白，请人工确认。</w:t>
      </w:r>
    </w:p>
  </w:comment>
  <w:comment w:id="9" w:author="信贷报告 Agent" w:date="2026-04-15T12:06:01Z" w:initials="Agent">
    <w:p>
      <w:r>
        <w:rPr>
          <w:rStyle w:val="CommentReference"/>
        </w:rPr>
        <w:annotationRef/>
      </w:r>
      <w:r>
        <w:t xml:space="preserve">该处“为中行个人经营贷款，经营主体为”仍为模板占位符，请人工核实。</w:t>
      </w:r>
    </w:p>
  </w:comment>
  <w:comment w:id="10" w:author="信贷报告 Agent" w:date="2026-04-15T12:06:01Z" w:initials="Agent">
    <w:p>
      <w:r>
        <w:rPr>
          <w:rStyle w:val="CommentReference"/>
        </w:rPr>
        <w:annotationRef/>
      </w:r>
      <w:r>
        <w:t xml:space="preserve">该处“请补充分析原因”仍为空白，请人工确认。</w:t>
      </w:r>
    </w:p>
  </w:comment>
  <w:comment w:id="11" w:author="信贷报告 Agent" w:date="2026-04-15T12:06:01Z" w:initials="Agent">
    <w:p>
      <w:r>
        <w:rPr>
          <w:rStyle w:val="CommentReference"/>
        </w:rPr>
        <w:annotationRef/>
      </w:r>
      <w:r>
        <w:t xml:space="preserve">该处“请补充说明”仍为空白，请人工确认。</w:t>
      </w:r>
    </w:p>
  </w:comment>
  <w:comment w:id="12" w:author="信贷报告 Agent" w:date="2026-04-15T12:06:01Z" w:initials="Agent">
    <w:p>
      <w:r>
        <w:rPr>
          <w:rStyle w:val="CommentReference"/>
        </w:rPr>
        <w:annotationRef/>
      </w:r>
      <w:r>
        <w:t xml:space="preserve">该处“变动原因”仍为空白，请人工确认。</w:t>
      </w:r>
    </w:p>
  </w:comment>
  <w:comment w:id="13" w:author="信贷报告 Agent" w:date="2026-04-15T12:06:01Z" w:initials="Agent">
    <w:p>
      <w:r>
        <w:rPr>
          <w:rStyle w:val="CommentReference"/>
        </w:rPr>
        <w:annotationRef/>
      </w:r>
      <w:r>
        <w:t xml:space="preserve">该处“予借款人授信敞口1000万元，”仍为模板占位符，请人工核实。</w:t>
      </w:r>
    </w:p>
  </w:comment>
  <w:comment w:id="14" w:author="信贷报告 Agent" w:date="2026-04-15T12:06:01Z" w:initials="Agent">
    <w:p>
      <w:r>
        <w:rPr>
          <w:rStyle w:val="CommentReference"/>
        </w:rPr>
        <w:annotationRef/>
      </w:r>
      <w:r>
        <w:t xml:space="preserve">该处“客户经理”仍为空白，请人工确认。</w:t>
      </w:r>
    </w:p>
  </w:comment>
  <w:comment w:id="15" w:author="信贷报告 Agent" w:date="2026-04-15T12:06:01Z" w:initials="Agent">
    <w:p>
      <w:r>
        <w:rPr>
          <w:rStyle w:val="CommentReference"/>
        </w:rPr>
        <w:annotationRef/>
      </w:r>
      <w:r>
        <w:t xml:space="preserve">该处“共同调查人”仍为空白，请人工确认。</w:t>
      </w:r>
    </w:p>
  </w:comment>
  <w:comment w:id="16" w:author="信贷报告 Agent" w:date="2026-04-15T12:06:01Z" w:initials="Agent">
    <w:p>
      <w:r>
        <w:rPr>
          <w:rStyle w:val="CommentReference"/>
        </w:rPr>
        <w:annotationRef/>
      </w:r>
      <w:r>
        <w:t xml:space="preserve">该处“二级支行行长”仍为空白，请人工确认。</w:t>
      </w:r>
    </w:p>
  </w:comment>
  <w:comment w:id="17" w:author="信贷报告 Agent" w:date="2026-04-15T12:06:01Z" w:initials="Agent">
    <w:p>
      <w:r>
        <w:rPr>
          <w:rStyle w:val="CommentReference"/>
        </w:rPr>
        <w:annotationRef/>
      </w:r>
      <w:r>
        <w:t xml:space="preserve">该处“分管行长”仍为空白，请人工确认。</w:t>
      </w:r>
    </w:p>
  </w:comment>
  <w:comment w:id="18" w:author="信贷报告 Agent" w:date="2026-04-15T12:06:01Z" w:initials="Agent">
    <w:p>
      <w:r>
        <w:rPr>
          <w:rStyle w:val="CommentReference"/>
        </w:rPr>
        <w:annotationRef/>
      </w:r>
      <w:r>
        <w:t xml:space="preserve">该处“行长”仍为空白，请人工确认。</w:t>
      </w:r>
    </w:p>
  </w:comment>
  <w:comment w:id="19" w:author="信贷报告 Agent" w:date="2026-04-15T12:06:01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