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申报单位：客户经理：联系电话：</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16956万元；上年度销售额 10010万元；上年度末员工人数 73 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PD评级：6级【上一期授信评级：7级】</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实际主营业务为软件开发、系统集成及技术服务，主要服务于教育、政务等领域。上年度末社保人数69人；注册资本：4100万元、实收资本：4100万元；法定代表人：黄祖海。股权穿透后实际控制人为黄祖海，持股比例详见下表。最新股权结构详见下表。</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根据提供的材料，未发现近两年企业股权变动的相关信息。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本次面访的具体时间、双方会面人员信息。实控人黄祖海为湖南大学电子商务专业本科学历，自2000年起长期从事网络技术行业，历任福建实达网络科技有限公司技术工程师、技术经理，福建星网锐捷网络有限公司技术部总经理，自2012年起创立并经营福建中锐网络股份有限公司，行业经验丰富。</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材料未提供实地走访情况相关记录。</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2020-09-23</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213</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2026年01月 日，经531系统查询，借款人 2026 年 01 月   日提贷 200万元，到期日 2027 年 01 月   日，贷款采取自主支付方式发放，通过调取借款人账户流水，1. 200万元向 广发银行鼓楼支行 有限公司支付 200 货款（已提供发票）；2. 200万元转至工行同户名账户，穿透查看用于向 1 个人支付采购竹刨花原料款 200万元，其余用于支付税款；3.XX万元元转至农行同户名账户(基本户），用于向37个员工支付工资款。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具体落实情况</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黄色预警提示法定代表人目前信用卡存在逾期，经核实，需补充信用卡逾期具体金额、时间及核实过程说明。</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3"/>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3"/>
            <w:r>
              <w:rPr>
                <w:rStyle w:val="CommentReference"/>
              </w:rPr>
              <w:commentReference w:id="3"/>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及实际控制人：黄祖海，中国国籍，身份证号350124197704201694，已婚，配偶康恩慧（身份证号352101197802182324）。持有湖南大学电子商务专业本科学历。行业工作经历：2000年5月至2001年12月任福建实达网络科技有限公司技术工程师；2002年1月至2003年1月任该公司技术经理；2003年1月至2011年12月任福建星网锐捷网络有限公司技术部总经理；2012年1月至2016年3月任福建中锐网络科技有限公司法定代表人、执行董事兼总经理；2016年3月至今任福建中锐网络股份有限公司董事长兼总裁。家庭主要资产为位于仓山区上渡街道通江路17号江南水都·杰座的房产（权属证号：榕 房权证 R 字第 0838000 号），面积143.45平方米，所有权人为康恩慧、黄祖海。</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关联企业关系：可附图</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企业关联方主要为5家全资或控股子公司，其中福建中锐汉鼎信息技术有限公司、福建中锐教育科技有限公司、北京中锐青云科技有限公司、厦门中锐软件科技有限公司、中锐海沃水利技术(福建)有限公司。关联企业经营规模普遍较小，除福建中锐汉鼎信息技术有限公司上年收入1223万元外，其余收入均未超过204万元，且多数处于亏损状态，与借款人业务协同性一般。</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智慧水利与智慧教育业务。智慧水利业务提供水灾害、水工程、水资源等六大重点应用解决方案；智慧教育业务聚焦数字人才培养，实现产业与人才需求对接。收入结构上，水利业务占比46%，教育业务占比54%。</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主营智慧水利与智慧教育业务。智慧水利方面，拥有大坝安全智能监测平台等产品，获福建省科技进步奖二等奖，应用于省内300余座水库；智慧教育方面，服务全国超1000所高校及1600多家政企客户。企业研发投入较高，2025年研发费用1049万元，占营收10.5%，研发人员占比53%。上游主要向锐捷网络等供应商采购，最大供应商采购占比19.77%，享有较优信用账期；下游客户包括涵江水利局等，最大客户销售占比10.02%，结算采用预收款与账期结合方式。业务收入结构为水利46%、教育54%。</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企业主营业务为智慧水利与智慧教育，2025年实现营业收入10010万元，同比增长14.9%。其中，智慧水利业务收入占比约46%，智慧教育业务收入占比约54%。[COMPOSITE-SLOT]</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企业上游为锐捷网络、北京星链南天等信息技术服务商，下游客户包括涵江水利局、福建省翔远电子科技有限公司等。详见下表。</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commentRangeStart w:id="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                                                   单位：万元</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4"/>
            <w:r>
              <w:rPr>
                <w:rStyle w:val="CommentReference"/>
              </w:rPr>
              <w:commentReference w:id="4"/>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commentRangeStart w:id="5"/>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                                                   单位：万元</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commentRangeEnd w:id="5"/>
            <w:r>
              <w:rPr>
                <w:rStyle w:val="CommentReference"/>
              </w:rPr>
              <w:commentReference w:id="5"/>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企业未提供最新在手订单明细。</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r>
              <w:t>收入下滑趋势在2025年得到扭转并恢复增长，同时毛利率在经历波动后于近两年稳定在较高水平，盈利能力的稳定性有所改善。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 存货较年初+88.0%,远超营收较年初增速+14.9%,存货积压信号</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 短期借款4730万,年经营现金流仅791万,短贷需滚动偿还归因模板(LLM 撰写财务段时使用):若指标超出行业区间,须在财务分析中明确标注</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6354万元，主要构成及趋势变动情况： 2025年末应收账款为7430万元，较2024年末的9253万元下降19.7%，回款情况有所改善。但该科目余额仍处于近四年来的次高水平，且2022至2024年间持续快速增长，需关注其历史增长趋势及当前余额的构成与账龄。</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3621万元，主要构成及趋势变动情况： 其他应收款2025年末为2774万元，较2024年末的3522万元下降21.2%，呈回落趋势。该科目在2023年曾大幅增长至3621万元，目前虽有所压降，但占流动资产比重仍达21.2%，需关注其具体构成与回收风险。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commentRangeStart w:id="6"/>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企业存货在2025年末为2192万元，较2024年末的1166万元大幅增长88.0%。然而，结合历史数据看，存货规模自2022年的5301万元起已连续两年显著下降，2025年的回升可能预示着经营策略或市场环境的变化。</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6"/>
            <w:r>
              <w:rPr>
                <w:rStyle w:val="CommentReference"/>
              </w:rPr>
              <w:commentReference w:id="6"/>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企业长期投资规模持续增长，2025年末达3123万元，较2024年末的2518万元增加605万元，增幅为24.0%。该科目自2022年以来呈上升趋势，但财务报表材料中未披露其具体构成及变动原因。</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账款1026</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应付账款期末余额为1026万元，较2024年末的2333万元大幅下降56.0%，主要系公司清偿了前期采购款项所致。该科目在2022至2024年间呈持续增长态势，2025年的大幅下降改善了公司的短期偿债压力。</w:t>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2025年末其他应付款为168万元，较2024年末的648万元大幅下降480万元，降幅达74.1%。该科目余额在2022至2024年间持续快速增长，由63万元增至648万元，但2025年显著回落。</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 xml:space="preserve">（7）主营业务收入变动原因： 企业主营业务为智慧水利和智慧教育。根据材料，2025年营收为1010万元。从收入结构看，水利占比46%、教育占比54%，业务结构相对均衡。企业紧跟国家水利政策和数字人才培养战略，智慧水利解决方案已应用于福建省300+座水库，智慧教育服务超过1000所高校及1600多家政企客户，市场需求稳定。但关联企业福建中锐汉鼎信息技术有限公司（智慧水利）上年营收1223万但净亏损682万，福建中锐教育科技有限公司（智慧教育）上年营收仅21万且亏损巨大，显示部分业务板块经营效益不佳，可能对整体收入增长构成压力。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 xml:space="preserve">（8）盈利能力变动原因： 企业2025年营收1010万元。材料未提供具体的净利润数据，但可从关联企业经营情况推断盈利能力面临挑战。主要关联企业中：福建中锐汉鼎信息技术有限公司（智慧水利）上年净亏损682万元；福建中锐教育科技有限公司（智慧教育）上年净亏损1275万元（数据需核实）；北京中锐青云科技有限公司盈利16万元；厦门中锐软件科技有限公司亏损13万元。两家核心业务子公司均大幅亏损，显示企业智慧水利与智慧教育业务的成本控制或项目盈利模式可能存在问题，侵蚀了整体利润。尽管企业持续进行研发投入（2025年研发费用1049万元，占比10.5%），但尚未能有效转化为盈利。                 </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材料未提供后续大额固定资产投入计划及资金安排信息，建议补充投资预算、采购/建设进度、资金来源（自有/贷款/补贴等）及预计形成资产情况。</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根据提供的2025年资产负债表，企业货币资金期末余额为286万元，较年初的506万元大幅减少43.6%，流动性显著收紧。同时，应收账款由9253万元下降至7430万元，降幅为19.7%，回款情况有所改善。</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企业短期偿债压力显著加剧，货币资金对短期债务的保障能力持续恶化。尽管流动比率有所改善且资产负债率呈下降趋势，但核心流动性指标的大幅下滑表明企业即期支付能力存在严重隐患。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应收账款周转效率持续恶化，回款能力显著下降。存货管理波动剧烈，存在库存积压风险。运营效率需重点跟踪应收账款周转与收入扩张的匹配程度。</w:t>
            </w:r>
          </w:p>
          <w:p w14:paraId="0A792E2F">
            <w:pPr>
              <w:pStyle w:val="11"/>
              <w:rPr>
                <w:rFonts w:hint="eastAsia"/>
                <w:lang w:val="en-US" w:eastAsia="zh-CN"/>
              </w:rPr>
            </w:pPr>
            <w:r>
              <w:t xml:space="preserve">经营现金流波动剧烈且整体偏弱，呈现间歇性净流出状态，表明主营业务造血能力不稳定。公司持续依赖外部融资维持投资活动，但筹资活动净流入规模逐年收缩，2025年转为净流出，显示外部融资环境趋紧。现金流结构显示公司尚未形成自我可持续的现金循环。</w:t>
            </w:r>
          </w:p>
          <w:p w14:paraId="0A792E2F">
            <w:pPr>
              <w:pStyle w:val="11"/>
              <w:rPr>
                <w:rFonts w:hint="eastAsia"/>
                <w:lang w:val="en-US" w:eastAsia="zh-CN"/>
              </w:rPr>
            </w:pPr>
            <w:r>
              <w:t xml:space="preserve">应收账款周转天数持续恶化，已显著超过风险阈值，表明客户回款能力严重不足，信用风险急剧升高。货币资金对短期借款的覆盖率已降至极低水平，远低于安全阈值，企业面临严峻的短期偿债压力，流动性风险极高。当前已触发硬阈值预警：应收账款周转天数超过180天，回款风险偏高。</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例:『应收周转天数271天,显著高于软件信息业90-180天典型区间,主要由于项目验收周期较长+政府客户回款账期较长』</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 xml:space="preserve">最近三年现金流量表分析：  材料提供了2024年及2023年部分现金流量数据。2024年度：经营活动现金流入小计8030万元，其中销售商品、提供劳务收到的现金4890万元；经营活动现金流出小计8926万元（购买商品、接受劳务支付4077万元，支付职工1251万元，支付税费421万元，支付其他3177万元），经营活动产生的现金流量净额约为-896万元。2023年度：经营活动现金流入小计11207万元，其中销售商品、提供劳务收到的现金9364万元；经营活动现金流出小计10938万元（购买商品、接受劳务支付6734万元，支付职工1152万元，支付税费651万元，支付其他2401万元），经营活动产生的现金流量净额约为269万元。对比显示，2024年销售回款（4890万）较2023年（9364万）大幅下降，导致经营活动现金流由正转负，企业营运资金压力增大。2025年完整的现金流量表数据缺失。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commentRangeStart w:id="7"/>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①财务真实性验证(税务数据验证)需补充近三年企业所得税年度纳税申报表及增值税纳税申报表。</w:t>
              <w:br/>
              <w:t>②财务真实性验证(银行流水验证)需补充近一年主要结算账户银行流水。</w:t>
              <w:br/>
              <w:t>③近三年及最近一期财务数据（1）应收账款7430万元，主要构成及趋势变动情况：</w:t>
              <w:br/>
              <w:t>应收账款期末余额较年初下降19.7%，周转天数较年初缩短117天至271天，回款效率显著改善，但仍显著高于软件信息业90-180天典型区间，主要由于项目验收周期较长及客户回款账期较长。（2）其他应收款2774万元，主要构成及趋势变动情况：其他应收款期末余额较年初下降21.2%。（3）存货2192万元，主要构成及趋势变动情况：</w:t>
              <w:br/>
              <w:t>存货期末余额较年初大幅增长88.0%，周转天数较年初延长49天至129天，远超营收增速，存在积压信号。存货周转天数129天高于行业30-90天区间，可能由于定制化项目未验收沉淀或硬件集成业务备货。（4）长期投资（材料未提供）万元，主要构成及趋势变动情况：（5）应付账款1026万元，主要构成及趋势变动情况：应付账款期末余额较年初大幅下降56.0%。（6）其他应付款168万元，主要构成及趋势变动情况：其他应付款期末余额较年初大幅下降。（7）主营业务收入变动原因：营业收入同比增长14.9%至10010万元。（8）盈利能力变动原因：</w:t>
              <w:br/>
              <w:t>净利率较年初有所变化，具体幅度以财务附表为准，净利润同比增长50.1%。毛利率较年初有所变化，具体幅度以财务附表为准，处于行业30-50%区间。净利率4.9%略低于行业5-15%区间下限，主要因费用率相对较高或研发投入较大。</w:t>
              <w:br/>
              <w:t>（9）固定资产投资变动情况（后续若有大额固定资产投入计划，分析投入及资金安排）：</w:t>
              <w:br/>
              <w:t>（10）其他变动较大的财务指标（包括但不限于预付账款、预收账款等，如有请说明）：最近三年现金流量表分析：</w:t>
              <w:br/>
              <w:t>2025年经营活动净现金流791万元，经营现金流/净利润为1.60，销售收现比为1.04，现金流质量健康。投资活动净流出586万元，主要系购建固定资产、无形资产等长期资产所致；筹资活动净流出426万元，主要系偿还债务及分配股利所致。经营活动现金流对流动负债的覆盖比率为0.11（791.2/7207.1），虽能覆盖利息支出，但对短期债务本金的覆盖能力一般，结合短期借款4730万元，主要依赖经营回款和再融资滚动偿还。</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commentRangeEnd w:id="7"/>
            <w:r>
              <w:rPr>
                <w:rStyle w:val="CommentReference"/>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各行贷款余额合计4440万元，其中交通银行屏东支行1000万元、海峡银行金山支行500万元、厦门国际银行台江支行640万元、兴业银行环球支行1000万元、工商银行500万元、中国银行福建省分行600万元、广发银行鼓楼支行200万元，五级分类正常。需补充对外担保情况说明及人行征信报告。</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8"/>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8"/>
            <w:r>
              <w:rPr>
                <w:rStyle w:val="CommentReference"/>
              </w:rPr>
              <w:commentReference w:id="8"/>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9"/>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9"/>
            <w:r>
              <w:rPr>
                <w:rStyle w:val="CommentReference"/>
              </w:rPr>
              <w:commentReference w:id="9"/>
            </w:r>
          </w:p>
          <w:p w14:paraId="4355488A">
            <w:commentRangeStart w:id="10"/>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10"/>
            <w:r>
              <w:rPr>
                <w:rStyle w:val="CommentReference"/>
              </w:rPr>
              <w:commentReference w:id="10"/>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信用报告，黄祖海名下有未结清贷款账户1笔，余额1000万元，为中行个人经营贷款，经营主体为黄祖海，有未销户信用卡账户1笔，余额0元。全部未结清贷款估算下月应还款额0元，贷记卡最近6个月平均使用额度27元，准贷记卡最近6个月平均透支余额0元；承担担保责任账户有1笔，承担共同还款责任账户有0笔，余额1000万元，为黄祖海担保。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康恩慧，中国国籍，福建福州人，1978年生。需补充实控人配偶个人征信报告。</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材料显示企业为科技型企业，拥有持续的研发投入和研发团队。近三年研发投入：2023年895万元（占比7.4%），2024年1262万元（占比14.5%），2025年1049万元（占比10.5%）。研发人员占比：2023年40人（占比44%），2024年38人（占比49%），2025年39人（占比53%）。企业拥有自主研发的智慧水利平台解决方案，并获得“2022年度福建省科技进步奖二等奖、水利科学技术奖一等奖”。核心研发人员享有股权激励。基于以上信息，企业符合科技型企业特征，但材料未提供具体的评分数据。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科技型企业类型：科技型中小企业。</w:t>
              <w:br/>
              <w:t>核心研发人员享有股权激励。</w:t>
              <w:br/>
              <w:t>近三年研发投入占比及研发人员占比详见下表。</w:t>
              <w:br/>
              <w:t>企业拥有发明专利24项、实用专利6项，权属清晰，不存在瑕疵及涉诉情况，具体情况如下表所示：</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材料未提供企业在我行日均存款、对公有效户年新增户数、全年结算量、我行签约代发员工人数及上年发薪量数据。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为791万元，但账上货币资金余额为286万元，较年初下降43.6%。因对上游账款采用预付款和账期款方式结算，下游应收账款周转天数为271天，回笼较慢，且存货较年初大幅增长88.0%至2192万元，存货周转天数延长至129天，对营运资金需求较大，故需申请部分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11"/>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11"/>
            <w:r>
              <w:rPr>
                <w:rStyle w:val="CommentReference"/>
              </w:rPr>
              <w:commentReference w:id="11"/>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commentRangeStart w:id="1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根据流动资金需求测算，企业营运资金需求：         万元（请附（材料未提供）系统测算表截图）</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commentRangeEnd w:id="12"/>
            <w:r>
              <w:rPr>
                <w:rStyle w:val="CommentReference"/>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13"/>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3"/>
            <w:r>
              <w:rPr>
                <w:rStyle w:val="CommentReference"/>
              </w:rPr>
              <w:commentReference w:id="13"/>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第一还款来源主要依赖企业经营活动产生的现金流。根据2024年现金流量表，企业经营活动现金流净额为负（约-896万元），主要因销售商品、提供劳务收到的现金（4890万元）同比大幅减少所致。企业2025年营收为10010万元，业务聚焦于智慧水利和智慧教育，下游客户包括涵江水利局、福建省翔远电子科技有限公司等政府及企业单位，回款能力有一定保障，但受项目周期及客户付款节奏影响，现金流可能存在波动。企业销售收款采用预收款和账期方式，采购付款享有供应商信用账期，有助于营运资金管理。然而，关联企业普遍亏损，可能对母公司现金流产生拖累。整体看，企业经营性现金流作为第一还款来源的稳定性存在一定不确定性。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第二还款来源分析：1. 抵质押物：材料中仅列示一项私有房产（仓山区上渡街道通江路17号江南水都·杰座），所有权人为康恩慧、黄祖海（实际控制人及其配偶），面积143.45平方米，但未提供评估价及抵押状态，变现能力需依赖房地产市场情况。2. 担保情况：企业现有融资均由实际控制人黄祖海、陈其俤、关联企业（如中锐汉鼎）及外部担保公司（福州市融资担保有限公司、福建恒运投资合伙企业）提供连带责任保证，增强了第二还款来源的保障。特别是外部专业担保机构的介入，提升了代偿可能性。3. 其他渠道：企业作为股份有限公司，具备股权融资潜力，但未提及相关计划。综合看，第二还款来源主要依赖于实际控制人及关联方的保证担保，抵质押物价值不明，需进一步核实。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w:t>
              <w:br/>
              <w:t>借款人2025年实现营业收入10010万元，同比增长14.9%；净利润494万元，同比增长50.1%。净利率较年初有所变化，具体幅度以财务附表为准，但仍低于软件信息业5-15%的典型区间下限，主要由于行业竞争及研发投入影响。经营活动净现金流为791万元，经营现金流/净利润为1.60，销售商品收现/营收为1.04，现金流质量健康。短期借款4730万元，年经营现金流对短期债务的覆盖能力有限，需依赖业务回款滚动偿还。应收账款周转天数较年初有所变化，具体幅度以财务附表为准，但仍显著高于行业90-180天区间，主要由于项目验收周期长及政府、大B客户账期较长；存货周转天数较年初有所变化，具体幅度以财务附表为准，远超行业30-90天区间，存货较年初增长88.0%，存在积压信号，需关注其项目执行及验收进度。资产负债率较年初有所变化，具体幅度以财务附表为准，处于行业合理区间；流动比率1.82倍、速动比率1.51倍，短期偿债指标尚可。</w:t>
              <w:br/>
              <w:br/>
              <w:t>②第二还款来源（抵质押物变现能力分析及其他渠道现金流分析）：</w:t>
              <w:br/>
              <w:t>借款人实际控制人康恩慧、黄祖海名下持有私有房产（仓山区上渡街道通江路17号江南水都·杰座，权证号：榕 房权证 R 字第 0838000 号，面积143.45平方米）可作为抵押物。需补充该房产的评估报告以确定其市场价值及抵押率。借款人现有银行授信合计5640万元，已使用4440万元，涉及交通银行、海峡银行等多家机构。关联企业中，福建中锐汉鼎信息技术有限公司上年净亏损682万元，北京中锐青云科技有限公司盈利16万元；福建中锐教育科技有限公司及厦门中锐软件科技有限公司财务数据存疑，待人工核实。</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4"/>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抵押物为仓山区上渡街道通江路17号江南水都·杰座私有房产，权属证号榕 房权证 R 字第 0838000 号，所有权人为康恩慧、黄祖海，建筑面积143.45平方米。需补充该抵押物的评估报告以确定评估价值及当前抵押状态。</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本笔授信由福建中锐汉鼎信息技术有限公司、福建中锐教育科技有限公司、北京中锐青云科技有限公司、厦门中锐软件科技有限公司、中锐海沃水利技术(福建)有限公司提供连带责任保证担保。</w:t>
              <w:br/>
              <w:t>②保证人化型及对公PD X级：需补充各保证人化型及对公PD评级材料。</w:t>
              <w:br/>
              <w:t>③保证人主要经营情况（数据来源：结构化材料）：福建中锐汉鼎信息技术有限公司主营智慧水利，营业收入1223万元，净亏损682万元；福建中锐教育科技有限公司主营智慧教育，营业收入21万元，财务数据存疑待人工核实；北京中锐青云科技有限公司主营产教融合创新服务，营业收入204万元，净利润16万元；厦门中锐软件科技有限公司主营软硬件销售，营业收入7万元，财务数据存疑待人工核实；中锐海沃水利技术(福建)有限公司主营智慧水利，上年无主营业务收入，净利润0万元。</w:t>
              <w:br/>
              <w:t>④保证人征信信息：需补充各保证人征信报告，以获取银行授信业务品种、敞口提用余额、对外担保余额及不良记录等信息。</w:t>
              <w:br/>
              <w:t>⑤主要财务指标：需补充各保证人近一年财务报表。</w:t>
              <w:br/>
              <w:t>⑥其他：需补充各保证人风险信息及涉诉情况查询材料。</w:t>
              <w:br/>
              <w:t>⑦主债务人（福建中锐网络股份有限公司）财务简析：公司2025年营业收入同比增长14.9%至10010万元，净利润同比增长50.1%至494万元，盈利能力改善。毛利率38.0%（同比下降0.8个百分点），净利率4.9%（同比上升1.2个百分点），营业利润率4.8%（同比上升0.2个百分点）。偿债能力方面，资产负债率较年初有所变化，具体幅度以财务附表为准，流动比率提升至1.82倍，速动比率提升至1.51倍，均处于行业健康区间，短期偿债压力有所缓解。归因来看，净利率提升主要得益于费用控制及营收增长带来的规模效应；资产负债率下降则源于总负债下降42.50%的幅度超过总资产下降8.7%的幅度。需关注的是，存货周转天数较年初有所变化，具体幅度以财务附表为准，显著高于软件信息业30-90天的典型区间，主要由于项目备货或定制化项目未验收导致存货积压；应收账款周转天数同比缩短270.92天至271天，虽有改善但仍远高于行业90-180天的上限，主因项目制验收周期长及大客户回款账期较长。综合来看，公司盈利增长、偿债指标优化，但营运资金占用问题突出（存货与应收双高），其自身经营活动净现金流791万元对短期借款4730万元的覆盖能力有限，第一还款来源对银行信贷的依赖度仍较高，增强了本次由关联公司提供担保的必要性。</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本次担保由福州市融资担保有限公司提供。我行内部对该担保公司的具体审批结论（额度、风险分担比例、放大倍数、单户上限等）材料未提供。需补充该担保公司最新的对外担保总额、在我行担保余额、净资产及担保倍率数据，以判断其担保能力及本次担保是否符合准入要求。</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修正后的完整正文===</w:t>
              <w:br/>
              <w:t>（十一）经营单位授信申报结论及方案：（围绕“现金流、杠杆率、可持续、垒小户、配结算、强担保”六要素展开 ，基于“六要素”综合评判客户是否准入，如何设置合理授信方案及贷后管控措施）</w:t>
              <w:br/>
              <w:br/>
              <w:t>借款人福建中锐网络股份有限公司为存量客户。财务表现方面：企业2025年营业收入同比增长14.9%至10010万元，净利润同比增长50.1%至494万元，盈利能力改善；总负债较年初下降22.7%，所有者权益增长5.3%，资产结构优化。关键比率显示：资产负债率为42.5%，较年初下降7.7个百分点，处于软件信息业30-55%的典型区间，杠杆水平适中且持续改善；流动比率与速动比率分别为1.82倍和1.51倍，均较年初提升，短期偿债能力增强；毛利率为38.0%，保持在行业典型区间内。需重点关注营运效率：应收账款周转天数271天，同比缩短117天虽有改善，但仍显著高于行业90-180天区间，主要归因于项目制验收周期长及政府、大型企业客户回款账期较长；存货周转天数129天，同比延长49天且远超行业30-90天区间，存货较年初大幅增长88.0%至2192万元，存在积压风险，主要因项目定制化备货或未验收项目沉淀所致。现金流质量健康，经营净现金流791万元，净利润现金保障倍数达1.60。综合评估，企业第一还款来源（经营现金流）稳定，但对短期债务（短期借款4730万元）的覆盖需依赖持续回款滚动，整体偿债能力因杠杆率下降和流动性指标改善而有所增强。</w:t>
              <w:br/>
              <w:br/>
              <w:t>企业下游客户主要为水利、公路等政府及国企单位，根据其下游客户清单，业务模式决定了其项目具有一定的可持续性，但也导致了回款周期较长的特点。企业现有授信总额5640万元，已使用4440万元。</w:t>
              <w:br/>
              <w:br/>
              <w:t>申报方案：建议维持存量授信额度，可考虑以实际控制人黄祖海及其配偶康恩慧名下房产（仓山区上渡街道通江路17号江南水都·杰座）追加抵押，并强化销售回款账户监管，确保贷款本息覆盖。贷后需重点监控应收账款回款进度及存货消化情况，要求企业按季提供主要项目回款明细及存货清单。</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活动净现金流791万元，经营现金流/净利润达1.60，销售商品收现/营收为1.04，现金流质量健康，为偿还债务提供了稳定的第一还款来源。公司年末货币资金286万元，需关注短期借款4730万元需滚动偿还。</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盈利能力与营运效率：借款人2025年实现营业收入10010万元，同比增长14.9%；净利润494万元，同比增长50.1%，盈利规模显著提升。毛利率为38.0%（同比下降0.8个百分点），净利率为4.9%（同比上升1.2个百分点），盈利能力有所改善。营运方面，应收账款周转天数同比缩短270.9天至271天，回款效率提升，但显著高于软件信息业90-180天典型区间，主要由于项目验收周期较长及政府、大企业客户回款账期较长；存货周转天数较年初有所变化，具体幅度以财务附表为准，远超行业30-90天典型区间，且存货较年初大幅增长88.0%，存在积压信号，可能占用营运资金。</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资产负债率较年初有所变化，具体幅度以财务附表为准，流动比率较年初有所变化，具体幅度以财务附表为准，速动比率较年初有所变化，具体幅度以财务附表为准，偿债能力指标均呈改善趋势，长期与短期偿债压力有所缓解。</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可持续：借款人主营智慧水利与智慧教育，2025年研发投入1049万元，占营收10.5%，拥有39名研发人员，曾获省级科技进步奖，技术储备与行业政策契合度高。</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垒小户：借款人现有合作银行8家，短期借款余额4730万元，均为流贷产品。我行此次申请敞口额度需补充具体金额及用途说明，以评估整体融资集中度。</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配结算：需补充借款人在我行开户时长、近两年结算流水及日均存款等数据。</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强担保：借款人实控人黄祖海及其配偶康恩慧名下拥有仓山区上渡街道通江路17号江南水都·杰座私有房产一套，面积143.45平方米，可作为抵押物。我行此次授信方案需明确敞口额度、抵押物价值及保证人安排。</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5"/>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5"/>
            <w:r>
              <w:rPr>
                <w:rStyle w:val="CommentReference"/>
              </w:rPr>
              <w:commentReference w:id="15"/>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6AC425A6">
            <w:commentRangeStart w:id="17"/>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7"/>
            <w:r>
              <w:rPr>
                <w:rStyle w:val="CommentReference"/>
              </w:rPr>
              <w:commentReference w:id="17"/>
            </w:r>
          </w:p>
          <w:p w14:paraId="2FC82B07">
            <w:commentRangeStart w:id="18"/>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p w14:paraId="269107E9">
            <w:commentRangeStart w:id="19"/>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9"/>
            <w:r>
              <w:rPr>
                <w:rStyle w:val="CommentReference"/>
              </w:rPr>
              <w:commentReference w:id="19"/>
            </w:r>
          </w:p>
          <w:p w14:paraId="3096CC3B">
            <w:commentRangeStart w:id="20"/>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0"/>
            <w:r>
              <w:rPr>
                <w:rStyle w:val="CommentReference"/>
              </w:rPr>
              <w:commentReference w:id="20"/>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2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1"/>
            <w:r>
              <w:rPr>
                <w:rStyle w:val="CommentReference"/>
              </w:rPr>
              <w:commentReference w:id="21"/>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2"/>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2"/>
            <w:r>
              <w:rPr>
                <w:rStyle w:val="CommentReference"/>
              </w:rPr>
              <w:commentReference w:id="22"/>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5T16:08:31Z" w:initials="Agent">
    <w:p>
      <w:r>
        <w:rPr>
          <w:rStyle w:val="CommentReference"/>
        </w:rPr>
        <w:annotationRef/>
      </w:r>
      <w:r>
        <w:t xml:space="preserve">该处“申报单位”仍为空白，请人工确认。</w:t>
      </w:r>
    </w:p>
  </w:comment>
  <w:comment w:id="1" w:author="信贷报告 Agent" w:date="2026-04-15T16:08:31Z" w:initials="Agent">
    <w:p>
      <w:r>
        <w:rPr>
          <w:rStyle w:val="CommentReference"/>
        </w:rPr>
        <w:annotationRef/>
      </w:r>
      <w:r>
        <w:t xml:space="preserve">该处“小类）”仍为空白，请人工确认。</w:t>
      </w:r>
    </w:p>
  </w:comment>
  <w:comment w:id="2" w:author="信贷报告 Agent" w:date="2026-04-15T16:08:31Z" w:initials="Agent">
    <w:p>
      <w:r>
        <w:rPr>
          <w:rStyle w:val="CommentReference"/>
        </w:rPr>
        <w:annotationRef/>
      </w:r>
      <w:r>
        <w:t xml:space="preserve">该处“绿通标识”仍为空白，请人工确认。</w:t>
      </w:r>
    </w:p>
  </w:comment>
  <w:comment w:id="3" w:author="信贷报告 Agent" w:date="2026-04-15T16:08:31Z" w:initials="Agent">
    <w:p>
      <w:r>
        <w:rPr>
          <w:rStyle w:val="CommentReference"/>
        </w:rPr>
        <w:annotationRef/>
      </w:r>
      <w:r>
        <w:t xml:space="preserve">该处“分析原因”仍为空白，请人工确认。</w:t>
      </w:r>
    </w:p>
  </w:comment>
  <w:comment w:id="4" w:author="信贷报告 Agent" w:date="2026-04-15T16:08:31Z" w:initials="Agent">
    <w:p>
      <w:r>
        <w:rPr>
          <w:rStyle w:val="CommentReference"/>
        </w:rPr>
        <w:annotationRef/>
      </w:r>
      <w:r>
        <w:t xml:space="preserve">该处“主要上游（前五大）”仍为空白，请人工确认。</w:t>
      </w:r>
    </w:p>
  </w:comment>
  <w:comment w:id="5" w:author="信贷报告 Agent" w:date="2026-04-15T16:08:31Z" w:initials="Agent">
    <w:p>
      <w:r>
        <w:rPr>
          <w:rStyle w:val="CommentReference"/>
        </w:rPr>
        <w:annotationRef/>
      </w:r>
      <w:r>
        <w:t xml:space="preserve">该处“主要下游（前五大）”仍为空白，请人工确认。</w:t>
      </w:r>
    </w:p>
  </w:comment>
  <w:comment w:id="6" w:author="信贷报告 Agent" w:date="2026-04-15T16:08:31Z" w:initials="Agent">
    <w:p>
      <w:r>
        <w:rPr>
          <w:rStyle w:val="CommentReference"/>
        </w:rPr>
        <w:annotationRef/>
      </w:r>
      <w:r>
        <w:t xml:space="preserve">该处“主要构成及趋势变动情况”仍为空白，请人工确认。</w:t>
      </w:r>
    </w:p>
  </w:comment>
  <w:comment w:id="7" w:author="信贷报告 Agent" w:date="2026-04-15T16:08:31Z" w:initials="Agent">
    <w:p>
      <w:r>
        <w:rPr>
          <w:rStyle w:val="CommentReference"/>
        </w:rPr>
        <w:annotationRef/>
      </w:r>
      <w:r>
        <w:t xml:space="preserve">该处“）长期投资”仍为空白，请人工确认。</w:t>
      </w:r>
    </w:p>
  </w:comment>
  <w:comment w:id="8" w:author="信贷报告 Agent" w:date="2026-04-15T16:08:31Z" w:initials="Agent">
    <w:p>
      <w:r>
        <w:rPr>
          <w:rStyle w:val="CommentReference"/>
        </w:rPr>
        <w:annotationRef/>
      </w:r>
      <w:r>
        <w:t xml:space="preserve">该处“反馈中长期借款还款计划及还款资金安排情况”仍为空白，请人工确认。</w:t>
      </w:r>
    </w:p>
  </w:comment>
  <w:comment w:id="9" w:author="信贷报告 Agent" w:date="2026-04-15T16:08:31Z" w:initials="Agent">
    <w:p>
      <w:r>
        <w:rPr>
          <w:rStyle w:val="CommentReference"/>
        </w:rPr>
        <w:annotationRef/>
      </w:r>
      <w:r>
        <w:t xml:space="preserve">该处“（若有）对外担保情况”仍为空白，请人工确认。</w:t>
      </w:r>
    </w:p>
  </w:comment>
  <w:comment w:id="10" w:author="信贷报告 Agent" w:date="2026-04-15T16:08:31Z" w:initials="Agent">
    <w:p>
      <w:r>
        <w:rPr>
          <w:rStyle w:val="CommentReference"/>
        </w:rPr>
        <w:annotationRef/>
      </w:r>
      <w:r>
        <w:t xml:space="preserve">该处“（若有）不良记录情况”仍为空白，请人工确认。</w:t>
      </w:r>
    </w:p>
  </w:comment>
  <w:comment w:id="11" w:author="信贷报告 Agent" w:date="2026-04-15T16:08:31Z" w:initials="Agent">
    <w:p>
      <w:r>
        <w:rPr>
          <w:rStyle w:val="CommentReference"/>
        </w:rPr>
        <w:annotationRef/>
      </w:r>
      <w:r>
        <w:t xml:space="preserve">该处“请补充分析原因”仍为空白，请人工确认。</w:t>
      </w:r>
    </w:p>
  </w:comment>
  <w:comment w:id="12" w:author="信贷报告 Agent" w:date="2026-04-15T16:08:31Z" w:initials="Agent">
    <w:p>
      <w:r>
        <w:rPr>
          <w:rStyle w:val="CommentReference"/>
        </w:rPr>
        <w:annotationRef/>
      </w:r>
      <w:r>
        <w:t xml:space="preserve">该处“万元（请附”仍为空白，请人工确认。；该处“企业营运资金需求”仍为空白，请人工确认。</w:t>
      </w:r>
    </w:p>
  </w:comment>
  <w:comment w:id="13" w:author="信贷报告 Agent" w:date="2026-04-15T16:08:31Z" w:initials="Agent">
    <w:p>
      <w:r>
        <w:rPr>
          <w:rStyle w:val="CommentReference"/>
        </w:rPr>
        <w:annotationRef/>
      </w:r>
      <w:r>
        <w:t xml:space="preserve">该处“请补充说明”仍为空白，请人工确认。</w:t>
      </w:r>
    </w:p>
  </w:comment>
  <w:comment w:id="14" w:author="信贷报告 Agent" w:date="2026-04-15T16:08:31Z" w:initials="Agent">
    <w:p>
      <w:r>
        <w:rPr>
          <w:rStyle w:val="CommentReference"/>
        </w:rPr>
        <w:annotationRef/>
      </w:r>
      <w:r>
        <w:t xml:space="preserve">该处“变动原因”仍为空白，请人工确认。</w:t>
      </w:r>
    </w:p>
  </w:comment>
  <w:comment w:id="15" w:author="信贷报告 Agent" w:date="2026-04-15T16:08:31Z" w:initials="Agent">
    <w:p>
      <w:r>
        <w:rPr>
          <w:rStyle w:val="CommentReference"/>
        </w:rPr>
        <w:annotationRef/>
      </w:r>
      <w:r>
        <w:t xml:space="preserve">该处“予借款人授信敞口1000万元，”仍为模板占位符，请人工核实。</w:t>
      </w:r>
    </w:p>
  </w:comment>
  <w:comment w:id="16" w:author="信贷报告 Agent" w:date="2026-04-15T16:08:31Z" w:initials="Agent">
    <w:p>
      <w:r>
        <w:rPr>
          <w:rStyle w:val="CommentReference"/>
        </w:rPr>
        <w:annotationRef/>
      </w:r>
      <w:r>
        <w:t xml:space="preserve">该处“客户经理”仍为空白，请人工确认。</w:t>
      </w:r>
    </w:p>
  </w:comment>
  <w:comment w:id="17" w:author="信贷报告 Agent" w:date="2026-04-15T16:08:31Z" w:initials="Agent">
    <w:p>
      <w:r>
        <w:rPr>
          <w:rStyle w:val="CommentReference"/>
        </w:rPr>
        <w:annotationRef/>
      </w:r>
      <w:r>
        <w:t xml:space="preserve">该处“共同调查人”仍为空白，请人工确认。</w:t>
      </w:r>
    </w:p>
  </w:comment>
  <w:comment w:id="18" w:author="信贷报告 Agent" w:date="2026-04-15T16:08:31Z" w:initials="Agent">
    <w:p>
      <w:r>
        <w:rPr>
          <w:rStyle w:val="CommentReference"/>
        </w:rPr>
        <w:annotationRef/>
      </w:r>
      <w:r>
        <w:t xml:space="preserve">该处“二级支行行长”仍为空白，请人工确认。</w:t>
      </w:r>
    </w:p>
  </w:comment>
  <w:comment w:id="19" w:author="信贷报告 Agent" w:date="2026-04-15T16:08:31Z" w:initials="Agent">
    <w:p>
      <w:r>
        <w:rPr>
          <w:rStyle w:val="CommentReference"/>
        </w:rPr>
        <w:annotationRef/>
      </w:r>
      <w:r>
        <w:t xml:space="preserve">该处“分管行长”仍为空白，请人工确认。</w:t>
      </w:r>
    </w:p>
  </w:comment>
  <w:comment w:id="20" w:author="信贷报告 Agent" w:date="2026-04-15T16:08:31Z" w:initials="Agent">
    <w:p>
      <w:r>
        <w:rPr>
          <w:rStyle w:val="CommentReference"/>
        </w:rPr>
        <w:annotationRef/>
      </w:r>
      <w:r>
        <w:t xml:space="preserve">该处“行长”仍为空白，请人工确认。</w:t>
      </w:r>
    </w:p>
  </w:comment>
  <w:comment w:id="21" w:author="信贷报告 Agent" w:date="2026-04-15T16:08:31Z" w:initials="Agent">
    <w:p>
      <w:r>
        <w:rPr>
          <w:rStyle w:val="CommentReference"/>
        </w:rPr>
        <w:annotationRef/>
      </w:r>
      <w:r>
        <w:t xml:space="preserve">该处“审查员”仍为空白，请人工确认。</w:t>
      </w:r>
    </w:p>
  </w:comment>
  <w:comment w:id="22" w:author="信贷报告 Agent" w:date="2026-04-15T16:08:31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