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申报单位：客户经理：联系电话：</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16956万元；上年度销售额 10010万元；上年度末员工人数 73 人</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申报额度：1000万元；申报敞口：1000万元；上一期授信敞口：500万元。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业务品种：一般短期流动资金贷款；业务期限：12个月；授信期限：1年</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担保方式：500万抵押加500万信用；上一期授信担保方式为500万抵押。</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PD评级：6级【上一期授信评级：7级】</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大学国家大学科技园8号楼5层。经营地为租用办公楼，租用总面积2523平，年租金115万。实际主营业务为软件和信息技术服务，主要为政府及企事业单位提供信息化解决方案。上年度末社保人数69人；注册资本：4100万元、实收资本：4100万元；法定代表人：黄祖海。股权穿透后实际控制人持股比例：实控人黄祖海，持股比例51.22%。</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commentRangeStart w:id="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commentRangeEnd w:id="3"/>
            <w:r>
              <w:rPr>
                <w:rStyle w:val="CommentReference"/>
              </w:rPr>
              <w:commentReference w:id="3"/>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材料未提供实控人面访记录，需补充面访时间、双方会面人员等具体信息。</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材料未提供实地走访情况相关记录。</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北京中锐青云科技有限公司</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股权融资</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r>
                    <w:t>2024年</w:t>
                  </w: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r>
                    <w:t>1000</w:t>
                  </w: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r>
                    <w:t>交通银行屏东支行</w:t>
                  </w: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r>
                    <w:t>流贷</w:t>
                  </w: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自2017年以来，我行与借款人建立授信合作关系。需补充近三年（2023、2024、2025年）授信敞口明细。</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12 月 2026年01月 日，经531系统查询，借款人 2026 年 01 月   日提贷 200万元，到期日 2027 年 01 月   日，贷款采取自主支付方式发放，通过调取借款人账户流水，1. 200万元向 锐捷网络股份 有限公司支付 锐捷网络股份 货款（已提供发票）；2. 200万元转至工行同户名账户，穿透查看用于向 1 个人支付采购竹刨花原料款 200万元，其余用于支付税款；3.XX万元元转至农行同户名账户(基本户），用于向37个员工支付工资款。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提供担保</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提供抵押物</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已提供房产抵押</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提供担保</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提供抵押物</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已提供房产抵押</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黄色预警提示法定代表人目前信用卡存在逾期，经核实，需补充该预警的核实过程及结果说明。综合评判，待人工核实。</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4"/>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4"/>
            <w:r>
              <w:rPr>
                <w:rStyle w:val="CommentReference"/>
              </w:rPr>
              <w:commentReference w:id="4"/>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黄祖海，中国国籍，湖南大学电子商务专业本科学历。行业工作经历：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其配偶为康恩慧，家庭主要资产包括夫妻共有的、位于仓山区上渡街道通江路17号江南水都·杰座的房产。</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关联企业关系：可附图</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借款人旗下控股5家关联企业，均从事智慧水利、智慧教育、产教融合及软硬件销售等业务。其中福建中锐汉鼎信息技术有限公司、福建中锐教育科技有限公司、北京中锐青云科技有限公司、厦门中锐软件科技有限公司为100%控股，中锐海沃水利技术(福建)有限公司为84%控股。关联企业经营规模普遍较小，除北京中锐青云科技有限公司上年实现微利16万元外，其余企业均处于亏损或微利状态，与借款人业务协同性一般。</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智慧水利与智慧教育业务。其中智慧水利业务占比46%，提供大坝安全监测、流域四预系统等解决方案，已应用于福建省300余座水库；智慧教育业务占比54%，聚焦数字人才培养，与超1000所高校合作，服务1600余家政企客户。</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为高新技术企业，主营智慧水利与智慧教育业务。其智慧水利产品已应用于省内300余座水库，并获省科技进步二等奖；智慧教育业务与超1000所高校建立产学研合作，服务1600多家政企客户。研发投入持续，2025年研发费用1049万元，占营收10.5%，研发人员占比达53%。</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业务为智慧水利与智慧教育，2025年实现营业收入10010万元，同比增长14.9%。其中，智慧水利业务收入占比约46%，智慧教育业务收入占比约54%。前五大客户合计销售额3562万元，客户集中度适中，最大客户涵江水利局销售额1116万元，占比10.02%。需补充近三年分产品线产销量及产能利用率明细。</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4.上下游情况：企业上游供应商主要为锐捷网络、北京星链南天等信息技术企业，下游客户包括涵江水利局、福建省翔远电子科技等，客户结构以政府及企事业单位为主。</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①主要上游（前五大）：详见下表。</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②主要下游（前五大）：详见下表。</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③经营账期：需补充上下游结算账期及回款明细。</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需补充最新在手订单明细表。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1480623</w:t>
                  </w:r>
                </w:p>
              </w:tc>
            </w:tr>
          </w:tbl>
          <w:p w14:paraId="18C924E5">
            <w:pPr>
              <w:rPr>
                <w:rFonts w:ascii="宋体" w:hAnsi="宋体" w:cs="宋体"/>
                <w:szCs w:val="21"/>
                <w:highlight w:val="none"/>
              </w:rPr>
            </w:pPr>
            <w:r>
              <w:t>收入在经历连续下滑后于2025年恢复增长，同时毛利率在波动中显著提升并趋于稳定。收入、毛利与净利润需联动分析，重点关注利润兑现与毛利波动是否匹配。若收入扩张快于利润兑现，应审慎评估盈利质量的可持续性。</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①财务真实性验证(税务数据验证)：需补充近三年增值税/所得税纳税申报表。</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②财务真实性验证(银行流水验证)：需补充主要结算账户近一年银行流水。</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（1）应收账款 9253万元，主要构成及趋势变动情况： 企业2025年末应收账款为7430万元，较2024年末的9253万元下降19.7%，回款情况有所改善。但该科目自2022年起连续三年快速增长，2025年末余额仍处于近四年次高水平，需关注其历史增长趋势及对流动性的影响。</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3522万元，主要构成及趋势变动情况： 2025年末其他应收款为2774万元，较2024年末的3522万元下降21.2%，呈回落趋势。该科目在2023年曾大幅增长至3621万元，目前余额仍高于2022年水平。</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commentRangeStart w:id="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（3）存货2192万元，主要构成及趋势变动情况：     企业存货在2023年及2024年连续两年大幅下降后，于2025年末反弹至2192万元，较2024年末的1166万元增长88.0%。结合资产负债表，存货科目期末余额为2192万元，与年初数相比变动显著。鉴于缺乏存货结构及对应业务背景的详细材料，其大幅波动的具体原因尚不明确。</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5"/>
            <w:r>
              <w:rPr>
                <w:rStyle w:val="CommentReference"/>
              </w:rPr>
              <w:commentReference w:id="5"/>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（4）长期投资 1626万元，主要构成及趋势变动情况： 长期投资主要为对子公司的股权投资，包括福建中锐汉鼎信息技术有限公司、福建中锐教育科技有限公司、北京中锐青云科技有限公司、厦门中锐软件科技有限公司、中锐海沃水利技术(福建)有限公司等。      </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（5）应付账款1026万元，主要构成及趋势变动情况： 企业应付账款由2023年的1847万元增长至2024年的2333万元，但在2025年末大幅下降至1026万元，较2024年末减少1307万元，降幅达56.0%。结合财务报表，其应付账款期末余额为1026万元，与年初的2333万元相比显著减少。该科目的大幅下降需关注其结算政策变化或对上游供应商付款安排的调整。</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）其他应付款168</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2025年末其他应付款为168万元，较2024年末的648万元大幅下降480万元，降幅达74.1%。该科目余额已回落至接近2023年水平，显示企业对外部非经营性往来款项的偿付压力显著减轻。</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 xml:space="preserve">（7）主营业务收入变动原因： 企业主营业务为智慧水利与智慧教育。根据材料，2025年营收为1010万元。收入结构显示水利占比46%、教育占比54%。企业紧跟国家水利政策与教育战略发展需求，推出相应解决方案，市场应用情况良好，与全国超过1000所高校及科研院所合作，服务1600多家政企客户，智慧水利方案已应用于福建省300+座水库。主要下游客户包括涵江水利局、福建省翔远电子科技有限公司等，前五大客户合计销售额3562万元，业务来源稳定。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 xml:space="preserve">（8）盈利能力变动原因： 企业2025年营收1010万元。关联企业财务数据显示，主要子公司（如福建中锐汉鼎信息技术有限公司、福建中锐教育科技有限公司）存在较大亏损（分别为-682万元和-1275万元），可能对合并报表盈利能力产生拖累。企业研发投入持续较高（2025年研发费用1049万元，占比10.5%），虽有利于长期竞争力，但短期内影响利润。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根据提供的财务报表，资产负债表未单独列示“固定资产”科目，无法分析其投资变动情况。非流动资产部分数据缺失，因此无法计算或比较2022至2025年各期的固定资产投资金额及趋势。</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根据提供的2025年资产负债表，企业货币资金期末余额为286万元，较年初的506万元大幅下降43.6%。同时，存货由年初的1166万元激增至2192万元，增幅达87.9%。</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企业短期偿债压力显著加剧，货币资金对短期债务的保障能力持续恶化。尽管流动比率有所改善且资产负债率呈下降趋势，但核心流动性指标的大幅下滑表明企业面临严峻的即时支付风险。偿债能力由杠杆水平与流动性共同决定，需同步观察资产负债率和短债覆盖能力。</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③近三年及最近一期财务数据：</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 xml:space="preserve">最近三年现金流量表分析：  根据提供的2024年现金流量表（单位：元）：经营活动现金流入小计80298955.33元，其中销售商品、提供劳务收到的现金48902379.43元；经营活动现金流出小计89259104.66元（购买商品、接受劳务支付40772246.32元，支付职工12508940.68元，支付税费4211623.09元，支付其他31766294.57元），经营活动产生的现金流量净额为负。2023年经营活动现金流入小计112072779.26元，流出小计109379398.06元，净额为正。2025年现金流量表数据未提供具体数值。近三年经营现金流波动较大，2024年转为净流出，可能与业务扩张、采购支付及关联方资金往来有关。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应收账款周转效率持续恶化，回款能力显著下降。存货管理波动剧烈，存在库存积压风险。运营效率需重点跟踪应收账款周转与收入扩张的匹配程度。</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经营现金流波动剧烈且整体偏弱，呈现间歇性正负交替，表明主营业务造血能力不稳定。公司持续依赖外部融资弥补经营和投资活动产生的现金缺口，但筹资活动净流入呈收缩趋势，2025年转为净流出，显示外部融资环境趋紧。现金流结构显示公司仍处于投资扩张阶段，但经营现金流的脆弱性可能制约其持续发展能力。</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应收账款周转天数持续恶化，已显著超过风险阈值，表明客户回款能力严重不足，信用风险急剧升高。货币资金对短期借款的覆盖率已降至极低水平，远低于安全阈值，企业面临严峻的短期偿债压力，流动性风险极高。尽管资产负债率呈下降趋势且未触发阈值，但已无法掩盖其营运与流动性层面的重大缺陷。</w:t>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末，公司银行融资余额合计4440万元，其中交通银行屏东支行1000万元、海峡银行金山支行500万元、厦门国际银行台江支行640万元、兴业银行环球支行1000万元、工商银行500万元、中国银行福建省分行600万元、广发银行鼓楼支行200万元，五级分类正常。</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6"/>
            <w:r>
              <w:rPr>
                <w:rStyle w:val="CommentReference"/>
              </w:rPr>
              <w:commentReference w:id="6"/>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7"/>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7"/>
            <w:r>
              <w:rPr>
                <w:rStyle w:val="CommentReference"/>
              </w:rPr>
              <w:commentReference w:id="7"/>
            </w:r>
          </w:p>
          <w:p w14:paraId="4355488A">
            <w:commentRangeStart w:id="8"/>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8"/>
            <w:r>
              <w:rPr>
                <w:rStyle w:val="CommentReference"/>
              </w:rPr>
              <w:commentReference w:id="8"/>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信用报告，黄祖海名下有未结清贷款账户1笔，余额1000万元，为中行个人经营贷款，经营主体为黄祖海关联企业（具体名称未知），有未销户信用卡账户1笔，余额0元。全部未结清贷款估算下月应还款额0元，贷记卡最近6个月平均使用额度27元，准贷记卡最近6个月平均透支余额0元；承担担保责任账户有1笔，承担共同还款责任账户有0笔，余额1000万元，为黄祖海关联企业（具体名称未知）担保。根据预警规则的后台计算，客户近5年贷款累计逾期期数为1期，其中逾期金额小于等于500元的期数为0；客户近5年贷款连续逾期期数为1期，其中连续逾期小于等于500元的期数为0，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3.实控人配偶情况： 康恩慧 ，中国国籍，福建福州人，个人征信信息：需补充实控人配偶个人征信报告。</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企业研发投入持续：2023年895万元（占比7.4%），2024年1262万元（占比14.5%），2025年1049万元（占比10.5%）。研发人员占比高：2025年39人，占员工总数53%。拥有核心竞争力，在智慧水利领域获“福建省科技进步奖二等奖、水利科学技术奖一等奖”。符合科技型企业特征。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科技型中小企业（具体轮次及有效期材料未提供）；□高新技术企业；□创新型中小企业；□“专精特新”中小企业；□专精特新“小巨人”企业；□制造业单项冠军企业；□国家技术创新示范企业。</w:t>
              <w:br/>
              <w:t>※2.研发投入情况：</w:t>
              <w:br/>
              <w:t>①核心研发人员享有股权激励。</w:t>
              <w:br/>
              <w:t>②近三年研发投入占比及研发人员占比详见下表。</w:t>
              <w:br/>
              <w:t>※3.专利情况：企业拥有发明专利24项、实用专利6项，权属清晰，不存在瑕疵及涉诉情况，具体情况如下表所示：</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材料未提供企业在我行日均存款、对公有效户、结算量、代发签约及发薪量数据。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当期经营活动净现金流791万元，但账上货币资金为286万元。因对上游供应商采用预付款和账期款方式结算，下游销售回款周期为271天，且存货较年初大幅增长88.0%至2192万元，对营运资金需求较大，故需申请贷款用于补充流动资金。</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9"/>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9"/>
            <w:r>
              <w:rPr>
                <w:rStyle w:val="CommentReference"/>
              </w:rPr>
              <w:commentReference w:id="9"/>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commentRangeStart w:id="10"/>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根据流动资金需求测算，企业营运资金需求：         万元（请附（材料未提供）系统测算表截图）</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commentRangeEnd w:id="10"/>
            <w:r>
              <w:rPr>
                <w:rStyle w:val="CommentReference"/>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commentRangeStart w:id="11"/>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11"/>
            <w:r>
              <w:rPr>
                <w:rStyle w:val="CommentReference"/>
              </w:rPr>
              <w:commentReference w:id="11"/>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 xml:space="preserve">①第一还款来源（经营性现金流分析）： 第一还款来源主要依赖企业经营性现金流。企业2025年营收1010万元，下游客户包括政府部门（如涵江水利局）及企业，回款采用预收款和账期方式，有助于现金流管理。但2024年现金流量表显示经营活动现金流量净额为负，需关注其销售回款效率及营运资金管理。企业主营业务符合国家政策导向，在手订单及客户关系较为稳定，是未来经营性现金流入的基础。 </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第二还款来源分析：1、抵质押物：材料中仅列示一项私有房产（仓山区上渡街道通江路17号江南水都·杰座，所有权人康恩慧、黄祖海），但未提供评估价及抵押状态，变现能力取决于市场价值及流动性。2、担保方：企业现有流贷均由实际控制人黄祖海及其关联方（陈其俤、中锐汉鼎等）以及福州市融资担保有限公司、福建恒运投资合伙企业提供连带责任保证，增强了第二还款来源的保障。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①第一还款来源（经营性现金流分析）： 第一还款来源主要为企业主营业务形成的销售回款及经营现金回笼。材料显示水利占比46%、教育占比54%。2025年主营业务收入10010万元；净利润494万元；经营性现金流净额791万元。</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2"/>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2"/>
            <w:r>
              <w:rPr>
                <w:rStyle w:val="CommentReference"/>
              </w:rPr>
              <w:commentReference w:id="12"/>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抵押物为仓山区上渡街道通江路17号江南水都·杰座私有房产，权属证号榕房权证R字第0838000号，建筑面积143.45平方米，所有权人为康恩慧、黄祖海。需补充该抵押物的评估报告及当前抵押状态查询单。</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保证人包括福建中锐汉鼎信息技术有限公司、福建中锐教育科技有限公司、北京中锐青云科技有限公司、厦门中锐软件科技有限公司及中锐海沃水利技术(福建)有限公司，均为借款人福建中锐网络股份有限公司控股子公司。各保证人主要经营情况如下：福建中锐汉鼎信息技术有限公司主营智慧水利，营业收入1223万元，净亏损682万元；福建中锐教育科技有限公司主营智慧教育，营业收入21万元，财务数据存疑待人工核实；北京中锐青云科技有限公司主营产教融合创新服务，营业收入204万元，净利润16万元；厦门中锐软件科技有限公司主营软硬件销售，营业收入7万元，财务数据存疑待人工核实；中锐海沃水利技术(福建)有限公司主营智慧水利，上年无主营业务收入，净利润0万元。需补充各保证人近三年完整财务报表、征信报告及风险涉诉信息。</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材料未提供我行内部审批结论及担保公司最新担保情况。需补充福州市融资担保有限公司的对外担保总额、我行担保余额、净资产及担保倍率数据，以判断本次担保是否符合准入要求。</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commentRangeStart w:id="13"/>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企业为存量客户，主营智慧水利与智慧教育，2025年营收同比增长14.9%至10010万元，净利润同比增长50.1%至494万元。经营活动净现金流791万元，对净利润覆盖倍数1.60，销售收现比1.04，现金流质量健康。资产负债率(待补充资产负债率近三年较年初明细)，流动比率1.82倍，偿债能力改善。但应收账款周转天数271天，存货周转天数129天，存货较年初增长88.0%，存在积压风险。短期借款4730万元，需依赖经营现金流滚动偿还。关联企业中，福建中锐汉鼎信息技术有限公司上年净亏损682万元，福建中锐教育科技有限公司与厦门中锐软件科技有限公司财务数据存疑，待人工核实。企业研发投入持续，2025年研发费用1049万元，占营收10.5%。现有银行授信合计5640万元，已用4440万元。实际控制人黄祖海及其配偶康恩慧名下提供仓山区上渡街道通江路17号江南水都·杰座房产可供抵押。综合评判，企业经营稳健，现金流可覆盖短期债务，但需关注存货管理及关联企业亏损风险。建议维持存量授信额度，落实实际控制人及配偶名下房产抵押，并加强贷后对存货变动及关联方资金往来的监控。</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commentRangeEnd w:id="13"/>
            <w:r>
              <w:rPr>
                <w:rStyle w:val="CommentReference"/>
              </w:rPr>
              <w:commentReference w:id="13"/>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借款人2025年经营活动净现金流791万元（同比数据缺失，需补充），经营现金流/净利润1.60，销售商品收现/营收1.04，两项比率均处于健康水平，表明公司净利润的现金保障程度高，收入回款质量良好，现金流质量健康。然而，公司短期借款4730万元，年经营现金流791万元，经营现金流对短期借款的覆盖倍数较低（约0.17倍），短期偿债对银行融资的滚动依赖度较高。</w:t>
            </w:r>
            <w:r>
              <w:rPr>
                <w:rFonts w:hint="eastAsia" w:ascii="宋体" w:hAnsi="宋体" w:eastAsia="宋体" w:cs="宋体"/>
                <w:snapToGrid w:val="0"/>
                <w:kern w:val="0"/>
                <w:szCs w:val="21"/>
                <w:highlight w:val="none"/>
                <w:u w:val="single"/>
                <w:lang w:val="en-US" w:eastAsia="zh-CN"/>
              </w:rPr>
            </w:r>
          </w:p>
          <w:p w14:paraId="4FF78978">
            <w:commentRangeStart w:id="1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借款人资产负债率（待补充资产负债率近三年较年初明细），处于软件和信息技术服务业30-55%的典型区间内，主要得益于净利润积累带动所有者权益增长以及应付账款大幅下降。流动比率较年初提升0.01倍至1.82倍，速动比率（待补充速动比率近三年较年初明细），两者均处于行业基准区间（流动比率1.5-1.81倍，速动比率1.2-1.51倍）内，短期偿债能力指标整体改善。但需关注速动比率提升幅度小于流动比率，主要受存货大幅增长88%的影响，存货占流动资产比重上升削弱了资产的快速变现能力。</w:t>
            </w:r>
            <w:r>
              <w:rPr>
                <w:rFonts w:hint="eastAsia" w:ascii="宋体" w:hAnsi="宋体" w:eastAsia="宋体" w:cs="宋体"/>
                <w:snapToGrid w:val="0"/>
                <w:kern w:val="0"/>
                <w:szCs w:val="21"/>
                <w:highlight w:val="none"/>
                <w:u w:val="single"/>
                <w:lang w:val="en-US" w:eastAsia="zh-CN"/>
              </w:rPr>
            </w:r>
            <w:commentRangeEnd w:id="14"/>
            <w:r>
              <w:rPr>
                <w:rStyle w:val="CommentReference"/>
              </w:rPr>
              <w:commentReference w:id="14"/>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可持续：借款人主营智慧水利与智慧教育，2025年研发投入1049万元，研发人员占比53%，拥有多项自主知识产权及行业奖项，技术积累与研发能力构成核心竞争力。</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垒小户：借款人现有合作银行7家，授信总额5640万元，已用4440万元，均为短期流贷。我行此次申请敞口额度需补充具体金额，需补充本次申请敞口额度及用途说明。配结算：需补充借款人在我行开户时间及历史结算流水明细。</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强担保：借款人实控人黄祖海及其配偶康恩慧名下拥有仓山区上渡街道通江路17号江南水都·杰座私有房产，面积143.45平，可作为抵押物。我行此次申请授信敞口需补充具体金额及担保方案。</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5"/>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15"/>
            <w:r>
              <w:rPr>
                <w:rStyle w:val="CommentReference"/>
              </w:rPr>
              <w:commentReference w:id="15"/>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16"/>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6AC425A6">
            <w:commentRangeStart w:id="17"/>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7"/>
            <w:r>
              <w:rPr>
                <w:rStyle w:val="CommentReference"/>
              </w:rPr>
              <w:commentReference w:id="17"/>
            </w:r>
          </w:p>
          <w:p w14:paraId="2FC82B07">
            <w:commentRangeStart w:id="18"/>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p w14:paraId="269107E9">
            <w:commentRangeStart w:id="19"/>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9"/>
            <w:r>
              <w:rPr>
                <w:rStyle w:val="CommentReference"/>
              </w:rPr>
              <w:commentReference w:id="19"/>
            </w:r>
          </w:p>
          <w:p w14:paraId="3096CC3B">
            <w:commentRangeStart w:id="20"/>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0"/>
            <w:r>
              <w:rPr>
                <w:rStyle w:val="CommentReference"/>
              </w:rPr>
              <w:commentReference w:id="20"/>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21"/>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1"/>
            <w:r>
              <w:rPr>
                <w:rStyle w:val="CommentReference"/>
              </w:rPr>
              <w:commentReference w:id="21"/>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22"/>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2"/>
            <w:r>
              <w:rPr>
                <w:rStyle w:val="CommentReference"/>
              </w:rPr>
              <w:commentReference w:id="22"/>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5T16:27:13Z" w:initials="Agent">
    <w:p>
      <w:r>
        <w:rPr>
          <w:rStyle w:val="CommentReference"/>
        </w:rPr>
        <w:annotationRef/>
      </w:r>
      <w:r>
        <w:t xml:space="preserve">该处“申报单位”仍为空白，请人工确认。</w:t>
      </w:r>
    </w:p>
  </w:comment>
  <w:comment w:id="1" w:author="信贷报告 Agent" w:date="2026-04-15T16:27:13Z" w:initials="Agent">
    <w:p>
      <w:r>
        <w:rPr>
          <w:rStyle w:val="CommentReference"/>
        </w:rPr>
        <w:annotationRef/>
      </w:r>
      <w:r>
        <w:t xml:space="preserve">该处“小类）”仍为空白，请人工确认。</w:t>
      </w:r>
    </w:p>
  </w:comment>
  <w:comment w:id="2" w:author="信贷报告 Agent" w:date="2026-04-15T16:27:13Z" w:initials="Agent">
    <w:p>
      <w:r>
        <w:rPr>
          <w:rStyle w:val="CommentReference"/>
        </w:rPr>
        <w:annotationRef/>
      </w:r>
      <w:r>
        <w:t xml:space="preserve">该处“绿通标识”仍为空白，请人工确认。</w:t>
      </w:r>
    </w:p>
  </w:comment>
  <w:comment w:id="3" w:author="信贷报告 Agent" w:date="2026-04-15T16:27:13Z" w:initials="Agent">
    <w:p>
      <w:r>
        <w:rPr>
          <w:rStyle w:val="CommentReference"/>
        </w:rPr>
        <w:annotationRef/>
      </w:r>
      <w:r>
        <w:t xml:space="preserve">该处“过往两年企业股权变动情况及变动原因”仍为空白，请人工确认。</w:t>
      </w:r>
    </w:p>
  </w:comment>
  <w:comment w:id="4" w:author="信贷报告 Agent" w:date="2026-04-15T16:27:13Z" w:initials="Agent">
    <w:p>
      <w:r>
        <w:rPr>
          <w:rStyle w:val="CommentReference"/>
        </w:rPr>
        <w:annotationRef/>
      </w:r>
      <w:r>
        <w:t xml:space="preserve">该处“分析原因”仍为空白，请人工确认。</w:t>
      </w:r>
    </w:p>
  </w:comment>
  <w:comment w:id="5" w:author="信贷报告 Agent" w:date="2026-04-15T16:27:13Z" w:initials="Agent">
    <w:p>
      <w:r>
        <w:rPr>
          <w:rStyle w:val="CommentReference"/>
        </w:rPr>
        <w:annotationRef/>
      </w:r>
      <w:r>
        <w:t xml:space="preserve">该处“主要构成及趋势变动情况”仍为空白，请人工确认。</w:t>
      </w:r>
    </w:p>
  </w:comment>
  <w:comment w:id="6" w:author="信贷报告 Agent" w:date="2026-04-15T16:27:13Z" w:initials="Agent">
    <w:p>
      <w:r>
        <w:rPr>
          <w:rStyle w:val="CommentReference"/>
        </w:rPr>
        <w:annotationRef/>
      </w:r>
      <w:r>
        <w:t xml:space="preserve">该处“反馈中长期借款还款计划及还款资金安排情况”仍为空白，请人工确认。</w:t>
      </w:r>
    </w:p>
  </w:comment>
  <w:comment w:id="7" w:author="信贷报告 Agent" w:date="2026-04-15T16:27:13Z" w:initials="Agent">
    <w:p>
      <w:r>
        <w:rPr>
          <w:rStyle w:val="CommentReference"/>
        </w:rPr>
        <w:annotationRef/>
      </w:r>
      <w:r>
        <w:t xml:space="preserve">该处“（若有）对外担保情况”仍为空白，请人工确认。</w:t>
      </w:r>
    </w:p>
  </w:comment>
  <w:comment w:id="8" w:author="信贷报告 Agent" w:date="2026-04-15T16:27:13Z" w:initials="Agent">
    <w:p>
      <w:r>
        <w:rPr>
          <w:rStyle w:val="CommentReference"/>
        </w:rPr>
        <w:annotationRef/>
      </w:r>
      <w:r>
        <w:t xml:space="preserve">该处“（若有）不良记录情况”仍为空白，请人工确认。</w:t>
      </w:r>
    </w:p>
  </w:comment>
  <w:comment w:id="9" w:author="信贷报告 Agent" w:date="2026-04-15T16:27:13Z" w:initials="Agent">
    <w:p>
      <w:r>
        <w:rPr>
          <w:rStyle w:val="CommentReference"/>
        </w:rPr>
        <w:annotationRef/>
      </w:r>
      <w:r>
        <w:t xml:space="preserve">该处“请补充分析原因”仍为空白，请人工确认。</w:t>
      </w:r>
    </w:p>
  </w:comment>
  <w:comment w:id="10" w:author="信贷报告 Agent" w:date="2026-04-15T16:27:13Z" w:initials="Agent">
    <w:p>
      <w:r>
        <w:rPr>
          <w:rStyle w:val="CommentReference"/>
        </w:rPr>
        <w:annotationRef/>
      </w:r>
      <w:r>
        <w:t xml:space="preserve">该处“万元（请附”仍为空白，请人工确认。；该处“企业营运资金需求”仍为空白，请人工确认。</w:t>
      </w:r>
    </w:p>
  </w:comment>
  <w:comment w:id="11" w:author="信贷报告 Agent" w:date="2026-04-15T16:27:13Z" w:initials="Agent">
    <w:p>
      <w:r>
        <w:rPr>
          <w:rStyle w:val="CommentReference"/>
        </w:rPr>
        <w:annotationRef/>
      </w:r>
      <w:r>
        <w:t xml:space="preserve">该处“请补充说明”仍为空白，请人工确认。</w:t>
      </w:r>
    </w:p>
  </w:comment>
  <w:comment w:id="12" w:author="信贷报告 Agent" w:date="2026-04-15T16:27:13Z" w:initials="Agent">
    <w:p>
      <w:r>
        <w:rPr>
          <w:rStyle w:val="CommentReference"/>
        </w:rPr>
        <w:annotationRef/>
      </w:r>
      <w:r>
        <w:t xml:space="preserve">该处“变动原因”仍为空白，请人工确认。</w:t>
      </w:r>
    </w:p>
  </w:comment>
  <w:comment w:id="13" w:author="信贷报告 Agent" w:date="2026-04-15T16:27:13Z" w:initials="Agent">
    <w:p>
      <w:r>
        <w:rPr>
          <w:rStyle w:val="CommentReference"/>
        </w:rPr>
        <w:annotationRef/>
      </w:r>
      <w:r>
        <w:t xml:space="preserve">该处“企业为存量客户，主营智慧水利与智慧教育，2025年营收同比增”仍为待补充，请人工补充。</w:t>
      </w:r>
    </w:p>
  </w:comment>
  <w:comment w:id="14" w:author="信贷报告 Agent" w:date="2026-04-15T16:27:13Z" w:initials="Agent">
    <w:p>
      <w:r>
        <w:rPr>
          <w:rStyle w:val="CommentReference"/>
        </w:rPr>
        <w:annotationRef/>
      </w:r>
      <w:r>
        <w:t xml:space="preserve">该处“杠杆率：借款人资产负债率（待补充资产负债率近三年较年初明细）”仍为待补充，请人工补充。</w:t>
      </w:r>
    </w:p>
  </w:comment>
  <w:comment w:id="15" w:author="信贷报告 Agent" w:date="2026-04-15T16:27:13Z" w:initials="Agent">
    <w:p>
      <w:r>
        <w:rPr>
          <w:rStyle w:val="CommentReference"/>
        </w:rPr>
        <w:annotationRef/>
      </w:r>
      <w:r>
        <w:t xml:space="preserve">该处“予借款人授信敞口1000万元，”仍为模板占位符，请人工核实。</w:t>
      </w:r>
    </w:p>
  </w:comment>
  <w:comment w:id="16" w:author="信贷报告 Agent" w:date="2026-04-15T16:27:13Z" w:initials="Agent">
    <w:p>
      <w:r>
        <w:rPr>
          <w:rStyle w:val="CommentReference"/>
        </w:rPr>
        <w:annotationRef/>
      </w:r>
      <w:r>
        <w:t xml:space="preserve">该处“客户经理”仍为空白，请人工确认。</w:t>
      </w:r>
    </w:p>
  </w:comment>
  <w:comment w:id="17" w:author="信贷报告 Agent" w:date="2026-04-15T16:27:13Z" w:initials="Agent">
    <w:p>
      <w:r>
        <w:rPr>
          <w:rStyle w:val="CommentReference"/>
        </w:rPr>
        <w:annotationRef/>
      </w:r>
      <w:r>
        <w:t xml:space="preserve">该处“共同调查人”仍为空白，请人工确认。</w:t>
      </w:r>
    </w:p>
  </w:comment>
  <w:comment w:id="18" w:author="信贷报告 Agent" w:date="2026-04-15T16:27:13Z" w:initials="Agent">
    <w:p>
      <w:r>
        <w:rPr>
          <w:rStyle w:val="CommentReference"/>
        </w:rPr>
        <w:annotationRef/>
      </w:r>
      <w:r>
        <w:t xml:space="preserve">该处“二级支行行长”仍为空白，请人工确认。</w:t>
      </w:r>
    </w:p>
  </w:comment>
  <w:comment w:id="19" w:author="信贷报告 Agent" w:date="2026-04-15T16:27:13Z" w:initials="Agent">
    <w:p>
      <w:r>
        <w:rPr>
          <w:rStyle w:val="CommentReference"/>
        </w:rPr>
        <w:annotationRef/>
      </w:r>
      <w:r>
        <w:t xml:space="preserve">该处“分管行长”仍为空白，请人工确认。</w:t>
      </w:r>
    </w:p>
  </w:comment>
  <w:comment w:id="20" w:author="信贷报告 Agent" w:date="2026-04-15T16:27:13Z" w:initials="Agent">
    <w:p>
      <w:r>
        <w:rPr>
          <w:rStyle w:val="CommentReference"/>
        </w:rPr>
        <w:annotationRef/>
      </w:r>
      <w:r>
        <w:t xml:space="preserve">该处“行长”仍为空白，请人工确认。</w:t>
      </w:r>
    </w:p>
  </w:comment>
  <w:comment w:id="21" w:author="信贷报告 Agent" w:date="2026-04-15T16:27:13Z" w:initials="Agent">
    <w:p>
      <w:r>
        <w:rPr>
          <w:rStyle w:val="CommentReference"/>
        </w:rPr>
        <w:annotationRef/>
      </w:r>
      <w:r>
        <w:t xml:space="preserve">该处“审查员”仍为空白，请人工确认。</w:t>
      </w:r>
    </w:p>
  </w:comment>
  <w:comment w:id="22" w:author="信贷报告 Agent" w:date="2026-04-15T16:27:13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