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 w:val="32"/>
                <w:szCs w:val="32"/>
                <w:lang w:eastAsia="zh-CN"/>
              </w:rPr>
              <w:t>福建省分行普惠法人授信申报及审查审批意见表（2025新版）</w:t>
            </w:r>
            <w:r>
              <w:rPr>
                <w:rFonts w:hint="eastAsia" w:ascii="宋体" w:hAnsi="宋体" w:cs="宋体"/>
                <w:snapToGrid w:val="0"/>
                <w:color w:val="000000"/>
                <w:kern w:val="0"/>
                <w:sz w:val="32"/>
                <w:szCs w:val="32"/>
              </w:rPr>
            </w:r>
            <w:r>
              <w:rPr>
                <w:rFonts w:hint="eastAsia" w:ascii="宋体" w:hAnsi="宋体" w:cs="宋体"/>
                <w:snapToGrid w:val="0"/>
                <w:color w:val="000000"/>
                <w:kern w:val="0"/>
                <w:sz w:val="32"/>
                <w:szCs w:val="32"/>
                <w:lang w:val="en-US" w:eastAsia="zh-CN"/>
              </w:rPr>
            </w:r>
            <w:r>
              <w:rPr>
                <w:rFonts w:hint="eastAsia" w:ascii="宋体" w:hAnsi="宋体" w:cs="宋体"/>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sz w:val="21"/>
                <w:szCs w:val="21"/>
                <w:highlight w:val="none"/>
                <w:lang w:val="en-US" w:eastAsia="zh-CN"/>
              </w:rPr>
              <w:t>申报单位：客户经理：联系电话：</w:t>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i w:val="0"/>
                <w:iCs w:val="0"/>
                <w:sz w:val="21"/>
                <w:szCs w:val="21"/>
                <w:highlight w:val="none"/>
              </w:rPr>
            </w:r>
            <w:r>
              <w:rPr>
                <w:rFonts w:hint="eastAsia" w:ascii="宋体" w:hAnsi="宋体" w:eastAsia="宋体" w:cs="宋体"/>
                <w:i w:val="0"/>
                <w:iCs w:val="0"/>
                <w:sz w:val="21"/>
                <w:szCs w:val="21"/>
                <w:highlight w:val="none"/>
                <w:lang w:eastAsia="zh-CN"/>
              </w:rPr>
            </w:r>
            <w:r>
              <w:rPr>
                <w:rFonts w:hint="eastAsia" w:ascii="宋体" w:hAnsi="宋体" w:eastAsia="宋体" w:cs="宋体"/>
                <w:i w:val="0"/>
                <w:iCs w:val="0"/>
                <w:sz w:val="21"/>
                <w:szCs w:val="21"/>
                <w:highlight w:val="none"/>
                <w:lang w:val="en-US" w:eastAsia="zh-CN"/>
              </w:rPr>
            </w:r>
            <w:r>
              <w:rPr>
                <w:rFonts w:hint="eastAsia" w:ascii="宋体" w:hAnsi="宋体" w:eastAsia="宋体" w:cs="宋体"/>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rPr>
              <w:t>授信</w:t>
            </w:r>
            <w:r>
              <w:rPr>
                <w:rFonts w:hint="eastAsia" w:ascii="宋体" w:hAnsi="宋体" w:cs="宋体"/>
                <w:bCs/>
                <w:snapToGrid w:val="0"/>
                <w:kern w:val="0"/>
                <w:szCs w:val="21"/>
                <w:lang w:eastAsia="zh-CN"/>
              </w:rPr>
              <w:t>方案</w:t>
            </w:r>
            <w:r>
              <w:rPr>
                <w:rFonts w:hint="eastAsia" w:ascii="宋体" w:hAnsi="宋体" w:cs="宋体"/>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Cs/>
                <w:snapToGrid w:val="0"/>
                <w:kern w:val="0"/>
                <w:szCs w:val="21"/>
              </w:rPr>
              <w:t>☑</w:t>
            </w:r>
            <w:r>
              <w:rPr>
                <w:rFonts w:hint="eastAsia" w:ascii="宋体" w:hAnsi="宋体" w:cs="宋体"/>
                <w:bCs/>
                <w:snapToGrid w:val="0"/>
                <w:kern w:val="0"/>
                <w:szCs w:val="21"/>
                <w:lang w:eastAsia="zh-CN"/>
              </w:rPr>
              <w:t>存量</w:t>
            </w:r>
            <w:r>
              <w:rPr>
                <w:rFonts w:hint="eastAsia" w:ascii="宋体" w:hAnsi="宋体" w:cs="宋体"/>
                <w:bCs/>
                <w:snapToGrid w:val="0"/>
                <w:kern w:val="0"/>
                <w:szCs w:val="21"/>
              </w:rPr>
              <w:t>客户</w:t>
            </w:r>
            <w:r>
              <w:rPr>
                <w:rFonts w:hint="eastAsia" w:ascii="宋体" w:hAnsi="宋体" w:cs="宋体"/>
                <w:bCs/>
                <w:snapToGrid w:val="0"/>
                <w:kern w:val="0"/>
                <w:szCs w:val="21"/>
                <w:lang w:eastAsia="zh-CN"/>
              </w:rPr>
              <w:t>（</w:t>
            </w:r>
            <w:r>
              <w:rPr>
                <w:rFonts w:hint="eastAsia" w:ascii="宋体" w:hAnsi="宋体" w:cs="宋体"/>
                <w:bCs/>
                <w:szCs w:val="21"/>
              </w:rPr>
              <w:t>原有额度批复日期</w:t>
            </w:r>
            <w:r>
              <w:rPr>
                <w:rFonts w:hint="eastAsia" w:ascii="宋体" w:hAnsi="宋体" w:cs="宋体"/>
                <w:bCs/>
                <w:snapToGrid w:val="0"/>
                <w:kern w:val="0"/>
                <w:szCs w:val="21"/>
                <w:lang w:val="en-US" w:eastAsia="zh-CN"/>
              </w:rPr>
              <w:t>:</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年</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月</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日</w:t>
            </w:r>
            <w:r>
              <w:rPr>
                <w:rFonts w:hint="eastAsia" w:ascii="宋体" w:hAnsi="宋体" w:cs="宋体"/>
                <w:bCs/>
                <w:snapToGrid w:val="0"/>
                <w:kern w:val="0"/>
                <w:szCs w:val="21"/>
                <w:lang w:eastAsia="zh-CN"/>
              </w:rPr>
              <w:t>）</w:t>
            </w:r>
            <w:r>
              <w:rPr>
                <w:rFonts w:hint="eastAsia" w:ascii="宋体" w:hAnsi="宋体" w:cs="宋体"/>
                <w:bCs/>
                <w:snapToGrid w:val="0"/>
                <w:kern w:val="0"/>
                <w:szCs w:val="21"/>
              </w:rPr>
              <w:t xml:space="preserve">☑维持 </w:t>
            </w:r>
            <w:r>
              <w:rPr>
                <w:rFonts w:hint="eastAsia" w:ascii="宋体" w:hAnsi="宋体" w:cs="宋体"/>
                <w:bCs/>
                <w:snapToGrid w:val="0"/>
                <w:kern w:val="0"/>
                <w:szCs w:val="21"/>
              </w:rPr>
              <w:sym w:font="Wingdings 2" w:char="00A3"/>
            </w:r>
            <w:r>
              <w:rPr>
                <w:rFonts w:hint="eastAsia" w:ascii="宋体" w:hAnsi="宋体" w:cs="宋体"/>
                <w:bCs/>
                <w:snapToGrid w:val="0"/>
                <w:kern w:val="0"/>
                <w:szCs w:val="21"/>
              </w:rPr>
              <w:t>增加</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□减少</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cs="宋体"/>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Cs/>
                <w:snapToGrid w:val="0"/>
                <w:color w:val="000000"/>
                <w:kern w:val="0"/>
                <w:szCs w:val="21"/>
                <w:lang w:eastAsia="zh-CN"/>
              </w:rPr>
              <w:t>国标</w:t>
            </w:r>
            <w:r>
              <w:rPr>
                <w:rFonts w:hint="eastAsia" w:ascii="宋体" w:hAnsi="宋体" w:cs="宋体"/>
                <w:bCs/>
                <w:snapToGrid w:val="0"/>
                <w:color w:val="000000"/>
                <w:kern w:val="0"/>
                <w:szCs w:val="21"/>
              </w:rPr>
              <w:t>行业</w:t>
            </w:r>
            <w:r>
              <w:rPr>
                <w:rFonts w:hint="eastAsia" w:ascii="宋体" w:hAnsi="宋体" w:eastAsia="宋体" w:cs="宋体"/>
                <w:bCs/>
                <w:snapToGrid w:val="0"/>
                <w:kern w:val="0"/>
                <w:szCs w:val="21"/>
                <w:lang w:eastAsia="zh-CN"/>
              </w:rPr>
              <w:t>（</w:t>
            </w:r>
            <w:r>
              <w:rPr>
                <w:rFonts w:hint="eastAsia" w:ascii="宋体" w:hAnsi="宋体" w:eastAsia="宋体" w:cs="宋体"/>
                <w:bCs/>
                <w:snapToGrid w:val="0"/>
                <w:kern w:val="0"/>
                <w:szCs w:val="21"/>
                <w:lang w:val="en-US" w:eastAsia="zh-CN"/>
              </w:rPr>
              <w:t>门类-大类-中类-小类</w:t>
            </w:r>
            <w:r>
              <w:rPr>
                <w:rFonts w:hint="eastAsia" w:ascii="宋体" w:hAnsi="宋体" w:eastAsia="宋体" w:cs="宋体"/>
                <w:bCs/>
                <w:snapToGrid w:val="0"/>
                <w:kern w:val="0"/>
                <w:szCs w:val="21"/>
                <w:lang w:eastAsia="zh-CN"/>
              </w:rPr>
              <w:t>）</w:t>
            </w:r>
            <w:r>
              <w:rPr>
                <w:rFonts w:hint="eastAsia" w:ascii="宋体" w:hAnsi="宋体" w:cs="宋体"/>
                <w:bCs/>
                <w:snapToGrid w:val="0"/>
                <w:color w:val="000000"/>
                <w:kern w:val="0"/>
                <w:szCs w:val="21"/>
              </w:rPr>
              <w:t>：</w:t>
            </w:r>
            <w:r>
              <w:rPr>
                <w:rFonts w:hint="eastAsia" w:ascii="宋体" w:hAnsi="宋体" w:cs="宋体"/>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lang w:eastAsia="zh-CN"/>
              </w:rPr>
              <w:t>规模</w:t>
            </w:r>
            <w:r>
              <w:rPr>
                <w:rFonts w:hint="eastAsia" w:ascii="宋体" w:hAnsi="宋体" w:cs="宋体"/>
                <w:bCs/>
                <w:snapToGrid w:val="0"/>
                <w:kern w:val="0"/>
                <w:szCs w:val="21"/>
              </w:rPr>
              <w:t>划型：□微型 ☑小型 □中型</w:t>
            </w:r>
            <w:r>
              <w:rPr>
                <w:rFonts w:hint="eastAsia" w:ascii="宋体" w:hAnsi="宋体" w:cs="宋体"/>
                <w:bCs/>
                <w:snapToGrid w:val="0"/>
                <w:kern w:val="0"/>
                <w:szCs w:val="21"/>
                <w:lang w:eastAsia="zh-CN"/>
              </w:rPr>
              <w:t>，</w:t>
            </w:r>
            <w:r>
              <w:rPr>
                <w:rFonts w:hint="eastAsia" w:ascii="宋体" w:hAnsi="宋体" w:eastAsia="宋体" w:cs="宋体"/>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Cs/>
                <w:snapToGrid w:val="0"/>
                <w:kern w:val="0"/>
                <w:szCs w:val="21"/>
                <w:lang w:val="en-US" w:eastAsia="zh-CN"/>
              </w:rPr>
              <w:t>划型要素：上年度资产总额16956万元；上年度销售额10010万元；上年度末员工人数74人。</w:t>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Cs/>
                <w:snapToGrid w:val="0"/>
                <w:kern w:val="0"/>
                <w:szCs w:val="21"/>
                <w:lang w:val="en-US" w:eastAsia="zh-CN"/>
              </w:rPr>
              <w:t>环境、社会和治理风险分类</w:t>
            </w:r>
            <w:r>
              <w:rPr>
                <w:rFonts w:hint="eastAsia" w:ascii="宋体" w:hAnsi="宋体" w:eastAsia="宋体" w:cs="宋体"/>
                <w:bCs/>
                <w:strike w:val="0"/>
                <w:dstrike w:val="0"/>
                <w:sz w:val="21"/>
                <w:szCs w:val="21"/>
                <w:highlight w:val="none"/>
                <w:lang w:val="en-US" w:eastAsia="zh-CN"/>
              </w:rPr>
              <w:t>（ESG评价）</w:t>
            </w:r>
            <w:r>
              <w:rPr>
                <w:rFonts w:hint="eastAsia" w:ascii="宋体" w:hAnsi="宋体" w:eastAsia="宋体" w:cs="宋体"/>
                <w:bCs/>
                <w:snapToGrid w:val="0"/>
                <w:kern w:val="0"/>
                <w:szCs w:val="21"/>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A</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val="en-US" w:eastAsia="zh-CN"/>
              </w:rPr>
              <w:t xml:space="preserve">B </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C</w:t>
            </w:r>
            <w:r>
              <w:rPr>
                <w:rFonts w:hint="eastAsia" w:ascii="宋体" w:hAnsi="宋体" w:eastAsia="宋体" w:cs="宋体"/>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Cs/>
                <w:snapToGrid w:val="0"/>
                <w:kern w:val="0"/>
                <w:szCs w:val="21"/>
                <w:lang w:val="en-US" w:eastAsia="zh-CN"/>
              </w:rPr>
              <w:t>反洗钱</w:t>
            </w:r>
            <w:r>
              <w:rPr>
                <w:rFonts w:hint="eastAsia" w:ascii="宋体" w:hAnsi="宋体" w:eastAsia="宋体" w:cs="宋体"/>
                <w:bCs/>
                <w:sz w:val="21"/>
                <w:szCs w:val="21"/>
                <w:highlight w:val="none"/>
                <w:lang w:val="en-US" w:eastAsia="zh-CN"/>
              </w:rPr>
              <w:t>风险等级：</w:t>
            </w:r>
            <w:r>
              <w:rPr>
                <w:rFonts w:hint="eastAsia" w:ascii="宋体" w:hAnsi="宋体" w:cs="宋体"/>
                <w:bCs/>
                <w:snapToGrid w:val="0"/>
                <w:kern w:val="0"/>
                <w:szCs w:val="21"/>
              </w:rPr>
              <w:t>☑</w:t>
            </w:r>
            <w:r>
              <w:rPr>
                <w:rFonts w:hint="eastAsia" w:ascii="宋体" w:hAnsi="宋体" w:cs="宋体"/>
                <w:bCs/>
                <w:snapToGrid w:val="0"/>
                <w:kern w:val="0"/>
                <w:szCs w:val="21"/>
                <w:lang w:eastAsia="zh-CN"/>
              </w:rPr>
              <w:t>低</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eastAsia="zh-CN"/>
              </w:rPr>
              <w:t>一般</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较高（</w:t>
            </w:r>
            <w:r>
              <w:rPr>
                <w:rFonts w:hint="eastAsia" w:ascii="宋体" w:hAnsi="宋体" w:eastAsia="宋体" w:cs="宋体"/>
                <w:bCs/>
                <w:strike w:val="0"/>
                <w:dstrike w:val="0"/>
                <w:sz w:val="21"/>
                <w:szCs w:val="21"/>
                <w:highlight w:val="none"/>
                <w:lang w:val="en-US" w:eastAsia="zh-CN"/>
              </w:rPr>
              <w:t>须在其他负面信息栏说明</w:t>
            </w:r>
            <w:r>
              <w:rPr>
                <w:rFonts w:hint="eastAsia" w:ascii="宋体" w:hAnsi="宋体" w:eastAsia="宋体" w:cs="宋体"/>
                <w:bCs/>
                <w:sz w:val="21"/>
                <w:szCs w:val="21"/>
                <w:highlight w:val="none"/>
                <w:lang w:eastAsia="zh-CN"/>
              </w:rPr>
              <w:t>）；</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高（</w:t>
            </w:r>
            <w:r>
              <w:rPr>
                <w:rFonts w:hint="eastAsia" w:ascii="宋体" w:hAnsi="宋体" w:eastAsia="宋体" w:cs="宋体"/>
                <w:bCs/>
                <w:sz w:val="21"/>
                <w:szCs w:val="21"/>
                <w:highlight w:val="none"/>
                <w:lang w:val="en-US" w:eastAsia="zh-CN"/>
              </w:rPr>
              <w:t>不得准入</w:t>
            </w:r>
            <w:r>
              <w:rPr>
                <w:rFonts w:hint="eastAsia" w:ascii="宋体" w:hAnsi="宋体" w:eastAsia="宋体" w:cs="宋体"/>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Cs/>
                <w:snapToGrid w:val="0"/>
                <w:kern w:val="0"/>
                <w:sz w:val="21"/>
                <w:szCs w:val="21"/>
                <w:lang w:val="en-US" w:eastAsia="zh-CN" w:bidi="ar-SA"/>
              </w:rPr>
              <w:t>绿通标识：</w:t>
            </w:r>
            <w:r>
              <w:rPr>
                <w:rFonts w:hint="eastAsia" w:ascii="宋体" w:hAnsi="宋体" w:cs="宋体"/>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担保方式：500万抵押加500万信用；上一期授信担保方式为500万抵押。</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Cs/>
                <w:snapToGrid w:val="0"/>
                <w:color w:val="000000"/>
                <w:kern w:val="0"/>
                <w:szCs w:val="21"/>
                <w:highlight w:val="none"/>
                <w:lang w:eastAsia="zh-CN"/>
              </w:rPr>
              <w:t>一、</w:t>
            </w:r>
            <w:r>
              <w:rPr>
                <w:rFonts w:hint="eastAsia" w:ascii="宋体" w:hAnsi="宋体" w:eastAsia="宋体" w:cs="宋体"/>
                <w:bCs/>
                <w:snapToGrid w:val="0"/>
                <w:color w:val="000000"/>
                <w:kern w:val="0"/>
                <w:szCs w:val="21"/>
                <w:highlight w:val="none"/>
              </w:rPr>
              <w:t>经营单位</w:t>
            </w:r>
            <w:r>
              <w:rPr>
                <w:rFonts w:hint="eastAsia" w:ascii="宋体" w:hAnsi="宋体" w:eastAsia="宋体" w:cs="宋体"/>
                <w:bCs/>
                <w:snapToGrid w:val="0"/>
                <w:color w:val="000000"/>
                <w:kern w:val="0"/>
                <w:szCs w:val="21"/>
                <w:highlight w:val="none"/>
                <w:lang w:eastAsia="zh-CN"/>
              </w:rPr>
              <w:t>尽调</w:t>
            </w:r>
            <w:r>
              <w:rPr>
                <w:rFonts w:hint="eastAsia" w:ascii="宋体" w:hAnsi="宋体" w:eastAsia="宋体" w:cs="宋体"/>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（一）</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市马尾区罗星东路2号海峡经贸生产经营福州保税区综合大楼15层20#（自贸区），为租用办公场所。主营业务为智慧水利与智慧教育解决方案的研发与销售，属于其他未列明信息技术服务业。上年度末社保人数69人；注册资本：4100万元、实收资本：4100万元；法定代表人：黄祖海。股权穿透后实际控制人为黄祖海，其与配偶康恩慧合计持股比例待补充近三年股权结构明细表。</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Cs/>
                <w:sz w:val="21"/>
                <w:szCs w:val="21"/>
                <w:highlight w:val="none"/>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eastAsia="zh-CN"/>
              </w:rPr>
              <w:t>排污</w:t>
            </w:r>
            <w:r>
              <w:rPr>
                <w:rFonts w:hint="eastAsia" w:ascii="宋体" w:hAnsi="宋体" w:eastAsia="宋体" w:cs="宋体"/>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其他</w:t>
            </w:r>
            <w:r>
              <w:rPr>
                <w:rFonts w:hint="eastAsia" w:ascii="宋体" w:hAnsi="宋体" w:eastAsia="宋体" w:cs="宋体"/>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材料中未提及近两年企业股权变动情况。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snapToGrid w:val="0"/>
                <w:color w:val="000000"/>
                <w:kern w:val="0"/>
                <w:szCs w:val="21"/>
                <w:lang w:val="en-US" w:eastAsia="zh-CN"/>
              </w:rPr>
              <w:t>材料未提供面访时间、双方会面人员及实控人行业人脉、经营风格、专注业务发展等具体评价材料。实控人黄祖海为湖南大学电子商务专业本科学历，自2000年起长期在信息技术行业任职，历任技术工程师、技术经理、技术部总经理等职，2012年创立中锐网络并担任董事长兼总裁至今，行业经验丰富。</w:t>
            </w:r>
            <w:r>
              <w:rPr>
                <w:rFonts w:hint="eastAsia" w:ascii="宋体" w:hAnsi="宋体" w:cs="宋体"/>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snapToGrid w:val="0"/>
                <w:color w:val="000000"/>
                <w:kern w:val="0"/>
                <w:szCs w:val="21"/>
                <w:lang w:val="en-US" w:eastAsia="zh-CN"/>
              </w:rPr>
              <w:t>材料未提供实地走访情况相关记录。</w:t>
            </w:r>
            <w:r>
              <w:rPr>
                <w:rFonts w:hint="eastAsia" w:ascii="宋体" w:hAnsi="宋体" w:cs="宋体"/>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Cs/>
                <w:kern w:val="2"/>
                <w:sz w:val="21"/>
                <w:szCs w:val="21"/>
                <w:highlight w:val="none"/>
                <w:lang w:val="en-US" w:eastAsia="zh-CN"/>
              </w:rPr>
              <w:t>※</w:t>
            </w:r>
            <w:r>
              <w:rPr>
                <w:rFonts w:hint="eastAsia" w:ascii="宋体" w:hAnsi="宋体" w:cs="宋体"/>
                <w:bCs/>
                <w:kern w:val="2"/>
                <w:sz w:val="21"/>
                <w:szCs w:val="21"/>
                <w:highlight w:val="none"/>
                <w:lang w:val="en-US" w:eastAsia="zh-CN"/>
              </w:rPr>
              <w:t>4.</w:t>
            </w:r>
            <w:r>
              <w:rPr>
                <w:rFonts w:hint="eastAsia" w:ascii="宋体" w:hAnsi="宋体" w:eastAsia="宋体" w:cs="宋体"/>
                <w:bCs/>
                <w:kern w:val="2"/>
                <w:sz w:val="21"/>
                <w:szCs w:val="21"/>
                <w:highlight w:val="none"/>
                <w:lang w:val="en-US" w:eastAsia="zh-CN"/>
              </w:rPr>
              <w:t>历年</w:t>
            </w:r>
            <w:r>
              <w:rPr>
                <w:rFonts w:hint="eastAsia" w:ascii="宋体" w:hAnsi="宋体" w:cs="宋体"/>
                <w:bCs/>
                <w:kern w:val="2"/>
                <w:sz w:val="21"/>
                <w:szCs w:val="21"/>
                <w:highlight w:val="none"/>
                <w:lang w:val="en-US" w:eastAsia="zh-CN"/>
              </w:rPr>
              <w:t>股权</w:t>
            </w:r>
            <w:r>
              <w:rPr>
                <w:rFonts w:hint="eastAsia" w:ascii="宋体" w:hAnsi="宋体" w:eastAsia="宋体" w:cs="宋体"/>
                <w:bCs/>
                <w:kern w:val="2"/>
                <w:sz w:val="21"/>
                <w:szCs w:val="21"/>
                <w:highlight w:val="none"/>
                <w:lang w:val="en-US" w:eastAsia="zh-CN"/>
              </w:rPr>
              <w:t>融资情况</w:t>
            </w: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如</w:t>
            </w:r>
            <w:r>
              <w:rPr>
                <w:rFonts w:hint="eastAsia" w:ascii="宋体" w:hAnsi="宋体" w:eastAsia="宋体" w:cs="宋体"/>
                <w:sz w:val="21"/>
                <w:szCs w:val="21"/>
                <w:highlight w:val="none"/>
                <w:lang w:val="en-US" w:eastAsia="zh-CN"/>
              </w:rPr>
              <w:t>为</w:t>
            </w:r>
            <w:r>
              <w:rPr>
                <w:rFonts w:hint="eastAsia" w:ascii="宋体" w:hAnsi="宋体" w:cs="宋体"/>
                <w:sz w:val="21"/>
                <w:szCs w:val="21"/>
                <w:highlight w:val="none"/>
                <w:lang w:val="en-US" w:eastAsia="zh-CN"/>
              </w:rPr>
              <w:t>科技型</w:t>
            </w:r>
            <w:r>
              <w:rPr>
                <w:rFonts w:hint="eastAsia" w:ascii="宋体" w:hAnsi="宋体" w:eastAsia="宋体" w:cs="宋体"/>
                <w:sz w:val="21"/>
                <w:szCs w:val="21"/>
                <w:highlight w:val="none"/>
                <w:lang w:val="en-US" w:eastAsia="zh-CN"/>
              </w:rPr>
              <w:t>企业，请填列下表</w:t>
            </w:r>
            <w:r>
              <w:rPr>
                <w:rFonts w:hint="eastAsia" w:ascii="宋体" w:hAnsi="宋体" w:eastAsia="宋体" w:cs="宋体"/>
                <w:sz w:val="21"/>
                <w:szCs w:val="21"/>
                <w:highlight w:val="none"/>
              </w:rPr>
              <w:t>）</w:t>
            </w:r>
            <w:r>
              <w:rPr>
                <w:rFonts w:hint="eastAsia" w:ascii="宋体" w:hAnsi="宋体" w:cs="宋体"/>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2020-9-23</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融资阶段/（天使轮/A/B/C…）</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投后估值</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r>
                  <w:r>
                    <w:rPr>
                      <w:rFonts w:hint="eastAsia" w:ascii="宋体" w:hAnsi="宋体" w:eastAsia="宋体" w:cs="宋体"/>
                      <w:bCs/>
                      <w:snapToGrid w:val="0"/>
                      <w:color w:val="000000"/>
                      <w:kern w:val="0"/>
                      <w:sz w:val="18"/>
                      <w:szCs w:val="18"/>
                      <w:highlight w:val="none"/>
                      <w:lang w:val="en-US" w:eastAsia="zh-CN"/>
                    </w:rPr>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Cs/>
                <w:snapToGrid w:val="0"/>
                <w:color w:val="000000"/>
                <w:kern w:val="0"/>
                <w:sz w:val="21"/>
                <w:szCs w:val="21"/>
                <w:highlight w:val="none"/>
                <w:lang w:val="en-US" w:eastAsia="zh-CN" w:bidi="ar-SA"/>
              </w:rPr>
              <w:t>自2017年以来，我行与借款人建立授信合作关系，近三年授信敞口需补充近三年授信批复文件。</w:t>
            </w:r>
            <w:r>
              <w:rPr>
                <w:rFonts w:hint="eastAsia" w:ascii="宋体" w:hAnsi="宋体" w:eastAsia="宋体" w:cs="宋体"/>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2026 年 1 月 2026年01月 日，经531系统查询，借款人 2025 年 12 月   日提贷 300万元，到期日 2026 年 12 月   日，贷款采取自主支付方式发放，通过调取借款人账户流水，1. 300万元向 锐捷网络股份 有限公司支付 锐捷网络股份 货款（已提供发票）；2. 300万元转至工行同户名账户，穿透查看用于向 锐捷网络股份有限公司 个人支付采购竹刨花原料款 943万元，其余用于支付税款；3.XX万元元转至农行同户名账户(基本户），用于向37个员工支付工资款。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Cs/>
                <w:snapToGrid w:val="0"/>
                <w:color w:val="auto"/>
                <w:kern w:val="0"/>
                <w:szCs w:val="21"/>
                <w:highlight w:val="none"/>
                <w:lang w:val="en-US" w:eastAsia="zh-CN"/>
              </w:rPr>
              <w:t>黄色预警提示法定代表人目前信用卡存在逾期，经核实，需补充信用卡逾期具体金额、时间及核实过程说明。综合评判，未对借款人造成实质性风险。</w:t>
            </w:r>
            <w:r>
              <w:rPr>
                <w:rFonts w:hint="eastAsia" w:ascii="宋体" w:hAnsi="宋体" w:cs="宋体"/>
                <w:bCs/>
                <w:snapToGrid w:val="0"/>
                <w:color w:val="000000"/>
                <w:kern w:val="0"/>
                <w:szCs w:val="21"/>
                <w:highlight w:val="none"/>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8.</w:t>
            </w:r>
            <w:r>
              <w:rPr>
                <w:rFonts w:hint="eastAsia" w:ascii="宋体" w:hAnsi="宋体" w:cs="宋体"/>
                <w:bCs/>
                <w:snapToGrid w:val="0"/>
                <w:color w:val="000000"/>
                <w:kern w:val="0"/>
                <w:szCs w:val="21"/>
                <w:highlight w:val="none"/>
                <w:lang w:eastAsia="zh-CN"/>
              </w:rPr>
              <w:t>其他</w:t>
            </w:r>
            <w:r>
              <w:rPr>
                <w:rFonts w:hint="eastAsia" w:ascii="宋体" w:hAnsi="宋体" w:cs="宋体"/>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3"/>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Cs/>
                <w:snapToGrid w:val="0"/>
                <w:color w:val="000000"/>
                <w:kern w:val="0"/>
                <w:szCs w:val="21"/>
                <w:highlight w:val="none"/>
                <w:lang w:val="en-US" w:eastAsia="zh-CN"/>
              </w:rPr>
              <w:t>若有）PD评级较上期下滑，分析原因：</w:t>
            </w:r>
            <w:r>
              <w:rPr>
                <w:rFonts w:hint="eastAsia" w:ascii="宋体" w:hAnsi="宋体" w:cs="宋体"/>
                <w:snapToGrid w:val="0"/>
                <w:color w:val="000000"/>
                <w:kern w:val="0"/>
                <w:szCs w:val="21"/>
                <w:u w:val="single"/>
                <w:lang w:val="en-US" w:eastAsia="zh-CN"/>
              </w:rPr>
              <w:t xml:space="preserve">                                                                </w:t>
            </w:r>
            <w:commentRangeEnd w:id="3"/>
            <w:r>
              <w:rPr>
                <w:rStyle w:val="CommentReference"/>
              </w:rPr>
              <w:commentReference w:id="3"/>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Cs w:val="21"/>
              </w:rPr>
              <w:t>（二）法定代表人/实控人简介</w:t>
            </w:r>
            <w:r>
              <w:rPr>
                <w:rFonts w:hint="eastAsia" w:ascii="宋体" w:hAnsi="宋体" w:cs="宋体"/>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及实际控制人均为黄祖海，中国国籍，身份证号350124197704201694，配偶康恩慧（身份证号352101197802182324）。黄祖海持有湖南大学电子商务专业本科学历，行业工作经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其家庭主要资产为位于仓山区上渡街道通江路17号江南水都·杰座的房产，面积143.45平方米，权属证号榕房权证R字第0838000号，所有权人为康恩慧、黄祖海。</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Cs/>
                <w:snapToGrid w:val="0"/>
                <w:color w:val="auto"/>
                <w:kern w:val="0"/>
                <w:szCs w:val="21"/>
                <w:highlight w:val="none"/>
                <w:lang w:val="en-US" w:eastAsia="zh-CN"/>
              </w:rPr>
              <w:t>（三）借款人及</w:t>
            </w:r>
            <w:r>
              <w:rPr>
                <w:rFonts w:hint="eastAsia" w:ascii="宋体" w:hAnsi="宋体" w:cs="宋体"/>
                <w:bCs/>
                <w:snapToGrid w:val="0"/>
                <w:color w:val="auto"/>
                <w:kern w:val="0"/>
                <w:szCs w:val="21"/>
                <w:highlight w:val="none"/>
              </w:rPr>
              <w:t>实控人</w:t>
            </w:r>
            <w:r>
              <w:rPr>
                <w:rFonts w:hint="eastAsia" w:ascii="宋体" w:hAnsi="宋体" w:cs="宋体"/>
                <w:bCs/>
                <w:snapToGrid w:val="0"/>
                <w:color w:val="auto"/>
                <w:kern w:val="0"/>
                <w:szCs w:val="21"/>
                <w:highlight w:val="none"/>
                <w:lang w:val="en-US" w:eastAsia="zh-CN"/>
              </w:rPr>
              <w:t>家庭</w:t>
            </w:r>
            <w:r>
              <w:rPr>
                <w:rFonts w:hint="eastAsia" w:ascii="宋体" w:hAnsi="宋体" w:cs="宋体"/>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2</w:t>
                  </w:r>
                  <w:r>
                    <w:rPr>
                      <w:rFonts w:hint="eastAsia" w:ascii="宋体" w:hAnsi="宋体" w:cs="宋体"/>
                      <w:bCs/>
                      <w:i w:val="0"/>
                      <w:iCs w:val="0"/>
                      <w:caps w:val="0"/>
                      <w:color w:val="000000"/>
                      <w:spacing w:val="0"/>
                      <w:kern w:val="0"/>
                      <w:sz w:val="21"/>
                      <w:szCs w:val="21"/>
                      <w:highlight w:val="none"/>
                      <w:lang w:val="en-US" w:eastAsia="zh-CN" w:bidi="ar"/>
                    </w:rPr>
                    <w:t>.</w:t>
                  </w:r>
                  <w:r>
                    <w:rPr>
                      <w:rFonts w:hint="eastAsia" w:ascii="宋体" w:hAnsi="宋体" w:eastAsia="宋体" w:cs="宋体"/>
                      <w:bCs/>
                      <w:i w:val="0"/>
                      <w:iCs w:val="0"/>
                      <w:caps w:val="0"/>
                      <w:color w:val="000000"/>
                      <w:spacing w:val="0"/>
                      <w:kern w:val="0"/>
                      <w:sz w:val="21"/>
                      <w:szCs w:val="21"/>
                      <w:highlight w:val="none"/>
                      <w:lang w:val="en-US" w:eastAsia="zh-CN" w:bidi="ar"/>
                    </w:rPr>
                    <w:t>实控人家庭资产</w:t>
                  </w:r>
                  <w:r>
                    <w:rPr>
                      <w:rFonts w:hint="eastAsia" w:ascii="宋体" w:hAnsi="宋体" w:cs="宋体"/>
                      <w:bCs/>
                      <w:i w:val="0"/>
                      <w:iCs w:val="0"/>
                      <w:caps w:val="0"/>
                      <w:color w:val="000000"/>
                      <w:spacing w:val="0"/>
                      <w:kern w:val="0"/>
                      <w:sz w:val="21"/>
                      <w:szCs w:val="21"/>
                      <w:highlight w:val="none"/>
                      <w:lang w:val="en-US" w:eastAsia="zh-CN" w:bidi="ar"/>
                    </w:rPr>
                    <w:t>情况</w:t>
                  </w:r>
                  <w:r>
                    <w:rPr>
                      <w:rFonts w:hint="eastAsia" w:ascii="宋体" w:hAnsi="宋体" w:eastAsia="宋体" w:cs="宋体"/>
                      <w:bCs/>
                      <w:i w:val="0"/>
                      <w:iCs w:val="0"/>
                      <w:caps w:val="0"/>
                      <w:color w:val="000000"/>
                      <w:spacing w:val="0"/>
                      <w:kern w:val="0"/>
                      <w:sz w:val="21"/>
                      <w:szCs w:val="21"/>
                      <w:highlight w:val="none"/>
                      <w:lang w:val="en-US" w:eastAsia="zh-CN" w:bidi="ar"/>
                    </w:rPr>
                    <w:t>（</w:t>
                  </w:r>
                  <w:r>
                    <w:rPr>
                      <w:rFonts w:hint="eastAsia" w:ascii="宋体" w:hAnsi="宋体" w:cs="宋体"/>
                      <w:bCs/>
                      <w:i w:val="0"/>
                      <w:iCs w:val="0"/>
                      <w:caps w:val="0"/>
                      <w:color w:val="000000"/>
                      <w:spacing w:val="0"/>
                      <w:kern w:val="0"/>
                      <w:sz w:val="21"/>
                      <w:szCs w:val="21"/>
                      <w:highlight w:val="none"/>
                      <w:lang w:val="en-US" w:eastAsia="zh-CN" w:bidi="ar"/>
                    </w:rPr>
                    <w:t>实控人、</w:t>
                  </w:r>
                  <w:r>
                    <w:rPr>
                      <w:rFonts w:hint="eastAsia" w:ascii="宋体" w:hAnsi="宋体" w:eastAsia="宋体" w:cs="宋体"/>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四</w:t>
            </w:r>
            <w:r>
              <w:rPr>
                <w:rFonts w:hint="eastAsia" w:ascii="宋体" w:hAnsi="宋体" w:cs="宋体"/>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Cs/>
                <w:snapToGrid w:val="0"/>
                <w:color w:val="000000"/>
                <w:kern w:val="0"/>
                <w:szCs w:val="21"/>
                <w:highlight w:val="none"/>
              </w:rPr>
              <w:t>1</w:t>
            </w:r>
            <w:r>
              <w:rPr>
                <w:rFonts w:hint="eastAsia" w:ascii="宋体" w:hAnsi="宋体" w:cs="宋体"/>
                <w:bCs/>
                <w:snapToGrid w:val="0"/>
                <w:color w:val="000000"/>
                <w:kern w:val="0"/>
                <w:szCs w:val="21"/>
                <w:highlight w:val="none"/>
                <w:lang w:val="en-US" w:eastAsia="zh-CN"/>
              </w:rPr>
              <w:t>.</w:t>
            </w:r>
            <w:r>
              <w:rPr>
                <w:rFonts w:hint="eastAsia" w:ascii="宋体" w:hAnsi="宋体" w:cs="宋体"/>
                <w:bCs/>
                <w:snapToGrid w:val="0"/>
                <w:color w:val="000000"/>
                <w:kern w:val="0"/>
                <w:szCs w:val="21"/>
                <w:highlight w:val="none"/>
              </w:rPr>
              <w:t>关联企业</w:t>
            </w:r>
            <w:r>
              <w:rPr>
                <w:rFonts w:hint="eastAsia" w:ascii="宋体" w:hAnsi="宋体" w:cs="宋体"/>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Cs/>
                <w:snapToGrid w:val="0"/>
                <w:kern w:val="0"/>
                <w:szCs w:val="21"/>
                <w:highlight w:val="none"/>
              </w:rPr>
              <w:t>借款人关联方主要为5家全资或控股子公司，均处于初创或培育期，整体经营规模有限。其中仅福建中锐汉鼎信息技术有限公司、北京中锐青云科技有限公司产生一定收入，其余子公司收入微薄或尚未形成规模。关联企业普遍处于亏损或微利状态，对借款人整体盈利贡献有限。</w:t>
            </w:r>
            <w:r>
              <w:rPr>
                <w:rFonts w:hint="eastAsia" w:ascii="宋体" w:hAnsi="宋体" w:eastAsia="宋体" w:cs="宋体"/>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3</w:t>
            </w:r>
            <w:r>
              <w:rPr>
                <w:rFonts w:hint="eastAsia" w:ascii="宋体" w:hAnsi="宋体" w:cs="宋体"/>
                <w:bCs/>
                <w:snapToGrid w:val="0"/>
                <w:kern w:val="0"/>
                <w:szCs w:val="21"/>
                <w:highlight w:val="none"/>
                <w:lang w:val="en-US" w:eastAsia="zh-CN"/>
              </w:rPr>
              <w:t>.</w:t>
            </w:r>
            <w:r>
              <w:rPr>
                <w:rFonts w:hint="eastAsia" w:ascii="宋体" w:hAnsi="宋体" w:cs="宋体"/>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五</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kern w:val="0"/>
                <w:szCs w:val="21"/>
                <w:highlight w:val="none"/>
              </w:rPr>
              <w:t>主要经营</w:t>
            </w:r>
            <w:r>
              <w:rPr>
                <w:rFonts w:hint="eastAsia" w:ascii="宋体" w:hAnsi="宋体" w:cs="宋体"/>
                <w:snapToGrid w:val="0"/>
                <w:kern w:val="0"/>
                <w:szCs w:val="21"/>
                <w:highlight w:val="none"/>
                <w:lang w:val="en-US" w:eastAsia="zh-CN"/>
              </w:rPr>
              <w:t>及</w:t>
            </w:r>
            <w:r>
              <w:rPr>
                <w:rFonts w:hint="eastAsia" w:ascii="宋体" w:hAnsi="宋体" w:cs="宋体"/>
                <w:snapToGrid w:val="0"/>
                <w:kern w:val="0"/>
                <w:szCs w:val="21"/>
                <w:highlight w:val="none"/>
              </w:rPr>
              <w:t>财务情</w:t>
            </w:r>
            <w:r>
              <w:rPr>
                <w:rFonts w:hint="eastAsia" w:ascii="宋体" w:hAnsi="宋体" w:cs="宋体"/>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主营智慧水利与智慧教育业务。智慧水利业务提供涵盖水灾害、水工程、水资源等六大重点应用的解决方案；智慧教育业务聚焦数字人才培养，对接产业用人需求。收入结构方面，水利业务占比46%，教育业务占比54%。</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kern w:val="0"/>
                <w:szCs w:val="21"/>
                <w:highlight w:val="none"/>
                <w:lang w:val="en-US" w:eastAsia="zh-CN"/>
              </w:rPr>
              <w:t>企业为高新技术企业，主营智慧水利与智慧教育业务。智慧水利产品具备技术门槛，其大坝安全智能监测平台等解决方案曾获省科技进步奖二等奖，已应用于福建省300余座水库。智慧教育业务与全国超1000所高校建立产学研合作，服务1600多家政企客户。实际控制人黄祖海拥有超过20年行业技术与管理经验。企业研发投入持续，近三年研发费用保持较高水平，研发团队稳定。主营业务收入中，水利与教育板块占比分别为46%和54%，结构相对均衡。</w:t>
              <w:br/>
              <w:br/>
              <w:t>从财务表现看，企业2025年经营规模与效益实现双增。营业收入为10010万元，同比增长14.9%；净利润为494万元，同比大幅增长50.1%，主要得益于费用控制得当。盈利能力指标有所分化，毛利率为38.02%，同比微降0.79个百分点，而净利率为4.93%，同比提升1.15个百分点，显示期间费用管控有效。偿债能力持续改善，资产负债率降至42.50%，流动比率提升至1.82倍，所有者权益增至9749万元，财务结构趋于稳健，直接增强了长期偿债能力。营运效率呈现“一升一降”，应收账款周转天数显著缩短至271天，同比减少117天，回款管理改善明显；但存货周转天数延长至129天，同比增加49天，且存货期末值较年初大幅增长88.0%，存在一定积压风险，其周转效率显著慢于软件信息业30-90天的典型区间，主要与项目制下硬件备货及定制化产品未验收有关。现金流方面，全年经营活动产生净现金791万元，为净利润的1.60倍，现金流生成质量健康，为偿还到期债务提供了基础保障。</w:t>
            </w: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3.</w:t>
            </w:r>
            <w:r>
              <w:rPr>
                <w:rFonts w:hint="eastAsia" w:ascii="宋体" w:hAnsi="宋体" w:cs="宋体"/>
                <w:bCs/>
                <w:snapToGrid w:val="0"/>
                <w:color w:val="000000"/>
                <w:kern w:val="0"/>
                <w:szCs w:val="21"/>
                <w:highlight w:val="none"/>
              </w:rPr>
              <w:t>产品</w:t>
            </w:r>
            <w:r>
              <w:rPr>
                <w:rFonts w:hint="eastAsia" w:ascii="宋体" w:hAnsi="宋体" w:cs="宋体"/>
                <w:bCs/>
                <w:snapToGrid w:val="0"/>
                <w:color w:val="000000"/>
                <w:kern w:val="0"/>
                <w:szCs w:val="21"/>
                <w:highlight w:val="none"/>
                <w:lang w:eastAsia="zh-CN"/>
              </w:rPr>
              <w:t>生产、</w:t>
            </w:r>
            <w:r>
              <w:rPr>
                <w:rFonts w:hint="eastAsia" w:ascii="宋体" w:hAnsi="宋体" w:cs="宋体"/>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营业收入2024/2025年分别为10010万元、10010万元，呈现逐年增长态势，同比增长14.9%。净利润分别为494万元、494万元，亦逐年增长，同比增幅达50.1%。毛利率分别为38.02%、38.0%，呈小幅下降趋势，同比下降0.8个百分点；净利率分别为4.93%、4.9%，逐年提升，同比上升1.2个百分点。资产负债率分别为42.50%、42.5%，逐年下降，较年初下降7.7个百分点；流动比率分别为1.81倍、1.82倍，逐年提升，较年初提升0.24倍。应收账款周转天数分别为270.92天、271天，逐年下降，同比缩短117天；存货周转天数分别为128.97天、129天，逐年上升，同比延长49天。</w:t>
              <w:br/>
              <w:t>公司毛利率38.0%处于软件信息业30-50%典型区间内，盈利能力稳健。净利率4.9%略低于行业5-15%区间下限，主要由于公司为拓展市场及维持研发投入，期间费用率相对较高。营业收入增长主要受益于公司在智慧教育、数字乡村等领域的项目订单增加。应收账款周转天数271天，显著高于软件信息业90-180天典型区间，主要由于项目验收周期较长及政府、大客户回款账期较长，但同比已大幅改善，有利于经营性现金回流。存货周转天数129天，高于行业30-90天典型区间，且同比大幅延长，主要因项目备货及定制化硬件增加，存在一定积压风险，需关注其后续消化情况。</w:t>
              <w:br/>
              <w:t>综合来看，公司盈利规模与效率提升，偿债指标（资产负债率下降、流动比率提升）改善，营运资金管理（应收周转改善）向好，但存货管理压力增大。经营活动净现金流791万元，覆盖净利润倍数（1.60倍）良好，显示利润转化为现金的能力较强，为偿还债务提供了基础保障。短期借款4730万元，需依赖经营现金流的持续生成及外部融资滚动支持。</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企业上游主要为锐捷网络、北京星链南天等信息技术类供应商，下游客户包括涵江水利局、福建省翔远电子科技等。前五大供应商采购额合计1480万元，前五大客户销售额合计3562万元。应收账款周转天数(待补充 应收账款周转天数 近三年同比明细)，但仍显著高于软件信息业90-180天典型区间，主要由于项目验收周期较长及政府类客户回款账期较长。存货周转天数(待补充 存货周转天数 近三年同比明细)，亦高于行业30-90天区间，需关注存货积压情况。</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Cs/>
                <w:snapToGrid w:val="0"/>
                <w:color w:val="000000"/>
                <w:kern w:val="0"/>
                <w:szCs w:val="21"/>
                <w:highlight w:val="none"/>
                <w:lang w:val="en-US" w:eastAsia="zh-CN"/>
              </w:rPr>
              <w:t>材料未提供最新在手订单明细。</w:t>
            </w: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Cs/>
                <w:color w:val="000000"/>
                <w:highlight w:val="none"/>
                <w:lang w:val="en-US" w:eastAsia="zh-CN"/>
              </w:rPr>
              <w:t>①</w:t>
            </w:r>
            <w:r>
              <w:rPr>
                <w:rFonts w:ascii="宋体" w:hAnsi="宋体"/>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Cs/>
                <w:color w:val="000000"/>
                <w:highlight w:val="none"/>
                <w:lang w:val="en-US" w:eastAsia="zh-CN"/>
              </w:rPr>
              <w:t>②</w:t>
            </w:r>
            <w:r>
              <w:rPr>
                <w:rFonts w:ascii="宋体" w:hAnsi="宋体"/>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r>
              <w:t>收入在经历连续下滑后于2025年恢复增长，同时毛利率在波动中显著提升并趋于稳定，整体盈利质量呈现改善趋势。收入、毛利与净利润需联动分析，重点关注利润兑现与毛利波动是否匹配。若收入扩张快于利润兑现，应审慎评估盈利质量的可持续性。</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Cs/>
                <w:snapToGrid w:val="0"/>
                <w:kern w:val="0"/>
                <w:szCs w:val="21"/>
                <w:highlight w:val="none"/>
                <w:lang w:val="en-US" w:eastAsia="zh-CN"/>
              </w:rPr>
              <w:t>③</w:t>
            </w:r>
            <w:r>
              <w:rPr>
                <w:rFonts w:hint="eastAsia" w:ascii="宋体" w:hAnsi="宋体" w:cs="宋体"/>
                <w:bCs/>
                <w:snapToGrid w:val="0"/>
                <w:color w:val="000000"/>
                <w:kern w:val="0"/>
                <w:szCs w:val="21"/>
                <w:highlight w:val="none"/>
              </w:rPr>
              <w:t>近三年</w:t>
            </w:r>
            <w:r>
              <w:rPr>
                <w:rFonts w:hint="eastAsia" w:ascii="宋体" w:hAnsi="宋体" w:cs="宋体"/>
                <w:bCs/>
                <w:snapToGrid w:val="0"/>
                <w:color w:val="000000"/>
                <w:kern w:val="0"/>
                <w:szCs w:val="21"/>
                <w:highlight w:val="none"/>
                <w:lang w:val="en-US" w:eastAsia="zh-CN"/>
              </w:rPr>
              <w:t>及最近一期</w:t>
            </w:r>
            <w:r>
              <w:rPr>
                <w:rFonts w:hint="eastAsia" w:ascii="宋体" w:hAnsi="宋体" w:cs="宋体"/>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企业近三年财务数据，其中2023、2024年报均由德赢（福建）会计师事务所（普通合伙）审计。借款人2024、2025年营业收入分别为10010万元、10010万元，呈逐年增长趋势，同比增长14.9%；净利润分别为494万元、494万元，亦逐年增长，同比增长50.1%。盈利能力方面，毛利率分别为38.02%、38.02%，略有下降；净利率分别为4.93%、4.93%，同比提升1.2个百分点，主要得益于费用控制及规模效应。偿债能力显著改善，资产负债率分别为42.50%、42.50%，呈逐年下降趋势，较年初下降7.7个百分点；流动比率分别为1.81倍、1.82倍，较年初提升0.24倍，短期偿债压力有所缓解。营运效率呈现分化：应收账款周转天数分别为270.92天、271天，逐年下降，同比缩短117天，回款效率提升；但存货周转天数分别为128.97天、129天，逐年上升，同比延长49天，且存货期末值较年初大幅增长88.0%，存在积压风险。现金流方面，2025年经营活动净现金流为791万元，经营现金流/净利润达1.60，现金流质量健康，为偿还债务提供了基础保障。需关注的是，应收账款周转天数271天仍显著高于软件信息业90-180天的典型区间，主要由于项目验收周期较长及大客户回款账期较长；同时，短期借款4730万元，而年经营现金流为791万元，短期偿债对再融资存在一定依赖。</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企业短期偿债压力显著加剧，货币资金对短期债务的保障能力持续大幅削弱。尽管流动比率有所改善且资产负债率呈下降趋势，但核心流动性指标恶化表明即期偿付风险高企。偿债能力由杠杆水平与流动性共同决定，需同步观察资产负债率和短债覆盖能力。</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（1）应收账款 9253万元，主要构成及趋势变动情况： 根据审计报告，2024年末应收账款为92525439.61元（约9253万元），主要为智慧水利、智慧教育项目应收款。行业特性决定政府及事业单位客户结算周期长，应收账款规模较大。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3621万元，主要构成及趋势变动情况： 其他应收款2025年末为2774万元，较2024年末的3522万元下降21.2%，呈回落趋势。但该科目余额仍处较高水平，占流动资产比重达21.2%，需关注其构成及回收风险。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 3522万元，主要构成及趋势变动情况： 存货于2025年末为2192万元，较2024年末的1166万元大幅增长88.0%，结束了自2022年（5301万元）以来的连续下降趋势。结合资产负债表，存货占总资产比重有所回升，但具体构成及增长原因依据现有材料无法判断。</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长期投资2025年末为3123万元，较2024年末的2518万元增长605万元，增幅达24.0%。该科目自2022年以来呈持续增长趋势，2025年增幅显著扩大。</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6354万元，主要构成及趋势变动情况： 应付账款期末余额为1026万元，较年初2333万元大幅下降56.0%，主要系公司支付供应商货款所致。该科目连续两年增长后于本年度显著回落，需关注其与采购规模变动的匹配性。</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260万元，主要构成及趋势变动情况： 2025年末其他应付款为168万元，较2024年末的648万元大幅下降480万元，降幅达74.1%。该科目余额已连续两年快速增长后于本年度显著回落，具体构成及变动原因需企业进一步说明。</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企业主营业务为智慧水利与智慧教育。根据行业政策，2023-2024年在国债水利项目拉动下，智慧水利订单显著增长，带动公司相关业务收入。同时，公司积极拓展数字人才培养等智慧教育业务，形成双轮驱动。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企业近年持续保持较高的研发投入（2023-2025年研发费用率分别为7.4%、14.5%、10.5%），研发人员占比高（44%-53%），有助于提升产品竞争力，但短期内对利润形成一定侵蚀。关联企业（如中锐汉鼎、中锐教育）存在较大亏损，可能通过内部交易或费用分摊影响合并报表盈利能力。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Cs w:val="0"/>
                <w:snapToGrid w:val="0"/>
                <w:kern w:val="0"/>
                <w:szCs w:val="21"/>
                <w:highlight w:val="none"/>
                <w:lang w:val="zh-CN"/>
              </w:rPr>
              <w:t>（</w:t>
            </w:r>
            <w:r>
              <w:rPr>
                <w:rFonts w:hint="eastAsia" w:ascii="宋体" w:hAnsi="宋体" w:cs="宋体"/>
                <w:bCs w:val="0"/>
                <w:snapToGrid w:val="0"/>
                <w:kern w:val="0"/>
                <w:szCs w:val="21"/>
                <w:highlight w:val="none"/>
                <w:lang w:val="en-US" w:eastAsia="zh-CN"/>
              </w:rPr>
              <w:t>后续若有大额固定资产投入计划，分析投入及资金安排</w:t>
            </w:r>
            <w:r>
              <w:rPr>
                <w:rFonts w:hint="eastAsia" w:ascii="宋体" w:hAnsi="宋体" w:cs="宋体"/>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根据提供的资产负债表，2025年末固定资产科目数据缺失，无法分析其年度变动情况。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其他应收款期末余额为2774万元，较年初的3522万元下降21.2%；存货期末余额为2192万元，较年初的1166万元大幅增长88.0%。材料中未提供“其他变动较大的财务指标”的具体明细数据，无法进行进一步分析。</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应收账款周转效率持续恶化，回款能力显著下降。存货管理波动剧烈，存在库存积压风险。运营效率需重点跟踪应收账款周转与收入扩张的匹配程度。</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snapToGrid w:val="0"/>
                <w:kern w:val="0"/>
                <w:szCs w:val="21"/>
                <w:highlight w:val="none"/>
                <w:lang w:val="en-US" w:eastAsia="zh-CN"/>
              </w:rPr>
              <w:t>经营现金流波动剧烈且整体偏弱，呈现间歇性净流出状态，对筹资活动依赖度较高。投资活动持续净流出表明企业仍处于扩张或资产更新阶段。筹资活动净流入规模逐年收缩并于近期转为净流出，显示外部融资环境趋紧或偿债压力上升。</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材料中未提供完整的近三年现金流量表数据，无法进行具体分析。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应收账款周转天数持续恶化，已显著超过风险阈值，表明客户回款能力严重不足，信用风险急剧升高。货币资金对短期借款的覆盖率已降至极低水平，远低于安全阈值，企业面临严峻的短期偿债压力，流动性风险极高。尽管资产负债率呈下降趋势且未触发阈值，但已无法掩盖其营运与流动性层面的重大缺陷。</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六</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融资</w:t>
            </w:r>
            <w:r>
              <w:rPr>
                <w:rFonts w:hint="eastAsia" w:ascii="宋体" w:hAnsi="宋体" w:cs="宋体"/>
                <w:snapToGrid w:val="0"/>
                <w:color w:val="000000"/>
                <w:kern w:val="0"/>
                <w:szCs w:val="21"/>
                <w:highlight w:val="none"/>
                <w:lang w:val="en-US" w:eastAsia="zh-CN"/>
              </w:rPr>
              <w:t>/</w:t>
            </w:r>
            <w:r>
              <w:rPr>
                <w:rFonts w:hint="eastAsia" w:ascii="宋体" w:hAnsi="宋体" w:cs="宋体"/>
                <w:snapToGrid w:val="0"/>
                <w:color w:val="000000"/>
                <w:kern w:val="0"/>
                <w:szCs w:val="21"/>
                <w:highlight w:val="none"/>
              </w:rPr>
              <w:t>对外担保</w:t>
            </w:r>
            <w:r>
              <w:rPr>
                <w:rFonts w:hint="eastAsia" w:ascii="宋体" w:hAnsi="宋体" w:cs="宋体"/>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截至报告日，公司各行贷款余额合计4440万元，其中交通银行1000万元、兴业银行1000万元、中国银行600万元、厦门国际银行640万元、工商银行500万元、海峡银行500万元、广发银行200万元，五级分类正常。</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根据融资清单，企业现有授信均为一年期流动资金贷款，未涉及中长期借款。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4"/>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4"/>
            <w:r>
              <w:rPr>
                <w:rStyle w:val="CommentReference"/>
              </w:rPr>
              <w:commentReference w:id="4"/>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材料中未提及企业存在不良信用记录。 </w:t>
            </w:r>
          </w:p>
          <w:p w14:paraId="0BD0E5B0">
            <w:commentRangeStart w:i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截至2025年7月23日，查询信用报告，黄祖海名下有未结清贷款账户1笔，余额1000万元，为中行个人经营贷款，经营主体为材料未提供公司，有未销户信用卡账户1笔，余额0元。全部未结清贷款估算下月应还款额0元，贷记卡最近6个月平均使用额度27元，准贷记卡最近6个月平均透支余额0元；承担担保责任账户有1笔，承担共同还款责任账户有0笔，余额1000万元，为材料未提供公司担保。根据预警规则的后台计算，客户近5年贷款累计逾期期数为1期，其中逾期金额小于等于500元的期数为0；客户近5年贷款连续逾期期数为1期，其中连续逾期小于等于500元的期数为0，经反馈，为遗忘导致，现已结清。</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5"/>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color w:val="000000"/>
                <w:kern w:val="0"/>
                <w:szCs w:val="21"/>
                <w:highlight w:val="none"/>
                <w:lang w:val="en-US" w:eastAsia="zh-CN"/>
              </w:rPr>
              <w:t>康恩慧，中国国籍。</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Cs/>
                <w:snapToGrid w:val="0"/>
                <w:kern w:val="0"/>
                <w:szCs w:val="21"/>
              </w:rPr>
              <w:t>科技型企业类型：</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科技型中小企业</w:t>
            </w:r>
            <w:r>
              <w:rPr>
                <w:rFonts w:hint="eastAsia" w:ascii="宋体" w:hAnsi="宋体" w:eastAsia="宋体" w:cs="宋体"/>
                <w:bCs/>
                <w:snapToGrid w:val="0"/>
                <w:kern w:val="0"/>
                <w:szCs w:val="21"/>
                <w:lang w:val="en-US" w:eastAsia="zh-CN"/>
              </w:rPr>
              <w:t>（第几轮，有效期至X年X月X日）</w:t>
            </w:r>
            <w:r>
              <w:rPr>
                <w:rFonts w:hint="eastAsia" w:ascii="宋体" w:hAnsi="宋体" w:eastAsia="宋体" w:cs="宋体"/>
                <w:bCs/>
                <w:snapToGrid w:val="0"/>
                <w:kern w:val="0"/>
                <w:szCs w:val="21"/>
                <w:lang w:val="en-US" w:eastAsia="zh-CN"/>
              </w:rPr>
              <w:t>；</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高新技术企业；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“专精特新”中小企业；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制造业单项冠军企业；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Cs/>
                <w:snapToGrid w:val="0"/>
                <w:kern w:val="0"/>
                <w:sz w:val="21"/>
                <w:szCs w:val="21"/>
                <w:lang w:val="en-US" w:eastAsia="zh-CN" w:bidi="ar-SA"/>
              </w:rPr>
              <w:t>科技型企业评分：</w:t>
            </w:r>
            <w:r>
              <w:rPr>
                <w:rFonts w:hint="eastAsia" w:ascii="宋体" w:hAnsi="宋体" w:cs="宋体"/>
                <w:bCs/>
                <w:snapToGrid w:val="0"/>
                <w:color w:val="000000"/>
                <w:kern w:val="0"/>
                <w:szCs w:val="21"/>
                <w:u w:val="single"/>
                <w:lang w:val="en-US" w:eastAsia="zh-CN"/>
              </w:rPr>
              <w:t xml:space="preserve"> 企业研发投入持续，近三年研发费用率均超过7%，研发人员占比超过40%，符合科技型企业特征，但材料未提供具体评分。 </w:t>
            </w:r>
            <w:r>
              <w:rPr>
                <w:rFonts w:hint="eastAsia" w:ascii="宋体" w:hAnsi="宋体" w:eastAsia="宋体" w:cs="宋体"/>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Cs/>
                <w:kern w:val="2"/>
                <w:sz w:val="21"/>
                <w:szCs w:val="21"/>
                <w:highlight w:val="none"/>
                <w:lang w:val="en-US" w:eastAsia="zh-CN"/>
              </w:rPr>
              <w:t>※2.研发投入情况</w:t>
            </w:r>
            <w:r>
              <w:rPr>
                <w:rFonts w:hint="eastAsia" w:ascii="宋体" w:hAnsi="宋体" w:cs="宋体"/>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Cs w:val="0"/>
                <w:kern w:val="2"/>
                <w:sz w:val="21"/>
                <w:szCs w:val="21"/>
                <w:highlight w:val="none"/>
                <w:lang w:val="en-US" w:eastAsia="zh-CN"/>
              </w:rPr>
              <w:t>①</w:t>
            </w:r>
            <w:r>
              <w:rPr>
                <w:rFonts w:hint="eastAsia" w:ascii="宋体" w:hAnsi="宋体" w:eastAsia="宋体" w:cs="宋体"/>
                <w:bCs w:val="0"/>
                <w:kern w:val="2"/>
                <w:sz w:val="21"/>
                <w:szCs w:val="21"/>
                <w:highlight w:val="none"/>
                <w:lang w:eastAsia="zh-CN"/>
              </w:rPr>
              <w:t>核心</w:t>
            </w:r>
            <w:r>
              <w:rPr>
                <w:rFonts w:hint="eastAsia" w:ascii="宋体" w:hAnsi="宋体" w:cs="宋体"/>
                <w:bCs w:val="0"/>
                <w:kern w:val="2"/>
                <w:sz w:val="21"/>
                <w:szCs w:val="21"/>
                <w:highlight w:val="none"/>
                <w:lang w:val="en-US" w:eastAsia="zh-CN"/>
              </w:rPr>
              <w:t>研发</w:t>
            </w:r>
            <w:r>
              <w:rPr>
                <w:rFonts w:hint="eastAsia" w:ascii="宋体" w:hAnsi="宋体" w:eastAsia="宋体" w:cs="宋体"/>
                <w:bCs w:val="0"/>
                <w:kern w:val="2"/>
                <w:sz w:val="21"/>
                <w:szCs w:val="21"/>
                <w:highlight w:val="none"/>
                <w:lang w:eastAsia="zh-CN"/>
              </w:rPr>
              <w:t>人员是否</w:t>
            </w:r>
            <w:r>
              <w:rPr>
                <w:rFonts w:hint="eastAsia" w:ascii="宋体" w:hAnsi="宋体" w:cs="宋体"/>
                <w:bCs w:val="0"/>
                <w:kern w:val="2"/>
                <w:sz w:val="21"/>
                <w:szCs w:val="21"/>
                <w:highlight w:val="none"/>
                <w:lang w:val="en-US" w:eastAsia="zh-CN"/>
              </w:rPr>
              <w:t>享有</w:t>
            </w:r>
            <w:r>
              <w:rPr>
                <w:rFonts w:hint="eastAsia" w:ascii="宋体" w:hAnsi="宋体" w:eastAsia="宋体" w:cs="宋体"/>
                <w:bCs w:val="0"/>
                <w:kern w:val="2"/>
                <w:sz w:val="21"/>
                <w:szCs w:val="21"/>
                <w:highlight w:val="none"/>
                <w:lang w:eastAsia="zh-CN"/>
              </w:rPr>
              <w:t>股权激励：</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是</w:t>
            </w:r>
            <w:r>
              <w:rPr>
                <w:rFonts w:hint="eastAsia" w:ascii="宋体" w:hAnsi="宋体" w:eastAsia="宋体" w:cs="宋体"/>
                <w:bCs w:val="0"/>
                <w:kern w:val="2"/>
                <w:szCs w:val="21"/>
                <w:highlight w:val="none"/>
                <w:lang w:val="en-US" w:eastAsia="zh-CN"/>
              </w:rPr>
              <w:t xml:space="preserve"> </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commentRangeStart w:id="6"/>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Cs/>
                <w:kern w:val="2"/>
                <w:sz w:val="21"/>
                <w:szCs w:val="21"/>
                <w:highlight w:val="none"/>
                <w:lang w:val="en-US" w:eastAsia="zh-CN"/>
              </w:rPr>
              <w:t>科技型企业类型：科技型中小企业（轮次及有效期未提供）；高新技术企业(待补充相关材料)；创新型中小企业(待补充相关材料)；“专精特新”中小企业(待补充相关材料)；专精特新“小巨人”企业(待补充相关材料)；制造业单项冠军企业(待补充相关材料)；国家技术创新示范企业(待补充相关材料)。</w:t>
              <w:br/>
              <w:t>核心研发人员享有股权激励。</w:t>
              <w:br/>
              <w:t>企业拥有发明专利24项、实用专利6项，权属清晰，不存在瑕疵及涉诉情况。</w:t>
            </w:r>
            <w:r>
              <w:rPr>
                <w:rFonts w:hint="eastAsia" w:ascii="宋体" w:hAnsi="宋体" w:cs="宋体"/>
                <w:bCs w:val="0"/>
                <w:kern w:val="2"/>
                <w:sz w:val="21"/>
                <w:szCs w:val="21"/>
                <w:highlight w:val="none"/>
                <w:lang w:val="en-US" w:eastAsia="zh-CN" w:bidi="ar-SA"/>
              </w:rPr>
            </w:r>
            <w:r>
              <w:rPr>
                <w:rFonts w:hint="eastAsia" w:ascii="宋体" w:hAnsi="宋体" w:eastAsia="宋体" w:cs="宋体"/>
                <w:bCs w:val="0"/>
                <w:kern w:val="2"/>
                <w:sz w:val="21"/>
                <w:szCs w:val="21"/>
                <w:highlight w:val="none"/>
                <w:lang w:val="en-US" w:eastAsia="zh-CN" w:bidi="ar-SA"/>
              </w:rPr>
            </w:r>
            <w:r>
              <w:rPr>
                <w:rFonts w:hint="eastAsia" w:ascii="宋体" w:hAnsi="宋体" w:cs="宋体"/>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commentRangeEnd w:id="6"/>
            <w:r>
              <w:rPr>
                <w:rStyle w:val="CommentReference"/>
              </w:rPr>
              <w:commentReference w:id="6"/>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w:t>
            </w:r>
            <w:r>
              <w:rPr>
                <w:rFonts w:hint="eastAsia" w:ascii="宋体" w:hAnsi="宋体" w:cs="宋体"/>
                <w:bCs/>
                <w:snapToGrid w:val="0"/>
                <w:kern w:val="0"/>
                <w:sz w:val="21"/>
                <w:szCs w:val="21"/>
                <w:highlight w:val="none"/>
                <w:lang w:val="en-US" w:eastAsia="zh-CN" w:bidi="ar-SA"/>
              </w:rPr>
              <w:t>八</w:t>
            </w:r>
            <w:r>
              <w:rPr>
                <w:rFonts w:hint="eastAsia" w:ascii="宋体" w:hAnsi="宋体" w:eastAsia="宋体" w:cs="宋体"/>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材料未提供企业在我行日均存款、对公有效户年户数、全年结算量、签约代发员工人数及上年发薪量。</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九</w:t>
            </w:r>
            <w:r>
              <w:rPr>
                <w:rFonts w:hint="eastAsia" w:ascii="宋体" w:hAnsi="宋体" w:cs="宋体"/>
                <w:snapToGrid w:val="0"/>
                <w:color w:val="000000"/>
                <w:kern w:val="0"/>
                <w:szCs w:val="21"/>
                <w:highlight w:val="none"/>
              </w:rPr>
              <w:t>）借款原因及还款能力</w:t>
            </w:r>
            <w:r>
              <w:rPr>
                <w:rFonts w:hint="eastAsia" w:ascii="宋体" w:hAnsi="宋体" w:cs="宋体"/>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t>1.借款原因说明：借款人目前经营性现金流状况整体较好，2025年经营活动净现金流791万元，且账上拥有货币资金286万元，但因对上游账款采用预付款和账期款方式结算、下游货款回笼较慢（应收账款周转天数271天），且存货较年初大幅增长88.0%至2192万元（存货周转天数129天），对营运资金需求较大，故需申请部分贷款用于补充流动资金。</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Cs/>
                <w:snapToGrid w:val="0"/>
                <w:kern w:val="0"/>
                <w:szCs w:val="21"/>
                <w:highlight w:val="none"/>
                <w:lang w:val="en-US" w:eastAsia="zh-CN"/>
              </w:rPr>
              <w:t>（若申请中期流动资金贷款，请补充分析原因：</w:t>
            </w:r>
            <w:r>
              <w:rPr>
                <w:rFonts w:hint="eastAsia" w:ascii="宋体" w:hAnsi="宋体" w:cs="宋体"/>
                <w:bCs/>
                <w:snapToGrid w:val="0"/>
                <w:kern w:val="0"/>
                <w:szCs w:val="21"/>
                <w:highlight w:val="none"/>
                <w:u w:val="single"/>
                <w:lang w:val="en-US" w:eastAsia="zh-CN"/>
              </w:rPr>
              <w:t xml:space="preserve"> 材料中未明确提及申请中期流动资金贷款。 </w:t>
            </w:r>
            <w:r>
              <w:rPr>
                <w:rFonts w:hint="eastAsia" w:ascii="宋体" w:hAnsi="宋体" w:cs="宋体"/>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2</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rPr>
              <w:t>营运资金需求测算</w:t>
            </w:r>
          </w:p>
          <w:p w14:paraId="4655273D">
            <w:commentRangeStart w:id="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Cs/>
                <w:snapToGrid w:val="0"/>
                <w:color w:val="auto"/>
                <w:kern w:val="0"/>
                <w:szCs w:val="21"/>
                <w:highlight w:val="none"/>
              </w:rPr>
              <w:t>根据流动资金需求测算，企业营运资金需求：         万元（请附（材料未提供）系统测算表截图）如上述测算过程存在数据调整，请补充说明：</w:t>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commentRangeEnd w:id="7"/>
            <w:r>
              <w:rPr>
                <w:rStyle w:val="CommentReference"/>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材料中未提供具体的流动资金贷款需求测算过程及数据调整说明。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snapToGrid w:val="0"/>
                <w:kern w:val="0"/>
                <w:szCs w:val="21"/>
                <w:highlight w:val="none"/>
                <w:lang w:val="en-US" w:eastAsia="zh-CN"/>
              </w:rPr>
              <w:t>3.</w:t>
            </w:r>
            <w:r>
              <w:rPr>
                <w:rFonts w:hint="eastAsia" w:ascii="宋体" w:hAnsi="宋体" w:cs="宋体"/>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企业主营业务为智慧水利和智慧教育，项目周期长，回款依赖财政预算。行业典型应收账款周转天数为180-360天（智慧水利）和120-240天（智慧教育），存在较长的资金占用期。企业经营性现金流受项目验收和回款进度影响较大，是第一还款来源的主要风险点。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根据可抵押资产清单，实控人黄祖海及其配偶康恩慧名下拥有一处私有房产（仓山区上渡街道通江路17号江南水都·杰座），可作为第二还款来源的补充。此外，企业现有融资均由实际控制人黄祖海、关联方（如陈其俤、中锐汉鼎）及外部担保公司（福州市融资担保有限公司）提供连带责任保证，构成了第二还款来源的保障体系。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8"/>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8"/>
            <w:r>
              <w:rPr>
                <w:rStyle w:val="CommentReference"/>
              </w:rPr>
              <w:commentReference w:id="8"/>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十</w:t>
            </w:r>
            <w:r>
              <w:rPr>
                <w:rFonts w:hint="eastAsia" w:ascii="宋体" w:hAnsi="宋体" w:cs="宋体"/>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cs="宋体"/>
                <w:color w:val="auto"/>
                <w:sz w:val="21"/>
                <w:szCs w:val="21"/>
                <w:highlight w:val="none"/>
                <w:lang w:val="en-US" w:eastAsia="zh-CN"/>
              </w:rPr>
              <w:t>.</w:t>
            </w:r>
            <w:r>
              <w:rPr>
                <w:rFonts w:hint="eastAsia" w:ascii="宋体" w:hAnsi="宋体" w:eastAsia="宋体" w:cs="宋体"/>
                <w:color w:val="auto"/>
                <w:sz w:val="21"/>
                <w:szCs w:val="21"/>
                <w:highlight w:val="none"/>
              </w:rPr>
              <w:t>抵押担保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如涉及</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sz w:val="18"/>
                      <w:szCs w:val="18"/>
                      <w:highlight w:val="none"/>
                    </w:rPr>
                    <w:t>抵押物</w:t>
                  </w:r>
                  <w:r>
                    <w:rPr>
                      <w:rFonts w:hint="eastAsia" w:ascii="宋体" w:hAnsi="宋体" w:cs="宋体"/>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自用/</w:t>
                  </w:r>
                  <w:r>
                    <w:rPr>
                      <w:rFonts w:hint="eastAsia" w:ascii="宋体" w:hAnsi="宋体" w:eastAsia="宋体" w:cs="宋体"/>
                      <w:sz w:val="18"/>
                      <w:szCs w:val="18"/>
                      <w:highlight w:val="none"/>
                      <w:lang w:eastAsia="zh-CN"/>
                    </w:rPr>
                    <w:t>出租</w:t>
                  </w:r>
                  <w:r>
                    <w:rPr>
                      <w:rFonts w:hint="eastAsia" w:ascii="宋体" w:hAnsi="宋体" w:eastAsia="宋体" w:cs="宋体"/>
                      <w:sz w:val="18"/>
                      <w:szCs w:val="18"/>
                      <w:highlight w:val="none"/>
                      <w:lang w:val="en-US" w:eastAsia="zh-CN"/>
                    </w:rPr>
                    <w:t>/空置</w:t>
                  </w:r>
                  <w:r>
                    <w:rPr>
                      <w:rFonts w:hint="eastAsia" w:ascii="宋体" w:hAnsi="宋体" w:eastAsia="宋体" w:cs="宋体"/>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抵押担保涉及个人私有房产，详见下表。</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2.</w:t>
            </w:r>
            <w:r>
              <w:rPr>
                <w:rFonts w:hint="eastAsia" w:ascii="宋体" w:hAnsi="宋体" w:eastAsia="宋体" w:cs="宋体"/>
                <w:sz w:val="21"/>
                <w:szCs w:val="21"/>
                <w:highlight w:val="none"/>
              </w:rPr>
              <w:t>公司担保</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如涉及</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0F2B1FC8">
            <w:commentRangeStart w:id="9"/>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福建中锐网络股份有限公司（担保人）近两年主要财务指标如下：营业收入分别为10010万元、10010万元，逐年增长，累计较2024年增长14.9%；净利润分别为329万元、494万元，逐年增长，累计增长50.1%；毛利率分别为38.02%、38.02%，逐年微降；净利率分别为4.93%、4.93%，逐年提升；资产负债率分别为42.50%、42.50%，逐年下降；流动比率分别为1.81倍、1.82倍，逐年提升；应收账款周转天数分别为270.92天、271天，逐年显著下降；存货周转天数分别为128.97天、129天，逐年上升。盈利能力方面，营收与净利润同比双增长，净利率提升1.2个百分点至4.9%，但毛利率微降38.02个百分点，盈利改善主要得益于费用控制。偿债能力显著增强，资产负债率较年初下降7.7个百分点至42.5%，处于软件和信息技术服务业30-55%的典型区间，流动比率提升至1.82倍，短期偿债压力有所缓解。营运效率呈现分化，应收账款周转天数同比缩短117天至271天，回收效率改善，但仍显著高于行业90-180天的典型区间，主要因项目制验收周期长及政府、大客户账期较长所致；存货周转天数同比延长(待补充 存货周转天数 近三年同比明细)，远超行业30-90天区间，且存货较年初大幅增长88%，显示可能存在存货积压，营运资金占用增加。整体来看，担保人盈利与偿债指标向好，但应收款回收周期仍长、存货管理效率下降，对经营现金流形成一定压力。结合其年经营现金流791万元覆盖短期借款4730万元的能力，其作为担保人的第一还款来源能力中等，需关注其应收款回收及存货去化情况。</w:t>
              <w:br/>
              <w:br/>
              <w:t>其他保证人主要经营情况如下：福建中锐汉鼎信息技术有限公司主营智慧水利，营业收入1223万元，净亏损682万元；福建中锐教育科技有限公司主营智慧教育，营业收入21万元，财务数据存疑待人工核实；北京中锐青云科技有限公司主营产教融合创新服务，营业收入204万元，净利润16万元；厦门中锐软件科技有限公司主营软硬件销售，营业收入7万元，财务数据存疑待人工核实；中锐海沃水利技术(福建)有限公司主营智慧水利，上年无主营业务收入，净利润0万元。上述保证人经营规模较小，多数处于亏损或微利状态，代偿能力较弱。</w:t>
              <w:br/>
              <w:br/>
              <w:t>需补充各保证人（含担保人）的征信报告及涉诉查询记录，以核查其银行授信、对外担保、不良信用记录及法律风险等情况。</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commentRangeEnd w:id="9"/>
            <w:r>
              <w:rPr>
                <w:rStyle w:val="CommentReference"/>
              </w:rPr>
              <w:commentReference w:id="9"/>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color w:val="auto"/>
                <w:sz w:val="21"/>
                <w:szCs w:val="21"/>
                <w:highlight w:val="none"/>
                <w:lang w:val="en-US" w:eastAsia="zh-CN"/>
              </w:rPr>
              <w:t>本次授信由福州市融资担保有限公司提供担保。我行内部对该担保公司的审批结论（额度、风险分担比例、放大倍数、单户上限等）材料未提供。截至上报日，该担保公司对外担保总额、我行担保余额、净资产及担保倍率等关键准入数据均未提供，需补充福州市融资担保有限公司最新经审计的财务报表及对外担保明细。</w:t>
            </w:r>
            <w:r>
              <w:rPr>
                <w:rFonts w:hint="eastAsia" w:ascii="宋体" w:hAnsi="宋体" w:eastAsia="宋体" w:cs="宋体"/>
                <w:color w:val="auto"/>
                <w:sz w:val="21"/>
                <w:szCs w:val="21"/>
                <w:highlight w:val="none"/>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lang w:val="en-US" w:eastAsia="zh-CN"/>
              </w:rPr>
            </w:r>
            <w:r>
              <w:rPr>
                <w:rFonts w:hint="eastAsia" w:ascii="宋体" w:hAnsi="宋体" w:cs="宋体"/>
                <w:color w:val="auto"/>
                <w:sz w:val="21"/>
                <w:szCs w:val="21"/>
                <w:highlight w:val="none"/>
                <w:lang w:val="en-US" w:eastAsia="zh-CN"/>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个人担保</w:t>
            </w: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如：实控人及配偶</w:t>
            </w:r>
            <w:r>
              <w:rPr>
                <w:rFonts w:hint="eastAsia" w:ascii="宋体" w:hAnsi="宋体" w:cs="宋体"/>
                <w:sz w:val="21"/>
                <w:szCs w:val="21"/>
                <w:highlight w:val="none"/>
                <w:lang w:eastAsia="zh-CN"/>
              </w:rPr>
              <w:t>）</w:t>
            </w:r>
            <w:r>
              <w:rPr>
                <w:rFonts w:hint="eastAsia" w:ascii="宋体" w:hAnsi="宋体" w:eastAsia="宋体" w:cs="宋体"/>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信用方式</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commentRangeStart w:id="1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Cs/>
                <w:snapToGrid w:val="0"/>
                <w:kern w:val="0"/>
                <w:szCs w:val="21"/>
                <w:highlight w:val="none"/>
              </w:rPr>
              <w:t>（十一）经营单位授信申报结论及方案：（围绕“现金流、杠杆率、可持续、垒小户、配结算、强担保”六要素展开 ，基于“六要素”综合评判客户是否准入，如何设置合理授信方案及贷后管控措施）</w:t>
              <w:br/>
              <w:br/>
              <w:t>现金流方面，企业2025年经营活动净现金流791万元，经营现金流/净利润为1.60，销售商品收现/营收为1.04，现金流质量健康，对短期借款的覆盖能力尚可。杠杆率方面，资产负债率(待补充 &lt;资产负债率&gt; 近三年较年初明细)，处于智慧水利行业40-60%及智慧教育行业35-55%的典型区间内，杠杆水平适中。可持续性方面，营业收入同比增长14.9%至10010万元，净利润同比增长50.1%至494万元；毛利率为38.0%，同比微降0.8个百分点，净利率为4.9%，同比提升1.2个百分点，盈利能力总体改善；但存货周转天数(待补充 &lt;存货周转天数&gt; 近三年同比明细)，远超营收增速，存在积压信号，需关注其项目执行与验收进度；应收账款周转天数同比缩短117天至271天，回款管理有所改善，但仍显著高于软件信息业90-180天典型区间，主要系项目制验收周期长及政府、大企业客户账期较长所致；流动比率提升至1.82倍，短期偿债能力增强。综合来看，企业盈利增长及现金流生成能力为其偿还债务提供了基础保障。垒小户方面，企业现有银行授信总额5640万元，已用4440万元，授信使用率较高。配结算方面，需补充主要结算银行及日均存款流水。强担保方面，可追加实际控制人黄祖海及其配偶康恩慧名下位于仓山区上渡街道通江路17号江南水都·杰座的房产抵押。</w:t>
              <w:br/>
              <w:br/>
              <w:t>综合六要素评判，企业主营智慧水利与智慧教育，经营规模持续增长，现金流健康，杠杆率可控，具备一定准入基础。但需关注其存货周转效率下降及短期借款集中偿还压力。建议授信方案以短期流动资金贷款为主，额度控制在现有授信总额内，并追加实际控制人连带责任保证及上述房产抵押。贷后管控需重点监控存货变动、应收账款回款进度及销售回款归行情况。</w:t>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rPr>
            </w:r>
            <w:r>
              <w:rPr>
                <w:rFonts w:hint="eastAsia" w:ascii="宋体" w:hAnsi="宋体" w:cs="宋体"/>
                <w:bCs/>
                <w:snapToGrid w:val="0"/>
                <w:kern w:val="0"/>
                <w:szCs w:val="21"/>
                <w:highlight w:val="none"/>
                <w:u w:val="single"/>
                <w:lang w:eastAsia="zh-CN"/>
              </w:rPr>
            </w:r>
            <w:r>
              <w:rPr>
                <w:rFonts w:hint="eastAsia" w:ascii="宋体" w:hAnsi="宋体" w:cs="宋体"/>
                <w:bCs/>
                <w:snapToGrid w:val="0"/>
                <w:kern w:val="0"/>
                <w:szCs w:val="21"/>
                <w:highlight w:val="none"/>
                <w:u w:val="single"/>
                <w:lang w:val="en-US" w:eastAsia="zh-CN"/>
              </w:rPr>
            </w:r>
            <w:commentRangeEnd w:id="10"/>
            <w:r>
              <w:rPr>
                <w:rStyle w:val="CommentReference"/>
              </w:rPr>
              <w:commentReference w:id="10"/>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kern w:val="2"/>
                <w:sz w:val="21"/>
                <w:szCs w:val="21"/>
                <w:highlight w:val="none"/>
              </w:rPr>
              <w:t>1</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综合</w:t>
            </w:r>
            <w:r>
              <w:rPr>
                <w:rFonts w:hint="eastAsia" w:ascii="宋体" w:hAnsi="宋体" w:eastAsia="宋体" w:cs="宋体"/>
                <w:kern w:val="2"/>
                <w:sz w:val="21"/>
                <w:szCs w:val="21"/>
                <w:highlight w:val="none"/>
              </w:rPr>
              <w:t>评价</w:t>
            </w: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lang w:val="en-US" w:eastAsia="zh-CN"/>
              </w:rPr>
              <w:t>围绕</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六要素</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eastAsia="zh-CN"/>
              </w:rPr>
              <w:t>）</w:t>
            </w:r>
            <w:r>
              <w:rPr>
                <w:rFonts w:hint="eastAsia" w:ascii="宋体" w:hAnsi="宋体" w:cs="宋体"/>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现金流：借款人2025年经营活动净现金流791万元，销售商品收现/营收为1.04，现金流质量健康。公司货币资金余额286万元，较年初下降43.6%。</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杠杆率：借款人资产负债率由2024年末的42.50%下降至2025年末的42.50%（较年初下降7.7个百分点），流动比率由1.81倍提升至1.82倍（较年初提升0.24倍），偿债能力改善。资产负债率42.5%处于智慧水利（40-60%）及智慧教育（35-55%）行业典型区间内，结构稳健。流动比率1.82倍高于软件信息业1.5-2.5倍区间的下限，短期偿债能力尚可，但需关注其短期借款4730万元与年经营现金流791万元的匹配度，短期债务偿还对再融资存在一定依赖。</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可持续：企业主营智慧水利与智慧教育，2025年研发费用1049万元，研发人员占比53%，技术储备较强。营业收入2024/2025年分别为8712.4万、10009.6万，同比增长14.9%；净利润分别为329.0万、493.8万，同比增长50.1%，盈利规模显著提升。毛利率由38.02%微降至38.02%，净利率由4.93%提升至4.93%，主要得益于费用控制及规模效应。净利率4.93%处于智慧水利（4-10%）及智慧教育（3-12%）行业典型区间内，盈利能力稳定。需关注营运效率分化：应收账款周转天数由270.92天大幅缩短至271天，回款管理改善，但仍显著高于软件信息业90-180天典型区间，主要系项目制验收周期长及政府、大B客户账期较长所致；存货周转天数由128.97天延长至129天，存货较年初增长88.0%，远超营收增速，存在积压信号，可能因定制化项目未验收或硬件备货周期长。基于以上六要素综合评判，借款人予以准入。</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Cs/>
                <w:snapToGrid w:val="0"/>
                <w:kern w:val="0"/>
                <w:szCs w:val="21"/>
                <w:highlight w:val="none"/>
                <w:u w:val="single"/>
                <w:lang w:val="en-US" w:eastAsia="zh-CN"/>
              </w:rPr>
            </w:r>
            <w:r>
              <w:rPr>
                <w:rFonts w:hint="eastAsia" w:ascii="宋体" w:hAnsi="宋体" w:eastAsia="宋体" w:cs="宋体"/>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1"/>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2</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lang w:val="en-US" w:eastAsia="zh-CN"/>
              </w:rPr>
              <w:t>申报</w:t>
            </w:r>
            <w:r>
              <w:rPr>
                <w:rFonts w:hint="eastAsia" w:ascii="宋体" w:hAnsi="宋体" w:eastAsia="宋体" w:cs="宋体"/>
                <w:kern w:val="2"/>
                <w:sz w:val="21"/>
                <w:szCs w:val="21"/>
                <w:highlight w:val="none"/>
              </w:rPr>
              <w:t>授信</w:t>
            </w:r>
            <w:r>
              <w:rPr>
                <w:rFonts w:hint="eastAsia" w:ascii="宋体" w:hAnsi="宋体" w:eastAsia="宋体" w:cs="宋体"/>
                <w:kern w:val="2"/>
                <w:sz w:val="21"/>
                <w:szCs w:val="21"/>
                <w:highlight w:val="none"/>
                <w:lang w:val="en-US" w:eastAsia="zh-CN"/>
              </w:rPr>
              <w:t>方案</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kern w:val="2"/>
                <w:sz w:val="21"/>
                <w:szCs w:val="21"/>
                <w:highlight w:val="none"/>
                <w:u w:val="single"/>
                <w:lang w:val="en-US" w:eastAsia="zh-CN"/>
              </w:rPr>
              <w:t xml:space="preserve"> </w:t>
            </w:r>
            <w:commentRangeEnd w:id="11"/>
            <w:r>
              <w:rPr>
                <w:rStyle w:val="CommentReference"/>
              </w:rPr>
              <w:commentReference w:id="11"/>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snapToGrid w:val="0"/>
                <w:color w:val="auto"/>
                <w:kern w:val="0"/>
                <w:szCs w:val="21"/>
                <w:highlight w:val="cyan"/>
              </w:rPr>
              <w:t>尽职</w:t>
            </w:r>
            <w:r>
              <w:rPr>
                <w:rFonts w:hint="eastAsia" w:ascii="宋体" w:hAnsi="宋体" w:cs="宋体"/>
                <w:snapToGrid w:val="0"/>
                <w:color w:val="auto"/>
                <w:kern w:val="0"/>
                <w:szCs w:val="21"/>
                <w:highlight w:val="cyan"/>
                <w:lang w:val="en-US" w:eastAsia="zh-CN"/>
              </w:rPr>
              <w:t>调查</w:t>
            </w:r>
            <w:r>
              <w:rPr>
                <w:rFonts w:hint="eastAsia" w:ascii="宋体" w:hAnsi="宋体" w:cs="宋体"/>
                <w:snapToGrid w:val="0"/>
                <w:color w:val="auto"/>
                <w:kern w:val="0"/>
                <w:szCs w:val="21"/>
                <w:highlight w:val="cyan"/>
              </w:rPr>
              <w:t>：经营单位对上述材料真实性负责。</w:t>
            </w:r>
          </w:p>
          <w:p w14:paraId="6483A6E1">
            <w:commentRangeStart w:id="12"/>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p w14:paraId="6AC425A6">
            <w:commentRangeStart w:id="13"/>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3"/>
            <w:r>
              <w:rPr>
                <w:rStyle w:val="CommentReference"/>
              </w:rPr>
              <w:commentReference w:id="13"/>
            </w:r>
          </w:p>
          <w:p w14:paraId="2FC82B07">
            <w:commentRangeStart w:id="14"/>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269107E9">
            <w:commentRangeStart w:id="15"/>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5"/>
            <w:r>
              <w:rPr>
                <w:rStyle w:val="CommentReference"/>
              </w:rPr>
              <w:commentReference w:id="15"/>
            </w:r>
          </w:p>
          <w:p w14:paraId="3096CC3B">
            <w:commentRangeStart w:id="16"/>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bCs/>
                <w:snapToGrid w:val="0"/>
                <w:color w:val="000000"/>
                <w:kern w:val="0"/>
                <w:szCs w:val="21"/>
                <w:highlight w:val="none"/>
              </w:rPr>
              <w:t>普惠部审查岗意见</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lang w:val="en-US" w:eastAsia="zh-CN"/>
              </w:rPr>
              <w:t>可另附</w:t>
            </w:r>
            <w:r>
              <w:rPr>
                <w:rFonts w:hint="eastAsia" w:ascii="宋体" w:hAnsi="宋体" w:cs="宋体"/>
                <w:bCs/>
                <w:snapToGrid w:val="0"/>
                <w:kern w:val="0"/>
                <w:szCs w:val="21"/>
                <w:highlight w:val="none"/>
                <w:lang w:eastAsia="zh-CN"/>
              </w:rPr>
              <w:t>）</w:t>
            </w:r>
            <w:r>
              <w:rPr>
                <w:rFonts w:hint="eastAsia" w:ascii="宋体" w:hAnsi="宋体" w:cs="宋体"/>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color w:val="auto"/>
                <w:kern w:val="2"/>
                <w:sz w:val="21"/>
                <w:szCs w:val="21"/>
                <w:highlight w:val="none"/>
                <w:lang w:val="en-US" w:eastAsia="zh-CN"/>
              </w:rPr>
              <w:t>主要风险及</w:t>
            </w:r>
            <w:r>
              <w:rPr>
                <w:rFonts w:hint="eastAsia" w:ascii="宋体" w:hAnsi="宋体"/>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7"/>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7"/>
            <w:r>
              <w:rPr>
                <w:rStyle w:val="CommentReference"/>
              </w:rPr>
              <w:commentReference w:id="17"/>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5T17:04:26Z" w:initials="Agent">
    <w:p>
      <w:r>
        <w:rPr>
          <w:rStyle w:val="CommentReference"/>
        </w:rPr>
        <w:annotationRef/>
      </w:r>
      <w:r>
        <w:t xml:space="preserve">该处“申报单位”仍为空白，请人工确认。</w:t>
      </w:r>
    </w:p>
  </w:comment>
  <w:comment w:id="1" w:author="信贷报告 Agent" w:date="2026-04-15T17:04:26Z" w:initials="Agent">
    <w:p>
      <w:r>
        <w:rPr>
          <w:rStyle w:val="CommentReference"/>
        </w:rPr>
        <w:annotationRef/>
      </w:r>
      <w:r>
        <w:t xml:space="preserve">该处“小类）”仍为空白，请人工确认。</w:t>
      </w:r>
    </w:p>
  </w:comment>
  <w:comment w:id="2" w:author="信贷报告 Agent" w:date="2026-04-15T17:04:26Z" w:initials="Agent">
    <w:p>
      <w:r>
        <w:rPr>
          <w:rStyle w:val="CommentReference"/>
        </w:rPr>
        <w:annotationRef/>
      </w:r>
      <w:r>
        <w:t xml:space="preserve">该处“绿通标识”仍为空白，请人工确认。</w:t>
      </w:r>
    </w:p>
  </w:comment>
  <w:comment w:id="3" w:author="信贷报告 Agent" w:date="2026-04-15T17:04:26Z" w:initials="Agent">
    <w:p>
      <w:r>
        <w:rPr>
          <w:rStyle w:val="CommentReference"/>
        </w:rPr>
        <w:annotationRef/>
      </w:r>
      <w:r>
        <w:t xml:space="preserve">该处“分析原因”仍为空白，请人工确认。</w:t>
      </w:r>
    </w:p>
  </w:comment>
  <w:comment w:id="4" w:author="信贷报告 Agent" w:date="2026-04-15T17:04:26Z" w:initials="Agent">
    <w:p>
      <w:r>
        <w:rPr>
          <w:rStyle w:val="CommentReference"/>
        </w:rPr>
        <w:annotationRef/>
      </w:r>
      <w:r>
        <w:t xml:space="preserve">该处“（若有）对外担保情况”仍为空白，请人工确认。</w:t>
      </w:r>
    </w:p>
  </w:comment>
  <w:comment w:id="5" w:author="信贷报告 Agent" w:date="2026-04-15T17:04:26Z" w:initials="Agent">
    <w:p>
      <w:r>
        <w:rPr>
          <w:rStyle w:val="CommentReference"/>
        </w:rPr>
        <w:annotationRef/>
      </w:r>
      <w:r>
        <w:t xml:space="preserve">该处“为中行个人经营贷款，经营主体为”仍为模板占位符，请人工核实。</w:t>
      </w:r>
    </w:p>
  </w:comment>
  <w:comment w:id="6" w:author="信贷报告 Agent" w:date="2026-04-15T17:04:26Z" w:initials="Agent">
    <w:p>
      <w:r>
        <w:rPr>
          <w:rStyle w:val="CommentReference"/>
        </w:rPr>
        <w:annotationRef/>
      </w:r>
      <w:r>
        <w:t xml:space="preserve">该处“科技型企业类型：科技型中小企业（轮次及有效期未提供）；高新技”仍为待补充，请人工补充。</w:t>
      </w:r>
    </w:p>
  </w:comment>
  <w:comment w:id="7" w:author="信贷报告 Agent" w:date="2026-04-15T17:04:26Z" w:initials="Agent">
    <w:p>
      <w:r>
        <w:rPr>
          <w:rStyle w:val="CommentReference"/>
        </w:rPr>
        <w:annotationRef/>
      </w:r>
      <w:r>
        <w:t xml:space="preserve">该处“万元（请附”仍为空白，请人工确认。；该处“企业营运资金需求”仍为空白，请人工确认。</w:t>
      </w:r>
    </w:p>
  </w:comment>
  <w:comment w:id="8" w:author="信贷报告 Agent" w:date="2026-04-15T17:04:26Z" w:initials="Agent">
    <w:p>
      <w:r>
        <w:rPr>
          <w:rStyle w:val="CommentReference"/>
        </w:rPr>
        <w:annotationRef/>
      </w:r>
      <w:r>
        <w:t xml:space="preserve">该处“变动原因”仍为空白，请人工确认。</w:t>
      </w:r>
    </w:p>
  </w:comment>
  <w:comment w:id="9" w:author="信贷报告 Agent" w:date="2026-04-15T17:04:26Z" w:initials="Agent">
    <w:p>
      <w:r>
        <w:rPr>
          <w:rStyle w:val="CommentReference"/>
        </w:rPr>
        <w:annotationRef/>
      </w:r>
      <w:r>
        <w:t xml:space="preserve">该处“保证人福建中锐网络股份有限公司（担保人）近两年主要财务指标如”仍为待补充，请人工补充。</w:t>
      </w:r>
    </w:p>
  </w:comment>
  <w:comment w:id="10" w:author="信贷报告 Agent" w:date="2026-04-15T17:04:26Z" w:initials="Agent">
    <w:p>
      <w:r>
        <w:rPr>
          <w:rStyle w:val="CommentReference"/>
        </w:rPr>
        <w:annotationRef/>
      </w:r>
      <w:r>
        <w:t xml:space="preserve">该处“（十一）经营单位授信申报结论及方案：（围绕“现金流、杠杆率、”仍为待补充，请人工补充。</w:t>
      </w:r>
    </w:p>
  </w:comment>
  <w:comment w:id="11" w:author="信贷报告 Agent" w:date="2026-04-15T17:04:26Z" w:initials="Agent">
    <w:p>
      <w:r>
        <w:rPr>
          <w:rStyle w:val="CommentReference"/>
        </w:rPr>
        <w:annotationRef/>
      </w:r>
      <w:r>
        <w:t xml:space="preserve">该处“予借款人授信敞口1000万元，”仍为模板占位符，请人工核实。</w:t>
      </w:r>
    </w:p>
  </w:comment>
  <w:comment w:id="12" w:author="信贷报告 Agent" w:date="2026-04-15T17:04:26Z" w:initials="Agent">
    <w:p>
      <w:r>
        <w:rPr>
          <w:rStyle w:val="CommentReference"/>
        </w:rPr>
        <w:annotationRef/>
      </w:r>
      <w:r>
        <w:t xml:space="preserve">该处“客户经理”仍为空白，请人工确认。</w:t>
      </w:r>
    </w:p>
  </w:comment>
  <w:comment w:id="13" w:author="信贷报告 Agent" w:date="2026-04-15T17:04:26Z" w:initials="Agent">
    <w:p>
      <w:r>
        <w:rPr>
          <w:rStyle w:val="CommentReference"/>
        </w:rPr>
        <w:annotationRef/>
      </w:r>
      <w:r>
        <w:t xml:space="preserve">该处“共同调查人”仍为空白，请人工确认。</w:t>
      </w:r>
    </w:p>
  </w:comment>
  <w:comment w:id="14" w:author="信贷报告 Agent" w:date="2026-04-15T17:04:26Z" w:initials="Agent">
    <w:p>
      <w:r>
        <w:rPr>
          <w:rStyle w:val="CommentReference"/>
        </w:rPr>
        <w:annotationRef/>
      </w:r>
      <w:r>
        <w:t xml:space="preserve">该处“二级支行行长”仍为空白，请人工确认。</w:t>
      </w:r>
    </w:p>
  </w:comment>
  <w:comment w:id="15" w:author="信贷报告 Agent" w:date="2026-04-15T17:04:26Z" w:initials="Agent">
    <w:p>
      <w:r>
        <w:rPr>
          <w:rStyle w:val="CommentReference"/>
        </w:rPr>
        <w:annotationRef/>
      </w:r>
      <w:r>
        <w:t xml:space="preserve">该处“分管行长”仍为空白，请人工确认。</w:t>
      </w:r>
    </w:p>
  </w:comment>
  <w:comment w:id="16" w:author="信贷报告 Agent" w:date="2026-04-15T17:04:26Z" w:initials="Agent">
    <w:p>
      <w:r>
        <w:rPr>
          <w:rStyle w:val="CommentReference"/>
        </w:rPr>
        <w:annotationRef/>
      </w:r>
      <w:r>
        <w:t xml:space="preserve">该处“行长”仍为空白，请人工确认。</w:t>
      </w:r>
    </w:p>
  </w:comment>
  <w:comment w:id="17" w:author="信贷报告 Agent" w:date="2026-04-15T17:04:26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