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 w:val="32"/>
                <w:szCs w:val="32"/>
                <w:lang w:eastAsia="zh-CN"/>
              </w:rPr>
              <w:t>福建省分行普惠法人授信申报及审查审批意见表（2025新版）</w:t>
            </w:r>
            <w:r>
              <w:rPr>
                <w:rFonts w:hint="eastAsia" w:ascii="宋体" w:hAnsi="宋体" w:cs="宋体"/>
                <w:snapToGrid w:val="0"/>
                <w:color w:val="000000"/>
                <w:kern w:val="0"/>
                <w:sz w:val="32"/>
                <w:szCs w:val="32"/>
              </w:rPr>
            </w:r>
            <w:r>
              <w:rPr>
                <w:rFonts w:hint="eastAsia" w:ascii="宋体" w:hAnsi="宋体" w:cs="宋体"/>
                <w:snapToGrid w:val="0"/>
                <w:color w:val="000000"/>
                <w:kern w:val="0"/>
                <w:sz w:val="32"/>
                <w:szCs w:val="32"/>
                <w:lang w:val="en-US" w:eastAsia="zh-CN"/>
              </w:rPr>
            </w:r>
            <w:r>
              <w:rPr>
                <w:rFonts w:hint="eastAsia" w:ascii="宋体" w:hAnsi="宋体" w:cs="宋体"/>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sz w:val="21"/>
                <w:szCs w:val="21"/>
                <w:highlight w:val="none"/>
                <w:lang w:val="en-US" w:eastAsia="zh-CN"/>
              </w:rPr>
              <w:t>申报单位：客户经理：联系电话：</w:t>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lang w:val="en-US" w:eastAsia="zh-CN"/>
              </w:rPr>
            </w:r>
            <w:r>
              <w:rPr>
                <w:rFonts w:hint="eastAsia" w:ascii="宋体" w:hAnsi="宋体" w:eastAsia="宋体" w:cs="宋体"/>
                <w:sz w:val="21"/>
                <w:szCs w:val="21"/>
                <w:highlight w:val="none"/>
              </w:rPr>
            </w:r>
            <w:r>
              <w:rPr>
                <w:rFonts w:hint="eastAsia" w:ascii="宋体" w:hAnsi="宋体" w:eastAsia="宋体" w:cs="宋体"/>
                <w:i w:val="0"/>
                <w:iCs w:val="0"/>
                <w:sz w:val="21"/>
                <w:szCs w:val="21"/>
                <w:highlight w:val="none"/>
              </w:rPr>
            </w:r>
            <w:r>
              <w:rPr>
                <w:rFonts w:hint="eastAsia" w:ascii="宋体" w:hAnsi="宋体" w:eastAsia="宋体" w:cs="宋体"/>
                <w:i w:val="0"/>
                <w:iCs w:val="0"/>
                <w:sz w:val="21"/>
                <w:szCs w:val="21"/>
                <w:highlight w:val="none"/>
                <w:lang w:eastAsia="zh-CN"/>
              </w:rPr>
            </w:r>
            <w:r>
              <w:rPr>
                <w:rFonts w:hint="eastAsia" w:ascii="宋体" w:hAnsi="宋体" w:eastAsia="宋体" w:cs="宋体"/>
                <w:i w:val="0"/>
                <w:iCs w:val="0"/>
                <w:sz w:val="21"/>
                <w:szCs w:val="21"/>
                <w:highlight w:val="none"/>
                <w:lang w:val="en-US" w:eastAsia="zh-CN"/>
              </w:rPr>
            </w:r>
            <w:r>
              <w:rPr>
                <w:rFonts w:hint="eastAsia" w:ascii="宋体" w:hAnsi="宋体" w:eastAsia="宋体" w:cs="宋体"/>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rPr>
              <w:t>授信</w:t>
            </w:r>
            <w:r>
              <w:rPr>
                <w:rFonts w:hint="eastAsia" w:ascii="宋体" w:hAnsi="宋体" w:cs="宋体"/>
                <w:bCs/>
                <w:snapToGrid w:val="0"/>
                <w:kern w:val="0"/>
                <w:szCs w:val="21"/>
                <w:lang w:eastAsia="zh-CN"/>
              </w:rPr>
              <w:t>方案</w:t>
            </w:r>
            <w:r>
              <w:rPr>
                <w:rFonts w:hint="eastAsia" w:ascii="宋体" w:hAnsi="宋体" w:cs="宋体"/>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Cs/>
                <w:snapToGrid w:val="0"/>
                <w:kern w:val="0"/>
                <w:szCs w:val="21"/>
              </w:rPr>
              <w:t>☑</w:t>
            </w:r>
            <w:r>
              <w:rPr>
                <w:rFonts w:hint="eastAsia" w:ascii="宋体" w:hAnsi="宋体" w:cs="宋体"/>
                <w:bCs/>
                <w:snapToGrid w:val="0"/>
                <w:kern w:val="0"/>
                <w:szCs w:val="21"/>
                <w:lang w:eastAsia="zh-CN"/>
              </w:rPr>
              <w:t>存量</w:t>
            </w:r>
            <w:r>
              <w:rPr>
                <w:rFonts w:hint="eastAsia" w:ascii="宋体" w:hAnsi="宋体" w:cs="宋体"/>
                <w:bCs/>
                <w:snapToGrid w:val="0"/>
                <w:kern w:val="0"/>
                <w:szCs w:val="21"/>
              </w:rPr>
              <w:t>客户</w:t>
            </w:r>
            <w:r>
              <w:rPr>
                <w:rFonts w:hint="eastAsia" w:ascii="宋体" w:hAnsi="宋体" w:cs="宋体"/>
                <w:bCs/>
                <w:snapToGrid w:val="0"/>
                <w:kern w:val="0"/>
                <w:szCs w:val="21"/>
                <w:lang w:eastAsia="zh-CN"/>
              </w:rPr>
              <w:t>（</w:t>
            </w:r>
            <w:r>
              <w:rPr>
                <w:rFonts w:hint="eastAsia" w:ascii="宋体" w:hAnsi="宋体" w:cs="宋体"/>
                <w:bCs/>
                <w:szCs w:val="21"/>
              </w:rPr>
              <w:t>原有额度批复日期</w:t>
            </w:r>
            <w:r>
              <w:rPr>
                <w:rFonts w:hint="eastAsia" w:ascii="宋体" w:hAnsi="宋体" w:cs="宋体"/>
                <w:bCs/>
                <w:snapToGrid w:val="0"/>
                <w:kern w:val="0"/>
                <w:szCs w:val="21"/>
                <w:lang w:val="en-US" w:eastAsia="zh-CN"/>
              </w:rPr>
              <w:t>:</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年</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月</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日</w:t>
            </w:r>
            <w:r>
              <w:rPr>
                <w:rFonts w:hint="eastAsia" w:ascii="宋体" w:hAnsi="宋体" w:cs="宋体"/>
                <w:bCs/>
                <w:snapToGrid w:val="0"/>
                <w:kern w:val="0"/>
                <w:szCs w:val="21"/>
                <w:lang w:eastAsia="zh-CN"/>
              </w:rPr>
              <w:t>）</w:t>
            </w:r>
            <w:r>
              <w:rPr>
                <w:rFonts w:hint="eastAsia" w:ascii="宋体" w:hAnsi="宋体" w:cs="宋体"/>
                <w:bCs/>
                <w:snapToGrid w:val="0"/>
                <w:kern w:val="0"/>
                <w:szCs w:val="21"/>
              </w:rPr>
              <w:t xml:space="preserve">☑维持 </w:t>
            </w:r>
            <w:r>
              <w:rPr>
                <w:rFonts w:hint="eastAsia" w:ascii="宋体" w:hAnsi="宋体" w:cs="宋体"/>
                <w:bCs/>
                <w:snapToGrid w:val="0"/>
                <w:kern w:val="0"/>
                <w:szCs w:val="21"/>
              </w:rPr>
              <w:sym w:font="Wingdings 2" w:char="00A3"/>
            </w:r>
            <w:r>
              <w:rPr>
                <w:rFonts w:hint="eastAsia" w:ascii="宋体" w:hAnsi="宋体" w:cs="宋体"/>
                <w:bCs/>
                <w:snapToGrid w:val="0"/>
                <w:kern w:val="0"/>
                <w:szCs w:val="21"/>
              </w:rPr>
              <w:t>增加</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□减少</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cs="宋体"/>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Cs/>
                <w:snapToGrid w:val="0"/>
                <w:color w:val="000000"/>
                <w:kern w:val="0"/>
                <w:szCs w:val="21"/>
                <w:lang w:eastAsia="zh-CN"/>
              </w:rPr>
              <w:t>国标</w:t>
            </w:r>
            <w:r>
              <w:rPr>
                <w:rFonts w:hint="eastAsia" w:ascii="宋体" w:hAnsi="宋体" w:cs="宋体"/>
                <w:bCs/>
                <w:snapToGrid w:val="0"/>
                <w:color w:val="000000"/>
                <w:kern w:val="0"/>
                <w:szCs w:val="21"/>
              </w:rPr>
              <w:t>行业</w:t>
            </w:r>
            <w:r>
              <w:rPr>
                <w:rFonts w:hint="eastAsia" w:ascii="宋体" w:hAnsi="宋体" w:eastAsia="宋体" w:cs="宋体"/>
                <w:bCs/>
                <w:snapToGrid w:val="0"/>
                <w:kern w:val="0"/>
                <w:szCs w:val="21"/>
                <w:lang w:eastAsia="zh-CN"/>
              </w:rPr>
              <w:t>（</w:t>
            </w:r>
            <w:r>
              <w:rPr>
                <w:rFonts w:hint="eastAsia" w:ascii="宋体" w:hAnsi="宋体" w:eastAsia="宋体" w:cs="宋体"/>
                <w:bCs/>
                <w:snapToGrid w:val="0"/>
                <w:kern w:val="0"/>
                <w:szCs w:val="21"/>
                <w:lang w:val="en-US" w:eastAsia="zh-CN"/>
              </w:rPr>
              <w:t>门类-大类-中类-小类</w:t>
            </w:r>
            <w:r>
              <w:rPr>
                <w:rFonts w:hint="eastAsia" w:ascii="宋体" w:hAnsi="宋体" w:eastAsia="宋体" w:cs="宋体"/>
                <w:bCs/>
                <w:snapToGrid w:val="0"/>
                <w:kern w:val="0"/>
                <w:szCs w:val="21"/>
                <w:lang w:eastAsia="zh-CN"/>
              </w:rPr>
              <w:t>）</w:t>
            </w:r>
            <w:r>
              <w:rPr>
                <w:rFonts w:hint="eastAsia" w:ascii="宋体" w:hAnsi="宋体" w:cs="宋体"/>
                <w:bCs/>
                <w:snapToGrid w:val="0"/>
                <w:color w:val="000000"/>
                <w:kern w:val="0"/>
                <w:szCs w:val="21"/>
              </w:rPr>
              <w:t>：</w:t>
            </w:r>
            <w:r>
              <w:rPr>
                <w:rFonts w:hint="eastAsia" w:ascii="宋体" w:hAnsi="宋体" w:cs="宋体"/>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lang w:eastAsia="zh-CN"/>
              </w:rPr>
              <w:t>规模</w:t>
            </w:r>
            <w:r>
              <w:rPr>
                <w:rFonts w:hint="eastAsia" w:ascii="宋体" w:hAnsi="宋体" w:cs="宋体"/>
                <w:bCs/>
                <w:snapToGrid w:val="0"/>
                <w:kern w:val="0"/>
                <w:szCs w:val="21"/>
              </w:rPr>
              <w:t>划型：□微型 ☑小型 □中型</w:t>
            </w:r>
            <w:r>
              <w:rPr>
                <w:rFonts w:hint="eastAsia" w:ascii="宋体" w:hAnsi="宋体" w:cs="宋体"/>
                <w:bCs/>
                <w:snapToGrid w:val="0"/>
                <w:kern w:val="0"/>
                <w:szCs w:val="21"/>
                <w:lang w:eastAsia="zh-CN"/>
              </w:rPr>
              <w:t>，</w:t>
            </w:r>
            <w:r>
              <w:rPr>
                <w:rFonts w:hint="eastAsia" w:ascii="宋体" w:hAnsi="宋体" w:eastAsia="宋体" w:cs="宋体"/>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Cs/>
                <w:snapToGrid w:val="0"/>
                <w:kern w:val="0"/>
                <w:szCs w:val="21"/>
                <w:lang w:val="en-US" w:eastAsia="zh-CN"/>
              </w:rPr>
              <w:t>划型要素：上年度资产总额 16956万元；上年度销售额 10010万元；上年度末员工人数 39 人</w:t>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Cs/>
                <w:snapToGrid w:val="0"/>
                <w:kern w:val="0"/>
                <w:szCs w:val="21"/>
                <w:lang w:val="en-US" w:eastAsia="zh-CN"/>
              </w:rPr>
              <w:t>环境、社会和治理风险分类</w:t>
            </w:r>
            <w:r>
              <w:rPr>
                <w:rFonts w:hint="eastAsia" w:ascii="宋体" w:hAnsi="宋体" w:eastAsia="宋体" w:cs="宋体"/>
                <w:bCs/>
                <w:strike w:val="0"/>
                <w:dstrike w:val="0"/>
                <w:sz w:val="21"/>
                <w:szCs w:val="21"/>
                <w:highlight w:val="none"/>
                <w:lang w:val="en-US" w:eastAsia="zh-CN"/>
              </w:rPr>
              <w:t>（ESG评价）</w:t>
            </w:r>
            <w:r>
              <w:rPr>
                <w:rFonts w:hint="eastAsia" w:ascii="宋体" w:hAnsi="宋体" w:eastAsia="宋体" w:cs="宋体"/>
                <w:bCs/>
                <w:snapToGrid w:val="0"/>
                <w:kern w:val="0"/>
                <w:szCs w:val="21"/>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A</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val="en-US" w:eastAsia="zh-CN"/>
              </w:rPr>
              <w:t xml:space="preserve">B </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C</w:t>
            </w:r>
            <w:r>
              <w:rPr>
                <w:rFonts w:hint="eastAsia" w:ascii="宋体" w:hAnsi="宋体" w:eastAsia="宋体" w:cs="宋体"/>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Cs/>
                <w:snapToGrid w:val="0"/>
                <w:kern w:val="0"/>
                <w:szCs w:val="21"/>
                <w:lang w:val="en-US" w:eastAsia="zh-CN"/>
              </w:rPr>
              <w:t>反洗钱</w:t>
            </w:r>
            <w:r>
              <w:rPr>
                <w:rFonts w:hint="eastAsia" w:ascii="宋体" w:hAnsi="宋体" w:eastAsia="宋体" w:cs="宋体"/>
                <w:bCs/>
                <w:sz w:val="21"/>
                <w:szCs w:val="21"/>
                <w:highlight w:val="none"/>
                <w:lang w:val="en-US" w:eastAsia="zh-CN"/>
              </w:rPr>
              <w:t>风险等级：</w:t>
            </w:r>
            <w:r>
              <w:rPr>
                <w:rFonts w:hint="eastAsia" w:ascii="宋体" w:hAnsi="宋体" w:cs="宋体"/>
                <w:bCs/>
                <w:snapToGrid w:val="0"/>
                <w:kern w:val="0"/>
                <w:szCs w:val="21"/>
              </w:rPr>
              <w:t>☑</w:t>
            </w:r>
            <w:r>
              <w:rPr>
                <w:rFonts w:hint="eastAsia" w:ascii="宋体" w:hAnsi="宋体" w:cs="宋体"/>
                <w:bCs/>
                <w:snapToGrid w:val="0"/>
                <w:kern w:val="0"/>
                <w:szCs w:val="21"/>
                <w:lang w:eastAsia="zh-CN"/>
              </w:rPr>
              <w:t>低</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eastAsia="zh-CN"/>
              </w:rPr>
              <w:t>一般</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较高（</w:t>
            </w:r>
            <w:r>
              <w:rPr>
                <w:rFonts w:hint="eastAsia" w:ascii="宋体" w:hAnsi="宋体" w:eastAsia="宋体" w:cs="宋体"/>
                <w:bCs/>
                <w:strike w:val="0"/>
                <w:dstrike w:val="0"/>
                <w:sz w:val="21"/>
                <w:szCs w:val="21"/>
                <w:highlight w:val="none"/>
                <w:lang w:val="en-US" w:eastAsia="zh-CN"/>
              </w:rPr>
              <w:t>须在其他负面信息栏说明</w:t>
            </w:r>
            <w:r>
              <w:rPr>
                <w:rFonts w:hint="eastAsia" w:ascii="宋体" w:hAnsi="宋体" w:eastAsia="宋体" w:cs="宋体"/>
                <w:bCs/>
                <w:sz w:val="21"/>
                <w:szCs w:val="21"/>
                <w:highlight w:val="none"/>
                <w:lang w:eastAsia="zh-CN"/>
              </w:rPr>
              <w:t>）；</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高（</w:t>
            </w:r>
            <w:r>
              <w:rPr>
                <w:rFonts w:hint="eastAsia" w:ascii="宋体" w:hAnsi="宋体" w:eastAsia="宋体" w:cs="宋体"/>
                <w:bCs/>
                <w:sz w:val="21"/>
                <w:szCs w:val="21"/>
                <w:highlight w:val="none"/>
                <w:lang w:val="en-US" w:eastAsia="zh-CN"/>
              </w:rPr>
              <w:t>不得准入</w:t>
            </w:r>
            <w:r>
              <w:rPr>
                <w:rFonts w:hint="eastAsia" w:ascii="宋体" w:hAnsi="宋体" w:eastAsia="宋体" w:cs="宋体"/>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Cs/>
                <w:snapToGrid w:val="0"/>
                <w:kern w:val="0"/>
                <w:sz w:val="21"/>
                <w:szCs w:val="21"/>
                <w:lang w:val="en-US" w:eastAsia="zh-CN" w:bidi="ar-SA"/>
              </w:rPr>
              <w:t>绿通标识：</w:t>
            </w:r>
            <w:r>
              <w:rPr>
                <w:rFonts w:hint="eastAsia" w:ascii="宋体" w:hAnsi="宋体" w:cs="宋体"/>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申报额度：1000万元；申报敞口：1000万元；上一期授信敞口：500万元。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业务品种：一般短期流动资金贷款；业务期限：12个月；授信期限：1年</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担保方式：500万抵押加500万信用；上一期授信担保方式为500万抵押。</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Cs/>
                <w:snapToGrid w:val="0"/>
                <w:color w:val="000000"/>
                <w:kern w:val="0"/>
                <w:szCs w:val="21"/>
                <w:highlight w:val="none"/>
                <w:lang w:eastAsia="zh-CN"/>
              </w:rPr>
              <w:t>一、</w:t>
            </w:r>
            <w:r>
              <w:rPr>
                <w:rFonts w:hint="eastAsia" w:ascii="宋体" w:hAnsi="宋体" w:eastAsia="宋体" w:cs="宋体"/>
                <w:bCs/>
                <w:snapToGrid w:val="0"/>
                <w:color w:val="000000"/>
                <w:kern w:val="0"/>
                <w:szCs w:val="21"/>
                <w:highlight w:val="none"/>
              </w:rPr>
              <w:t>经营单位</w:t>
            </w:r>
            <w:r>
              <w:rPr>
                <w:rFonts w:hint="eastAsia" w:ascii="宋体" w:hAnsi="宋体" w:eastAsia="宋体" w:cs="宋体"/>
                <w:bCs/>
                <w:snapToGrid w:val="0"/>
                <w:color w:val="000000"/>
                <w:kern w:val="0"/>
                <w:szCs w:val="21"/>
                <w:highlight w:val="none"/>
                <w:lang w:eastAsia="zh-CN"/>
              </w:rPr>
              <w:t>尽调</w:t>
            </w:r>
            <w:r>
              <w:rPr>
                <w:rFonts w:hint="eastAsia" w:ascii="宋体" w:hAnsi="宋体" w:eastAsia="宋体" w:cs="宋体"/>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（一）</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市马尾区罗星东路2号海峡经贸福州保税区综合大楼15层20#。实际主营业务为智慧水利与智慧教育解决方案的研发与销售。上年度末社保人数74人；注册资本：4100万元、实收资本：4100万元；法定代表人：黄祖海（1978年出生，本科学历，长期从事信息技术行业）。股权穿透后实际控制人为黄祖海，直接及间接持股比例合计51.22%。已取得资质情况：不涉及。最新股权结构详见下表。</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Cs/>
                <w:sz w:val="21"/>
                <w:szCs w:val="21"/>
                <w:highlight w:val="none"/>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eastAsia="zh-CN"/>
              </w:rPr>
              <w:t>排污</w:t>
            </w:r>
            <w:r>
              <w:rPr>
                <w:rFonts w:hint="eastAsia" w:ascii="宋体" w:hAnsi="宋体" w:eastAsia="宋体" w:cs="宋体"/>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其他</w:t>
            </w:r>
            <w:r>
              <w:rPr>
                <w:rFonts w:hint="eastAsia" w:ascii="宋体" w:hAnsi="宋体" w:eastAsia="宋体" w:cs="宋体"/>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Cs/>
                <w:sz w:val="21"/>
                <w:szCs w:val="21"/>
                <w:highlight w:val="none"/>
                <w:u w:val="single"/>
                <w:lang w:val="en-US" w:eastAsia="zh-CN"/>
              </w:rPr>
              <w:t xml:space="preserve">      </w:t>
            </w:r>
            <w:r>
              <w:rPr>
                <w:rFonts w:hint="eastAsia" w:ascii="宋体" w:hAnsi="宋体" w:eastAsia="宋体" w:cs="宋体"/>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t>过往两年企业股权变动情况及变动原因：材料未提供过往两年股权变动情况。</w:t>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材料中未提及近两年企业股权变动情况。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snapToGrid w:val="0"/>
                <w:color w:val="000000"/>
                <w:kern w:val="0"/>
                <w:szCs w:val="21"/>
                <w:lang w:val="en-US" w:eastAsia="zh-CN"/>
              </w:rPr>
              <w:t>材料未提供实控人面访记录，需补充面访纪要。</w:t>
            </w:r>
            <w:r>
              <w:rPr>
                <w:rFonts w:hint="eastAsia" w:ascii="宋体" w:hAnsi="宋体" w:cs="宋体"/>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snapToGrid w:val="0"/>
                <w:color w:val="000000"/>
                <w:kern w:val="0"/>
                <w:szCs w:val="21"/>
                <w:lang w:val="en-US" w:eastAsia="zh-CN"/>
              </w:rPr>
              <w:t>实地走访情况材料未提供。</w:t>
            </w:r>
            <w:r>
              <w:rPr>
                <w:rFonts w:hint="eastAsia" w:ascii="宋体" w:hAnsi="宋体" w:cs="宋体"/>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Cs/>
                <w:kern w:val="2"/>
                <w:sz w:val="21"/>
                <w:szCs w:val="21"/>
                <w:highlight w:val="none"/>
                <w:lang w:val="en-US" w:eastAsia="zh-CN"/>
              </w:rPr>
              <w:t>※</w:t>
            </w:r>
            <w:r>
              <w:rPr>
                <w:rFonts w:hint="eastAsia" w:ascii="宋体" w:hAnsi="宋体" w:cs="宋体"/>
                <w:bCs/>
                <w:kern w:val="2"/>
                <w:sz w:val="21"/>
                <w:szCs w:val="21"/>
                <w:highlight w:val="none"/>
                <w:lang w:val="en-US" w:eastAsia="zh-CN"/>
              </w:rPr>
              <w:t>4.</w:t>
            </w:r>
            <w:r>
              <w:rPr>
                <w:rFonts w:hint="eastAsia" w:ascii="宋体" w:hAnsi="宋体" w:eastAsia="宋体" w:cs="宋体"/>
                <w:bCs/>
                <w:kern w:val="2"/>
                <w:sz w:val="21"/>
                <w:szCs w:val="21"/>
                <w:highlight w:val="none"/>
                <w:lang w:val="en-US" w:eastAsia="zh-CN"/>
              </w:rPr>
              <w:t>历年</w:t>
            </w:r>
            <w:r>
              <w:rPr>
                <w:rFonts w:hint="eastAsia" w:ascii="宋体" w:hAnsi="宋体" w:cs="宋体"/>
                <w:bCs/>
                <w:kern w:val="2"/>
                <w:sz w:val="21"/>
                <w:szCs w:val="21"/>
                <w:highlight w:val="none"/>
                <w:lang w:val="en-US" w:eastAsia="zh-CN"/>
              </w:rPr>
              <w:t>股权</w:t>
            </w:r>
            <w:r>
              <w:rPr>
                <w:rFonts w:hint="eastAsia" w:ascii="宋体" w:hAnsi="宋体" w:eastAsia="宋体" w:cs="宋体"/>
                <w:bCs/>
                <w:kern w:val="2"/>
                <w:sz w:val="21"/>
                <w:szCs w:val="21"/>
                <w:highlight w:val="none"/>
                <w:lang w:val="en-US" w:eastAsia="zh-CN"/>
              </w:rPr>
              <w:t>融资情况</w:t>
            </w: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如</w:t>
            </w:r>
            <w:r>
              <w:rPr>
                <w:rFonts w:hint="eastAsia" w:ascii="宋体" w:hAnsi="宋体" w:eastAsia="宋体" w:cs="宋体"/>
                <w:sz w:val="21"/>
                <w:szCs w:val="21"/>
                <w:highlight w:val="none"/>
                <w:lang w:val="en-US" w:eastAsia="zh-CN"/>
              </w:rPr>
              <w:t>为</w:t>
            </w:r>
            <w:r>
              <w:rPr>
                <w:rFonts w:hint="eastAsia" w:ascii="宋体" w:hAnsi="宋体" w:cs="宋体"/>
                <w:sz w:val="21"/>
                <w:szCs w:val="21"/>
                <w:highlight w:val="none"/>
                <w:lang w:val="en-US" w:eastAsia="zh-CN"/>
              </w:rPr>
              <w:t>科技型</w:t>
            </w:r>
            <w:r>
              <w:rPr>
                <w:rFonts w:hint="eastAsia" w:ascii="宋体" w:hAnsi="宋体" w:eastAsia="宋体" w:cs="宋体"/>
                <w:sz w:val="21"/>
                <w:szCs w:val="21"/>
                <w:highlight w:val="none"/>
                <w:lang w:val="en-US" w:eastAsia="zh-CN"/>
              </w:rPr>
              <w:t>企业，请填列下表</w:t>
            </w:r>
            <w:r>
              <w:rPr>
                <w:rFonts w:hint="eastAsia" w:ascii="宋体" w:hAnsi="宋体" w:eastAsia="宋体" w:cs="宋体"/>
                <w:sz w:val="21"/>
                <w:szCs w:val="21"/>
                <w:highlight w:val="none"/>
              </w:rPr>
              <w:t>）</w:t>
            </w:r>
            <w:r>
              <w:rPr>
                <w:rFonts w:hint="eastAsia" w:ascii="宋体" w:hAnsi="宋体" w:cs="宋体"/>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2025年</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投资机构</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融资阶段</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投后估值</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Cs/>
                <w:snapToGrid w:val="0"/>
                <w:color w:val="000000"/>
                <w:kern w:val="0"/>
                <w:sz w:val="21"/>
                <w:szCs w:val="21"/>
                <w:highlight w:val="none"/>
                <w:lang w:val="en-US" w:eastAsia="zh-CN" w:bidi="ar-SA"/>
              </w:rPr>
              <w:t>自2017年以来，我行与借款人建立授信合作关系，需补充近三年我行给予的授信敞口额度明细。</w:t>
            </w:r>
            <w:r>
              <w:rPr>
                <w:rFonts w:hint="eastAsia" w:ascii="宋体" w:hAnsi="宋体" w:eastAsia="宋体" w:cs="宋体"/>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2024 年 4 月 2026年01月 日，经531系统查询，借款人 2025 年 12 月   日提贷 300万元，到期日 2026 年 12 月   日，贷款采取自主支付方式发放，通过调取借款人账户流水，1. 300万元向 兴业银行-环球支行 有限公司支付 福建中锐网络股份有限公司 货款（已提供发票）；2. 300万元转至工行同户名账户，穿透查看用于向 1 个人支付采购竹刨花原料款 300万元，其余用于支付税款；3.XX万元元转至农行同户名账户(基本户），用于向37个员工支付工资款。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Cs/>
                <w:snapToGrid w:val="0"/>
                <w:color w:val="auto"/>
                <w:kern w:val="0"/>
                <w:szCs w:val="21"/>
                <w:highlight w:val="none"/>
                <w:lang w:val="en-US" w:eastAsia="zh-CN"/>
              </w:rPr>
              <w:t>黄色预警提示法定代表人黄祖海目前信用卡存在逾期。经核实，未对借款人造成实质性风险。</w:t>
            </w:r>
            <w:r>
              <w:rPr>
                <w:rFonts w:hint="eastAsia" w:ascii="宋体" w:hAnsi="宋体" w:cs="宋体"/>
                <w:bCs/>
                <w:snapToGrid w:val="0"/>
                <w:color w:val="000000"/>
                <w:kern w:val="0"/>
                <w:szCs w:val="21"/>
                <w:highlight w:val="none"/>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8.</w:t>
            </w:r>
            <w:r>
              <w:rPr>
                <w:rFonts w:hint="eastAsia" w:ascii="宋体" w:hAnsi="宋体" w:cs="宋体"/>
                <w:bCs/>
                <w:snapToGrid w:val="0"/>
                <w:color w:val="000000"/>
                <w:kern w:val="0"/>
                <w:szCs w:val="21"/>
                <w:highlight w:val="none"/>
                <w:lang w:eastAsia="zh-CN"/>
              </w:rPr>
              <w:t>其他</w:t>
            </w:r>
            <w:r>
              <w:rPr>
                <w:rFonts w:hint="eastAsia" w:ascii="宋体" w:hAnsi="宋体" w:cs="宋体"/>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Cs/>
                <w:snapToGrid w:val="0"/>
                <w:color w:val="000000"/>
                <w:kern w:val="0"/>
                <w:szCs w:val="21"/>
                <w:highlight w:val="none"/>
                <w:lang w:val="en-US" w:eastAsia="zh-CN"/>
              </w:rPr>
              <w:t>若有）PD评级较上期下滑，分析原因：</w:t>
            </w:r>
            <w:r>
              <w:rPr>
                <w:rFonts w:hint="eastAsia" w:ascii="宋体" w:hAnsi="宋体" w:cs="宋体"/>
                <w:snapToGrid w:val="0"/>
                <w:color w:val="000000"/>
                <w:kern w:val="0"/>
                <w:szCs w:val="21"/>
                <w:u w:val="single"/>
                <w:lang w:val="en-US" w:eastAsia="zh-CN"/>
              </w:rPr>
              <w:t xml:space="preserve"> 材料中未提及PD评级及变动情况。 </w:t>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Cs w:val="21"/>
              </w:rPr>
              <w:t>（二）法定代表人/实控人简介</w:t>
            </w:r>
            <w:r>
              <w:rPr>
                <w:rFonts w:hint="eastAsia" w:ascii="宋体" w:hAnsi="宋体" w:cs="宋体"/>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及实际控制人：黄祖海，中国国籍，湖南大学电子商务专业本科学历。行业工作经历：2000年5月至2001年12月任福建实达网络科技有限公司技术工程师；2002年1月至2003年1月任该公司技术经理；2003年1月至2011年12月任福建星网锐捷网络有限公司技术部总经理；2012年1月至2016年3月任福建中锐网络科技有限公司法定代表人、执行董事兼总经理；2016年3月至今任福建中锐网络股份有限公司董事长兼总裁。其配偶为康恩慧，家庭拥有私有房产一处，位于仓山区上渡街道通江路17号江南水都·杰座，权属证号为榕 房权证 R 字第 0838000 号，面积143.45平方米。实控人年龄、户籍地址、个人征信情况及对外担保情况未在本次提供材料中体现。</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从财务表现看，借款人2025年营业收入为10010万元，同比增长14.9%；净利润为494万元，同比增长50.1%，显示业务规模与盈利同步增长。盈利能力方面，毛利率为38.0%，同比下降0.8个百分点；净利率为4.9%，同比上升1.2个百分点；营业利润率为4.8%，同比上升0.2个百分点，显示费用控制能力有所增强。偿债能力方面，资产负债率为42.5%，较年初下降7.7个百分点；流动比率为1.82倍，较年初提升0.24倍；速动比率为1.51倍，较年初提升0.06倍，整体偿债指标改善，负债结构优化。营运效率方面，应收账款周转天数为271天，同比缩短117天，回款效率显著提升；但存货周转天数为129天，同比延长49天，且显著高于软件信息业30-90天的典型区间，主要由于存货较年初大幅增长88.0%，可能存在项目备货或积压情况。现金流方面，经营活动净现金流为791万元，经营现金流/净利润达1.60，现金流质量健康。综合来看，借款人盈利与偿债能力持续改善，经营活动造血能力足以覆盖短期利息支出，但需关注存货快速增长对流动性的占用。</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Cs/>
                <w:snapToGrid w:val="0"/>
                <w:color w:val="auto"/>
                <w:kern w:val="0"/>
                <w:szCs w:val="21"/>
                <w:highlight w:val="none"/>
                <w:lang w:val="en-US" w:eastAsia="zh-CN"/>
              </w:rPr>
              <w:t>（三）借款人及</w:t>
            </w:r>
            <w:r>
              <w:rPr>
                <w:rFonts w:hint="eastAsia" w:ascii="宋体" w:hAnsi="宋体" w:cs="宋体"/>
                <w:bCs/>
                <w:snapToGrid w:val="0"/>
                <w:color w:val="auto"/>
                <w:kern w:val="0"/>
                <w:szCs w:val="21"/>
                <w:highlight w:val="none"/>
              </w:rPr>
              <w:t>实控人</w:t>
            </w:r>
            <w:r>
              <w:rPr>
                <w:rFonts w:hint="eastAsia" w:ascii="宋体" w:hAnsi="宋体" w:cs="宋体"/>
                <w:bCs/>
                <w:snapToGrid w:val="0"/>
                <w:color w:val="auto"/>
                <w:kern w:val="0"/>
                <w:szCs w:val="21"/>
                <w:highlight w:val="none"/>
                <w:lang w:val="en-US" w:eastAsia="zh-CN"/>
              </w:rPr>
              <w:t>家庭</w:t>
            </w:r>
            <w:r>
              <w:rPr>
                <w:rFonts w:hint="eastAsia" w:ascii="宋体" w:hAnsi="宋体" w:cs="宋体"/>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2</w:t>
                  </w:r>
                  <w:r>
                    <w:rPr>
                      <w:rFonts w:hint="eastAsia" w:ascii="宋体" w:hAnsi="宋体" w:cs="宋体"/>
                      <w:bCs/>
                      <w:i w:val="0"/>
                      <w:iCs w:val="0"/>
                      <w:caps w:val="0"/>
                      <w:color w:val="000000"/>
                      <w:spacing w:val="0"/>
                      <w:kern w:val="0"/>
                      <w:sz w:val="21"/>
                      <w:szCs w:val="21"/>
                      <w:highlight w:val="none"/>
                      <w:lang w:val="en-US" w:eastAsia="zh-CN" w:bidi="ar"/>
                    </w:rPr>
                    <w:t>.</w:t>
                  </w:r>
                  <w:r>
                    <w:rPr>
                      <w:rFonts w:hint="eastAsia" w:ascii="宋体" w:hAnsi="宋体" w:eastAsia="宋体" w:cs="宋体"/>
                      <w:bCs/>
                      <w:i w:val="0"/>
                      <w:iCs w:val="0"/>
                      <w:caps w:val="0"/>
                      <w:color w:val="000000"/>
                      <w:spacing w:val="0"/>
                      <w:kern w:val="0"/>
                      <w:sz w:val="21"/>
                      <w:szCs w:val="21"/>
                      <w:highlight w:val="none"/>
                      <w:lang w:val="en-US" w:eastAsia="zh-CN" w:bidi="ar"/>
                    </w:rPr>
                    <w:t>实控人家庭资产</w:t>
                  </w:r>
                  <w:r>
                    <w:rPr>
                      <w:rFonts w:hint="eastAsia" w:ascii="宋体" w:hAnsi="宋体" w:cs="宋体"/>
                      <w:bCs/>
                      <w:i w:val="0"/>
                      <w:iCs w:val="0"/>
                      <w:caps w:val="0"/>
                      <w:color w:val="000000"/>
                      <w:spacing w:val="0"/>
                      <w:kern w:val="0"/>
                      <w:sz w:val="21"/>
                      <w:szCs w:val="21"/>
                      <w:highlight w:val="none"/>
                      <w:lang w:val="en-US" w:eastAsia="zh-CN" w:bidi="ar"/>
                    </w:rPr>
                    <w:t>情况</w:t>
                  </w:r>
                  <w:r>
                    <w:rPr>
                      <w:rFonts w:hint="eastAsia" w:ascii="宋体" w:hAnsi="宋体" w:eastAsia="宋体" w:cs="宋体"/>
                      <w:bCs/>
                      <w:i w:val="0"/>
                      <w:iCs w:val="0"/>
                      <w:caps w:val="0"/>
                      <w:color w:val="000000"/>
                      <w:spacing w:val="0"/>
                      <w:kern w:val="0"/>
                      <w:sz w:val="21"/>
                      <w:szCs w:val="21"/>
                      <w:highlight w:val="none"/>
                      <w:lang w:val="en-US" w:eastAsia="zh-CN" w:bidi="ar"/>
                    </w:rPr>
                    <w:t>（</w:t>
                  </w:r>
                  <w:r>
                    <w:rPr>
                      <w:rFonts w:hint="eastAsia" w:ascii="宋体" w:hAnsi="宋体" w:cs="宋体"/>
                      <w:bCs/>
                      <w:i w:val="0"/>
                      <w:iCs w:val="0"/>
                      <w:caps w:val="0"/>
                      <w:color w:val="000000"/>
                      <w:spacing w:val="0"/>
                      <w:kern w:val="0"/>
                      <w:sz w:val="21"/>
                      <w:szCs w:val="21"/>
                      <w:highlight w:val="none"/>
                      <w:lang w:val="en-US" w:eastAsia="zh-CN" w:bidi="ar"/>
                    </w:rPr>
                    <w:t>实控人、</w:t>
                  </w:r>
                  <w:r>
                    <w:rPr>
                      <w:rFonts w:hint="eastAsia" w:ascii="宋体" w:hAnsi="宋体" w:eastAsia="宋体" w:cs="宋体"/>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四</w:t>
            </w:r>
            <w:r>
              <w:rPr>
                <w:rFonts w:hint="eastAsia" w:ascii="宋体" w:hAnsi="宋体" w:cs="宋体"/>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Cs/>
                <w:snapToGrid w:val="0"/>
                <w:color w:val="000000"/>
                <w:kern w:val="0"/>
                <w:szCs w:val="21"/>
                <w:highlight w:val="none"/>
              </w:rPr>
              <w:t>1</w:t>
            </w:r>
            <w:r>
              <w:rPr>
                <w:rFonts w:hint="eastAsia" w:ascii="宋体" w:hAnsi="宋体" w:cs="宋体"/>
                <w:bCs/>
                <w:snapToGrid w:val="0"/>
                <w:color w:val="000000"/>
                <w:kern w:val="0"/>
                <w:szCs w:val="21"/>
                <w:highlight w:val="none"/>
                <w:lang w:val="en-US" w:eastAsia="zh-CN"/>
              </w:rPr>
              <w:t>.</w:t>
            </w:r>
            <w:r>
              <w:rPr>
                <w:rFonts w:hint="eastAsia" w:ascii="宋体" w:hAnsi="宋体" w:cs="宋体"/>
                <w:bCs/>
                <w:snapToGrid w:val="0"/>
                <w:color w:val="000000"/>
                <w:kern w:val="0"/>
                <w:szCs w:val="21"/>
                <w:highlight w:val="none"/>
              </w:rPr>
              <w:t>关联企业</w:t>
            </w:r>
            <w:r>
              <w:rPr>
                <w:rFonts w:hint="eastAsia" w:ascii="宋体" w:hAnsi="宋体" w:cs="宋体"/>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Cs/>
                <w:snapToGrid w:val="0"/>
                <w:kern w:val="0"/>
                <w:szCs w:val="21"/>
                <w:highlight w:val="none"/>
              </w:rPr>
              <w:t>企业关联方主要为5家全资或控股子公司，其中福建中锐汉鼎信息技术有限公司、福建中锐教育科技有限公司、北京中锐青云科技有限公司、厦门中锐软件科技有限公司、中锐海沃水利技术(福建)有限公司。福建中锐教育科技有限公司与厦门中锐软件科技有限公司财务数据存疑，待人工核实。</w:t>
            </w:r>
            <w:r>
              <w:rPr>
                <w:rFonts w:hint="eastAsia" w:ascii="宋体" w:hAnsi="宋体" w:eastAsia="宋体" w:cs="宋体"/>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Cs/>
                <w:snapToGrid w:val="0"/>
                <w:kern w:val="0"/>
                <w:szCs w:val="21"/>
                <w:highlight w:val="none"/>
              </w:rPr>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14:paraId="46CC9C85">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eastAsia="宋体" w:cs="宋体"/>
                      <w:snapToGrid w:val="0"/>
                      <w:color w:val="000000"/>
                      <w:kern w:val="0"/>
                      <w:sz w:val="18"/>
                      <w:szCs w:val="18"/>
                      <w:highlight w:val="none"/>
                      <w:lang w:val="en-US" w:eastAsia="zh-CN"/>
                    </w:rPr>
                    <w:t>2025.</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3</w:t>
            </w:r>
            <w:r>
              <w:rPr>
                <w:rFonts w:hint="eastAsia" w:ascii="宋体" w:hAnsi="宋体" w:cs="宋体"/>
                <w:bCs/>
                <w:snapToGrid w:val="0"/>
                <w:kern w:val="0"/>
                <w:szCs w:val="21"/>
                <w:highlight w:val="none"/>
                <w:lang w:val="en-US" w:eastAsia="zh-CN"/>
              </w:rPr>
              <w:t>.</w:t>
            </w:r>
            <w:r>
              <w:rPr>
                <w:rFonts w:hint="eastAsia" w:ascii="宋体" w:hAnsi="宋体" w:cs="宋体"/>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五</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kern w:val="0"/>
                <w:szCs w:val="21"/>
                <w:highlight w:val="none"/>
              </w:rPr>
              <w:t>主要经营</w:t>
            </w:r>
            <w:r>
              <w:rPr>
                <w:rFonts w:hint="eastAsia" w:ascii="宋体" w:hAnsi="宋体" w:cs="宋体"/>
                <w:snapToGrid w:val="0"/>
                <w:kern w:val="0"/>
                <w:szCs w:val="21"/>
                <w:highlight w:val="none"/>
                <w:lang w:val="en-US" w:eastAsia="zh-CN"/>
              </w:rPr>
              <w:t>及</w:t>
            </w:r>
            <w:r>
              <w:rPr>
                <w:rFonts w:hint="eastAsia" w:ascii="宋体" w:hAnsi="宋体" w:cs="宋体"/>
                <w:snapToGrid w:val="0"/>
                <w:kern w:val="0"/>
                <w:szCs w:val="21"/>
                <w:highlight w:val="none"/>
              </w:rPr>
              <w:t>财务情</w:t>
            </w:r>
            <w:r>
              <w:rPr>
                <w:rFonts w:hint="eastAsia" w:ascii="宋体" w:hAnsi="宋体" w:cs="宋体"/>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企业主营智慧水利与智慧教育解决方案，其中智慧水利业务占比46%，智慧教育业务占比54%。</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kern w:val="0"/>
                <w:szCs w:val="21"/>
                <w:highlight w:val="none"/>
                <w:lang w:val="en-US" w:eastAsia="zh-CN"/>
              </w:rPr>
              <w:t>企业为高新技术企业，主营智慧水利与智慧教育。智慧水利方面，拥有大坝安全智能监测平台等解决方案，获福建省科技进步奖二等奖，已应用于省内300余座水库。智慧教育方面，与全国超1000所高校建立产学研合作，服务1600多家政企客户。企业近三年持续投入研发，2023-2025年研发费用分别为895万、1262万和1049万，研发人员占比由44%提升至53%。收入结构上，水利与教育业务占比分别为46%和54%。企业销售收款采用预收款和账期方式，采购付款享有供应商较优信用账期，以管理现金流。</w:t>
            </w:r>
            <w:r>
              <w:rPr>
                <w:rFonts w:hint="eastAsia" w:ascii="宋体" w:hAnsi="宋体" w:cs="宋体"/>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3.</w:t>
            </w:r>
            <w:r>
              <w:rPr>
                <w:rFonts w:hint="eastAsia" w:ascii="宋体" w:hAnsi="宋体" w:cs="宋体"/>
                <w:bCs/>
                <w:snapToGrid w:val="0"/>
                <w:color w:val="000000"/>
                <w:kern w:val="0"/>
                <w:szCs w:val="21"/>
                <w:highlight w:val="none"/>
              </w:rPr>
              <w:t>产品</w:t>
            </w:r>
            <w:r>
              <w:rPr>
                <w:rFonts w:hint="eastAsia" w:ascii="宋体" w:hAnsi="宋体" w:cs="宋体"/>
                <w:bCs/>
                <w:snapToGrid w:val="0"/>
                <w:color w:val="000000"/>
                <w:kern w:val="0"/>
                <w:szCs w:val="21"/>
                <w:highlight w:val="none"/>
                <w:lang w:eastAsia="zh-CN"/>
              </w:rPr>
              <w:t>生产、</w:t>
            </w:r>
            <w:r>
              <w:rPr>
                <w:rFonts w:hint="eastAsia" w:ascii="宋体" w:hAnsi="宋体" w:cs="宋体"/>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公司主营智慧水利与智慧教育业务，2025年水利业务销售收入占比46%，教育业务占比54%。</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上游主要为网络设备及技术服务供应商，下游客户以政府水利部门、事业单位及科技公司为主。①主要上游（前五大）：详见下表。②主要下游（前五大）：详见下表。③经营账期：上游采购一般预付或现付，下游账期较长，主要下游通过转账、票据与借款人进行结算。企业总体营运资金周转效率偏慢，一年周转约1次。</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Cs/>
                <w:snapToGrid w:val="0"/>
                <w:color w:val="000000"/>
                <w:kern w:val="0"/>
                <w:szCs w:val="21"/>
                <w:highlight w:val="none"/>
                <w:lang w:val="en-US" w:eastAsia="zh-CN"/>
              </w:rPr>
              <w:t>材料未提供最新在手订单列表。</w:t>
            </w:r>
            <w:r>
              <w:rPr>
                <w:rFonts w:hint="eastAsia" w:ascii="宋体" w:hAnsi="宋体" w:cs="宋体"/>
                <w:bCs/>
                <w:snapToGrid w:val="0"/>
                <w:color w:val="000000"/>
                <w:kern w:val="0"/>
                <w:szCs w:val="21"/>
                <w:highlight w:val="none"/>
              </w:rPr>
            </w:r>
            <w:r>
              <w:rPr>
                <w:rFonts w:hint="eastAsia" w:ascii="宋体" w:hAnsi="宋体" w:cs="宋体"/>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Cs/>
                <w:color w:val="000000"/>
                <w:highlight w:val="none"/>
                <w:lang w:val="en-US" w:eastAsia="zh-CN"/>
              </w:rPr>
              <w:t>①</w:t>
            </w:r>
            <w:r>
              <w:rPr>
                <w:rFonts w:ascii="宋体" w:hAnsi="宋体"/>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Cs/>
                <w:color w:val="000000"/>
                <w:highlight w:val="none"/>
                <w:lang w:val="en-US" w:eastAsia="zh-CN"/>
              </w:rPr>
              <w:t>②</w:t>
            </w:r>
            <w:r>
              <w:rPr>
                <w:rFonts w:ascii="宋体" w:hAnsi="宋体"/>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r>
              <w:t>收入下滑趋势在2025年得到扭转并实现增长，同时毛利率在经历波动后于近两年稳定在较高水平，显示盈利能力的恢复与巩固。毛利率标准差处于可控范围，表明盈利质量趋于稳定。收入、毛利与净利润需联动分析，重点关注利润兑现与毛利波动是否匹配。</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Cs/>
                <w:snapToGrid w:val="0"/>
                <w:kern w:val="0"/>
                <w:szCs w:val="21"/>
                <w:highlight w:val="none"/>
                <w:lang w:val="en-US" w:eastAsia="zh-CN"/>
              </w:rPr>
              <w:t>③</w:t>
            </w:r>
            <w:r>
              <w:rPr>
                <w:rFonts w:hint="eastAsia" w:ascii="宋体" w:hAnsi="宋体" w:cs="宋体"/>
                <w:bCs/>
                <w:snapToGrid w:val="0"/>
                <w:color w:val="000000"/>
                <w:kern w:val="0"/>
                <w:szCs w:val="21"/>
                <w:highlight w:val="none"/>
              </w:rPr>
              <w:t>近三年</w:t>
            </w:r>
            <w:r>
              <w:rPr>
                <w:rFonts w:hint="eastAsia" w:ascii="宋体" w:hAnsi="宋体" w:cs="宋体"/>
                <w:bCs/>
                <w:snapToGrid w:val="0"/>
                <w:color w:val="000000"/>
                <w:kern w:val="0"/>
                <w:szCs w:val="21"/>
                <w:highlight w:val="none"/>
                <w:lang w:val="en-US" w:eastAsia="zh-CN"/>
              </w:rPr>
              <w:t>及最近一期</w:t>
            </w:r>
            <w:r>
              <w:rPr>
                <w:rFonts w:hint="eastAsia" w:ascii="宋体" w:hAnsi="宋体" w:cs="宋体"/>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福建中锐网络股份有限公司近三年（2023-2025年）财务数据呈现触底回升态势。2025年，公司实现营业收入10010万元，同比增长14.9%；净利润494万元，同比增长50.1%。盈利能力方面，毛利率为38.0%，同比下降0.8个百分点；净利率为4.9%，同比上升1.2个百分点，但仍处于软件和信息技术服务业净利率典型区间（5%-15%）的下限，主要系行业竞争激烈及公司持续投入研发（近三年研发费用率分别为7.4%、14.5%、10.5%）所致。偿债能力显著改善，资产负债率降至42.5%（较年初下降7.7个百分点），流动比率提升至1.82倍（较年初提升0.24倍），均处于行业健康区间，短期偿债压力有所缓解。营运效率呈现分化：应收账款周转天数大幅缩短至271天（同比缩短117天），回款管理有所加强；但存货周转天数延长至129天（同比延长49天），显著高于行业30-90天的典型区间，且存货较年初增长88.0%至2192万元，远超营收增速，存在积压风险，可能占用营运资金。2025年经营活动净现金流为791万元，经营现金流/净利润达1.60，现金流生成能力健康，为偿还债务提供了基础保障。然而，期末货币资金仅286万元，较年初下降43.6%，而短期借款为4730万元，公司对银行融资的滚动续借存在一定依赖。主要科目变动分析如下：</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（1）应收账款：2023-2025年末分别为7430万元、9252万元、7430万元，2025年末较年初下降19.7%，周转效率改善。</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（1）应收账款 材料中未提供应收账款具体金额。 万元，主要构成及趋势变动情况： 68万元，较年初的9253万元下降19.7%，回款情况有所改善。该科目占流动资产合计的比重为56.7%，仍是资产构成的主要部分。</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2</w:t>
            </w:r>
            <w:r>
              <w:rPr>
                <w:rFonts w:hint="eastAsia" w:ascii="宋体" w:hAnsi="宋体" w:cs="宋体"/>
                <w:bCs/>
                <w:snapToGrid w:val="0"/>
                <w:color w:val="000000"/>
                <w:kern w:val="0"/>
                <w:szCs w:val="21"/>
                <w:highlight w:val="none"/>
                <w:lang w:val="zh-CN"/>
              </w:rPr>
              <w:t>）其他应收款</w:t>
            </w:r>
            <w:r>
              <w:rPr>
                <w:rFonts w:hint="eastAsia" w:ascii="宋体" w:hAnsi="宋体" w:cs="宋体"/>
                <w:snapToGrid w:val="0"/>
                <w:color w:val="000000"/>
                <w:kern w:val="0"/>
                <w:szCs w:val="21"/>
                <w:highlight w:val="none"/>
                <w:u w:val="single"/>
                <w:lang w:val="zh-CN"/>
              </w:rPr>
              <w:t xml:space="preserve"> 材料中未提供其他应收款具体金额。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材料中未提供其他应收款构成及趋势变动情况。 </w:t>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（3）存货 材料中未提供存货具体金额。 万元，主要构成及趋势变动情况： 根据2025年财务报表，公司存货期末余额为2192万元，较年初的1166万元大幅增长87.96%。材料中未提供存货的具体构成明细，无法进一步分析其结构合理性。</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4</w:t>
            </w:r>
            <w:r>
              <w:rPr>
                <w:rFonts w:hint="eastAsia" w:ascii="宋体" w:hAnsi="宋体" w:cs="宋体"/>
                <w:bCs/>
                <w:snapToGrid w:val="0"/>
                <w:color w:val="000000"/>
                <w:kern w:val="0"/>
                <w:szCs w:val="21"/>
                <w:highlight w:val="none"/>
                <w:lang w:val="zh-CN"/>
              </w:rPr>
              <w:t>）长期投资</w:t>
            </w:r>
            <w:r>
              <w:rPr>
                <w:rFonts w:hint="eastAsia" w:ascii="宋体" w:hAnsi="宋体" w:cs="宋体"/>
                <w:snapToGrid w:val="0"/>
                <w:color w:val="000000"/>
                <w:kern w:val="0"/>
                <w:szCs w:val="21"/>
                <w:highlight w:val="none"/>
                <w:u w:val="single"/>
                <w:lang w:val="zh-CN"/>
              </w:rPr>
              <w:t xml:space="preserve"> 材料中未提供长期投资具体金额。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 根据提供的2025年资产负债表，未列示“长期投资”科目，非流动资产部分数据缺失，无法进行具体金额与趋势分析。</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 材料中未提供应付账款具体金额。 万元，主要构成及趋势变动情况： 根据2025年财务报表，企业应付账款期末余额为1026万元，较年初的2333万元大幅下降56.06%。应付账款占流动负债的比重较低，对上游供应商的占款能力有所减弱。</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w:t>
            </w:r>
            <w:r>
              <w:rPr>
                <w:rFonts w:hint="eastAsia" w:ascii="宋体" w:hAnsi="宋体" w:cs="宋体"/>
                <w:snapToGrid w:val="0"/>
                <w:color w:val="000000"/>
                <w:kern w:val="0"/>
                <w:szCs w:val="21"/>
                <w:highlight w:val="none"/>
                <w:u w:val="single"/>
                <w:lang w:val="zh-CN"/>
              </w:rPr>
              <w:t xml:space="preserve"> 材料中未提供其他应付款具体金额。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材料中未提供其他应付款构成及趋势变动情况。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 xml:space="preserve">（7）主营业务收入变动原因： 企业主营业务为智慧水利和智慧教育。根据材料，2025年营收为1010万元。从行业政策看，智慧水利受益于国家'十四五'水安全保障规划及增发国债水利项目（约5000亿投向水利），2023-2024年订单显著增长，但回款周期长（180-360天）。智慧教育受'教育新基建'和'教育信息化2.0'政策支持，但校内项目预算趋紧。企业收入结构为水利46%、教育54%，下游客户包括涵江水利局（1116万）、福建省翔远电子科技有限公司（1122万）等，业务与国家政策导向契合，但受项目验收及财政回款节奏影响，收入规模可能波动。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企业盈利能力受研发投入、项目成本及子公司亏损影响。材料显示，近三年研发投入持续较高（2023年895万、2024年1262万、2025年1049万），研发人员占比高（44%-53%），侵蚀部分利润。主要子公司中，福建中锐汉鼎信息技术有限公司（智慧水利）上年净亏损682万，福建中锐教育科技有限公司（智慧教育）上年净亏损1275万（数据需核实），较大亏损拖累整体盈利。行业典型净利率为智慧水利4-10%、智慧教育3-12%，企业需加强成本控制和子公司管理以提升盈利。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Cs w:val="0"/>
                <w:snapToGrid w:val="0"/>
                <w:kern w:val="0"/>
                <w:szCs w:val="21"/>
                <w:highlight w:val="none"/>
                <w:lang w:val="zh-CN"/>
              </w:rPr>
              <w:t>（</w:t>
            </w:r>
            <w:r>
              <w:rPr>
                <w:rFonts w:hint="eastAsia" w:ascii="宋体" w:hAnsi="宋体" w:cs="宋体"/>
                <w:bCs w:val="0"/>
                <w:snapToGrid w:val="0"/>
                <w:kern w:val="0"/>
                <w:szCs w:val="21"/>
                <w:highlight w:val="none"/>
                <w:lang w:val="en-US" w:eastAsia="zh-CN"/>
              </w:rPr>
              <w:t>后续若有大额固定资产投入计划，分析投入及资金安排</w:t>
            </w:r>
            <w:r>
              <w:rPr>
                <w:rFonts w:hint="eastAsia" w:ascii="宋体" w:hAnsi="宋体" w:cs="宋体"/>
                <w:bCs w:val="0"/>
                <w:snapToGrid w:val="0"/>
                <w:kern w:val="0"/>
                <w:szCs w:val="21"/>
                <w:highlight w:val="none"/>
                <w:lang w:val="zh-CN"/>
              </w:rPr>
              <w:t>）</w:t>
            </w:r>
            <w:r>
              <w:rPr>
                <w:rFonts w:hint="eastAsia" w:ascii="宋体" w:hAnsi="宋体" w:cs="宋体"/>
                <w:snapToGrid w:val="0"/>
                <w:color w:val="000000"/>
                <w:kern w:val="0"/>
                <w:szCs w:val="21"/>
                <w:highlight w:val="none"/>
                <w:lang w:val="zh-CN"/>
              </w:rPr>
              <w:t>： 根据提供的2025年资产负债表，未直接列示“固定资产”科目，无法分析其投资变动情况。材料中仅包含流动资产及部分非流动资产数据，缺少2022至2025年完整的固定资产科目明细。</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根据提供的2025年资产负债表，企业2025年末货币资金为286万元，较年初的506万元大幅减少43.6%，流动性显著收紧。同时，存货由年初的1166万元激增至2192万元，增幅达87.9%，占用了较多营运资金。</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货币资金对短期借款的覆盖能力持续大幅减弱，短期流动性风险显著上升。尽管流动比率逐年改善且整体负债水平呈下降趋势，但核心偿债保障指标已恶化至危险水平。偿债能力由杠杆水平与流动性共同决定，需同步观察资产负债率和短债覆盖能力。</w:t>
            </w:r>
          </w:p>
          <w:p w14:paraId="0A792E2F">
            <w:pPr>
              <w:pStyle w:val="11"/>
              <w:rPr>
                <w:rFonts w:hint="eastAsia"/>
                <w:lang w:val="en-US" w:eastAsia="zh-CN"/>
              </w:rPr>
            </w:pPr>
            <w:r>
              <w:t xml:space="preserve">应收账款周转效率持续恶化，回款能力显著下降。存货管理波动剧烈，近期库存水平大幅攀升。运营效率需重点跟踪应收账款周转与收入扩张的匹配程度。</w:t>
            </w:r>
          </w:p>
          <w:p w14:paraId="0A792E2F">
            <w:pPr>
              <w:pStyle w:val="11"/>
              <w:rPr>
                <w:rFonts w:hint="eastAsia"/>
                <w:lang w:val="en-US" w:eastAsia="zh-CN"/>
              </w:rPr>
            </w:pPr>
            <w:r>
              <w:t xml:space="preserve">经营现金流波动剧烈，呈现间歇性净流入，整体造血能力不稳定。公司持续处于投资扩张阶段，对外部融资依赖度较高，但筹资活动现金流入呈收缩趋势。经营现金流当前表现为最近连续1年为正，需关注现金回笼与利润质量是否一致。</w:t>
            </w:r>
          </w:p>
          <w:p w14:paraId="0A792E2F">
            <w:pPr>
              <w:pStyle w:val="11"/>
              <w:rPr>
                <w:rFonts w:hint="eastAsia"/>
                <w:lang w:val="en-US" w:eastAsia="zh-CN"/>
              </w:rPr>
            </w:pPr>
            <w:r>
              <w:t xml:space="preserve">企业应收账款周转天数持续恶化，已连续三年显著超过180天警戒线，表明其回款能力严重不足，存在较高的坏账风险。同时，货币资金对短期借款的覆盖率急剧下降至极低水平，短期偿债能力严重不足，流动性风险极高。尽管资产负债率呈下降趋势，但前述两项关键指标的严重恶化已构成重大风险信号。</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snapToGrid w:val="0"/>
                <w:kern w:val="0"/>
                <w:szCs w:val="21"/>
                <w:highlight w:val="none"/>
                <w:lang w:val="en-US" w:eastAsia="zh-CN"/>
              </w:rPr>
              <w:t>（2）存货：2023-2025年末分别为2192万元、1166万元、2192万元，2025年末较年初大幅增长88.0%，需关注其构成及与订单的匹配情况。</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Cs w:val="0"/>
                <w:snapToGrid w:val="0"/>
                <w:color w:val="auto"/>
                <w:szCs w:val="21"/>
                <w:highlight w:val="none"/>
                <w:u w:val="none"/>
                <w:lang w:val="en-US" w:eastAsia="zh-CN"/>
              </w:rPr>
              <w:t xml:space="preserve">最近三年现金流量表分析：  根据审计报告及财务报表：2023年经营活动现金流入小计112072779.26元，销售商品、提供劳务收到的现金93640251.43元；2024年经营活动现金流入小计80298955.33元，销售商品、提供劳务收到的现金48902379.43元；2025年销售商品、提供劳务收到的现金103852568.95元。近三年经营活动现金流波动较大，2024年流入明显下降，2025年销售回款有所回升。这与智慧水利、教育行业应收账款周转天数长（分别180-360天、120-240天）的特点相符，项目回款受财政拨付节奏影响显著。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（3）短期借款：2025年末为4730万元，是主要的负债构成。</w:t>
              <w:br/>
              <w:t>（4）审计情况：2023、2024年报均由德赢（福建）会计师事务所（普通合伙）审计，审计结论未见异常说明。</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六</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融资</w:t>
            </w:r>
            <w:r>
              <w:rPr>
                <w:rFonts w:hint="eastAsia" w:ascii="宋体" w:hAnsi="宋体" w:cs="宋体"/>
                <w:snapToGrid w:val="0"/>
                <w:color w:val="000000"/>
                <w:kern w:val="0"/>
                <w:szCs w:val="21"/>
                <w:highlight w:val="none"/>
                <w:lang w:val="en-US" w:eastAsia="zh-CN"/>
              </w:rPr>
              <w:t>/</w:t>
            </w:r>
            <w:r>
              <w:rPr>
                <w:rFonts w:hint="eastAsia" w:ascii="宋体" w:hAnsi="宋体" w:cs="宋体"/>
                <w:snapToGrid w:val="0"/>
                <w:color w:val="000000"/>
                <w:kern w:val="0"/>
                <w:szCs w:val="21"/>
                <w:highlight w:val="none"/>
              </w:rPr>
              <w:t>对外担保</w:t>
            </w:r>
            <w:r>
              <w:rPr>
                <w:rFonts w:hint="eastAsia" w:ascii="宋体" w:hAnsi="宋体" w:cs="宋体"/>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截至报告日，公司各行贷款余额合计4440万元，涉及交通银行、海峡银行、厦门国际银行、兴业银行、工商银行、中国银行及广发银行共七家机构，均为短期流动资金贷款，担保方式主要为个人及关联企业保证。</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3"/>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3"/>
            <w:r>
              <w:rPr>
                <w:rStyle w:val="CommentReference"/>
              </w:rPr>
              <w:commentReference w:id="3"/>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4"/>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4"/>
            <w:r>
              <w:rPr>
                <w:rStyle w:val="CommentReference"/>
              </w:rPr>
              <w:commentReference w:id="4"/>
            </w:r>
          </w:p>
          <w:p w14:paraId="4355488A">
            <w:commentRangeStart w:id="5"/>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5"/>
            <w:r>
              <w:rPr>
                <w:rStyle w:val="CommentReference"/>
              </w:rPr>
              <w:commentReference w:id="5"/>
            </w:r>
          </w:p>
          <w:p w14:paraId="0BD0E5B0">
            <w:commentRangeStart w:i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截至2025年7月23日，查询信用报告，黄祖海名下有未结清贷款账户1笔，余额1000万元，为中行个人经营贷款，经营主体为某有限公司，有未销户信用卡账户1笔，余额0元。全部未结清贷款估算下月应还款额0元，贷记卡最近6个月平均使用额度27元，准贷记卡最近6个月平均透支余额0元；承担担保责任账户有1笔，承担共同还款责任账户有0笔，余额1000万元，为某有限公司担保。根据预警规则的后台计算，客户近5年贷款累计逾期期数为1期，其中逾期金额小于等于500元的期数为0；客户近5年贷款连续逾期期数为1期，其中连续逾期小于等于500元的期数为0，经反馈，为遗忘导致，现已结清。</w:t>
              <w:br/>
              <w:br/>
              <w:t>财务分析：借款人2025年营业收入为10010万元，同比增长14.9%；净利润为494万元，同比增长50.1%，显示业务规模与盈利同步增长。盈利能力方面，毛利率为38.0%，同比下降0.8个百分点；净利率为4.9%，同比上升1.2个百分点；营业利润率为4.8%，同比上升0.2个百分点。归因来看，净利率提升主要得益于费用控制或非经常性收益。偿债能力显著改善，资产负债率为42.5%，较年初下降7.7个百分点；流动比率为1.82倍，较年初提升0.24倍；速动比率为1.51倍，较年初提升0.06倍。归因来看，负债率下降主要源于总负债减少幅度大于总资产。营运效率呈现分化，应收账款周转天数为271天，同比缩短117天，回款管理有所改善；但存货周转天数为129天，同比延长49天，且显著高于软件信息业30-90天的典型区间，主要由于定制化项目未验收沉淀为存货或硬件集成类业务备货周期长，存在存货积压信号。现金流方面，当期经营活动净现金流为791万元，经营现金流/净利润达1.60，覆盖良好。综合来看，公司盈利增长、偿债指标优化且现金流健康，但需关注存货周转恶化对流动性的潜在影响。结合实控人征信仅有1次非恶意逾期且已结清，其整体还款能力有支撑。</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6"/>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color w:val="000000"/>
                <w:kern w:val="0"/>
                <w:szCs w:val="21"/>
                <w:highlight w:val="none"/>
                <w:lang w:val="en-US" w:eastAsia="zh-CN"/>
              </w:rPr>
              <w:t>康恩慧，中国国籍。</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Cs/>
                <w:snapToGrid w:val="0"/>
                <w:kern w:val="0"/>
                <w:szCs w:val="21"/>
              </w:rPr>
              <w:t>科技型企业类型：</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科技型中小企业</w:t>
            </w:r>
            <w:r>
              <w:rPr>
                <w:rFonts w:hint="eastAsia" w:ascii="宋体" w:hAnsi="宋体" w:eastAsia="宋体" w:cs="宋体"/>
                <w:bCs/>
                <w:snapToGrid w:val="0"/>
                <w:kern w:val="0"/>
                <w:szCs w:val="21"/>
                <w:lang w:val="en-US" w:eastAsia="zh-CN"/>
              </w:rPr>
              <w:t>（第几轮，有效期至X年X月X日）</w:t>
            </w:r>
            <w:r>
              <w:rPr>
                <w:rFonts w:hint="eastAsia" w:ascii="宋体" w:hAnsi="宋体" w:eastAsia="宋体" w:cs="宋体"/>
                <w:bCs/>
                <w:snapToGrid w:val="0"/>
                <w:kern w:val="0"/>
                <w:szCs w:val="21"/>
                <w:lang w:val="en-US" w:eastAsia="zh-CN"/>
              </w:rPr>
              <w:t>；</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高新技术企业；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“专精特新”中小企业；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制造业单项冠军企业；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国家技术创新示范企业</w:t>
            </w:r>
          </w:p>
          <w:p w14:paraId="6C01223F">
            <w:commentRangeStart w:id="7"/>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Cs/>
                <w:snapToGrid w:val="0"/>
                <w:kern w:val="0"/>
                <w:sz w:val="21"/>
                <w:szCs w:val="21"/>
                <w:lang w:val="en-US" w:eastAsia="zh-CN" w:bidi="ar-SA"/>
              </w:rPr>
              <w:t>科技型企业评分：</w:t>
            </w:r>
            <w:r>
              <w:rPr>
                <w:rFonts w:hint="eastAsia" w:ascii="宋体" w:hAnsi="宋体" w:cs="宋体"/>
                <w:bCs/>
                <w:snapToGrid w:val="0"/>
                <w:color w:val="000000"/>
                <w:kern w:val="0"/>
                <w:szCs w:val="21"/>
                <w:u w:val="single"/>
                <w:lang w:val="en-US" w:eastAsia="zh-CN"/>
              </w:rPr>
              <w:t xml:space="preserve">    </w:t>
            </w:r>
            <w:r>
              <w:rPr>
                <w:rFonts w:hint="eastAsia" w:ascii="宋体" w:hAnsi="宋体" w:eastAsia="宋体" w:cs="宋体"/>
                <w:bCs/>
                <w:snapToGrid w:val="0"/>
                <w:kern w:val="0"/>
                <w:sz w:val="21"/>
                <w:szCs w:val="21"/>
                <w:lang w:val="en-US" w:eastAsia="zh-CN" w:bidi="ar-SA"/>
              </w:rPr>
              <w:t>分</w:t>
            </w:r>
            <w:commentRangeEnd w:id="7"/>
            <w:r>
              <w:rPr>
                <w:rStyle w:val="CommentReference"/>
              </w:rPr>
              <w:commentReference w:id="7"/>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Cs/>
                <w:kern w:val="2"/>
                <w:sz w:val="21"/>
                <w:szCs w:val="21"/>
                <w:highlight w:val="none"/>
                <w:lang w:val="en-US" w:eastAsia="zh-CN"/>
              </w:rPr>
              <w:t>※2.研发投入情况</w:t>
            </w:r>
            <w:r>
              <w:rPr>
                <w:rFonts w:hint="eastAsia" w:ascii="宋体" w:hAnsi="宋体" w:cs="宋体"/>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Cs w:val="0"/>
                <w:kern w:val="2"/>
                <w:sz w:val="21"/>
                <w:szCs w:val="21"/>
                <w:highlight w:val="none"/>
                <w:lang w:val="en-US" w:eastAsia="zh-CN"/>
              </w:rPr>
              <w:t>①</w:t>
            </w:r>
            <w:r>
              <w:rPr>
                <w:rFonts w:hint="eastAsia" w:ascii="宋体" w:hAnsi="宋体" w:eastAsia="宋体" w:cs="宋体"/>
                <w:bCs w:val="0"/>
                <w:kern w:val="2"/>
                <w:sz w:val="21"/>
                <w:szCs w:val="21"/>
                <w:highlight w:val="none"/>
                <w:lang w:eastAsia="zh-CN"/>
              </w:rPr>
              <w:t>核心</w:t>
            </w:r>
            <w:r>
              <w:rPr>
                <w:rFonts w:hint="eastAsia" w:ascii="宋体" w:hAnsi="宋体" w:cs="宋体"/>
                <w:bCs w:val="0"/>
                <w:kern w:val="2"/>
                <w:sz w:val="21"/>
                <w:szCs w:val="21"/>
                <w:highlight w:val="none"/>
                <w:lang w:val="en-US" w:eastAsia="zh-CN"/>
              </w:rPr>
              <w:t>研发</w:t>
            </w:r>
            <w:r>
              <w:rPr>
                <w:rFonts w:hint="eastAsia" w:ascii="宋体" w:hAnsi="宋体" w:eastAsia="宋体" w:cs="宋体"/>
                <w:bCs w:val="0"/>
                <w:kern w:val="2"/>
                <w:sz w:val="21"/>
                <w:szCs w:val="21"/>
                <w:highlight w:val="none"/>
                <w:lang w:eastAsia="zh-CN"/>
              </w:rPr>
              <w:t>人员是否</w:t>
            </w:r>
            <w:r>
              <w:rPr>
                <w:rFonts w:hint="eastAsia" w:ascii="宋体" w:hAnsi="宋体" w:cs="宋体"/>
                <w:bCs w:val="0"/>
                <w:kern w:val="2"/>
                <w:sz w:val="21"/>
                <w:szCs w:val="21"/>
                <w:highlight w:val="none"/>
                <w:lang w:val="en-US" w:eastAsia="zh-CN"/>
              </w:rPr>
              <w:t>享有</w:t>
            </w:r>
            <w:r>
              <w:rPr>
                <w:rFonts w:hint="eastAsia" w:ascii="宋体" w:hAnsi="宋体" w:eastAsia="宋体" w:cs="宋体"/>
                <w:bCs w:val="0"/>
                <w:kern w:val="2"/>
                <w:sz w:val="21"/>
                <w:szCs w:val="21"/>
                <w:highlight w:val="none"/>
                <w:lang w:eastAsia="zh-CN"/>
              </w:rPr>
              <w:t>股权激励：</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是</w:t>
            </w:r>
            <w:r>
              <w:rPr>
                <w:rFonts w:hint="eastAsia" w:ascii="宋体" w:hAnsi="宋体" w:eastAsia="宋体" w:cs="宋体"/>
                <w:bCs w:val="0"/>
                <w:kern w:val="2"/>
                <w:szCs w:val="21"/>
                <w:highlight w:val="none"/>
                <w:lang w:val="en-US" w:eastAsia="zh-CN"/>
              </w:rPr>
              <w:t xml:space="preserve"> </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Cs/>
                <w:kern w:val="2"/>
                <w:sz w:val="21"/>
                <w:szCs w:val="21"/>
                <w:highlight w:val="none"/>
                <w:lang w:val="en-US" w:eastAsia="zh-CN"/>
              </w:rPr>
              <w:t>科技型企业类型：科技型中小企业、高新技术企业、创新型中小企业、“专精特新”中小企业、专精特新“小巨人”企业、制造业单项冠军企业、国家技术创新示范企业，需补充相关资质认定证书。</w:t>
              <w:br/>
              <w:t>核心研发人员享有股权激励。</w:t>
              <w:br/>
              <w:t>近三年研发投入占比及研发人员占比详见下表。</w:t>
              <w:br/>
              <w:t>企业拥有发明专利、实用专利项，权属清晰，不存在瑕疵及涉诉情况，具体情况如下表所示：</w:t>
            </w:r>
            <w:r>
              <w:rPr>
                <w:rFonts w:hint="eastAsia" w:ascii="宋体" w:hAnsi="宋体" w:cs="宋体"/>
                <w:bCs w:val="0"/>
                <w:kern w:val="2"/>
                <w:sz w:val="21"/>
                <w:szCs w:val="21"/>
                <w:highlight w:val="none"/>
                <w:lang w:val="en-US" w:eastAsia="zh-CN" w:bidi="ar-SA"/>
              </w:rPr>
            </w:r>
            <w:r>
              <w:rPr>
                <w:rFonts w:hint="eastAsia" w:ascii="宋体" w:hAnsi="宋体" w:eastAsia="宋体" w:cs="宋体"/>
                <w:bCs w:val="0"/>
                <w:kern w:val="2"/>
                <w:sz w:val="21"/>
                <w:szCs w:val="21"/>
                <w:highlight w:val="none"/>
                <w:lang w:val="en-US" w:eastAsia="zh-CN" w:bidi="ar-SA"/>
              </w:rPr>
            </w:r>
            <w:r>
              <w:rPr>
                <w:rFonts w:hint="eastAsia" w:ascii="宋体" w:hAnsi="宋体" w:cs="宋体"/>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w:t>
            </w:r>
            <w:r>
              <w:rPr>
                <w:rFonts w:hint="eastAsia" w:ascii="宋体" w:hAnsi="宋体" w:cs="宋体"/>
                <w:bCs/>
                <w:snapToGrid w:val="0"/>
                <w:kern w:val="0"/>
                <w:sz w:val="21"/>
                <w:szCs w:val="21"/>
                <w:highlight w:val="none"/>
                <w:lang w:val="en-US" w:eastAsia="zh-CN" w:bidi="ar-SA"/>
              </w:rPr>
              <w:t>八</w:t>
            </w:r>
            <w:r>
              <w:rPr>
                <w:rFonts w:hint="eastAsia" w:ascii="宋体" w:hAnsi="宋体" w:eastAsia="宋体" w:cs="宋体"/>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九</w:t>
            </w:r>
            <w:r>
              <w:rPr>
                <w:rFonts w:hint="eastAsia" w:ascii="宋体" w:hAnsi="宋体" w:cs="宋体"/>
                <w:snapToGrid w:val="0"/>
                <w:color w:val="000000"/>
                <w:kern w:val="0"/>
                <w:szCs w:val="21"/>
                <w:highlight w:val="none"/>
              </w:rPr>
              <w:t>）借款原因及还款能力</w:t>
            </w:r>
            <w:r>
              <w:rPr>
                <w:rFonts w:hint="eastAsia" w:ascii="宋体" w:hAnsi="宋体" w:cs="宋体"/>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t>借款人目前经营性现金流状况整体较好，当期经营活动净现金流791万元，但账上货币资金仅286万元。因对上游供应商采用分期付款、下游客户回款周期较长，应收账款周转天数达271天，且存货较年初大幅增长88.0%至2192万元，对营运资金占用显著增加，故需申请贷款用于补充流动资金。</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commentRangeStart w:id="8"/>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Cs/>
                <w:snapToGrid w:val="0"/>
                <w:kern w:val="0"/>
                <w:szCs w:val="21"/>
                <w:highlight w:val="none"/>
                <w:lang w:val="en-US" w:eastAsia="zh-CN"/>
              </w:rPr>
              <w:t>（若申请中期流动资金贷款，请补充分析原因：</w:t>
            </w:r>
            <w:r>
              <w:rPr>
                <w:rFonts w:hint="eastAsia" w:ascii="宋体" w:hAnsi="宋体" w:cs="宋体"/>
                <w:bCs/>
                <w:snapToGrid w:val="0"/>
                <w:kern w:val="0"/>
                <w:szCs w:val="21"/>
                <w:highlight w:val="none"/>
                <w:u w:val="single"/>
                <w:lang w:val="en-US" w:eastAsia="zh-CN"/>
              </w:rPr>
              <w:t xml:space="preserve">                                 </w:t>
            </w:r>
            <w:r>
              <w:rPr>
                <w:rFonts w:hint="eastAsia" w:ascii="宋体" w:hAnsi="宋体" w:cs="宋体"/>
                <w:bCs/>
                <w:snapToGrid w:val="0"/>
                <w:kern w:val="0"/>
                <w:szCs w:val="21"/>
                <w:highlight w:val="none"/>
                <w:u w:val="none"/>
                <w:lang w:val="en-US" w:eastAsia="zh-CN"/>
              </w:rPr>
              <w:t>）</w:t>
            </w:r>
            <w:commentRangeEnd w:id="8"/>
            <w:r>
              <w:rPr>
                <w:rStyle w:val="CommentReference"/>
              </w:rPr>
              <w:commentReference w:id="8"/>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2</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rPr>
              <w:t>营运资金需求测算</w:t>
            </w:r>
          </w:p>
          <w:p w14:paraId="4655273D">
            <w:commentRangeStart w:id="9"/>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Cs/>
                <w:snapToGrid w:val="0"/>
                <w:color w:val="auto"/>
                <w:kern w:val="0"/>
                <w:szCs w:val="21"/>
                <w:highlight w:val="none"/>
              </w:rPr>
              <w:t>根据流动资金需求测算，企业营运资金需求：         万元（请附（材料未提供）系统测算表截图）</w:t>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commentRangeEnd w:id="9"/>
            <w:r>
              <w:rPr>
                <w:rStyle w:val="CommentReference"/>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如上述测算过程存在数据调整，请补充说明：需补充2025年末预收款项/合同负债及预付账款科目明细。</w:t>
            </w:r>
          </w:p>
          <w:p w14:paraId="64AA94E5">
            <w:pPr>
              <w:pStyle w:val="11"/>
              <w:rPr>
                <w:rFonts w:hint="eastAsia"/>
              </w:rPr>
            </w:pPr>
          </w:p>
          <w:p w14:paraId="1970A0F7">
            <w:commentRangeStart w:id="10"/>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10"/>
            <w:r>
              <w:rPr>
                <w:rStyle w:val="CommentReference"/>
              </w:rPr>
              <w:commentReference w:id="10"/>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snapToGrid w:val="0"/>
                <w:kern w:val="0"/>
                <w:szCs w:val="21"/>
                <w:highlight w:val="none"/>
                <w:lang w:val="en-US" w:eastAsia="zh-CN"/>
              </w:rPr>
              <w:t>3.</w:t>
            </w:r>
            <w:r>
              <w:rPr>
                <w:rFonts w:hint="eastAsia" w:ascii="宋体" w:hAnsi="宋体" w:cs="宋体"/>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 xml:space="preserve">①第一还款来源（经营性现金流分析）： 第一还款来源主要依赖企业经营性现金流。企业2025年营收1010万元，主营业务为智慧水利和智慧教育，下游客户主要为政府部门及国企（如涵江水利局、福州市福清公路事业发展中心），订单来源稳定但回款周期长。近三年销售商品、提供劳务收到的现金波动较大（2024年4890万元，2025年10385万元），反映项目结算和回款的不确定性。行业特性导致经营性现金流与净利润匹配度可能较低（同业经营性现金流/净利润&lt;0.5），企业需加强应收账款管理，确保项目验收和回款进度，以保障还款现金流。 </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第二还款来源方面，材料中仅列示一项可抵押资产：仓山区上渡街道通江路17号江南水都·杰座（所有权人康恩慧、黄祖海），面积143.45平方米，但未提供评估价。该房产为私有住宅，变现能力受房地产市场行情及处置速度影响。此外，企业融资清单中8笔流贷均由实际控制人黄祖海及其关联方（陈其俤、中锐汉鼎等）及担保公司提供连带责任保证，增强了第二还款来源。但关联子公司普遍经营不佳（如中锐汉鼎亏损682万），保证代偿能力有限。总体看，抵质押物价值不明，第二还款来源主要依赖保证担保，存在一定风险。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①第一还款来源（经营性现金流分析）： 第一还款来源主要为企业主营业务形成的销售回款及经营现金回笼。材料显示水利占比46%、教育占比54%。2025年主营业务收入10010万元；净利润494万元；经营性现金流净额791万元。</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11"/>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1"/>
            <w:r>
              <w:rPr>
                <w:rStyle w:val="CommentReference"/>
              </w:rPr>
              <w:commentReference w:id="11"/>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十</w:t>
            </w:r>
            <w:r>
              <w:rPr>
                <w:rFonts w:hint="eastAsia" w:ascii="宋体" w:hAnsi="宋体" w:cs="宋体"/>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1</w:t>
            </w:r>
            <w:r>
              <w:rPr>
                <w:rFonts w:hint="eastAsia" w:ascii="宋体" w:hAnsi="宋体" w:cs="宋体"/>
                <w:color w:val="auto"/>
                <w:sz w:val="21"/>
                <w:szCs w:val="21"/>
                <w:highlight w:val="none"/>
                <w:lang w:val="en-US" w:eastAsia="zh-CN"/>
              </w:rPr>
              <w:t>.</w:t>
            </w:r>
            <w:r>
              <w:rPr>
                <w:rFonts w:hint="eastAsia" w:ascii="宋体" w:hAnsi="宋体" w:eastAsia="宋体" w:cs="宋体"/>
                <w:color w:val="auto"/>
                <w:sz w:val="21"/>
                <w:szCs w:val="21"/>
                <w:highlight w:val="none"/>
              </w:rPr>
              <w:t>抵押担保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如涉及</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sz w:val="18"/>
                      <w:szCs w:val="18"/>
                      <w:highlight w:val="none"/>
                    </w:rPr>
                    <w:t>抵押物</w:t>
                  </w:r>
                  <w:r>
                    <w:rPr>
                      <w:rFonts w:hint="eastAsia" w:ascii="宋体" w:hAnsi="宋体" w:cs="宋体"/>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自用/</w:t>
                  </w:r>
                  <w:r>
                    <w:rPr>
                      <w:rFonts w:hint="eastAsia" w:ascii="宋体" w:hAnsi="宋体" w:eastAsia="宋体" w:cs="宋体"/>
                      <w:sz w:val="18"/>
                      <w:szCs w:val="18"/>
                      <w:highlight w:val="none"/>
                      <w:lang w:eastAsia="zh-CN"/>
                    </w:rPr>
                    <w:t>出租</w:t>
                  </w:r>
                  <w:r>
                    <w:rPr>
                      <w:rFonts w:hint="eastAsia" w:ascii="宋体" w:hAnsi="宋体" w:eastAsia="宋体" w:cs="宋体"/>
                      <w:sz w:val="18"/>
                      <w:szCs w:val="18"/>
                      <w:highlight w:val="none"/>
                      <w:lang w:val="en-US" w:eastAsia="zh-CN"/>
                    </w:rPr>
                    <w:t>/空置</w:t>
                  </w:r>
                  <w:r>
                    <w:rPr>
                      <w:rFonts w:hint="eastAsia" w:ascii="宋体" w:hAnsi="宋体" w:eastAsia="宋体" w:cs="宋体"/>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抵押物为个人私有房产，位于仓山区上渡街道通江路17号江南水都·杰座，面积143.45平方米，权属人为康恩慧、黄祖海。需补充该房产的评估报告以确定评估净值及抵押率，并核实当前是否已设定抵押。</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2.</w:t>
            </w:r>
            <w:r>
              <w:rPr>
                <w:rFonts w:hint="eastAsia" w:ascii="宋体" w:hAnsi="宋体" w:eastAsia="宋体" w:cs="宋体"/>
                <w:sz w:val="21"/>
                <w:szCs w:val="21"/>
                <w:highlight w:val="none"/>
              </w:rPr>
              <w:t>公司担保</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如涉及</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保证人主要为借款人全资控股的关联企业，包括福建中锐汉鼎信息技术有限公司、福建中锐教育科技有限公司、北京中锐青云科技有限公司、厦门中锐软件科技有限公司及中锐海沃水利技术（福建）有限公司。保证人化型及对公PD评级需补充。各保证人经营情况差异显著，其中福建中锐汉鼎主营智慧水利，上年营收8712万元，净亏损682万元；福建中锐教育主营智慧教育，上年营收8712万元，净亏损1275万元，该关联企业财务数据存疑，待人工核实；北京中锐青云主营产教融合，上年营收8712万元，净利润329万元；厦门中锐软件主营软硬件销售，上年营收8712万元，净亏损13万元，该关联企业财务数据存疑，待人工核实；中锐海沃主营智慧水利，上年无主营业务收入，净利润规模极小。保证人征信信息（银行授信、敞口余额、对外担保、不良记录）需补充。风险信息及涉诉情况需补充。</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color w:val="auto"/>
                <w:sz w:val="21"/>
                <w:szCs w:val="21"/>
                <w:highlight w:val="none"/>
                <w:lang w:val="en-US" w:eastAsia="zh-CN"/>
              </w:rPr>
              <w:t>本次担保涉及福州市融资担保有限公司。我行内部对该担保公司的审批结论（额度、风险分担比例、放大倍数、单户上限）未提供。截至上报日，该担保公司对外担保总额、在我行担保余额、净资产及担保倍率等关键准入数据均未提供，需补充担保公司最新经审计的财务报表及对外担保明细。</w:t>
            </w:r>
            <w:r>
              <w:rPr>
                <w:rFonts w:hint="eastAsia" w:ascii="宋体" w:hAnsi="宋体" w:eastAsia="宋体" w:cs="宋体"/>
                <w:color w:val="auto"/>
                <w:sz w:val="21"/>
                <w:szCs w:val="21"/>
                <w:highlight w:val="none"/>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lang w:val="en-US" w:eastAsia="zh-CN"/>
              </w:rPr>
            </w:r>
            <w:r>
              <w:rPr>
                <w:rFonts w:hint="eastAsia" w:ascii="宋体" w:hAnsi="宋体" w:cs="宋体"/>
                <w:color w:val="auto"/>
                <w:sz w:val="21"/>
                <w:szCs w:val="21"/>
                <w:highlight w:val="none"/>
                <w:lang w:val="en-US" w:eastAsia="zh-CN"/>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4.</w:t>
            </w:r>
            <w:r>
              <w:rPr>
                <w:rFonts w:hint="eastAsia" w:ascii="宋体" w:hAnsi="宋体" w:eastAsia="宋体" w:cs="宋体"/>
                <w:sz w:val="21"/>
                <w:szCs w:val="21"/>
                <w:highlight w:val="none"/>
              </w:rPr>
              <w:t>个人担保</w:t>
            </w: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如：实控人及配偶</w:t>
            </w:r>
            <w:r>
              <w:rPr>
                <w:rFonts w:hint="eastAsia" w:ascii="宋体" w:hAnsi="宋体" w:cs="宋体"/>
                <w:sz w:val="21"/>
                <w:szCs w:val="21"/>
                <w:highlight w:val="none"/>
                <w:lang w:eastAsia="zh-CN"/>
              </w:rPr>
              <w:t>）</w:t>
            </w:r>
            <w:r>
              <w:rPr>
                <w:rFonts w:hint="eastAsia" w:ascii="宋体" w:hAnsi="宋体" w:eastAsia="宋体" w:cs="宋体"/>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5.</w:t>
            </w:r>
            <w:r>
              <w:rPr>
                <w:rFonts w:hint="eastAsia" w:ascii="宋体" w:hAnsi="宋体" w:eastAsia="宋体" w:cs="宋体"/>
                <w:sz w:val="21"/>
                <w:szCs w:val="21"/>
                <w:highlight w:val="none"/>
              </w:rPr>
              <w:t>信用方式</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Cs/>
                <w:snapToGrid w:val="0"/>
                <w:kern w:val="0"/>
                <w:szCs w:val="21"/>
                <w:highlight w:val="none"/>
              </w:rPr>
              <w:t>财务分析：企业近两年财务表现呈改善趋势。规模与盈利方面，营业收入分别为10010万元、10010万元，2025年同比增长14.9%；净利润分别为494万元、494万元，2025年同比增长50.1%，盈利恢复性增长显著。盈利能力比率方面，毛利率分别为38.02%、38.02%，2025年同比下降0.8个百分点，主要受项目成本结构及市场竞争影响；净利率分别为4.93%、4.93%，2025年同比上升1.2个百分点，得益于费用控制及规模效应。偿债与营运比率方面，资产负债率分别为42.50%、42.50%，2025年末较年初下降7.7个百分点，杠杆水平持续优化；流动比率分别为1.81倍、1.82倍，短期偿债能力增强；应收账款周转天数分别为270.92天、271天，2025年同比缩短117天，回款管理有所改善，但仍显著高于软件信息业90-180天典型区间，主要系智慧水利、教育项目验收周期长及政府客户回款账期较长所致；存货周转天数分别为128.97天、129天，2025年同比延长49天，且存货较年初大幅增长88.0%，远超营收增速，存在项目备货或定制化项目未验收导致的积压信号。整体而言，企业盈利与偿债能力改善，但营运效率存在分化，应收账款回收及存货管理是影响其现金流及还款能力的关键。</w:t>
              <w:br/>
              <w:br/>
              <w:t>六要素评判：</w:t>
              <w:br/>
              <w:t>现金流方面，企业经营活动净现金流791万元，经营现金流/净利润1.60，销售商品收现/营收1.04，现金流质量健康，对短期债务覆盖能力尚可。</w:t>
              <w:br/>
              <w:t>杠杆率方面，资产负债率42.5%，较年初下降7.7个百分点，处于智慧水利行业40-60%及智慧教育行业35-55%的典型区间内，杠杆水平适中。</w:t>
              <w:br/>
              <w:t>可持续性方面，营业收入2024年触底后于2025年反弹至10010万元，较2024年增长14.9%；净利润同步反弹至329万元，较2024年增长50.1%，盈利呈恢复性增长趋势。</w:t>
              <w:br/>
              <w:t>垒小户方面，前五大客户销售额合计3562万元，最大单一客户涵江水利局销售额1116万元，占比10.02%，客户集中度较低。</w:t>
              <w:br/>
              <w:t>配结算方面，企业在我行无结算账户，需补充近一年主要合作银行流水。</w:t>
              <w:br/>
              <w:t>强担保方面，实际控制人黄祖海及其配偶康恩慧名下私有房产一处（面积143.45平）可作为增信，需补充该房产评估报告及当前抵押状态；现有8笔外部融资合计授信5640万元，已用4440万元，担保方式均为个人及关联方保证，需关注对外担保集中度。</w:t>
              <w:br/>
              <w:br/>
              <w:t>综合六要素评判，企业主营智慧水利与智慧教育，受益于水利国债项目落地及教育信息化政策，订单能见度较好；盈利与偿债指标改善，现金流健康，客户分散。主要风险点在于存货较年初大幅增长88.0%，存在积压信号；应收账款周转天数271天，虽同比改善但仍处于行业偏高水平，回款压力持续；短期借款4730万元，对经营现金流依赖较高。授信方案建议给予流动资金贷款额度，用于补充项目运营资金，期限一年，执行普惠优惠利率。担保方式采用实际控制人黄祖海连带责任保证，并追加其配偶康恩慧名下房产抵押（待落实评估及他项权证）。贷后管控需重点关注：按月收集银行流水，监控销售回款与融资变化；按季核查存货明细，关注项目验收进度；跟踪关联企业福建中锐汉鼎信息技术有限公司（净亏损682万）的经营状况，防范风险传导。</w:t>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rPr>
            </w:r>
            <w:r>
              <w:rPr>
                <w:rFonts w:hint="eastAsia" w:ascii="宋体" w:hAnsi="宋体" w:cs="宋体"/>
                <w:bCs/>
                <w:snapToGrid w:val="0"/>
                <w:kern w:val="0"/>
                <w:szCs w:val="21"/>
                <w:highlight w:val="none"/>
                <w:u w:val="single"/>
                <w:lang w:eastAsia="zh-CN"/>
              </w:rPr>
            </w:r>
            <w:r>
              <w:rPr>
                <w:rFonts w:hint="eastAsia" w:ascii="宋体" w:hAnsi="宋体" w:cs="宋体"/>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kern w:val="2"/>
                <w:sz w:val="21"/>
                <w:szCs w:val="21"/>
                <w:highlight w:val="none"/>
              </w:rPr>
              <w:t>1</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综合</w:t>
            </w:r>
            <w:r>
              <w:rPr>
                <w:rFonts w:hint="eastAsia" w:ascii="宋体" w:hAnsi="宋体" w:eastAsia="宋体" w:cs="宋体"/>
                <w:kern w:val="2"/>
                <w:sz w:val="21"/>
                <w:szCs w:val="21"/>
                <w:highlight w:val="none"/>
              </w:rPr>
              <w:t>评价</w:t>
            </w:r>
            <w:r>
              <w:rPr>
                <w:rFonts w:hint="eastAsia" w:ascii="宋体" w:hAnsi="宋体" w:eastAsia="宋体" w:cs="宋体"/>
                <w:kern w:val="2"/>
                <w:sz w:val="21"/>
                <w:szCs w:val="21"/>
                <w:highlight w:val="none"/>
                <w:lang w:eastAsia="zh-CN"/>
              </w:rPr>
              <w:t>（</w:t>
            </w:r>
            <w:r>
              <w:rPr>
                <w:rFonts w:hint="eastAsia" w:ascii="宋体" w:hAnsi="宋体" w:eastAsia="宋体" w:cs="宋体"/>
                <w:kern w:val="2"/>
                <w:sz w:val="21"/>
                <w:szCs w:val="21"/>
                <w:highlight w:val="none"/>
                <w:lang w:val="en-US" w:eastAsia="zh-CN"/>
              </w:rPr>
              <w:t>围绕</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六要素</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eastAsia="zh-CN"/>
              </w:rPr>
              <w:t>）</w:t>
            </w:r>
            <w:r>
              <w:rPr>
                <w:rFonts w:hint="eastAsia" w:ascii="宋体" w:hAnsi="宋体" w:cs="宋体"/>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现金流：借款人2025年经营活动净现金流791万元，经营现金流/净利润为1.60，销售商品收现/营收为1.04，现金流质量健康。公司短期借款4730万元，年经营现金流791万元，短贷需滚动偿还。</w:t>
            </w:r>
            <w:r>
              <w:rPr>
                <w:rFonts w:hint="eastAsia" w:ascii="宋体" w:hAnsi="宋体" w:eastAsia="宋体" w:cs="宋体"/>
                <w:snapToGrid w:val="0"/>
                <w:kern w:val="0"/>
                <w:szCs w:val="21"/>
                <w:highlight w:val="none"/>
                <w:u w:val="single"/>
                <w:lang w:val="en-US" w:eastAsia="zh-CN"/>
              </w:rPr>
            </w:r>
          </w:p>
          <w:p w14:paraId="4FF78978">
            <w:commentRangeStart w:id="1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杠杆率：借款人资产负债率(待补充 资产负债率 近三年较年初明细)，流动比率(待补充 流动比率 近三年较年初明细)，速动比率(待补充 速动比率 近三年较年初明细)，整体偿债能力改善。</w:t>
            </w:r>
            <w:r>
              <w:rPr>
                <w:rFonts w:hint="eastAsia" w:ascii="宋体" w:hAnsi="宋体" w:eastAsia="宋体" w:cs="宋体"/>
                <w:snapToGrid w:val="0"/>
                <w:kern w:val="0"/>
                <w:szCs w:val="21"/>
                <w:highlight w:val="none"/>
                <w:u w:val="single"/>
                <w:lang w:val="en-US" w:eastAsia="zh-CN"/>
              </w:rPr>
            </w:r>
            <w:commentRangeEnd w:id="12"/>
            <w:r>
              <w:rPr>
                <w:rStyle w:val="CommentReference"/>
              </w:rPr>
              <w:commentReference w:id="12"/>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盈利能力：借款人2025年毛利率为38.0%，同比下降0.8个百分点；净利率为4.9%，同比上升1.2个百分点。净利率提升主要得益于费用控制及规模效应，盈利能力有所改善，增强了内生性还款来源。</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Cs/>
                <w:snapToGrid w:val="0"/>
                <w:kern w:val="0"/>
                <w:szCs w:val="21"/>
                <w:highlight w:val="none"/>
                <w:u w:val="single"/>
                <w:lang w:val="en-US" w:eastAsia="zh-CN"/>
              </w:rPr>
              <w:t>营运效率：借款人2025年应收账款周转天数为271天，同比缩短117天，回款效率显著改善；存货周转天数为129天，同比延长49天，存货积压风险上升。应收账款的加速回收有利于改善现金流，但存货周转放缓占用了营运资金，需关注其对短期偿债能力的影响。</w:t>
            </w:r>
            <w:r>
              <w:rPr>
                <w:rFonts w:hint="eastAsia" w:ascii="宋体" w:hAnsi="宋体" w:eastAsia="宋体" w:cs="宋体"/>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可持续：借款人营业收入2022/2023/2024/2025年分别为21198.0万、12130.0万、8712.4万、10009.6万，2024触底后反弹。净利润分别为983.0万、393.0万、329.0万、493.8万，同步反弹。公司持续投入研发，近三年研发费用分别为895万、1262万、1049万。</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垒小户：该公司现有合作银行8家，总授信5640万元，已用4440万元。公司名下无房产，现有固定资产主要为生产设备。</w:t>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配结算：借款人在我行开户时间较长，由于近两年在我行贷款提用不多，整体结算减少，后续将加强营销结算和代发业务。</w:t>
              <w:br/>
              <w:t>强担保：该公司名下无房产，他行贷款均由实控人及关联方担保。实控人黄祖海及其配偶康恩慧名下拥有仓山区上渡街道通江路17号江南水都·杰座房产，面积143.45平，可追加抵押。</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3"/>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2</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lang w:val="en-US" w:eastAsia="zh-CN"/>
              </w:rPr>
              <w:t>申报</w:t>
            </w:r>
            <w:r>
              <w:rPr>
                <w:rFonts w:hint="eastAsia" w:ascii="宋体" w:hAnsi="宋体" w:eastAsia="宋体" w:cs="宋体"/>
                <w:kern w:val="2"/>
                <w:sz w:val="21"/>
                <w:szCs w:val="21"/>
                <w:highlight w:val="none"/>
              </w:rPr>
              <w:t>授信</w:t>
            </w:r>
            <w:r>
              <w:rPr>
                <w:rFonts w:hint="eastAsia" w:ascii="宋体" w:hAnsi="宋体" w:eastAsia="宋体" w:cs="宋体"/>
                <w:kern w:val="2"/>
                <w:sz w:val="21"/>
                <w:szCs w:val="21"/>
                <w:highlight w:val="none"/>
                <w:lang w:val="en-US" w:eastAsia="zh-CN"/>
              </w:rPr>
              <w:t>方案</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kern w:val="2"/>
                <w:sz w:val="21"/>
                <w:szCs w:val="21"/>
                <w:highlight w:val="none"/>
                <w:u w:val="single"/>
                <w:lang w:val="en-US" w:eastAsia="zh-CN"/>
              </w:rPr>
              <w:t xml:space="preserve"> </w:t>
            </w:r>
            <w:commentRangeEnd w:id="13"/>
            <w:r>
              <w:rPr>
                <w:rStyle w:val="CommentReference"/>
              </w:rPr>
              <w:commentReference w:id="13"/>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snapToGrid w:val="0"/>
                <w:color w:val="auto"/>
                <w:kern w:val="0"/>
                <w:szCs w:val="21"/>
                <w:highlight w:val="cyan"/>
              </w:rPr>
              <w:t>尽职</w:t>
            </w:r>
            <w:r>
              <w:rPr>
                <w:rFonts w:hint="eastAsia" w:ascii="宋体" w:hAnsi="宋体" w:cs="宋体"/>
                <w:snapToGrid w:val="0"/>
                <w:color w:val="auto"/>
                <w:kern w:val="0"/>
                <w:szCs w:val="21"/>
                <w:highlight w:val="cyan"/>
                <w:lang w:val="en-US" w:eastAsia="zh-CN"/>
              </w:rPr>
              <w:t>调查</w:t>
            </w:r>
            <w:r>
              <w:rPr>
                <w:rFonts w:hint="eastAsia" w:ascii="宋体" w:hAnsi="宋体" w:cs="宋体"/>
                <w:snapToGrid w:val="0"/>
                <w:color w:val="auto"/>
                <w:kern w:val="0"/>
                <w:szCs w:val="21"/>
                <w:highlight w:val="cyan"/>
              </w:rPr>
              <w:t>：经营单位对上述材料真实性负责。</w:t>
            </w:r>
          </w:p>
          <w:p w14:paraId="6483A6E1">
            <w:commentRangeStart w:id="14"/>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4"/>
            <w:r>
              <w:rPr>
                <w:rStyle w:val="CommentReference"/>
              </w:rPr>
              <w:commentReference w:id="14"/>
            </w:r>
          </w:p>
          <w:p w14:paraId="6AC425A6">
            <w:commentRangeStart w:id="15"/>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5"/>
            <w:r>
              <w:rPr>
                <w:rStyle w:val="CommentReference"/>
              </w:rPr>
              <w:commentReference w:id="15"/>
            </w:r>
          </w:p>
          <w:p w14:paraId="2FC82B07">
            <w:commentRangeStart w:id="16"/>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p w14:paraId="269107E9">
            <w:commentRangeStart w:id="17"/>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7"/>
            <w:r>
              <w:rPr>
                <w:rStyle w:val="CommentReference"/>
              </w:rPr>
              <w:commentReference w:id="17"/>
            </w:r>
          </w:p>
          <w:p w14:paraId="3096CC3B">
            <w:commentRangeStart w:id="18"/>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8"/>
            <w:r>
              <w:rPr>
                <w:rStyle w:val="CommentReference"/>
              </w:rPr>
              <w:commentReference w:id="18"/>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bCs/>
                <w:snapToGrid w:val="0"/>
                <w:color w:val="000000"/>
                <w:kern w:val="0"/>
                <w:szCs w:val="21"/>
                <w:highlight w:val="none"/>
              </w:rPr>
              <w:t>普惠部审查岗意见</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lang w:val="en-US" w:eastAsia="zh-CN"/>
              </w:rPr>
              <w:t>可另附</w:t>
            </w:r>
            <w:r>
              <w:rPr>
                <w:rFonts w:hint="eastAsia" w:ascii="宋体" w:hAnsi="宋体" w:cs="宋体"/>
                <w:bCs/>
                <w:snapToGrid w:val="0"/>
                <w:kern w:val="0"/>
                <w:szCs w:val="21"/>
                <w:highlight w:val="none"/>
                <w:lang w:eastAsia="zh-CN"/>
              </w:rPr>
              <w:t>）</w:t>
            </w:r>
            <w:r>
              <w:rPr>
                <w:rFonts w:hint="eastAsia" w:ascii="宋体" w:hAnsi="宋体" w:cs="宋体"/>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color w:val="auto"/>
                <w:kern w:val="2"/>
                <w:sz w:val="21"/>
                <w:szCs w:val="21"/>
                <w:highlight w:val="none"/>
                <w:lang w:val="en-US" w:eastAsia="zh-CN"/>
              </w:rPr>
              <w:t>主要风险及</w:t>
            </w:r>
            <w:r>
              <w:rPr>
                <w:rFonts w:hint="eastAsia" w:ascii="宋体" w:hAnsi="宋体"/>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19"/>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9"/>
            <w:r>
              <w:rPr>
                <w:rStyle w:val="CommentReference"/>
              </w:rPr>
              <w:commentReference w:id="19"/>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20"/>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0"/>
            <w:r>
              <w:rPr>
                <w:rStyle w:val="CommentReference"/>
              </w:rPr>
              <w:commentReference w:id="20"/>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5T17:26:42Z" w:initials="Agent">
    <w:p>
      <w:r>
        <w:rPr>
          <w:rStyle w:val="CommentReference"/>
        </w:rPr>
        <w:annotationRef/>
      </w:r>
      <w:r>
        <w:t xml:space="preserve">该处“申报单位”仍为空白，请人工确认。</w:t>
      </w:r>
    </w:p>
  </w:comment>
  <w:comment w:id="1" w:author="信贷报告 Agent" w:date="2026-04-15T17:26:42Z" w:initials="Agent">
    <w:p>
      <w:r>
        <w:rPr>
          <w:rStyle w:val="CommentReference"/>
        </w:rPr>
        <w:annotationRef/>
      </w:r>
      <w:r>
        <w:t xml:space="preserve">该处“小类）”仍为空白，请人工确认。</w:t>
      </w:r>
    </w:p>
  </w:comment>
  <w:comment w:id="2" w:author="信贷报告 Agent" w:date="2026-04-15T17:26:42Z" w:initials="Agent">
    <w:p>
      <w:r>
        <w:rPr>
          <w:rStyle w:val="CommentReference"/>
        </w:rPr>
        <w:annotationRef/>
      </w:r>
      <w:r>
        <w:t xml:space="preserve">该处“绿通标识”仍为空白，请人工确认。</w:t>
      </w:r>
    </w:p>
  </w:comment>
  <w:comment w:id="3" w:author="信贷报告 Agent" w:date="2026-04-15T17:26:42Z" w:initials="Agent">
    <w:p>
      <w:r>
        <w:rPr>
          <w:rStyle w:val="CommentReference"/>
        </w:rPr>
        <w:annotationRef/>
      </w:r>
      <w:r>
        <w:t xml:space="preserve">该处“反馈中长期借款还款计划及还款资金安排情况”仍为空白，请人工确认。</w:t>
      </w:r>
    </w:p>
  </w:comment>
  <w:comment w:id="4" w:author="信贷报告 Agent" w:date="2026-04-15T17:26:42Z" w:initials="Agent">
    <w:p>
      <w:r>
        <w:rPr>
          <w:rStyle w:val="CommentReference"/>
        </w:rPr>
        <w:annotationRef/>
      </w:r>
      <w:r>
        <w:t xml:space="preserve">该处“（若有）对外担保情况”仍为空白，请人工确认。</w:t>
      </w:r>
    </w:p>
  </w:comment>
  <w:comment w:id="5" w:author="信贷报告 Agent" w:date="2026-04-15T17:26:42Z" w:initials="Agent">
    <w:p>
      <w:r>
        <w:rPr>
          <w:rStyle w:val="CommentReference"/>
        </w:rPr>
        <w:annotationRef/>
      </w:r>
      <w:r>
        <w:t xml:space="preserve">该处“（若有）不良记录情况”仍为空白，请人工确认。</w:t>
      </w:r>
    </w:p>
  </w:comment>
  <w:comment w:id="6" w:author="信贷报告 Agent" w:date="2026-04-15T17:26:42Z" w:initials="Agent">
    <w:p>
      <w:r>
        <w:rPr>
          <w:rStyle w:val="CommentReference"/>
        </w:rPr>
        <w:annotationRef/>
      </w:r>
      <w:r>
        <w:t xml:space="preserve">该处“为中行个人经营贷款，经营主体为”仍为模板占位符，请人工核实。</w:t>
      </w:r>
    </w:p>
  </w:comment>
  <w:comment w:id="7" w:author="信贷报告 Agent" w:date="2026-04-15T17:26:42Z" w:initials="Agent">
    <w:p>
      <w:r>
        <w:rPr>
          <w:rStyle w:val="CommentReference"/>
        </w:rPr>
        <w:annotationRef/>
      </w:r>
      <w:r>
        <w:t xml:space="preserve">该处“科技型企业评分”仍为空白，请人工确认。</w:t>
      </w:r>
    </w:p>
  </w:comment>
  <w:comment w:id="8" w:author="信贷报告 Agent" w:date="2026-04-15T17:26:42Z" w:initials="Agent">
    <w:p>
      <w:r>
        <w:rPr>
          <w:rStyle w:val="CommentReference"/>
        </w:rPr>
        <w:annotationRef/>
      </w:r>
      <w:r>
        <w:t xml:space="preserve">该处“请补充分析原因”仍为空白，请人工确认。</w:t>
      </w:r>
    </w:p>
  </w:comment>
  <w:comment w:id="9" w:author="信贷报告 Agent" w:date="2026-04-15T17:26:42Z" w:initials="Agent">
    <w:p>
      <w:r>
        <w:rPr>
          <w:rStyle w:val="CommentReference"/>
        </w:rPr>
        <w:annotationRef/>
      </w:r>
      <w:r>
        <w:t xml:space="preserve">该处“万元（请附”仍为空白，请人工确认。；该处“企业营运资金需求”仍为空白，请人工确认。</w:t>
      </w:r>
    </w:p>
  </w:comment>
  <w:comment w:id="10" w:author="信贷报告 Agent" w:date="2026-04-15T17:26:42Z" w:initials="Agent">
    <w:p>
      <w:r>
        <w:rPr>
          <w:rStyle w:val="CommentReference"/>
        </w:rPr>
        <w:annotationRef/>
      </w:r>
      <w:r>
        <w:t xml:space="preserve">该处“请补充说明”仍为空白，请人工确认。</w:t>
      </w:r>
    </w:p>
  </w:comment>
  <w:comment w:id="11" w:author="信贷报告 Agent" w:date="2026-04-15T17:26:42Z" w:initials="Agent">
    <w:p>
      <w:r>
        <w:rPr>
          <w:rStyle w:val="CommentReference"/>
        </w:rPr>
        <w:annotationRef/>
      </w:r>
      <w:r>
        <w:t xml:space="preserve">该处“变动原因”仍为空白，请人工确认。</w:t>
      </w:r>
    </w:p>
  </w:comment>
  <w:comment w:id="12" w:author="信贷报告 Agent" w:date="2026-04-15T17:26:42Z" w:initials="Agent">
    <w:p>
      <w:r>
        <w:rPr>
          <w:rStyle w:val="CommentReference"/>
        </w:rPr>
        <w:annotationRef/>
      </w:r>
      <w:r>
        <w:t xml:space="preserve">该处“杠杆率：借款人资产负债率(待补充 资产负债率 近三年较年初明”仍为待补充，请人工补充。</w:t>
      </w:r>
    </w:p>
  </w:comment>
  <w:comment w:id="13" w:author="信贷报告 Agent" w:date="2026-04-15T17:26:42Z" w:initials="Agent">
    <w:p>
      <w:r>
        <w:rPr>
          <w:rStyle w:val="CommentReference"/>
        </w:rPr>
        <w:annotationRef/>
      </w:r>
      <w:r>
        <w:t xml:space="preserve">该处“予借款人授信敞口1000万元，”仍为模板占位符，请人工核实。</w:t>
      </w:r>
    </w:p>
  </w:comment>
  <w:comment w:id="14" w:author="信贷报告 Agent" w:date="2026-04-15T17:26:42Z" w:initials="Agent">
    <w:p>
      <w:r>
        <w:rPr>
          <w:rStyle w:val="CommentReference"/>
        </w:rPr>
        <w:annotationRef/>
      </w:r>
      <w:r>
        <w:t xml:space="preserve">该处“客户经理”仍为空白，请人工确认。</w:t>
      </w:r>
    </w:p>
  </w:comment>
  <w:comment w:id="15" w:author="信贷报告 Agent" w:date="2026-04-15T17:26:42Z" w:initials="Agent">
    <w:p>
      <w:r>
        <w:rPr>
          <w:rStyle w:val="CommentReference"/>
        </w:rPr>
        <w:annotationRef/>
      </w:r>
      <w:r>
        <w:t xml:space="preserve">该处“共同调查人”仍为空白，请人工确认。</w:t>
      </w:r>
    </w:p>
  </w:comment>
  <w:comment w:id="16" w:author="信贷报告 Agent" w:date="2026-04-15T17:26:42Z" w:initials="Agent">
    <w:p>
      <w:r>
        <w:rPr>
          <w:rStyle w:val="CommentReference"/>
        </w:rPr>
        <w:annotationRef/>
      </w:r>
      <w:r>
        <w:t xml:space="preserve">该处“二级支行行长”仍为空白，请人工确认。</w:t>
      </w:r>
    </w:p>
  </w:comment>
  <w:comment w:id="17" w:author="信贷报告 Agent" w:date="2026-04-15T17:26:42Z" w:initials="Agent">
    <w:p>
      <w:r>
        <w:rPr>
          <w:rStyle w:val="CommentReference"/>
        </w:rPr>
        <w:annotationRef/>
      </w:r>
      <w:r>
        <w:t xml:space="preserve">该处“分管行长”仍为空白，请人工确认。</w:t>
      </w:r>
    </w:p>
  </w:comment>
  <w:comment w:id="18" w:author="信贷报告 Agent" w:date="2026-04-15T17:26:42Z" w:initials="Agent">
    <w:p>
      <w:r>
        <w:rPr>
          <w:rStyle w:val="CommentReference"/>
        </w:rPr>
        <w:annotationRef/>
      </w:r>
      <w:r>
        <w:t xml:space="preserve">该处“行长”仍为空白，请人工确认。</w:t>
      </w:r>
    </w:p>
  </w:comment>
  <w:comment w:id="19" w:author="信贷报告 Agent" w:date="2026-04-15T17:26:42Z" w:initials="Agent">
    <w:p>
      <w:r>
        <w:rPr>
          <w:rStyle w:val="CommentReference"/>
        </w:rPr>
        <w:annotationRef/>
      </w:r>
      <w:r>
        <w:t xml:space="preserve">该处“审查员”仍为空白，请人工确认。</w:t>
      </w:r>
    </w:p>
  </w:comment>
  <w:comment w:id="20" w:author="信贷报告 Agent" w:date="2026-04-15T17:26:42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