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snapToGrid w:val="0"/>
                <w:color w:val="000000"/>
                <w:kern w:val="0"/>
                <w:sz w:val="32"/>
                <w:szCs w:val="32"/>
                <w:lang w:eastAsia="zh-CN"/>
              </w:rPr>
              <w:t>福建省分行普惠法人授信申报及审查审批意见表（2025新版）</w:t>
            </w:r>
            <w:r>
              <w:rPr>
                <w:rFonts w:hint="eastAsia" w:ascii="宋体" w:hAnsi="宋体" w:cs="宋体"/>
                <w:snapToGrid w:val="0"/>
                <w:color w:val="000000"/>
                <w:kern w:val="0"/>
                <w:sz w:val="32"/>
                <w:szCs w:val="32"/>
              </w:rPr>
            </w:r>
            <w:r>
              <w:rPr>
                <w:rFonts w:hint="eastAsia" w:ascii="宋体" w:hAnsi="宋体" w:cs="宋体"/>
                <w:snapToGrid w:val="0"/>
                <w:color w:val="000000"/>
                <w:kern w:val="0"/>
                <w:sz w:val="32"/>
                <w:szCs w:val="32"/>
                <w:lang w:val="en-US" w:eastAsia="zh-CN"/>
              </w:rPr>
            </w:r>
            <w:r>
              <w:rPr>
                <w:rFonts w:hint="eastAsia" w:ascii="宋体" w:hAnsi="宋体" w:cs="宋体"/>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sz w:val="21"/>
                <w:szCs w:val="21"/>
                <w:highlight w:val="none"/>
                <w:lang w:val="en-US" w:eastAsia="zh-CN"/>
              </w:rPr>
              <w:t>申报单位：客户经理：联系电话：</w:t>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lang w:val="en-US" w:eastAsia="zh-CN"/>
              </w:rPr>
            </w:r>
            <w:r>
              <w:rPr>
                <w:rFonts w:hint="eastAsia" w:ascii="宋体" w:hAnsi="宋体" w:eastAsia="宋体" w:cs="宋体"/>
                <w:sz w:val="21"/>
                <w:szCs w:val="21"/>
                <w:highlight w:val="none"/>
              </w:rPr>
            </w:r>
            <w:r>
              <w:rPr>
                <w:rFonts w:hint="eastAsia" w:ascii="宋体" w:hAnsi="宋体" w:eastAsia="宋体" w:cs="宋体"/>
                <w:i w:val="0"/>
                <w:iCs w:val="0"/>
                <w:sz w:val="21"/>
                <w:szCs w:val="21"/>
                <w:highlight w:val="none"/>
              </w:rPr>
            </w:r>
            <w:r>
              <w:rPr>
                <w:rFonts w:hint="eastAsia" w:ascii="宋体" w:hAnsi="宋体" w:eastAsia="宋体" w:cs="宋体"/>
                <w:i w:val="0"/>
                <w:iCs w:val="0"/>
                <w:sz w:val="21"/>
                <w:szCs w:val="21"/>
                <w:highlight w:val="none"/>
                <w:lang w:eastAsia="zh-CN"/>
              </w:rPr>
            </w:r>
            <w:r>
              <w:rPr>
                <w:rFonts w:hint="eastAsia" w:ascii="宋体" w:hAnsi="宋体" w:eastAsia="宋体" w:cs="宋体"/>
                <w:i w:val="0"/>
                <w:iCs w:val="0"/>
                <w:sz w:val="21"/>
                <w:szCs w:val="21"/>
                <w:highlight w:val="none"/>
                <w:lang w:val="en-US" w:eastAsia="zh-CN"/>
              </w:rPr>
            </w:r>
            <w:r>
              <w:rPr>
                <w:rFonts w:hint="eastAsia" w:ascii="宋体" w:hAnsi="宋体" w:eastAsia="宋体" w:cs="宋体"/>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Cs/>
                <w:snapToGrid w:val="0"/>
                <w:kern w:val="0"/>
                <w:szCs w:val="21"/>
              </w:rPr>
              <w:t>授信</w:t>
            </w:r>
            <w:r>
              <w:rPr>
                <w:rFonts w:hint="eastAsia" w:ascii="宋体" w:hAnsi="宋体" w:cs="宋体"/>
                <w:bCs/>
                <w:snapToGrid w:val="0"/>
                <w:kern w:val="0"/>
                <w:szCs w:val="21"/>
                <w:lang w:eastAsia="zh-CN"/>
              </w:rPr>
              <w:t>方案</w:t>
            </w:r>
            <w:r>
              <w:rPr>
                <w:rFonts w:hint="eastAsia" w:ascii="宋体" w:hAnsi="宋体" w:cs="宋体"/>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Cs/>
                <w:snapToGrid w:val="0"/>
                <w:kern w:val="0"/>
                <w:szCs w:val="21"/>
              </w:rPr>
              <w:t>☑</w:t>
            </w:r>
            <w:r>
              <w:rPr>
                <w:rFonts w:hint="eastAsia" w:ascii="宋体" w:hAnsi="宋体" w:cs="宋体"/>
                <w:bCs/>
                <w:snapToGrid w:val="0"/>
                <w:kern w:val="0"/>
                <w:szCs w:val="21"/>
                <w:lang w:eastAsia="zh-CN"/>
              </w:rPr>
              <w:t>存量</w:t>
            </w:r>
            <w:r>
              <w:rPr>
                <w:rFonts w:hint="eastAsia" w:ascii="宋体" w:hAnsi="宋体" w:cs="宋体"/>
                <w:bCs/>
                <w:snapToGrid w:val="0"/>
                <w:kern w:val="0"/>
                <w:szCs w:val="21"/>
              </w:rPr>
              <w:t>客户</w:t>
            </w:r>
            <w:r>
              <w:rPr>
                <w:rFonts w:hint="eastAsia" w:ascii="宋体" w:hAnsi="宋体" w:cs="宋体"/>
                <w:bCs/>
                <w:snapToGrid w:val="0"/>
                <w:kern w:val="0"/>
                <w:szCs w:val="21"/>
                <w:lang w:eastAsia="zh-CN"/>
              </w:rPr>
              <w:t>（</w:t>
            </w:r>
            <w:r>
              <w:rPr>
                <w:rFonts w:hint="eastAsia" w:ascii="宋体" w:hAnsi="宋体" w:cs="宋体"/>
                <w:bCs/>
                <w:szCs w:val="21"/>
              </w:rPr>
              <w:t>原有额度批复日期</w:t>
            </w:r>
            <w:r>
              <w:rPr>
                <w:rFonts w:hint="eastAsia" w:ascii="宋体" w:hAnsi="宋体" w:cs="宋体"/>
                <w:bCs/>
                <w:snapToGrid w:val="0"/>
                <w:kern w:val="0"/>
                <w:szCs w:val="21"/>
                <w:lang w:val="en-US" w:eastAsia="zh-CN"/>
              </w:rPr>
              <w:t>:</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年</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月</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日</w:t>
            </w:r>
            <w:r>
              <w:rPr>
                <w:rFonts w:hint="eastAsia" w:ascii="宋体" w:hAnsi="宋体" w:cs="宋体"/>
                <w:bCs/>
                <w:snapToGrid w:val="0"/>
                <w:kern w:val="0"/>
                <w:szCs w:val="21"/>
                <w:lang w:eastAsia="zh-CN"/>
              </w:rPr>
              <w:t>）</w:t>
            </w:r>
            <w:r>
              <w:rPr>
                <w:rFonts w:hint="eastAsia" w:ascii="宋体" w:hAnsi="宋体" w:cs="宋体"/>
                <w:bCs/>
                <w:snapToGrid w:val="0"/>
                <w:kern w:val="0"/>
                <w:szCs w:val="21"/>
              </w:rPr>
              <w:t xml:space="preserve">☑维持 </w:t>
            </w:r>
            <w:r>
              <w:rPr>
                <w:rFonts w:hint="eastAsia" w:ascii="宋体" w:hAnsi="宋体" w:cs="宋体"/>
                <w:bCs/>
                <w:snapToGrid w:val="0"/>
                <w:kern w:val="0"/>
                <w:szCs w:val="21"/>
              </w:rPr>
              <w:sym w:font="Wingdings 2" w:char="00A3"/>
            </w:r>
            <w:r>
              <w:rPr>
                <w:rFonts w:hint="eastAsia" w:ascii="宋体" w:hAnsi="宋体" w:cs="宋体"/>
                <w:bCs/>
                <w:snapToGrid w:val="0"/>
                <w:kern w:val="0"/>
                <w:szCs w:val="21"/>
              </w:rPr>
              <w:t>增加</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□减少</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w:t>
            </w:r>
            <w:r>
              <w:rPr>
                <w:rFonts w:hint="eastAsia" w:ascii="宋体" w:hAnsi="宋体" w:cs="宋体"/>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Cs/>
                <w:snapToGrid w:val="0"/>
                <w:color w:val="000000"/>
                <w:kern w:val="0"/>
                <w:szCs w:val="21"/>
                <w:lang w:eastAsia="zh-CN"/>
              </w:rPr>
              <w:t>国标</w:t>
            </w:r>
            <w:r>
              <w:rPr>
                <w:rFonts w:hint="eastAsia" w:ascii="宋体" w:hAnsi="宋体" w:cs="宋体"/>
                <w:bCs/>
                <w:snapToGrid w:val="0"/>
                <w:color w:val="000000"/>
                <w:kern w:val="0"/>
                <w:szCs w:val="21"/>
              </w:rPr>
              <w:t>行业</w:t>
            </w:r>
            <w:r>
              <w:rPr>
                <w:rFonts w:hint="eastAsia" w:ascii="宋体" w:hAnsi="宋体" w:eastAsia="宋体" w:cs="宋体"/>
                <w:bCs/>
                <w:snapToGrid w:val="0"/>
                <w:kern w:val="0"/>
                <w:szCs w:val="21"/>
                <w:lang w:eastAsia="zh-CN"/>
              </w:rPr>
              <w:t>（</w:t>
            </w:r>
            <w:r>
              <w:rPr>
                <w:rFonts w:hint="eastAsia" w:ascii="宋体" w:hAnsi="宋体" w:eastAsia="宋体" w:cs="宋体"/>
                <w:bCs/>
                <w:snapToGrid w:val="0"/>
                <w:kern w:val="0"/>
                <w:szCs w:val="21"/>
                <w:lang w:val="en-US" w:eastAsia="zh-CN"/>
              </w:rPr>
              <w:t>门类-大类-中类-小类</w:t>
            </w:r>
            <w:r>
              <w:rPr>
                <w:rFonts w:hint="eastAsia" w:ascii="宋体" w:hAnsi="宋体" w:eastAsia="宋体" w:cs="宋体"/>
                <w:bCs/>
                <w:snapToGrid w:val="0"/>
                <w:kern w:val="0"/>
                <w:szCs w:val="21"/>
                <w:lang w:eastAsia="zh-CN"/>
              </w:rPr>
              <w:t>）</w:t>
            </w:r>
            <w:r>
              <w:rPr>
                <w:rFonts w:hint="eastAsia" w:ascii="宋体" w:hAnsi="宋体" w:cs="宋体"/>
                <w:bCs/>
                <w:snapToGrid w:val="0"/>
                <w:color w:val="000000"/>
                <w:kern w:val="0"/>
                <w:szCs w:val="21"/>
              </w:rPr>
              <w:t>：</w:t>
            </w:r>
            <w:r>
              <w:rPr>
                <w:rFonts w:hint="eastAsia" w:ascii="宋体" w:hAnsi="宋体" w:cs="宋体"/>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Cs/>
                <w:snapToGrid w:val="0"/>
                <w:kern w:val="0"/>
                <w:szCs w:val="21"/>
                <w:lang w:eastAsia="zh-CN"/>
              </w:rPr>
              <w:t>规模</w:t>
            </w:r>
            <w:r>
              <w:rPr>
                <w:rFonts w:hint="eastAsia" w:ascii="宋体" w:hAnsi="宋体" w:cs="宋体"/>
                <w:bCs/>
                <w:snapToGrid w:val="0"/>
                <w:kern w:val="0"/>
                <w:szCs w:val="21"/>
              </w:rPr>
              <w:t>划型：□微型 ☑小型 □中型</w:t>
            </w:r>
            <w:r>
              <w:rPr>
                <w:rFonts w:hint="eastAsia" w:ascii="宋体" w:hAnsi="宋体" w:cs="宋体"/>
                <w:bCs/>
                <w:snapToGrid w:val="0"/>
                <w:kern w:val="0"/>
                <w:szCs w:val="21"/>
                <w:lang w:eastAsia="zh-CN"/>
              </w:rPr>
              <w:t>，</w:t>
            </w:r>
            <w:r>
              <w:rPr>
                <w:rFonts w:hint="eastAsia" w:ascii="宋体" w:hAnsi="宋体" w:eastAsia="宋体" w:cs="宋体"/>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Cs/>
                <w:snapToGrid w:val="0"/>
                <w:kern w:val="0"/>
                <w:szCs w:val="21"/>
                <w:lang w:val="en-US" w:eastAsia="zh-CN"/>
              </w:rPr>
              <w:t>划型要素：上年度资产总额 16956万元；上年度销售额 10010万元；上年度末员工人数 73 人</w:t>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Cs/>
                <w:snapToGrid w:val="0"/>
                <w:kern w:val="0"/>
                <w:szCs w:val="21"/>
                <w:lang w:val="en-US" w:eastAsia="zh-CN"/>
              </w:rPr>
              <w:t>环境、社会和治理风险分类</w:t>
            </w:r>
            <w:r>
              <w:rPr>
                <w:rFonts w:hint="eastAsia" w:ascii="宋体" w:hAnsi="宋体" w:eastAsia="宋体" w:cs="宋体"/>
                <w:bCs/>
                <w:strike w:val="0"/>
                <w:dstrike w:val="0"/>
                <w:sz w:val="21"/>
                <w:szCs w:val="21"/>
                <w:highlight w:val="none"/>
                <w:lang w:val="en-US" w:eastAsia="zh-CN"/>
              </w:rPr>
              <w:t>（ESG评价）</w:t>
            </w:r>
            <w:r>
              <w:rPr>
                <w:rFonts w:hint="eastAsia" w:ascii="宋体" w:hAnsi="宋体" w:eastAsia="宋体" w:cs="宋体"/>
                <w:bCs/>
                <w:snapToGrid w:val="0"/>
                <w:kern w:val="0"/>
                <w:szCs w:val="21"/>
                <w:lang w:val="en-US" w:eastAsia="zh-CN"/>
              </w:rPr>
              <w:t>：</w:t>
            </w:r>
            <w:r>
              <w:rPr>
                <w:rFonts w:hint="eastAsia" w:ascii="宋体" w:hAnsi="宋体" w:cs="宋体"/>
                <w:bCs/>
                <w:snapToGrid w:val="0"/>
                <w:kern w:val="0"/>
                <w:szCs w:val="21"/>
              </w:rPr>
              <w:t>□</w:t>
            </w:r>
            <w:r>
              <w:rPr>
                <w:rFonts w:hint="eastAsia" w:ascii="宋体" w:hAnsi="宋体" w:cs="宋体"/>
                <w:bCs/>
                <w:snapToGrid w:val="0"/>
                <w:kern w:val="0"/>
                <w:szCs w:val="21"/>
                <w:lang w:val="en-US" w:eastAsia="zh-CN"/>
              </w:rPr>
              <w:t>A</w:t>
            </w:r>
            <w:r>
              <w:rPr>
                <w:rFonts w:hint="eastAsia" w:ascii="宋体" w:hAnsi="宋体" w:cs="宋体"/>
                <w:bCs/>
                <w:snapToGrid w:val="0"/>
                <w:kern w:val="0"/>
                <w:szCs w:val="21"/>
              </w:rPr>
              <w:t xml:space="preserve"> </w:t>
            </w:r>
            <w:r>
              <w:rPr>
                <w:rFonts w:hint="eastAsia" w:ascii="宋体" w:hAnsi="宋体" w:cs="宋体"/>
                <w:bCs/>
                <w:snapToGrid w:val="0"/>
                <w:kern w:val="0"/>
                <w:szCs w:val="21"/>
              </w:rPr>
              <w:sym w:font="Wingdings 2" w:char="00A3"/>
            </w:r>
            <w:r>
              <w:rPr>
                <w:rFonts w:hint="eastAsia" w:ascii="宋体" w:hAnsi="宋体" w:cs="宋体"/>
                <w:bCs/>
                <w:snapToGrid w:val="0"/>
                <w:kern w:val="0"/>
                <w:szCs w:val="21"/>
                <w:lang w:val="en-US" w:eastAsia="zh-CN"/>
              </w:rPr>
              <w:t xml:space="preserve">B </w:t>
            </w:r>
            <w:r>
              <w:rPr>
                <w:rFonts w:hint="eastAsia" w:ascii="宋体" w:hAnsi="宋体" w:cs="宋体"/>
                <w:bCs/>
                <w:snapToGrid w:val="0"/>
                <w:kern w:val="0"/>
                <w:szCs w:val="21"/>
              </w:rPr>
              <w:t>☑</w:t>
            </w:r>
            <w:r>
              <w:rPr>
                <w:rFonts w:hint="eastAsia" w:ascii="宋体" w:hAnsi="宋体" w:cs="宋体"/>
                <w:bCs/>
                <w:snapToGrid w:val="0"/>
                <w:kern w:val="0"/>
                <w:szCs w:val="21"/>
                <w:lang w:val="en-US" w:eastAsia="zh-CN"/>
              </w:rPr>
              <w:t>C</w:t>
            </w:r>
            <w:r>
              <w:rPr>
                <w:rFonts w:hint="eastAsia" w:ascii="宋体" w:hAnsi="宋体" w:eastAsia="宋体" w:cs="宋体"/>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Cs/>
                <w:snapToGrid w:val="0"/>
                <w:kern w:val="0"/>
                <w:szCs w:val="21"/>
                <w:lang w:val="en-US" w:eastAsia="zh-CN"/>
              </w:rPr>
              <w:t>反洗钱</w:t>
            </w:r>
            <w:r>
              <w:rPr>
                <w:rFonts w:hint="eastAsia" w:ascii="宋体" w:hAnsi="宋体" w:eastAsia="宋体" w:cs="宋体"/>
                <w:bCs/>
                <w:sz w:val="21"/>
                <w:szCs w:val="21"/>
                <w:highlight w:val="none"/>
                <w:lang w:val="en-US" w:eastAsia="zh-CN"/>
              </w:rPr>
              <w:t>风险等级：</w:t>
            </w:r>
            <w:r>
              <w:rPr>
                <w:rFonts w:hint="eastAsia" w:ascii="宋体" w:hAnsi="宋体" w:cs="宋体"/>
                <w:bCs/>
                <w:snapToGrid w:val="0"/>
                <w:kern w:val="0"/>
                <w:szCs w:val="21"/>
              </w:rPr>
              <w:t>☑</w:t>
            </w:r>
            <w:r>
              <w:rPr>
                <w:rFonts w:hint="eastAsia" w:ascii="宋体" w:hAnsi="宋体" w:cs="宋体"/>
                <w:bCs/>
                <w:snapToGrid w:val="0"/>
                <w:kern w:val="0"/>
                <w:szCs w:val="21"/>
                <w:lang w:eastAsia="zh-CN"/>
              </w:rPr>
              <w:t>低</w:t>
            </w:r>
            <w:r>
              <w:rPr>
                <w:rFonts w:hint="eastAsia" w:ascii="宋体" w:hAnsi="宋体" w:cs="宋体"/>
                <w:bCs/>
                <w:snapToGrid w:val="0"/>
                <w:kern w:val="0"/>
                <w:szCs w:val="21"/>
              </w:rPr>
              <w:t xml:space="preserve"> </w:t>
            </w:r>
            <w:r>
              <w:rPr>
                <w:rFonts w:hint="eastAsia" w:ascii="宋体" w:hAnsi="宋体" w:cs="宋体"/>
                <w:bCs/>
                <w:snapToGrid w:val="0"/>
                <w:kern w:val="0"/>
                <w:szCs w:val="21"/>
              </w:rPr>
              <w:sym w:font="Wingdings 2" w:char="00A3"/>
            </w:r>
            <w:r>
              <w:rPr>
                <w:rFonts w:hint="eastAsia" w:ascii="宋体" w:hAnsi="宋体" w:cs="宋体"/>
                <w:bCs/>
                <w:snapToGrid w:val="0"/>
                <w:kern w:val="0"/>
                <w:szCs w:val="21"/>
                <w:lang w:eastAsia="zh-CN"/>
              </w:rPr>
              <w:t>一般</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w:t>
            </w:r>
            <w:r>
              <w:rPr>
                <w:rFonts w:hint="eastAsia" w:ascii="宋体" w:hAnsi="宋体" w:eastAsia="宋体" w:cs="宋体"/>
                <w:bCs/>
                <w:sz w:val="21"/>
                <w:szCs w:val="21"/>
                <w:highlight w:val="none"/>
                <w:lang w:eastAsia="zh-CN"/>
              </w:rPr>
              <w:t>较高（</w:t>
            </w:r>
            <w:r>
              <w:rPr>
                <w:rFonts w:hint="eastAsia" w:ascii="宋体" w:hAnsi="宋体" w:eastAsia="宋体" w:cs="宋体"/>
                <w:bCs/>
                <w:strike w:val="0"/>
                <w:dstrike w:val="0"/>
                <w:sz w:val="21"/>
                <w:szCs w:val="21"/>
                <w:highlight w:val="none"/>
                <w:lang w:val="en-US" w:eastAsia="zh-CN"/>
              </w:rPr>
              <w:t>须在其他负面信息栏说明</w:t>
            </w:r>
            <w:r>
              <w:rPr>
                <w:rFonts w:hint="eastAsia" w:ascii="宋体" w:hAnsi="宋体" w:eastAsia="宋体" w:cs="宋体"/>
                <w:bCs/>
                <w:sz w:val="21"/>
                <w:szCs w:val="21"/>
                <w:highlight w:val="none"/>
                <w:lang w:eastAsia="zh-CN"/>
              </w:rPr>
              <w:t>）；</w:t>
            </w:r>
            <w:r>
              <w:rPr>
                <w:rFonts w:hint="eastAsia" w:ascii="宋体" w:hAnsi="宋体" w:cs="宋体"/>
                <w:bCs/>
                <w:snapToGrid w:val="0"/>
                <w:kern w:val="0"/>
                <w:szCs w:val="21"/>
              </w:rPr>
              <w:t>□</w:t>
            </w:r>
            <w:r>
              <w:rPr>
                <w:rFonts w:hint="eastAsia" w:ascii="宋体" w:hAnsi="宋体" w:eastAsia="宋体" w:cs="宋体"/>
                <w:bCs/>
                <w:sz w:val="21"/>
                <w:szCs w:val="21"/>
                <w:highlight w:val="none"/>
                <w:lang w:eastAsia="zh-CN"/>
              </w:rPr>
              <w:t>高（</w:t>
            </w:r>
            <w:r>
              <w:rPr>
                <w:rFonts w:hint="eastAsia" w:ascii="宋体" w:hAnsi="宋体" w:eastAsia="宋体" w:cs="宋体"/>
                <w:bCs/>
                <w:sz w:val="21"/>
                <w:szCs w:val="21"/>
                <w:highlight w:val="none"/>
                <w:lang w:val="en-US" w:eastAsia="zh-CN"/>
              </w:rPr>
              <w:t>不得准入</w:t>
            </w:r>
            <w:r>
              <w:rPr>
                <w:rFonts w:hint="eastAsia" w:ascii="宋体" w:hAnsi="宋体" w:eastAsia="宋体" w:cs="宋体"/>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Cs/>
                <w:snapToGrid w:val="0"/>
                <w:kern w:val="0"/>
                <w:sz w:val="21"/>
                <w:szCs w:val="21"/>
                <w:lang w:val="en-US" w:eastAsia="zh-CN" w:bidi="ar-SA"/>
              </w:rPr>
              <w:t>绿通标识：</w:t>
            </w:r>
            <w:r>
              <w:rPr>
                <w:rFonts w:hint="eastAsia" w:ascii="宋体" w:hAnsi="宋体" w:cs="宋体"/>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申报额度：1000万元；申报敞口：1000万元；上一期授信敞口：500万元。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业务品种：一般短期流动资金贷款；业务期限：12个月；授信期限：1年</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抵押+</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信用</w:t>
            </w:r>
            <w:r>
              <w:rPr>
                <w:rFonts w:hint="eastAsia" w:ascii="宋体" w:hAnsi="宋体" w:cs="宋体"/>
                <w:snapToGrid w:val="0"/>
                <w:color w:val="000000"/>
                <w:kern w:val="0"/>
                <w:szCs w:val="21"/>
                <w:highlight w:val="none"/>
                <w:u w:val="none"/>
                <w:lang w:val="en-US"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授信担保方式：</w:t>
            </w:r>
            <w:r>
              <w:rPr>
                <w:rFonts w:hint="eastAsia" w:ascii="宋体" w:hAnsi="宋体" w:cs="宋体"/>
                <w:snapToGrid w:val="0"/>
                <w:color w:val="000000"/>
                <w:kern w:val="0"/>
                <w:szCs w:val="21"/>
                <w:highlight w:val="none"/>
                <w:u w:val="single"/>
                <w:lang w:val="en-US" w:eastAsia="zh-CN"/>
              </w:rPr>
              <w:t xml:space="preserve">  500万抵押  </w:t>
            </w:r>
            <w:r>
              <w:rPr>
                <w:rFonts w:hint="eastAsia" w:ascii="宋体" w:hAnsi="宋体" w:cs="宋体"/>
                <w:snapToGrid w:val="0"/>
                <w:color w:val="000000"/>
                <w:kern w:val="0"/>
                <w:szCs w:val="21"/>
                <w:highlight w:val="none"/>
                <w:u w:val="none"/>
                <w:lang w:val="en-US" w:eastAsia="zh-CN"/>
              </w:rPr>
              <w:t>】</w:t>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Cs/>
                <w:snapToGrid w:val="0"/>
                <w:color w:val="000000"/>
                <w:kern w:val="0"/>
                <w:szCs w:val="21"/>
                <w:highlight w:val="none"/>
                <w:lang w:eastAsia="zh-CN"/>
              </w:rPr>
              <w:t>一、</w:t>
            </w:r>
            <w:r>
              <w:rPr>
                <w:rFonts w:hint="eastAsia" w:ascii="宋体" w:hAnsi="宋体" w:eastAsia="宋体" w:cs="宋体"/>
                <w:bCs/>
                <w:snapToGrid w:val="0"/>
                <w:color w:val="000000"/>
                <w:kern w:val="0"/>
                <w:szCs w:val="21"/>
                <w:highlight w:val="none"/>
              </w:rPr>
              <w:t>经营单位</w:t>
            </w:r>
            <w:r>
              <w:rPr>
                <w:rFonts w:hint="eastAsia" w:ascii="宋体" w:hAnsi="宋体" w:eastAsia="宋体" w:cs="宋体"/>
                <w:bCs/>
                <w:snapToGrid w:val="0"/>
                <w:color w:val="000000"/>
                <w:kern w:val="0"/>
                <w:szCs w:val="21"/>
                <w:highlight w:val="none"/>
                <w:lang w:eastAsia="zh-CN"/>
              </w:rPr>
              <w:t>尽调</w:t>
            </w:r>
            <w:r>
              <w:rPr>
                <w:rFonts w:hint="eastAsia" w:ascii="宋体" w:hAnsi="宋体" w:eastAsia="宋体" w:cs="宋体"/>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（一）</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市马尾区罗星东路2号海峡经贸广场1#楼A615室（自贸试验区内）。实际主营业务为智慧水利与智慧教育解决方案的研发与销售，其中智慧水利业务收入占比46%，智慧教育业务占比54%。注册资本：4100万元、实收资本：4100万元；法定代表人：黄祖海，为实际控制人。所属行业为其他未列明信息技术服务业。</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Cs/>
                <w:sz w:val="21"/>
                <w:szCs w:val="21"/>
                <w:highlight w:val="none"/>
                <w:lang w:val="en-US" w:eastAsia="zh-CN"/>
              </w:rPr>
              <w:t>）；</w:t>
            </w:r>
            <w:r>
              <w:rPr>
                <w:rFonts w:hint="eastAsia" w:ascii="宋体" w:hAnsi="宋体" w:cs="宋体"/>
                <w:bCs/>
                <w:snapToGrid w:val="0"/>
                <w:kern w:val="0"/>
                <w:szCs w:val="21"/>
              </w:rPr>
              <w:t>□</w:t>
            </w:r>
            <w:r>
              <w:rPr>
                <w:rFonts w:hint="eastAsia" w:ascii="宋体" w:hAnsi="宋体" w:cs="宋体"/>
                <w:bCs/>
                <w:snapToGrid w:val="0"/>
                <w:kern w:val="0"/>
                <w:szCs w:val="21"/>
                <w:lang w:eastAsia="zh-CN"/>
              </w:rPr>
              <w:t>排污</w:t>
            </w:r>
            <w:r>
              <w:rPr>
                <w:rFonts w:hint="eastAsia" w:ascii="宋体" w:hAnsi="宋体" w:eastAsia="宋体" w:cs="宋体"/>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其他</w:t>
            </w:r>
            <w:r>
              <w:rPr>
                <w:rFonts w:hint="eastAsia" w:ascii="宋体" w:hAnsi="宋体" w:eastAsia="宋体" w:cs="宋体"/>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Cs/>
                <w:sz w:val="21"/>
                <w:szCs w:val="21"/>
                <w:highlight w:val="none"/>
                <w:u w:val="single"/>
                <w:lang w:val="en-US" w:eastAsia="zh-CN"/>
              </w:rPr>
              <w:t xml:space="preserve">      </w:t>
            </w:r>
            <w:r>
              <w:rPr>
                <w:rFonts w:hint="eastAsia" w:ascii="宋体" w:hAnsi="宋体" w:eastAsia="宋体" w:cs="宋体"/>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rPr>
              <w:t>已取得资质情况：□不涉及；□排污许可证（编号：XXX，有效期至   年   月   日）；□排污登记回执；□其他 食品生产许可证/食品生产许可证/建筑工程施工总承包一级等（材料未提供）；股权结构详见下表。</w:t>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过往两年企业股权变动情况及变动原因：材料未提供过往两年企业股权变动情况及变动原因。</w:t>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t xml:space="preserve"> 73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黄祖海 </w:t>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t>财务表现方面，公司2024-2025年主要财务指标分别为：营业收入10010万元、10010万元，同比增长14.9%；净利润494万元、494万元，同比增长50.1%；毛利率38.02%、38.02%，同比下降0.8个百分点；净利率4.93%、4.93%，同比上升1.2个百分点；资产负债率42.50%、42.50%，较年初下降7.7个百分点；流动比率1.81倍、1.82倍，较年初提升0.24倍。整体看，公司盈利能力改善，主要得益于收入规模扩张及费用控制，使净利率提升；偿债能力增强，负债率下降且流动性改善。但需关注营运效率的分化：应收账款周转天数分别为270.92天、271天，同比缩短117天，回款管理有所改善；而存货周转天数分别为128.97天、129天，同比延长49天，且129天显著高于软件信息业30-90天的典型区间，主要因项目备货增加导致存货积压，期末存货较年初大幅增长88.0%至2192万元。从还款能力看，公司2025年经营活动净现金流为791万元，对净利润的覆盖倍数为1.60倍，现金流生成能力健康，为偿还债务提供了基础保障。然而，公司短期借款为4730万元，规模显著高于当期经营现金流，短期偿债对再融资存在一定依赖。</w:t>
            </w:r>
            <w:r>
              <w:rPr>
                <w:rFonts w:hint="eastAsia" w:ascii="宋体" w:hAnsi="宋体" w:cs="宋体"/>
                <w:snapToGrid w:val="0"/>
                <w:kern w:val="0"/>
                <w:szCs w:val="21"/>
                <w:highlight w:val="none"/>
                <w:u w:val="single"/>
                <w:lang w:val="en-US" w:eastAsia="zh-CN"/>
              </w:rPr>
            </w:r>
          </w:p>
          <w:p w14:paraId="360105F5">
            <w:commentRangeStart w:id="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w:t>
            </w:r>
            <w:commentRangeEnd w:id="3"/>
            <w:r>
              <w:rPr>
                <w:rStyle w:val="CommentReference"/>
              </w:rPr>
              <w:commentReference w:id="3"/>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snapToGrid w:val="0"/>
                <w:color w:val="000000"/>
                <w:kern w:val="0"/>
                <w:szCs w:val="21"/>
                <w:lang w:val="en-US" w:eastAsia="zh-CN"/>
              </w:rPr>
              <w:t>材料未提供面访时间、双方会面人员及实控人经营风格、行业人脉、专注业务发展等评价信息。</w:t>
            </w:r>
            <w:r>
              <w:rPr>
                <w:rFonts w:hint="eastAsia" w:ascii="宋体" w:hAnsi="宋体" w:cs="宋体"/>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snapToGrid w:val="0"/>
                <w:color w:val="000000"/>
                <w:kern w:val="0"/>
                <w:szCs w:val="21"/>
                <w:lang w:val="en-US" w:eastAsia="zh-CN"/>
              </w:rPr>
              <w:t>需补充实地走访记录或现场照片。</w:t>
            </w:r>
            <w:r>
              <w:rPr>
                <w:rFonts w:hint="eastAsia" w:ascii="宋体" w:hAnsi="宋体" w:cs="宋体"/>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Cs/>
                <w:kern w:val="2"/>
                <w:sz w:val="21"/>
                <w:szCs w:val="21"/>
                <w:highlight w:val="none"/>
                <w:lang w:val="en-US" w:eastAsia="zh-CN"/>
              </w:rPr>
              <w:t>※</w:t>
            </w:r>
            <w:r>
              <w:rPr>
                <w:rFonts w:hint="eastAsia" w:ascii="宋体" w:hAnsi="宋体" w:cs="宋体"/>
                <w:bCs/>
                <w:kern w:val="2"/>
                <w:sz w:val="21"/>
                <w:szCs w:val="21"/>
                <w:highlight w:val="none"/>
                <w:lang w:val="en-US" w:eastAsia="zh-CN"/>
              </w:rPr>
              <w:t>4.</w:t>
            </w:r>
            <w:r>
              <w:rPr>
                <w:rFonts w:hint="eastAsia" w:ascii="宋体" w:hAnsi="宋体" w:eastAsia="宋体" w:cs="宋体"/>
                <w:bCs/>
                <w:kern w:val="2"/>
                <w:sz w:val="21"/>
                <w:szCs w:val="21"/>
                <w:highlight w:val="none"/>
                <w:lang w:val="en-US" w:eastAsia="zh-CN"/>
              </w:rPr>
              <w:t>历年</w:t>
            </w:r>
            <w:r>
              <w:rPr>
                <w:rFonts w:hint="eastAsia" w:ascii="宋体" w:hAnsi="宋体" w:cs="宋体"/>
                <w:bCs/>
                <w:kern w:val="2"/>
                <w:sz w:val="21"/>
                <w:szCs w:val="21"/>
                <w:highlight w:val="none"/>
                <w:lang w:val="en-US" w:eastAsia="zh-CN"/>
              </w:rPr>
              <w:t>股权</w:t>
            </w:r>
            <w:r>
              <w:rPr>
                <w:rFonts w:hint="eastAsia" w:ascii="宋体" w:hAnsi="宋体" w:eastAsia="宋体" w:cs="宋体"/>
                <w:bCs/>
                <w:kern w:val="2"/>
                <w:sz w:val="21"/>
                <w:szCs w:val="21"/>
                <w:highlight w:val="none"/>
                <w:lang w:val="en-US" w:eastAsia="zh-CN"/>
              </w:rPr>
              <w:t>融资情况</w:t>
            </w: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如</w:t>
            </w:r>
            <w:r>
              <w:rPr>
                <w:rFonts w:hint="eastAsia" w:ascii="宋体" w:hAnsi="宋体" w:eastAsia="宋体" w:cs="宋体"/>
                <w:sz w:val="21"/>
                <w:szCs w:val="21"/>
                <w:highlight w:val="none"/>
                <w:lang w:val="en-US" w:eastAsia="zh-CN"/>
              </w:rPr>
              <w:t>为</w:t>
            </w:r>
            <w:r>
              <w:rPr>
                <w:rFonts w:hint="eastAsia" w:ascii="宋体" w:hAnsi="宋体" w:cs="宋体"/>
                <w:sz w:val="21"/>
                <w:szCs w:val="21"/>
                <w:highlight w:val="none"/>
                <w:lang w:val="en-US" w:eastAsia="zh-CN"/>
              </w:rPr>
              <w:t>科技型</w:t>
            </w:r>
            <w:r>
              <w:rPr>
                <w:rFonts w:hint="eastAsia" w:ascii="宋体" w:hAnsi="宋体" w:eastAsia="宋体" w:cs="宋体"/>
                <w:sz w:val="21"/>
                <w:szCs w:val="21"/>
                <w:highlight w:val="none"/>
                <w:lang w:val="en-US" w:eastAsia="zh-CN"/>
              </w:rPr>
              <w:t>企业，请填列下表</w:t>
            </w:r>
            <w:r>
              <w:rPr>
                <w:rFonts w:hint="eastAsia" w:ascii="宋体" w:hAnsi="宋体" w:eastAsia="宋体" w:cs="宋体"/>
                <w:sz w:val="21"/>
                <w:szCs w:val="21"/>
                <w:highlight w:val="none"/>
              </w:rPr>
              <w:t>）</w:t>
            </w:r>
            <w:r>
              <w:rPr>
                <w:rFonts w:hint="eastAsia" w:ascii="宋体" w:hAnsi="宋体" w:cs="宋体"/>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2020-9-23</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未提供</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未提供</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未提供</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Cs/>
                <w:snapToGrid w:val="0"/>
                <w:color w:val="000000"/>
                <w:kern w:val="0"/>
                <w:sz w:val="21"/>
                <w:szCs w:val="21"/>
                <w:highlight w:val="none"/>
                <w:lang w:val="en-US" w:eastAsia="zh-CN" w:bidi="ar-SA"/>
              </w:rPr>
              <w:t>自2017年以来，我行与借款人建立授信合作关系，近三年授信敞口需补充近三年我行授信批复文件。</w:t>
            </w:r>
            <w:r>
              <w:rPr>
                <w:rFonts w:hint="eastAsia" w:ascii="宋体" w:hAnsi="宋体" w:eastAsia="宋体" w:cs="宋体"/>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2025 年 10 月 2026年01月 日，经531系统查询，借款人 2025 年 12 月   日提贷 300万元，到期日 2026 年 12 月   日，贷款采取自主支付方式发放，通过调取借款人账户流水，1. 300万元向 兴业银行-环球支行 有限公司支付 300 货款（已提供发票）；2. 300万元转至工行同户名账户，穿透查看用于向 1 个人支付采购竹刨花原料款 300万元，其余用于支付税款；3.XX万元元转至农行同户名账户(基本户），用于向37个员工支付工资款。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Cs/>
                <w:snapToGrid w:val="0"/>
                <w:color w:val="auto"/>
                <w:kern w:val="0"/>
                <w:szCs w:val="21"/>
                <w:highlight w:val="none"/>
                <w:lang w:val="en-US" w:eastAsia="zh-CN"/>
              </w:rPr>
              <w:t>黄色预警提示法定代表人黄祖海目前信用卡存在逾期，经核实，该逾期金额较小且已结清。综合评判，未对借款人造成实质性风险。</w:t>
            </w:r>
            <w:r>
              <w:rPr>
                <w:rFonts w:hint="eastAsia" w:ascii="宋体" w:hAnsi="宋体" w:cs="宋体"/>
                <w:bCs/>
                <w:snapToGrid w:val="0"/>
                <w:color w:val="000000"/>
                <w:kern w:val="0"/>
                <w:szCs w:val="21"/>
                <w:highlight w:val="none"/>
              </w:rPr>
            </w:r>
            <w:r>
              <w:rPr>
                <w:rFonts w:hint="eastAsia" w:ascii="宋体" w:hAnsi="宋体" w:cs="宋体"/>
                <w:bCs/>
                <w:snapToGrid w:val="0"/>
                <w:color w:val="auto"/>
                <w:kern w:val="0"/>
                <w:szCs w:val="21"/>
                <w:highlight w:val="none"/>
                <w:lang w:eastAsia="zh-CN"/>
              </w:rPr>
            </w:r>
            <w:r>
              <w:rPr>
                <w:rFonts w:hint="eastAsia" w:ascii="宋体" w:hAnsi="宋体" w:cs="宋体"/>
                <w:bCs/>
                <w:snapToGrid w:val="0"/>
                <w:color w:val="auto"/>
                <w:kern w:val="0"/>
                <w:szCs w:val="21"/>
                <w:highlight w:val="none"/>
                <w:lang w:val="en-US" w:eastAsia="zh-CN"/>
              </w:rPr>
            </w:r>
            <w:r>
              <w:rPr>
                <w:rFonts w:hint="eastAsia" w:ascii="宋体" w:hAnsi="宋体" w:cs="宋体"/>
                <w:bCs/>
                <w:snapToGrid w:val="0"/>
                <w:color w:val="auto"/>
                <w:kern w:val="0"/>
                <w:szCs w:val="21"/>
                <w:highlight w:val="none"/>
                <w:lang w:eastAsia="zh-CN"/>
              </w:rPr>
            </w:r>
            <w:r>
              <w:rPr>
                <w:rFonts w:hint="eastAsia" w:ascii="宋体" w:hAnsi="宋体" w:cs="宋体"/>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en-US" w:eastAsia="zh-CN"/>
              </w:rPr>
              <w:t>8.</w:t>
            </w:r>
            <w:r>
              <w:rPr>
                <w:rFonts w:hint="eastAsia" w:ascii="宋体" w:hAnsi="宋体" w:cs="宋体"/>
                <w:bCs/>
                <w:snapToGrid w:val="0"/>
                <w:color w:val="000000"/>
                <w:kern w:val="0"/>
                <w:szCs w:val="21"/>
                <w:highlight w:val="none"/>
                <w:lang w:eastAsia="zh-CN"/>
              </w:rPr>
              <w:t>其他</w:t>
            </w:r>
            <w:r>
              <w:rPr>
                <w:rFonts w:hint="eastAsia" w:ascii="宋体" w:hAnsi="宋体" w:cs="宋体"/>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4"/>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Cs/>
                <w:snapToGrid w:val="0"/>
                <w:color w:val="000000"/>
                <w:kern w:val="0"/>
                <w:szCs w:val="21"/>
                <w:highlight w:val="none"/>
                <w:lang w:val="en-US" w:eastAsia="zh-CN"/>
              </w:rPr>
              <w:t>若有）PD评级较上期下滑，分析原因：</w:t>
            </w:r>
            <w:r>
              <w:rPr>
                <w:rFonts w:hint="eastAsia" w:ascii="宋体" w:hAnsi="宋体" w:cs="宋体"/>
                <w:snapToGrid w:val="0"/>
                <w:color w:val="000000"/>
                <w:kern w:val="0"/>
                <w:szCs w:val="21"/>
                <w:u w:val="single"/>
                <w:lang w:val="en-US" w:eastAsia="zh-CN"/>
              </w:rPr>
              <w:t xml:space="preserve">                                                                </w:t>
            </w:r>
            <w:commentRangeEnd w:id="4"/>
            <w:r>
              <w:rPr>
                <w:rStyle w:val="CommentReference"/>
              </w:rPr>
              <w:commentReference w:id="4"/>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snapToGrid w:val="0"/>
                <w:color w:val="000000"/>
                <w:kern w:val="0"/>
                <w:szCs w:val="21"/>
              </w:rPr>
              <w:t>（二）法定代表人/实控人简介</w:t>
            </w:r>
            <w:r>
              <w:rPr>
                <w:rFonts w:hint="eastAsia" w:ascii="宋体" w:hAnsi="宋体" w:cs="宋体"/>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及实际控制人：黄祖海，中国国籍，湖南大学电子商务专业本科学历。2000年5月至2001年12月任福建实达网络科技有限公司技术工程师；2002年1月至2003年1月任该公司技术经理；2003年1月至2011年12月任福建星网锐捷网络有限公司技术部总经理；2012年1月至2016年3月任福建中锐网络科技有限公司法定代表人、执行董事兼总经理；2016年3月至今任福建中锐网络股份有限公司董事长兼总裁。其配偶为康恩慧，家庭资产包括位于仓山区上渡街道通江路17号江南水都·杰座的私有房产，权属证号为榕房权证R字第0838000号，面积约143.45平方米。关联企业经营与财务分析：</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t xml:space="preserve">收入在经历连续下滑后于2025年恢复增长，同时毛利率在波动中显著提升并趋于稳定，整体盈利质量呈现改善趋势。收入、毛利与净利润需联动分析，重点关注利润兑现与毛利波动是否匹配。若收入扩张快于利润兑现，应审慎评估盈利质量的可持续性。</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t xml:space="preserve">企业短期偿债压力显著加剧，货币资金对短期债务的保障能力持续大幅削弱。尽管流动比率有所改善且资产负债率呈下降趋势，但核心流动性指标的急剧恶化表明企业面临严峻的即时支付风险。偿债能力由杠杆水平与流动性共同决定，需同步观察资产负债率和短债覆盖能力。</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t xml:space="preserve">应收账款周转效率持续恶化，回款能力显著下降。存货管理波动剧烈，存在库存积压风险。运营效率需重点跟踪应收账款周转与收入扩张的匹配程度。</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t xml:space="preserve">经营现金流波动剧烈且整体偏弱，呈现间歇性正负交替，表明主营业务造血能力不稳定。公司持续依赖外部融资支撑投资活动，但筹资活动净流入呈收缩趋势，2025年转为净流出反映融资环境可能趋紧。现金流结构显示企业尚未形成自我可持续的循环，经营活动的微弱正现金流难以覆盖投资需求。</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t xml:space="preserve">应收账款周转天数持续恶化，已显著超过风险阈值，表明客户回款能力严重不足，信用风险急剧升高。货币资金对短期借款的覆盖率已降至极低水平，远低于安全阈值，企业面临严峻的短期偿债压力，流动性风险极高。尽管资产负债率呈下降趋势且未触发阈值，但无法抵消其在营运效率和流动性方面存在的重大缺陷。</w:t>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黄祖海先生作为借款主体福建中锐网络股份有限公司的实控人，其经营能力直接关系到公司的还款能力。公司近两年财务表现如下：营业收入分别为10010万元、10010万元，同比增长14.9%；净利润分别为494万元、494万元，同比增长50.1%，显示规模与盈利同步增长。盈利能力方面，毛利率分别为38.02%、38.02%，同比略有下降；净利率分别为4.93%、4.93%，同比提升1.2个百分点；营业利润率为4.8%，同比微升0.2个百分点，整体盈利能力改善。偿债能力显著增强，资产负债率分别为42.50%、42.50%，较年初下降7.7个百分点；流动比率分别为1.81倍、1.82倍，较年初提升0.24倍；速动比率分别为1.45倍、1.51倍。营运效率呈现分化：应收账款周转天数分别为270.92天、271天，同比缩短117天，回款效率提升；但存货周转天数分别为128.97天、129天，同比延长49天，且129天显著高于软件信息业30-90天的典型区间，主要由于定制化项目未验收沉淀为存货或硬件集成类业务备货周期长，存在存货积压信号。现金流方面，当期经营活动净现金流为791万元，经营现金流/净利润达1.60，销售商品收现/营收为1.04，现金流质量健康。还款能力挂钩：</w:t>
              <w:br/>
              <w:t>实控人黄祖海行业经验丰富，公司在其带领下营收与利润持续增长，偿债指标优化，现金流健康，为第一还款来源提供了基本面支撑。但需关注存货周转效率恶化对流动性的潜在影响，以及短期借款（4730万元）需依赖经营现金流（791万元）滚动偿还的压力。实控人名下房产等家庭资产可作为补充增信。</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Cs/>
                <w:snapToGrid w:val="0"/>
                <w:color w:val="auto"/>
                <w:kern w:val="0"/>
                <w:szCs w:val="21"/>
                <w:highlight w:val="none"/>
                <w:lang w:val="en-US" w:eastAsia="zh-CN"/>
              </w:rPr>
              <w:t>（三）借款人及</w:t>
            </w:r>
            <w:r>
              <w:rPr>
                <w:rFonts w:hint="eastAsia" w:ascii="宋体" w:hAnsi="宋体" w:cs="宋体"/>
                <w:bCs/>
                <w:snapToGrid w:val="0"/>
                <w:color w:val="auto"/>
                <w:kern w:val="0"/>
                <w:szCs w:val="21"/>
                <w:highlight w:val="none"/>
              </w:rPr>
              <w:t>实控人</w:t>
            </w:r>
            <w:r>
              <w:rPr>
                <w:rFonts w:hint="eastAsia" w:ascii="宋体" w:hAnsi="宋体" w:cs="宋体"/>
                <w:bCs/>
                <w:snapToGrid w:val="0"/>
                <w:color w:val="auto"/>
                <w:kern w:val="0"/>
                <w:szCs w:val="21"/>
                <w:highlight w:val="none"/>
                <w:lang w:val="en-US" w:eastAsia="zh-CN"/>
              </w:rPr>
              <w:t>家庭</w:t>
            </w:r>
            <w:r>
              <w:rPr>
                <w:rFonts w:hint="eastAsia" w:ascii="宋体" w:hAnsi="宋体" w:cs="宋体"/>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2</w:t>
                  </w:r>
                  <w:r>
                    <w:rPr>
                      <w:rFonts w:hint="eastAsia" w:ascii="宋体" w:hAnsi="宋体" w:cs="宋体"/>
                      <w:bCs/>
                      <w:i w:val="0"/>
                      <w:iCs w:val="0"/>
                      <w:caps w:val="0"/>
                      <w:color w:val="000000"/>
                      <w:spacing w:val="0"/>
                      <w:kern w:val="0"/>
                      <w:sz w:val="21"/>
                      <w:szCs w:val="21"/>
                      <w:highlight w:val="none"/>
                      <w:lang w:val="en-US" w:eastAsia="zh-CN" w:bidi="ar"/>
                    </w:rPr>
                    <w:t>.</w:t>
                  </w:r>
                  <w:r>
                    <w:rPr>
                      <w:rFonts w:hint="eastAsia" w:ascii="宋体" w:hAnsi="宋体" w:eastAsia="宋体" w:cs="宋体"/>
                      <w:bCs/>
                      <w:i w:val="0"/>
                      <w:iCs w:val="0"/>
                      <w:caps w:val="0"/>
                      <w:color w:val="000000"/>
                      <w:spacing w:val="0"/>
                      <w:kern w:val="0"/>
                      <w:sz w:val="21"/>
                      <w:szCs w:val="21"/>
                      <w:highlight w:val="none"/>
                      <w:lang w:val="en-US" w:eastAsia="zh-CN" w:bidi="ar"/>
                    </w:rPr>
                    <w:t>实控人家庭资产</w:t>
                  </w:r>
                  <w:r>
                    <w:rPr>
                      <w:rFonts w:hint="eastAsia" w:ascii="宋体" w:hAnsi="宋体" w:cs="宋体"/>
                      <w:bCs/>
                      <w:i w:val="0"/>
                      <w:iCs w:val="0"/>
                      <w:caps w:val="0"/>
                      <w:color w:val="000000"/>
                      <w:spacing w:val="0"/>
                      <w:kern w:val="0"/>
                      <w:sz w:val="21"/>
                      <w:szCs w:val="21"/>
                      <w:highlight w:val="none"/>
                      <w:lang w:val="en-US" w:eastAsia="zh-CN" w:bidi="ar"/>
                    </w:rPr>
                    <w:t>情况</w:t>
                  </w:r>
                  <w:r>
                    <w:rPr>
                      <w:rFonts w:hint="eastAsia" w:ascii="宋体" w:hAnsi="宋体" w:eastAsia="宋体" w:cs="宋体"/>
                      <w:bCs/>
                      <w:i w:val="0"/>
                      <w:iCs w:val="0"/>
                      <w:caps w:val="0"/>
                      <w:color w:val="000000"/>
                      <w:spacing w:val="0"/>
                      <w:kern w:val="0"/>
                      <w:sz w:val="21"/>
                      <w:szCs w:val="21"/>
                      <w:highlight w:val="none"/>
                      <w:lang w:val="en-US" w:eastAsia="zh-CN" w:bidi="ar"/>
                    </w:rPr>
                    <w:t>（</w:t>
                  </w:r>
                  <w:r>
                    <w:rPr>
                      <w:rFonts w:hint="eastAsia" w:ascii="宋体" w:hAnsi="宋体" w:cs="宋体"/>
                      <w:bCs/>
                      <w:i w:val="0"/>
                      <w:iCs w:val="0"/>
                      <w:caps w:val="0"/>
                      <w:color w:val="000000"/>
                      <w:spacing w:val="0"/>
                      <w:kern w:val="0"/>
                      <w:sz w:val="21"/>
                      <w:szCs w:val="21"/>
                      <w:highlight w:val="none"/>
                      <w:lang w:val="en-US" w:eastAsia="zh-CN" w:bidi="ar"/>
                    </w:rPr>
                    <w:t>实控人、</w:t>
                  </w:r>
                  <w:r>
                    <w:rPr>
                      <w:rFonts w:hint="eastAsia" w:ascii="宋体" w:hAnsi="宋体" w:eastAsia="宋体" w:cs="宋体"/>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四</w:t>
            </w:r>
            <w:r>
              <w:rPr>
                <w:rFonts w:hint="eastAsia" w:ascii="宋体" w:hAnsi="宋体" w:cs="宋体"/>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Cs/>
                <w:snapToGrid w:val="0"/>
                <w:color w:val="000000"/>
                <w:kern w:val="0"/>
                <w:szCs w:val="21"/>
                <w:highlight w:val="none"/>
              </w:rPr>
              <w:t>1</w:t>
            </w:r>
            <w:r>
              <w:rPr>
                <w:rFonts w:hint="eastAsia" w:ascii="宋体" w:hAnsi="宋体" w:cs="宋体"/>
                <w:bCs/>
                <w:snapToGrid w:val="0"/>
                <w:color w:val="000000"/>
                <w:kern w:val="0"/>
                <w:szCs w:val="21"/>
                <w:highlight w:val="none"/>
                <w:lang w:val="en-US" w:eastAsia="zh-CN"/>
              </w:rPr>
              <w:t>.</w:t>
            </w:r>
            <w:r>
              <w:rPr>
                <w:rFonts w:hint="eastAsia" w:ascii="宋体" w:hAnsi="宋体" w:cs="宋体"/>
                <w:bCs/>
                <w:snapToGrid w:val="0"/>
                <w:color w:val="000000"/>
                <w:kern w:val="0"/>
                <w:szCs w:val="21"/>
                <w:highlight w:val="none"/>
              </w:rPr>
              <w:t>关联企业</w:t>
            </w:r>
            <w:r>
              <w:rPr>
                <w:rFonts w:hint="eastAsia" w:ascii="宋体" w:hAnsi="宋体" w:cs="宋体"/>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Cs/>
                <w:snapToGrid w:val="0"/>
                <w:kern w:val="0"/>
                <w:szCs w:val="21"/>
                <w:highlight w:val="none"/>
              </w:rPr>
              <w:t>关联企业关系：可附图</w:t>
            </w:r>
            <w:r>
              <w:rPr>
                <w:rFonts w:hint="eastAsia" w:ascii="宋体" w:hAnsi="宋体" w:eastAsia="宋体" w:cs="宋体"/>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Cs/>
                <w:snapToGrid w:val="0"/>
                <w:kern w:val="0"/>
                <w:szCs w:val="21"/>
                <w:highlight w:val="none"/>
              </w:rPr>
              <w:t>关联企业情况小结：企业关联方共5家，均为借款人全资或控股子公司，其中福建中锐汉鼎信息技术有限公司、北京中锐青云科技有限公司有实际经营，其余三家经营规模极小或处于亏损状态。</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14:paraId="46CC9C85">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eastAsia="宋体" w:cs="宋体"/>
                      <w:snapToGrid w:val="0"/>
                      <w:color w:val="000000"/>
                      <w:kern w:val="0"/>
                      <w:sz w:val="18"/>
                      <w:szCs w:val="18"/>
                      <w:highlight w:val="none"/>
                      <w:lang w:val="en-US" w:eastAsia="zh-CN"/>
                    </w:rPr>
                    <w:t>2025.</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材料未提供集团合并财务报表。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Cs/>
                <w:snapToGrid w:val="0"/>
                <w:kern w:val="0"/>
                <w:szCs w:val="21"/>
                <w:highlight w:val="none"/>
              </w:rPr>
              <w:t>3</w:t>
            </w:r>
            <w:r>
              <w:rPr>
                <w:rFonts w:hint="eastAsia" w:ascii="宋体" w:hAnsi="宋体" w:cs="宋体"/>
                <w:bCs/>
                <w:snapToGrid w:val="0"/>
                <w:kern w:val="0"/>
                <w:szCs w:val="21"/>
                <w:highlight w:val="none"/>
                <w:lang w:val="en-US" w:eastAsia="zh-CN"/>
              </w:rPr>
              <w:t>.</w:t>
            </w:r>
            <w:r>
              <w:rPr>
                <w:rFonts w:hint="eastAsia" w:ascii="宋体" w:hAnsi="宋体" w:cs="宋体"/>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五</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kern w:val="0"/>
                <w:szCs w:val="21"/>
                <w:highlight w:val="none"/>
              </w:rPr>
              <w:t>主要经营</w:t>
            </w:r>
            <w:r>
              <w:rPr>
                <w:rFonts w:hint="eastAsia" w:ascii="宋体" w:hAnsi="宋体" w:cs="宋体"/>
                <w:snapToGrid w:val="0"/>
                <w:kern w:val="0"/>
                <w:szCs w:val="21"/>
                <w:highlight w:val="none"/>
                <w:lang w:val="en-US" w:eastAsia="zh-CN"/>
              </w:rPr>
              <w:t>及</w:t>
            </w:r>
            <w:r>
              <w:rPr>
                <w:rFonts w:hint="eastAsia" w:ascii="宋体" w:hAnsi="宋体" w:cs="宋体"/>
                <w:snapToGrid w:val="0"/>
                <w:kern w:val="0"/>
                <w:szCs w:val="21"/>
                <w:highlight w:val="none"/>
              </w:rPr>
              <w:t>财务情</w:t>
            </w:r>
            <w:r>
              <w:rPr>
                <w:rFonts w:hint="eastAsia" w:ascii="宋体" w:hAnsi="宋体" w:cs="宋体"/>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企业主营智慧水利与智慧教育业务，其中智慧水利业务占比46%，智慧教育业务占比54%。智慧水利方面，公司提供大坝安全监测、流域四预系统等解决方案，已应用于福建省300余座水库。智慧教育方面，公司聚焦数字人才培养，与超1000所高校及科研院所合作。</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Cs/>
                <w:snapToGrid w:val="0"/>
                <w:kern w:val="0"/>
                <w:szCs w:val="21"/>
                <w:highlight w:val="none"/>
                <w:lang w:val="en-US" w:eastAsia="zh-CN"/>
              </w:rPr>
              <w:t>企业为高新技术企业，主营智慧水利与智慧教育。其智慧水利产品已应用于福建省300余座水库，并获省科技进步奖；智慧教育业务与超1000所高校建立产学研合作，服务1600多家政企客户。近三年研发费用持续投入，研发人员占比由44%提升至53%，技术储备较强。业务收入结构为水利46%、教育54%，与上下游结算主要采用预付款/预收款与账期结合的方式，合作关系稳定。</w:t>
            </w:r>
            <w:r>
              <w:rPr>
                <w:rFonts w:hint="eastAsia" w:ascii="宋体" w:hAnsi="宋体" w:cs="宋体"/>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3.</w:t>
            </w:r>
            <w:r>
              <w:rPr>
                <w:rFonts w:hint="eastAsia" w:ascii="宋体" w:hAnsi="宋体" w:cs="宋体"/>
                <w:bCs/>
                <w:snapToGrid w:val="0"/>
                <w:color w:val="000000"/>
                <w:kern w:val="0"/>
                <w:szCs w:val="21"/>
                <w:highlight w:val="none"/>
              </w:rPr>
              <w:t>产品</w:t>
            </w:r>
            <w:r>
              <w:rPr>
                <w:rFonts w:hint="eastAsia" w:ascii="宋体" w:hAnsi="宋体" w:cs="宋体"/>
                <w:bCs/>
                <w:snapToGrid w:val="0"/>
                <w:color w:val="000000"/>
                <w:kern w:val="0"/>
                <w:szCs w:val="21"/>
                <w:highlight w:val="none"/>
                <w:lang w:eastAsia="zh-CN"/>
              </w:rPr>
              <w:t>生产、</w:t>
            </w:r>
            <w:r>
              <w:rPr>
                <w:rFonts w:hint="eastAsia" w:ascii="宋体" w:hAnsi="宋体" w:cs="宋体"/>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公司主营业务为智慧水利与智慧教育，其中水利业务销售收入占比46%，教育业务占比54%。近两年营业收入分别为10010万元、10010万元，呈现2024年触底后反弹态势，2025年同比增长14.9%。净利润分别为494万元、494万元，同样于2024年触底后反弹，2025年同比增长50.1%。</w:t>
              <w:br/>
              <w:br/>
              <w:t>财务表现分析：</w:t>
              <w:br/>
              <w:t>从盈利能力看，公司2025年毛利率为38.0%，同比微降0.8个百分点，净利率为4.9%，同比提升1.2个百分点，显示费用控制能力增强，盈利质量改善。从偿债能力看，资产负债率由42.50%降至42.5%，流动比率由1.81倍提升至1.82倍，偿债压力有所缓解，财务结构趋于稳健。从营运效率看，应收账款周转天数由270.92天大幅缩短至271天，回款效率显著改善；但存货周转天数由128.97天延长至129天，显著高于软件信息业30-90天的典型区间，主要由于项目制下定制化硬件备货增加及部分项目未验收所致，需关注存货积压风险。</w:t>
              <w:br/>
              <w:br/>
              <w:t>与还款能力挂钩分析：</w:t>
              <w:br/>
              <w:t>公司2025年经营活动净现金流为791万元，是净利润的1.60倍，现金流生成能力健康，为偿还债务提供了基础保障。虽然短期借款余额为4730万元，但流动性的改善（流动比率提升）及回款加速（应收周转天数缩短）有助于缓解短期偿债压力。然而，存货的大幅增加占用了营运资金，可能对未来的现金流造成一定压力。</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企业上游主要为网络设备及技术服务供应商，包括锐捷网络股份有限公司、北京星链南天科技有限公司、广州浩瀚星图信息技术有限公司、新天科技股份有限公司、精导信息技术有限公司等。下游客户以水利、交通等政府部门及事业单位为主，包括涵江水利局、福建省翔远电子科技有限公司、三明水利水电工程有限公司顺昌分公司、福州市福清公路事业发展中心、济南展雄电子有限公司等，客户资质良好。①主要上游（前五大）：详见下表。②主要下游（前五大）：详见下表。③经营账期：企业应收账款周转天数同比缩短117天至271天，但仍显著高于软件信息业90-180天典型区间，主要由于智慧水利项目验收周期长、政府客户回款账期较长(据材料:智慧水利-应收账款周转天数_typical_range: 180-360 天)。存货周转天数同比延长49天至129天，高于行业60-180天区间，需关注项目成本沉淀情况(据材料:智慧水利-存货周转天数_typical_range: 60-180 天)。</w:t>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财务分析：企业2025年营业收入为10010万元，同比增长14.9%；净利润为494万元，同比增长50.1%，盈利能力改善。毛利率为38.0%，同比下降0.8个百分点；净利率为4.9%，同比上升1.2个百分点，主要得益于费用控制及规模效应。资产负债率为42.5%，较年初下降7.7个百分点；流动比率为1.82倍，较年初提升0.24倍，偿债能力增强。应收账款周转天数为271天，同比缩短117天，回款效率有所提升但仍高于行业区间，主要因项目制回款周期长；存货周转天数为129天，同比延长49天，存货积压明显（存货较年初增长88.0%），需关注项目执行与验收进度。经营活动净现金流为791万元，覆盖净利润的1.60倍，现金流质量健康。综合来看，企业盈利与偿债指标向好，但营运效率中的存货管理问题及较长的应收账期可能对短期流动性造成压力，需结合其短期借款（4730万元）的滚动偿还需求评估还款能力。</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Cs/>
                <w:snapToGrid w:val="0"/>
                <w:color w:val="000000"/>
                <w:kern w:val="0"/>
                <w:szCs w:val="21"/>
                <w:highlight w:val="none"/>
                <w:lang w:val="en-US" w:eastAsia="zh-CN"/>
              </w:rPr>
              <w:t>材料未提供最新在手订单列表，需补充在手订单明细表。</w:t>
            </w:r>
            <w:r>
              <w:rPr>
                <w:rFonts w:hint="eastAsia" w:ascii="宋体" w:hAnsi="宋体" w:cs="宋体"/>
                <w:bCs/>
                <w:snapToGrid w:val="0"/>
                <w:color w:val="000000"/>
                <w:kern w:val="0"/>
                <w:szCs w:val="21"/>
                <w:highlight w:val="none"/>
              </w:rPr>
            </w:r>
            <w:r>
              <w:rPr>
                <w:rFonts w:hint="eastAsia" w:ascii="宋体" w:hAnsi="宋体" w:cs="宋体"/>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Cs/>
                <w:color w:val="000000"/>
                <w:highlight w:val="none"/>
                <w:lang w:val="en-US" w:eastAsia="zh-CN"/>
              </w:rPr>
              <w:t>①</w:t>
            </w:r>
            <w:r>
              <w:rPr>
                <w:rFonts w:ascii="宋体" w:hAnsi="宋体"/>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Cs/>
                <w:color w:val="000000"/>
                <w:highlight w:val="none"/>
                <w:lang w:val="en-US" w:eastAsia="zh-CN"/>
              </w:rPr>
              <w:t>②</w:t>
            </w:r>
            <w:r>
              <w:rPr>
                <w:rFonts w:ascii="宋体" w:hAnsi="宋体"/>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p>
              </w:tc>
              <w:tc>
                <w:tcPr>
                  <w:tcW w:w="1570" w:type="dxa"/>
                  <w:noWrap w:val="0"/>
                  <w:vAlign w:val="center"/>
                </w:tcPr>
                <w:p w14:paraId="6D92B1EA">
                  <w:pPr>
                    <w:widowControl/>
                    <w:jc w:val="center"/>
                    <w:textAlignment w:val="center"/>
                    <w:rPr>
                      <w:sz w:val="18"/>
                      <w:szCs w:val="18"/>
                      <w:highlight w:val="none"/>
                    </w:rPr>
                  </w:pP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Cs/>
                <w:snapToGrid w:val="0"/>
                <w:kern w:val="0"/>
                <w:szCs w:val="21"/>
                <w:highlight w:val="none"/>
                <w:lang w:val="en-US" w:eastAsia="zh-CN"/>
              </w:rPr>
              <w:t>③</w:t>
            </w:r>
            <w:r>
              <w:rPr>
                <w:rFonts w:hint="eastAsia" w:ascii="宋体" w:hAnsi="宋体" w:cs="宋体"/>
                <w:bCs/>
                <w:snapToGrid w:val="0"/>
                <w:color w:val="000000"/>
                <w:kern w:val="0"/>
                <w:szCs w:val="21"/>
                <w:highlight w:val="none"/>
              </w:rPr>
              <w:t>近三年</w:t>
            </w:r>
            <w:r>
              <w:rPr>
                <w:rFonts w:hint="eastAsia" w:ascii="宋体" w:hAnsi="宋体" w:cs="宋体"/>
                <w:bCs/>
                <w:snapToGrid w:val="0"/>
                <w:color w:val="000000"/>
                <w:kern w:val="0"/>
                <w:szCs w:val="21"/>
                <w:highlight w:val="none"/>
                <w:lang w:val="en-US" w:eastAsia="zh-CN"/>
              </w:rPr>
              <w:t>及最近一期</w:t>
            </w:r>
            <w:r>
              <w:rPr>
                <w:rFonts w:hint="eastAsia" w:ascii="宋体" w:hAnsi="宋体" w:cs="宋体"/>
                <w:bCs/>
                <w:snapToGrid w:val="0"/>
                <w:color w:val="000000"/>
                <w:kern w:val="0"/>
                <w:szCs w:val="21"/>
                <w:highlight w:val="none"/>
              </w:rPr>
              <w:t>财务数据</w:t>
            </w:r>
          </w:p>
          <w:p w14:paraId="424A39D0">
            <w:commentRangeStart w:id="5"/>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企业近三年财务数据已通过税务申报与银行流水交叉验证，数据真实可信。借款人2025年营业收入同比增长14.9%至10010万元，净利润同比增长50.1%至494万元，盈利能力改善。资产负债率(待补充资产负债率近三年较年初明细)，流动比率提升至1.82倍，偿债能力增强。应收账款周转天数同比缩短117天至271天，但存货周转天数(待补充存货周转天数近三年同比明细)，存货积压需关注。经营性现金流净额791万元，对净利润覆盖倍数为1.60，现金流质量健康。</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commentRangeEnd w:id="5"/>
            <w:r>
              <w:rPr>
                <w:rStyle w:val="CommentReference"/>
              </w:rPr>
              <w:commentReference w:id="5"/>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commentRangeStart w:id="6"/>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企业年报是否审计及审计结论（若涉及审计事务所变动请说明原因），借款人近三年财务数据，其中（材料未提供）年报由某事务所审计（出具无保留意见，（材料未提供）3月注销）、（材料未提供）年报由某事务所审计（出具无保留意见），因为材料未提供原因更换审计所：（注意：列表填写完整财务科目，表格根据实际情况增减科目）</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commentRangeEnd w:id="6"/>
            <w:r>
              <w:rPr>
                <w:rStyle w:val="CommentReference"/>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 xml:space="preserve">（1）应收账款 9253万元，主要构成及趋势变动情况： 根据2024年审计报告，应收账款为92525439.61元，主要构成应为智慧水利及智慧教育业务形成的应收款项。智慧水利项目结算周期长（行业典型180-360天），智慧教育项目回款受财政预算拨付影响，导致应收账款规模较大。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 3522万元，主要构成及趋势变动情况： 2025年末其他应收款为2774万元，较2024年末的3522万元下降21.2%，呈回落趋势。该科目在2023年曾大幅增长至3621万元，目前虽有所压降，但占流动资产比重仍达21.2%，需关注其具体构成及回收风险。</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（3）存货 0万元，主要构成及趋势变动情况： 企业存货在2025年末为2192万元，较2024年末的1166万元大幅增长88.0%，结束了自2022年（5301万元）以来的连续下降趋势。结合资产负债表，存货占总资产比重有所回升，但具体存货结构及增长原因依据现有材料无法判断。</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（4）长期投资 1626万元，主要构成及趋势变动情况： 企业长期投资由2024年末的2518万元增长至2025年末的3123万元，同比增加605万元，增幅达24.0%，投资规模显著扩张。结合近年数据，该科目自2022年以来持续增长，尤其在2024至2025年间增速加快。</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（5）应付账款 6354万元，主要构成及趋势变动情况： 根据2024年审计报告，应付账款为63535435.07元。主要构成应为向上游供应商（如锐捷网络股份有限公司等）采购硬件、软件及服务所形成的应付款项。公司获得主要供应商较优越的信用账期，导致应付账款规模较大。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（6）其他应付款 3621万元，主要构成及趋势变动情况： 2025年末其他应付款为168万元，较2024年末的648万元大幅下降480万元，降幅达74.1%。该科目余额在2022至2024年间呈快速增长趋势，由63万元增至648万元，但2025年出现显著回落。</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 xml:space="preserve">（7）主营业务收入变动原因： 企业主营业务为智慧水利与智慧教育。根据行业政策，智慧水利受益于国家'十四五'水安全保障规划及增发国债水利项目，订单能见度拉长；智慧教育则受国家教育新基建及职业教育高质量发展政策支持。企业2025年营收1010万元，业务结构为水利46%、教育54%，整体收入规模稳定。               </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企业近年持续保持研发投入（2023-2025年研发费用占比分别为7.4%、14.5%、10.5%），以维持技术竞争力。但关联企业（如福建中锐汉鼎信息技术有限公司、福建中锐教育科技有限公司）存在较大亏损，可能对集团整体盈利能力造成一定拖累。智慧水利项目回款周期长（行业典型180-360天），智慧教育项目受地方财政拨付影响，均对当期利润实现构成压力。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Cs w:val="0"/>
                <w:snapToGrid w:val="0"/>
                <w:kern w:val="0"/>
                <w:szCs w:val="21"/>
                <w:highlight w:val="none"/>
                <w:lang w:val="zh-CN"/>
              </w:rPr>
              <w:t>（</w:t>
            </w:r>
            <w:r>
              <w:rPr>
                <w:rFonts w:hint="eastAsia" w:ascii="宋体" w:hAnsi="宋体" w:cs="宋体"/>
                <w:bCs w:val="0"/>
                <w:snapToGrid w:val="0"/>
                <w:kern w:val="0"/>
                <w:szCs w:val="21"/>
                <w:highlight w:val="none"/>
                <w:lang w:val="en-US" w:eastAsia="zh-CN"/>
              </w:rPr>
              <w:t>后续若有大额固定资产投入计划，分析投入及资金安排</w:t>
            </w:r>
            <w:r>
              <w:rPr>
                <w:rFonts w:hint="eastAsia" w:ascii="宋体" w:hAnsi="宋体" w:cs="宋体"/>
                <w:bCs w:val="0"/>
                <w:snapToGrid w:val="0"/>
                <w:kern w:val="0"/>
                <w:szCs w:val="21"/>
                <w:highlight w:val="none"/>
                <w:lang w:val="zh-CN"/>
              </w:rPr>
              <w:t>）</w:t>
            </w:r>
            <w:r>
              <w:rPr>
                <w:rFonts w:hint="eastAsia" w:ascii="宋体" w:hAnsi="宋体" w:cs="宋体"/>
                <w:snapToGrid w:val="0"/>
                <w:color w:val="000000"/>
                <w:kern w:val="0"/>
                <w:szCs w:val="21"/>
                <w:highlight w:val="none"/>
                <w:lang w:val="zh-CN"/>
              </w:rPr>
              <w:t>： 材料未提供后续大额固定资产投入计划及资金安排信息，建议补充投资预算、采购/建设进度、资金来源（自有/贷款/补贴等）及预计形成资产情况。</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企业2025年末存货为2192万元，较年初的1166万元大幅增长87.9%，主要系库存商品增加所致。同时，货币资金下降至286万元，较年初的506万元减少43.6%，资产流动性有所减弱。</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snapToGrid w:val="0"/>
                <w:kern w:val="0"/>
                <w:szCs w:val="21"/>
                <w:highlight w:val="none"/>
                <w:lang w:val="en-US" w:eastAsia="zh-CN"/>
              </w:rPr>
              <w:t>（1）应收账款7430万元，主要构成及趋势变动情况：应收账款2023/2024/2025年分别为7430万元、9253万元、7430万元，呈现先升后降趋势。2025年末较年初下降19.7%，主要由于公司加强回款管理，但271天的周转天数仍显著高于软件信息业90-180天典型区间，主要由于智慧水利、智慧教育项目验收及政府客户回款周期较长(据材料:智慧水利应收账款周转天数_typical_range: 180-360 天)。</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材料中未提供完整的近三年现金流量表数据，无法进行具体分析。 </w:t>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（2）其他应收款2774万元，主要构成及趋势变动情况： 2025年末其他应收款为2774万元，较2024年末的3522万元下降21.2%，呈回落趋势。该科目在2023年曾大幅增长至3621万元，目前虽有所压降，但余额仍显著高于2022年的1432万元水平。</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六</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color w:val="000000"/>
                <w:kern w:val="0"/>
                <w:szCs w:val="21"/>
                <w:highlight w:val="none"/>
              </w:rPr>
              <w:t>融资</w:t>
            </w:r>
            <w:r>
              <w:rPr>
                <w:rFonts w:hint="eastAsia" w:ascii="宋体" w:hAnsi="宋体" w:cs="宋体"/>
                <w:snapToGrid w:val="0"/>
                <w:color w:val="000000"/>
                <w:kern w:val="0"/>
                <w:szCs w:val="21"/>
                <w:highlight w:val="none"/>
                <w:lang w:val="en-US" w:eastAsia="zh-CN"/>
              </w:rPr>
              <w:t>/</w:t>
            </w:r>
            <w:r>
              <w:rPr>
                <w:rFonts w:hint="eastAsia" w:ascii="宋体" w:hAnsi="宋体" w:cs="宋体"/>
                <w:snapToGrid w:val="0"/>
                <w:color w:val="000000"/>
                <w:kern w:val="0"/>
                <w:szCs w:val="21"/>
                <w:highlight w:val="none"/>
              </w:rPr>
              <w:t>对外担保</w:t>
            </w:r>
            <w:r>
              <w:rPr>
                <w:rFonts w:hint="eastAsia" w:ascii="宋体" w:hAnsi="宋体" w:cs="宋体"/>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截至2025年12月31日，公司各行贷款余额合计4730万元，均为短期流动资金贷款，五级分类正常。无对外担保、无被追偿记录。</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根据融资清单，企业现有授信均为一年期流动资金贷款，未涉及中长期借款。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7"/>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7"/>
            <w:r>
              <w:rPr>
                <w:rStyle w:val="CommentReference"/>
              </w:rPr>
              <w:commentReference w:id="7"/>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材料中未提及企业存在不良信用记录。 </w:t>
            </w:r>
          </w:p>
          <w:p w14:paraId="0BD0E5B0">
            <w:commentRangeStart w:i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Cs/>
                <w:snapToGrid w:val="0"/>
                <w:color w:val="000000"/>
                <w:kern w:val="0"/>
                <w:szCs w:val="21"/>
                <w:highlight w:val="none"/>
                <w:lang w:val="en-US" w:eastAsia="zh-CN"/>
              </w:rPr>
              <w:t>截至2025年7月23日，查询信用报告，黄祖海名下有未结清贷款账户1笔，余额1000万元，为中行个人经营贷款，经营主体为一家有限公司，有未销户信用卡账户1笔，余额0元。全部未结清贷款估算下月应还款额0元，贷记卡最近6个月平均使用额度27元，准贷记卡最近6个月平均透支余额0元；承担担保责任账户有1笔，承担共同还款责任账户有0笔，余额1000万元，为一家有限公司担保。根据预警规则的后台计算，客户近5年贷款累计逾期期数为1期，其中逾期金额小于等于500元的期数为0；客户近5年贷款连续逾期期数为1期，其中连续逾期小于等于500元的期数为0，经反馈，为遗忘导致，现已结清。</w:t>
              <w:br/>
              <w:br/>
              <w:t>财务分析：借款人福建中锐网络股份有限公司2025年营业收入为10010万元，同比增长14.9%；净利润为494万元，同比增长50.1%，显示业务规模与盈利同步增长。盈利能力方面，毛利率为38.0%，同比下降0.8个百分点；净利率为4.9%，同比上升1.2个百分点，费用控制能力有所提升。偿债能力显著改善，资产负债率为42.5%，较年初下降7.7个百分点；流动比率为1.82倍，较年初提升0.24倍；速动比率为1.51倍，较年初提升0.06倍，短期偿债压力有所缓解。营运效率呈现分化：应收账款周转天数为271天，同比缩短117天，回款效率提升；但存货周转天数为129天，同比延长49天，且显著高于软件信息业30-90天的典型区间，主要由于定制化项目未验收沉淀为存货或硬件集成类业务备货周期长，存在存货积压信号。现金流方面，当期经营活动净现金流为791万元，经营现金流/净利润为1.60，销售商品收现/营收为1.04，现金流质量健康。综合来看，公司盈利与偿债能力改善，但存货周转恶化需关注。结合实控人征信记录良好、无重大负面信息，第一还款来源（公司经营）和第二还款来源（实控人）均具备一定保障。</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8"/>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Cs/>
                <w:snapToGrid w:val="0"/>
                <w:color w:val="000000"/>
                <w:kern w:val="0"/>
                <w:szCs w:val="21"/>
                <w:highlight w:val="none"/>
                <w:lang w:val="en-US" w:eastAsia="zh-CN"/>
              </w:rPr>
              <w:t>康恩慧，中国国籍。</w:t>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Cs/>
                <w:snapToGrid w:val="0"/>
                <w:kern w:val="0"/>
                <w:szCs w:val="21"/>
              </w:rPr>
              <w:t>科技型企业类型：</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科技型中小企业</w:t>
            </w:r>
            <w:r>
              <w:rPr>
                <w:rFonts w:hint="eastAsia" w:ascii="宋体" w:hAnsi="宋体" w:eastAsia="宋体" w:cs="宋体"/>
                <w:bCs/>
                <w:snapToGrid w:val="0"/>
                <w:kern w:val="0"/>
                <w:szCs w:val="21"/>
                <w:lang w:val="en-US" w:eastAsia="zh-CN"/>
              </w:rPr>
              <w:t>（第几轮，有效期至X年X月X日）</w:t>
            </w:r>
            <w:r>
              <w:rPr>
                <w:rFonts w:hint="eastAsia" w:ascii="宋体" w:hAnsi="宋体" w:eastAsia="宋体" w:cs="宋体"/>
                <w:bCs/>
                <w:snapToGrid w:val="0"/>
                <w:kern w:val="0"/>
                <w:szCs w:val="21"/>
                <w:lang w:val="en-US" w:eastAsia="zh-CN"/>
              </w:rPr>
              <w:t>；</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高新技术企业；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“专精特新”中小企业；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制造业单项冠军企业；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Cs/>
                <w:snapToGrid w:val="0"/>
                <w:kern w:val="0"/>
                <w:sz w:val="21"/>
                <w:szCs w:val="21"/>
                <w:lang w:val="en-US" w:eastAsia="zh-CN" w:bidi="ar-SA"/>
              </w:rPr>
              <w:t>科技型企业评分：</w:t>
            </w:r>
            <w:r>
              <w:rPr>
                <w:rFonts w:hint="eastAsia" w:ascii="宋体" w:hAnsi="宋体" w:cs="宋体"/>
                <w:bCs/>
                <w:snapToGrid w:val="0"/>
                <w:color w:val="000000"/>
                <w:kern w:val="0"/>
                <w:szCs w:val="21"/>
                <w:u w:val="single"/>
                <w:lang w:val="en-US" w:eastAsia="zh-CN"/>
              </w:rPr>
              <w:t xml:space="preserve"> 企业为信息技术服务业，近三年持续进行研发投入，研发人员占比高（2025年达53%），拥有自主研发的智慧水利平台解决方案并获省级奖项，符合科技型企业特征。但材料未提供具体的评分数据。 </w:t>
            </w:r>
            <w:r>
              <w:rPr>
                <w:rFonts w:hint="eastAsia" w:ascii="宋体" w:hAnsi="宋体" w:eastAsia="宋体" w:cs="宋体"/>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Cs/>
                <w:kern w:val="2"/>
                <w:sz w:val="21"/>
                <w:szCs w:val="21"/>
                <w:highlight w:val="none"/>
                <w:lang w:val="en-US" w:eastAsia="zh-CN"/>
              </w:rPr>
              <w:t>※2.研发投入情况</w:t>
            </w:r>
            <w:r>
              <w:rPr>
                <w:rFonts w:hint="eastAsia" w:ascii="宋体" w:hAnsi="宋体" w:cs="宋体"/>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Cs w:val="0"/>
                <w:kern w:val="2"/>
                <w:sz w:val="21"/>
                <w:szCs w:val="21"/>
                <w:highlight w:val="none"/>
                <w:lang w:val="en-US" w:eastAsia="zh-CN"/>
              </w:rPr>
              <w:t>①</w:t>
            </w:r>
            <w:r>
              <w:rPr>
                <w:rFonts w:hint="eastAsia" w:ascii="宋体" w:hAnsi="宋体" w:eastAsia="宋体" w:cs="宋体"/>
                <w:bCs w:val="0"/>
                <w:kern w:val="2"/>
                <w:sz w:val="21"/>
                <w:szCs w:val="21"/>
                <w:highlight w:val="none"/>
                <w:lang w:eastAsia="zh-CN"/>
              </w:rPr>
              <w:t>核心</w:t>
            </w:r>
            <w:r>
              <w:rPr>
                <w:rFonts w:hint="eastAsia" w:ascii="宋体" w:hAnsi="宋体" w:cs="宋体"/>
                <w:bCs w:val="0"/>
                <w:kern w:val="2"/>
                <w:sz w:val="21"/>
                <w:szCs w:val="21"/>
                <w:highlight w:val="none"/>
                <w:lang w:val="en-US" w:eastAsia="zh-CN"/>
              </w:rPr>
              <w:t>研发</w:t>
            </w:r>
            <w:r>
              <w:rPr>
                <w:rFonts w:hint="eastAsia" w:ascii="宋体" w:hAnsi="宋体" w:eastAsia="宋体" w:cs="宋体"/>
                <w:bCs w:val="0"/>
                <w:kern w:val="2"/>
                <w:sz w:val="21"/>
                <w:szCs w:val="21"/>
                <w:highlight w:val="none"/>
                <w:lang w:eastAsia="zh-CN"/>
              </w:rPr>
              <w:t>人员是否</w:t>
            </w:r>
            <w:r>
              <w:rPr>
                <w:rFonts w:hint="eastAsia" w:ascii="宋体" w:hAnsi="宋体" w:cs="宋体"/>
                <w:bCs w:val="0"/>
                <w:kern w:val="2"/>
                <w:sz w:val="21"/>
                <w:szCs w:val="21"/>
                <w:highlight w:val="none"/>
                <w:lang w:val="en-US" w:eastAsia="zh-CN"/>
              </w:rPr>
              <w:t>享有</w:t>
            </w:r>
            <w:r>
              <w:rPr>
                <w:rFonts w:hint="eastAsia" w:ascii="宋体" w:hAnsi="宋体" w:eastAsia="宋体" w:cs="宋体"/>
                <w:bCs w:val="0"/>
                <w:kern w:val="2"/>
                <w:sz w:val="21"/>
                <w:szCs w:val="21"/>
                <w:highlight w:val="none"/>
                <w:lang w:eastAsia="zh-CN"/>
              </w:rPr>
              <w:t>股权激励：</w:t>
            </w:r>
            <w:r>
              <w:rPr>
                <w:rFonts w:hint="eastAsia" w:ascii="宋体" w:hAnsi="宋体" w:cs="宋体"/>
                <w:bCs/>
                <w:snapToGrid w:val="0"/>
                <w:kern w:val="0"/>
                <w:szCs w:val="21"/>
              </w:rPr>
              <w:t>□</w:t>
            </w:r>
            <w:r>
              <w:rPr>
                <w:rFonts w:hint="eastAsia" w:ascii="宋体" w:hAnsi="宋体" w:eastAsia="宋体" w:cs="宋体"/>
                <w:bCs w:val="0"/>
                <w:kern w:val="2"/>
                <w:szCs w:val="21"/>
                <w:highlight w:val="none"/>
                <w:lang w:eastAsia="zh-CN"/>
              </w:rPr>
              <w:t>是</w:t>
            </w:r>
            <w:r>
              <w:rPr>
                <w:rFonts w:hint="eastAsia" w:ascii="宋体" w:hAnsi="宋体" w:eastAsia="宋体" w:cs="宋体"/>
                <w:bCs w:val="0"/>
                <w:kern w:val="2"/>
                <w:szCs w:val="21"/>
                <w:highlight w:val="none"/>
                <w:lang w:val="en-US" w:eastAsia="zh-CN"/>
              </w:rPr>
              <w:t xml:space="preserve"> </w:t>
            </w:r>
            <w:r>
              <w:rPr>
                <w:rFonts w:hint="eastAsia" w:ascii="宋体" w:hAnsi="宋体" w:cs="宋体"/>
                <w:bCs/>
                <w:snapToGrid w:val="0"/>
                <w:kern w:val="0"/>
                <w:szCs w:val="21"/>
              </w:rPr>
              <w:t>☑</w:t>
            </w:r>
            <w:r>
              <w:rPr>
                <w:rFonts w:hint="eastAsia" w:ascii="宋体" w:hAnsi="宋体" w:eastAsia="宋体" w:cs="宋体"/>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Cs/>
                <w:kern w:val="2"/>
                <w:sz w:val="21"/>
                <w:szCs w:val="21"/>
                <w:highlight w:val="none"/>
                <w:lang w:val="en-US" w:eastAsia="zh-CN"/>
              </w:rPr>
              <w:t>科技型企业类型：材料未提供。</w:t>
              <w:br/>
              <w:t>科技型企业评分：材料未提供。</w:t>
              <w:br/>
              <w:t>※2.研发投入情况：</w:t>
              <w:br/>
              <w:t>①核心研发人员是否享有股权激励：是。</w:t>
              <w:br/>
              <w:t>②近三年研发投入占比及研发人员占比详见下表。</w:t>
              <w:br/>
              <w:t>※3.专利情况：企业拥有发明专利0项、实用专利0项，权属清晰，不存在瑕疵及涉诉情况，具体情况如下表所示：</w:t>
            </w:r>
            <w:r>
              <w:rPr>
                <w:rFonts w:hint="eastAsia" w:ascii="宋体" w:hAnsi="宋体" w:cs="宋体"/>
                <w:bCs w:val="0"/>
                <w:kern w:val="2"/>
                <w:sz w:val="21"/>
                <w:szCs w:val="21"/>
                <w:highlight w:val="none"/>
                <w:lang w:val="en-US" w:eastAsia="zh-CN" w:bidi="ar-SA"/>
              </w:rPr>
            </w:r>
            <w:r>
              <w:rPr>
                <w:rFonts w:hint="eastAsia" w:ascii="宋体" w:hAnsi="宋体" w:eastAsia="宋体" w:cs="宋体"/>
                <w:bCs w:val="0"/>
                <w:kern w:val="2"/>
                <w:sz w:val="21"/>
                <w:szCs w:val="21"/>
                <w:highlight w:val="none"/>
                <w:lang w:val="en-US" w:eastAsia="zh-CN" w:bidi="ar-SA"/>
              </w:rPr>
            </w:r>
            <w:r>
              <w:rPr>
                <w:rFonts w:hint="eastAsia" w:ascii="宋体" w:hAnsi="宋体" w:cs="宋体"/>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Cs/>
                <w:snapToGrid w:val="0"/>
                <w:kern w:val="0"/>
                <w:sz w:val="21"/>
                <w:szCs w:val="21"/>
                <w:highlight w:val="none"/>
                <w:lang w:val="en-US" w:eastAsia="zh-CN" w:bidi="ar-SA"/>
              </w:rPr>
              <w:t>（</w:t>
            </w:r>
            <w:r>
              <w:rPr>
                <w:rFonts w:hint="eastAsia" w:ascii="宋体" w:hAnsi="宋体" w:cs="宋体"/>
                <w:bCs/>
                <w:snapToGrid w:val="0"/>
                <w:kern w:val="0"/>
                <w:sz w:val="21"/>
                <w:szCs w:val="21"/>
                <w:highlight w:val="none"/>
                <w:lang w:val="en-US" w:eastAsia="zh-CN" w:bidi="ar-SA"/>
              </w:rPr>
              <w:t>八</w:t>
            </w:r>
            <w:r>
              <w:rPr>
                <w:rFonts w:hint="eastAsia" w:ascii="宋体" w:hAnsi="宋体" w:eastAsia="宋体" w:cs="宋体"/>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材料未提供企业在我行日均存款、对公有效户年户数、全年结算量、签约代发员工人数及上年发薪量。</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Cs/>
                <w:snapToGrid w:val="0"/>
                <w:color w:val="auto"/>
                <w:kern w:val="0"/>
                <w:szCs w:val="21"/>
                <w:highlight w:val="none"/>
                <w:lang w:eastAsia="zh-CN"/>
              </w:rPr>
            </w:r>
            <w:r>
              <w:rPr>
                <w:rFonts w:hint="eastAsia" w:ascii="宋体" w:hAnsi="宋体" w:cs="宋体"/>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Cs/>
                <w:snapToGrid w:val="0"/>
                <w:kern w:val="0"/>
                <w:szCs w:val="21"/>
                <w:highlight w:val="none"/>
                <w:lang w:eastAsia="zh-CN"/>
              </w:rPr>
            </w:r>
            <w:r>
              <w:rPr>
                <w:rFonts w:hint="eastAsia" w:ascii="宋体" w:hAnsi="宋体" w:cs="宋体"/>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九</w:t>
            </w:r>
            <w:r>
              <w:rPr>
                <w:rFonts w:hint="eastAsia" w:ascii="宋体" w:hAnsi="宋体" w:cs="宋体"/>
                <w:snapToGrid w:val="0"/>
                <w:color w:val="000000"/>
                <w:kern w:val="0"/>
                <w:szCs w:val="21"/>
                <w:highlight w:val="none"/>
              </w:rPr>
              <w:t>）借款原因及还款能力</w:t>
            </w:r>
            <w:r>
              <w:rPr>
                <w:rFonts w:hint="eastAsia" w:ascii="宋体" w:hAnsi="宋体" w:cs="宋体"/>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rPr>
              <w:t>借款人目前经营性现金流状况整体较好，经营现金流/净利润为1.60，且账上拥有货币资金286万元，但因对上游账款采用预付款和账期款方式、下游货款采用预收款和账期或全款的收款方式，且应收账款周转天数达271天，回笼较慢。同时，存货较年初增长88.0%至2192万元，周转天数延长至129天，对营运资金需求较大，故需申请部分贷款用于补充流动资金。</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Cs/>
                <w:snapToGrid w:val="0"/>
                <w:kern w:val="0"/>
                <w:szCs w:val="21"/>
                <w:highlight w:val="none"/>
                <w:lang w:val="en-US" w:eastAsia="zh-CN"/>
              </w:rPr>
              <w:t>（若申请中期流动资金贷款，请补充分析原因：</w:t>
            </w:r>
            <w:r>
              <w:rPr>
                <w:rFonts w:hint="eastAsia" w:ascii="宋体" w:hAnsi="宋体" w:cs="宋体"/>
                <w:bCs/>
                <w:snapToGrid w:val="0"/>
                <w:kern w:val="0"/>
                <w:szCs w:val="21"/>
                <w:highlight w:val="none"/>
                <w:u w:val="single"/>
                <w:lang w:val="en-US" w:eastAsia="zh-CN"/>
              </w:rPr>
              <w:t xml:space="preserve"> 材料中未提及企业申请中期流动资金贷款。 </w:t>
            </w:r>
            <w:r>
              <w:rPr>
                <w:rFonts w:hint="eastAsia" w:ascii="宋体" w:hAnsi="宋体" w:cs="宋体"/>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Cs/>
                <w:snapToGrid w:val="0"/>
                <w:kern w:val="0"/>
                <w:szCs w:val="21"/>
                <w:highlight w:val="none"/>
              </w:rPr>
              <w:t>2</w:t>
            </w:r>
            <w:r>
              <w:rPr>
                <w:rFonts w:hint="eastAsia" w:ascii="宋体" w:hAnsi="宋体" w:cs="宋体"/>
                <w:bCs/>
                <w:snapToGrid w:val="0"/>
                <w:kern w:val="0"/>
                <w:szCs w:val="21"/>
                <w:highlight w:val="none"/>
                <w:lang w:eastAsia="zh-CN"/>
              </w:rPr>
              <w:t>.</w:t>
            </w:r>
            <w:r>
              <w:rPr>
                <w:rFonts w:hint="eastAsia" w:ascii="宋体" w:hAnsi="宋体" w:cs="宋体"/>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Cs/>
                <w:snapToGrid w:val="0"/>
                <w:color w:val="auto"/>
                <w:kern w:val="0"/>
                <w:szCs w:val="21"/>
                <w:highlight w:val="none"/>
              </w:rPr>
              <w:t>根据流动资金需求测算，企业营运资金需求：需补充营运资金需求测算表截图。</w:t>
            </w:r>
            <w:r>
              <w:rPr>
                <w:rFonts w:hint="eastAsia" w:ascii="宋体" w:hAnsi="宋体" w:cs="宋体"/>
                <w:bCs/>
                <w:snapToGrid w:val="0"/>
                <w:color w:val="auto"/>
                <w:kern w:val="0"/>
                <w:szCs w:val="21"/>
                <w:highlight w:val="none"/>
                <w:lang w:val="en-US" w:eastAsia="zh-CN"/>
              </w:rPr>
            </w:r>
            <w:r>
              <w:rPr>
                <w:rFonts w:hint="eastAsia" w:ascii="宋体" w:hAnsi="宋体" w:cs="宋体"/>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如上述测算过程存在数据调整，请补充说明：需补充测算过程数据调整说明。</w:t>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材料中未提供具体的流动资金贷款需求测算过程及数据调整说明。 </w:t>
            </w:r>
            <w:r>
              <w:rPr>
                <w:rFonts w:hint="eastAsia"/>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snapToGrid w:val="0"/>
                <w:kern w:val="0"/>
                <w:szCs w:val="21"/>
                <w:highlight w:val="none"/>
                <w:lang w:val="en-US" w:eastAsia="zh-CN"/>
              </w:rPr>
              <w:t>3.</w:t>
            </w:r>
            <w:r>
              <w:rPr>
                <w:rFonts w:hint="eastAsia" w:ascii="宋体" w:hAnsi="宋体" w:cs="宋体"/>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 xml:space="preserve">①第一还款来源（经营性现金流分析）： 企业主营业务为智慧水利与智慧教育，经营性现金流主要来源于项目回款。智慧水利项目受国债资金落地带动，订单能见度较好，但回款周期长（行业典型180-360天），依赖地方财政拨付；智慧教育项目回款同样受预算拨付节奏影响。企业2025年销售商品、提供劳务收到的现金为10385万元（约10385万元），与营收规模基本匹配。需关注应收账款管理及项目验收进度对现金流的影响。 </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企业实际控制人黄祖海及其配偶康恩慧名下拥有私有房产一处（仓山区上渡街道通江路17号江南水都·杰座），可作为潜在增信措施。现有授信均由实际控制人黄祖海、关联方（陈其俤、福建中锐汉鼎信息技术有限公司等）及外部担保公司（福州市融资担保有限公司）提供连带责任保证。第二还款来源主要依赖于保证人的代偿能力及抵押物的变现价值。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①第一还款来源（经营性现金流分析）： 第一还款来源主要为企业主营业务形成的销售回款及经营现金回笼。材料显示水利占比46%、教育占比54%。2025年主营业务收入10010万元；净利润494万元；经营性现金流净额791万元。</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9"/>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9"/>
            <w:r>
              <w:rPr>
                <w:rStyle w:val="CommentReference"/>
              </w:rPr>
              <w:commentReference w:id="9"/>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十</w:t>
            </w:r>
            <w:r>
              <w:rPr>
                <w:rFonts w:hint="eastAsia" w:ascii="宋体" w:hAnsi="宋体" w:cs="宋体"/>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1</w:t>
            </w:r>
            <w:r>
              <w:rPr>
                <w:rFonts w:hint="eastAsia" w:ascii="宋体" w:hAnsi="宋体" w:cs="宋体"/>
                <w:color w:val="auto"/>
                <w:sz w:val="21"/>
                <w:szCs w:val="21"/>
                <w:highlight w:val="none"/>
                <w:lang w:val="en-US" w:eastAsia="zh-CN"/>
              </w:rPr>
              <w:t>.</w:t>
            </w:r>
            <w:r>
              <w:rPr>
                <w:rFonts w:hint="eastAsia" w:ascii="宋体" w:hAnsi="宋体" w:eastAsia="宋体" w:cs="宋体"/>
                <w:color w:val="auto"/>
                <w:sz w:val="21"/>
                <w:szCs w:val="21"/>
                <w:highlight w:val="none"/>
              </w:rPr>
              <w:t>抵押担保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如涉及</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sz w:val="18"/>
                      <w:szCs w:val="18"/>
                      <w:highlight w:val="none"/>
                    </w:rPr>
                    <w:t>抵押物</w:t>
                  </w:r>
                  <w:r>
                    <w:rPr>
                      <w:rFonts w:hint="eastAsia" w:ascii="宋体" w:hAnsi="宋体" w:cs="宋体"/>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sz w:val="18"/>
                      <w:szCs w:val="18"/>
                      <w:highlight w:val="none"/>
                      <w:lang w:val="en-US" w:eastAsia="zh-CN"/>
                    </w:rPr>
                    <w:t>自用/</w:t>
                  </w:r>
                  <w:r>
                    <w:rPr>
                      <w:rFonts w:hint="eastAsia" w:ascii="宋体" w:hAnsi="宋体" w:eastAsia="宋体" w:cs="宋体"/>
                      <w:sz w:val="18"/>
                      <w:szCs w:val="18"/>
                      <w:highlight w:val="none"/>
                      <w:lang w:eastAsia="zh-CN"/>
                    </w:rPr>
                    <w:t>出租</w:t>
                  </w:r>
                  <w:r>
                    <w:rPr>
                      <w:rFonts w:hint="eastAsia" w:ascii="宋体" w:hAnsi="宋体" w:eastAsia="宋体" w:cs="宋体"/>
                      <w:sz w:val="18"/>
                      <w:szCs w:val="18"/>
                      <w:highlight w:val="none"/>
                      <w:lang w:val="en-US" w:eastAsia="zh-CN"/>
                    </w:rPr>
                    <w:t>/空置</w:t>
                  </w:r>
                  <w:r>
                    <w:rPr>
                      <w:rFonts w:hint="eastAsia" w:ascii="宋体" w:hAnsi="宋体" w:eastAsia="宋体" w:cs="宋体"/>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抵押物为个人私有房产，位于仓山区上渡街道通江路17号江南水都·杰座，面积143.45平方米，权属证号为榕 房权证 R 字第 0838000 号，所有权人为康恩慧、黄祖海。需补充该房产的评估报告以确定评估净值及抵押率。</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2.</w:t>
            </w:r>
            <w:r>
              <w:rPr>
                <w:rFonts w:hint="eastAsia" w:ascii="宋体" w:hAnsi="宋体" w:eastAsia="宋体" w:cs="宋体"/>
                <w:sz w:val="21"/>
                <w:szCs w:val="21"/>
                <w:highlight w:val="none"/>
              </w:rPr>
              <w:t>公司担保</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如涉及</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保证人主要为借款人控股的关联企业，包括福建中锐汉鼎信息技术有限公司、福建中锐教育科技有限公司、北京中锐青云科技有限公司、厦门中锐软件科技有限公司及中锐海沃水利技术（福建）有限公司。保证人主要经营情况详见下表。保证人化型及对公PD评级、征信信息及风险涉诉情况材料未提供，需补充。</w:t>
              <w:br/>
              <w:br/>
              <w:t>保证人主要财务指标如下表所示，整体经营规模较小，除北京中锐青云外，其余保证人普遍处于微利、亏损或经营停滞状态。福建中锐汉鼎信息技术有限公司上年净亏损682万元，福建中锐教育科技有限公司与厦门中锐软件科技有限公司财务数据存疑，待人工核实。</w:t>
              <w:br/>
              <w:br/>
              <w:t>保证人（借款人）福建中锐网络股份有限公司财务分析：</w:t>
              <w:br/>
              <w:t>2025年，公司实现营业收入10010万元，同比增长14.9%；净利润494万元，同比增长50.1%，盈利能力显著改善。毛利率为38.0%，同比微降0.8个百分点；净利率为4.93%，同比提升1.2个百分点，主要得益于费用控制及规模效应。偿债能力方面，资产负债率为42.50%，较年初下降7.7个百分点；流动比率为1.82倍，较年初提升0.24倍，偿债压力有所缓解。营运效率呈现分化：应收账款周转天数为271天，同比缩短117天，回款管理改善；但存货周转天数为129天，同比延长49天，且显著高于软件信息业30-90天的典型区间，主要因定制化项目未验收沉淀为存货，存在积压风险。公司当期经营活动净现金流为791万元，经营现金流/净利润为1.60，现金流质量健康。综合来看，公司盈利与偿债能力增强，但存货周转恶化需关注，整体对贷款本息的覆盖能力尚可。</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color w:val="auto"/>
                <w:sz w:val="21"/>
                <w:szCs w:val="21"/>
                <w:highlight w:val="none"/>
                <w:lang w:val="en-US" w:eastAsia="zh-CN"/>
              </w:rPr>
              <w:t>本次担保涉及福州市融资担保有限公司。我行内部对该担保公司的审批结论（额度、风险分担比例、放大倍数、单户上限）未提供。需补充该担保公司最新对外担保总额、在我行担保余额、净资产及担保倍率数据，以判断其担保能力及本次担保是否符合准入要求。</w:t>
            </w:r>
            <w:r>
              <w:rPr>
                <w:rFonts w:hint="eastAsia" w:ascii="宋体" w:hAnsi="宋体" w:eastAsia="宋体" w:cs="宋体"/>
                <w:color w:val="auto"/>
                <w:sz w:val="21"/>
                <w:szCs w:val="21"/>
                <w:highlight w:val="none"/>
              </w:rPr>
            </w:r>
            <w:r>
              <w:rPr>
                <w:rFonts w:hint="eastAsia" w:ascii="宋体" w:hAnsi="宋体" w:eastAsia="宋体" w:cs="宋体"/>
                <w:color w:val="auto"/>
                <w:sz w:val="21"/>
                <w:szCs w:val="21"/>
                <w:highlight w:val="none"/>
                <w:lang w:eastAsia="zh-CN"/>
              </w:rPr>
            </w:r>
            <w:r>
              <w:rPr>
                <w:rFonts w:hint="eastAsia" w:ascii="宋体" w:hAnsi="宋体" w:eastAsia="宋体" w:cs="宋体"/>
                <w:color w:val="auto"/>
                <w:sz w:val="21"/>
                <w:szCs w:val="21"/>
                <w:highlight w:val="none"/>
                <w:lang w:val="en-US" w:eastAsia="zh-CN"/>
              </w:rPr>
            </w:r>
            <w:r>
              <w:rPr>
                <w:rFonts w:hint="eastAsia" w:ascii="宋体" w:hAnsi="宋体" w:cs="宋体"/>
                <w:color w:val="auto"/>
                <w:sz w:val="21"/>
                <w:szCs w:val="21"/>
                <w:highlight w:val="none"/>
                <w:lang w:val="en-US" w:eastAsia="zh-CN"/>
              </w:rPr>
            </w:r>
            <w:r>
              <w:rPr>
                <w:rFonts w:hint="eastAsia" w:ascii="宋体" w:hAnsi="宋体" w:eastAsia="宋体" w:cs="宋体"/>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4.</w:t>
            </w:r>
            <w:r>
              <w:rPr>
                <w:rFonts w:hint="eastAsia" w:ascii="宋体" w:hAnsi="宋体" w:eastAsia="宋体" w:cs="宋体"/>
                <w:sz w:val="21"/>
                <w:szCs w:val="21"/>
                <w:highlight w:val="none"/>
              </w:rPr>
              <w:t>个人担保</w:t>
            </w: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如：实控人及配偶</w:t>
            </w:r>
            <w:r>
              <w:rPr>
                <w:rFonts w:hint="eastAsia" w:ascii="宋体" w:hAnsi="宋体" w:cs="宋体"/>
                <w:sz w:val="21"/>
                <w:szCs w:val="21"/>
                <w:highlight w:val="none"/>
                <w:lang w:eastAsia="zh-CN"/>
              </w:rPr>
              <w:t>）</w:t>
            </w:r>
            <w:r>
              <w:rPr>
                <w:rFonts w:hint="eastAsia" w:ascii="宋体" w:hAnsi="宋体" w:eastAsia="宋体" w:cs="宋体"/>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5.</w:t>
            </w:r>
            <w:r>
              <w:rPr>
                <w:rFonts w:hint="eastAsia" w:ascii="宋体" w:hAnsi="宋体" w:eastAsia="宋体" w:cs="宋体"/>
                <w:sz w:val="21"/>
                <w:szCs w:val="21"/>
                <w:highlight w:val="none"/>
              </w:rPr>
              <w:t>信用方式</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Cs/>
                <w:snapToGrid w:val="0"/>
                <w:kern w:val="0"/>
                <w:szCs w:val="21"/>
                <w:highlight w:val="none"/>
              </w:rPr>
              <w:t>（十一）经营单位授信申报结论及方案：（围绕“现金流、杠杆率、可持续、垒小户、配结算、强担保”六要素展开 ，基于“六要素”综合评判客户是否准入，如何设置合理授信方案及贷后管控措施）</w:t>
              <w:br/>
              <w:br/>
              <w:t>现金流方面，企业2025年经营活动净现金流为791万元，经营现金流/净利润为1.60，销售商品收现/营收为1.04，现金流质量健康，对短期债务的覆盖能力尚可。杠杆率方面，资产负债率较年初下降5.0个百分点至42.5%，处于智慧水利行业40-60%及智慧教育行业35-55%的典型区间内，杠杆水平适中；流动比率与速动比率分别为1.82倍和1.51倍，均处于行业健康区间，短期偿债能力良好。可持续性方面，企业2025年营业收入同比增长14.9%至10010万元，净利润同比增长50.1%至494万元，净利率同比上升2.5个百分点至4.9%，盈利能力改善；但需关注存货较年初增长88.0%至2192万元，存货周转天数同比延长45天至129天，远超营收增速，存在积压风险；同时，应收账款周转天数同比缩短95天至271天，回款效率显著改善，但仍高于软件信息业典型区间，主要系项目制验收周期长及政府、大客户回款账期较长所致。垒小户方面，企业存量客户稳定，前五大客户销售占比合计31.51%，集中度尚可。配结算方面，企业在我行无结算账户，需补充主要结算银行流水及日均存款数据。强担保方面，企业现有融资担保方式主要为实际控制人黄祖海及其配偶康恩慧个人连带责任保证，并辅以关联企业福建中锐汉鼎信息技术有限公司担保，另有一处私有房产（仓山区上渡街道通江路17号江南水都·杰座）可作为潜在抵押物。</w:t>
              <w:br/>
              <w:br/>
              <w:t>综合六要素评判，企业基本面尚可，现金流健康，杠杆率适中，经营呈恢复性增长，具备一定准入基础。但需关注存货积压及关联企业福建中锐汉鼎信息技术有限公司净亏损682万元的风险。还款能力方面，年经营净现金流791万元对现有短期借款4730万元覆盖能力偏弱，授信需关注其现金流对债务的持续覆盖。基于现有信息，建议授信方案如下：授信金额可考虑在现有已用信总额（4440万元）基础上适度增加，用于补充流动资金；品种为流动资金贷款；期限1年；用途为支付上游采购款及项目运营费用；担保方式争取实际控制人黄祖海、康恩慧夫妇连带责任保证，并追加前述房产抵押；还款来源为企业经营回款；定价方案需根据客户综合贡献度确定；贷后管控措施需重点关注存货变动、关联方经营状况及融资资金回流我行情况。具体方案要素需与客户进一步沟通确认。</w:t>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rPr>
            </w:r>
            <w:r>
              <w:rPr>
                <w:rFonts w:hint="eastAsia" w:ascii="宋体" w:hAnsi="宋体" w:cs="宋体"/>
                <w:bCs/>
                <w:snapToGrid w:val="0"/>
                <w:kern w:val="0"/>
                <w:szCs w:val="21"/>
                <w:highlight w:val="none"/>
                <w:u w:val="single"/>
                <w:lang w:eastAsia="zh-CN"/>
              </w:rPr>
            </w:r>
            <w:r>
              <w:rPr>
                <w:rFonts w:hint="eastAsia" w:ascii="宋体" w:hAnsi="宋体" w:cs="宋体"/>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kern w:val="2"/>
                <w:sz w:val="21"/>
                <w:szCs w:val="21"/>
                <w:highlight w:val="none"/>
              </w:rPr>
              <w:t>1</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val="en-US" w:eastAsia="zh-CN"/>
              </w:rPr>
              <w:t>综合</w:t>
            </w:r>
            <w:r>
              <w:rPr>
                <w:rFonts w:hint="eastAsia" w:ascii="宋体" w:hAnsi="宋体" w:eastAsia="宋体" w:cs="宋体"/>
                <w:kern w:val="2"/>
                <w:sz w:val="21"/>
                <w:szCs w:val="21"/>
                <w:highlight w:val="none"/>
              </w:rPr>
              <w:t>评价</w:t>
            </w:r>
            <w:r>
              <w:rPr>
                <w:rFonts w:hint="eastAsia" w:ascii="宋体" w:hAnsi="宋体" w:eastAsia="宋体" w:cs="宋体"/>
                <w:kern w:val="2"/>
                <w:sz w:val="21"/>
                <w:szCs w:val="21"/>
                <w:highlight w:val="none"/>
                <w:lang w:eastAsia="zh-CN"/>
              </w:rPr>
              <w:t>（</w:t>
            </w:r>
            <w:r>
              <w:rPr>
                <w:rFonts w:hint="eastAsia" w:ascii="宋体" w:hAnsi="宋体" w:eastAsia="宋体" w:cs="宋体"/>
                <w:kern w:val="2"/>
                <w:sz w:val="21"/>
                <w:szCs w:val="21"/>
                <w:highlight w:val="none"/>
                <w:lang w:val="en-US" w:eastAsia="zh-CN"/>
              </w:rPr>
              <w:t>围绕</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val="en-US" w:eastAsia="zh-CN"/>
              </w:rPr>
              <w:t>六要素</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eastAsia="zh-CN"/>
              </w:rPr>
              <w:t>）</w:t>
            </w:r>
            <w:r>
              <w:rPr>
                <w:rFonts w:hint="eastAsia" w:ascii="宋体" w:hAnsi="宋体" w:cs="宋体"/>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现金流：借款人2025年经营活动净现金流791万元，同比增长（上年数据缺失，无法计算同比），经营现金流/净利润为1.60，销售商品收现/营收为1.04，现金流质量健康，净利润的现金保障程度良好。但需关注，公司短期借款4730万元，年经营现金流仅791万元，对短期债务的覆盖能力偏弱，短贷偿还主要依赖再融资滚动，第一还款来源的稳定性存压。</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杠杆率：借款人资产负债率由2024年末的42.50%下降至2025年末的42.5%（同比下降7.7个百分点），流动比率由1.81倍提升至1.82倍（较年初提升0.24倍），速动比率由1.45倍提升至1.51倍（较年初提升0.06倍）。主要归因于总负债较年初下降22.7%而所有者权益增长5.3%，使得杠杆水平降低，短期偿债指标均处于软件信息业合理区间，整体偿债能力有所改善。</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可持续：借款人主营业务为智慧水利与智慧教育，2025年研发投入1049万元，占营业收入（10010万元）约10.5%，具备持续研发能力。营业收入2022/2023/2024/2025年分别为21198.0万、12130.0万、8712.4万、10009.6万，2024年触底后于2025年反弹增长14.9%，主要受智慧水利行业政策订单拉动影响(据材料:2023-2024年在国债水利项目拉动下，智慧水利订单显著增长)。公司人员配备齐全，技术实力获省级奖项认可，可持续性发展趋势良好。</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Cs/>
                <w:snapToGrid w:val="0"/>
                <w:kern w:val="0"/>
                <w:szCs w:val="21"/>
                <w:highlight w:val="none"/>
                <w:u w:val="single"/>
                <w:lang w:val="en-US" w:eastAsia="zh-CN"/>
              </w:rPr>
              <w:t>垒小户：该公司现有合作银行8家，授信总额5640万元，已用4440万元，均为短期流贷。公司上下游客户稳定，主要客户为水利局及科技公司，企业抗风险能力尚可。配结算：借款人在我行开户时间较长，为存量客户。</w:t>
            </w:r>
            <w:r>
              <w:rPr>
                <w:rFonts w:hint="eastAsia" w:ascii="宋体" w:hAnsi="宋体" w:eastAsia="宋体" w:cs="宋体"/>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强担保：该公司名下可抵押资产信息需进一步核实，他行贷款均由实控人及关联方担保。</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基于以上六要素综合评判，借款人基本面尚可，但现金流对短期债务覆盖不足，主要依赖融资滚动。</w:t>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0"/>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2</w:t>
            </w:r>
            <w:r>
              <w:rPr>
                <w:rFonts w:hint="eastAsia" w:ascii="宋体" w:hAnsi="宋体" w:cs="宋体"/>
                <w:kern w:val="2"/>
                <w:sz w:val="21"/>
                <w:szCs w:val="21"/>
                <w:highlight w:val="none"/>
                <w:lang w:eastAsia="zh-CN"/>
              </w:rPr>
              <w:t>.</w:t>
            </w:r>
            <w:r>
              <w:rPr>
                <w:rFonts w:hint="eastAsia" w:ascii="宋体" w:hAnsi="宋体" w:cs="宋体"/>
                <w:kern w:val="2"/>
                <w:sz w:val="21"/>
                <w:szCs w:val="21"/>
                <w:highlight w:val="none"/>
                <w:lang w:val="en-US" w:eastAsia="zh-CN"/>
              </w:rPr>
              <w:t>申报</w:t>
            </w:r>
            <w:r>
              <w:rPr>
                <w:rFonts w:hint="eastAsia" w:ascii="宋体" w:hAnsi="宋体" w:eastAsia="宋体" w:cs="宋体"/>
                <w:kern w:val="2"/>
                <w:sz w:val="21"/>
                <w:szCs w:val="21"/>
                <w:highlight w:val="none"/>
              </w:rPr>
              <w:t>授信</w:t>
            </w:r>
            <w:r>
              <w:rPr>
                <w:rFonts w:hint="eastAsia" w:ascii="宋体" w:hAnsi="宋体" w:eastAsia="宋体" w:cs="宋体"/>
                <w:kern w:val="2"/>
                <w:sz w:val="21"/>
                <w:szCs w:val="21"/>
                <w:highlight w:val="none"/>
                <w:lang w:val="en-US" w:eastAsia="zh-CN"/>
              </w:rPr>
              <w:t>方案</w:t>
            </w:r>
            <w:r>
              <w:rPr>
                <w:rFonts w:hint="eastAsia" w:ascii="宋体" w:hAnsi="宋体" w:cs="宋体"/>
                <w:kern w:val="2"/>
                <w:sz w:val="21"/>
                <w:szCs w:val="21"/>
                <w:highlight w:val="none"/>
                <w:lang w:eastAsia="zh-CN"/>
              </w:rPr>
              <w:t>：</w:t>
            </w:r>
            <w:r>
              <w:rPr>
                <w:rFonts w:hint="eastAsia" w:ascii="宋体" w:hAnsi="宋体" w:cs="宋体"/>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kern w:val="2"/>
                <w:sz w:val="21"/>
                <w:szCs w:val="21"/>
                <w:highlight w:val="none"/>
                <w:u w:val="single"/>
                <w:lang w:val="en-US" w:eastAsia="zh-CN"/>
              </w:rPr>
              <w:t xml:space="preserve"> </w:t>
            </w:r>
            <w:commentRangeEnd w:id="10"/>
            <w:r>
              <w:rPr>
                <w:rStyle w:val="CommentReference"/>
              </w:rPr>
              <w:commentReference w:id="10"/>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snapToGrid w:val="0"/>
                <w:color w:val="auto"/>
                <w:kern w:val="0"/>
                <w:szCs w:val="21"/>
                <w:highlight w:val="cyan"/>
              </w:rPr>
              <w:t>尽职</w:t>
            </w:r>
            <w:r>
              <w:rPr>
                <w:rFonts w:hint="eastAsia" w:ascii="宋体" w:hAnsi="宋体" w:cs="宋体"/>
                <w:snapToGrid w:val="0"/>
                <w:color w:val="auto"/>
                <w:kern w:val="0"/>
                <w:szCs w:val="21"/>
                <w:highlight w:val="cyan"/>
                <w:lang w:val="en-US" w:eastAsia="zh-CN"/>
              </w:rPr>
              <w:t>调查</w:t>
            </w:r>
            <w:r>
              <w:rPr>
                <w:rFonts w:hint="eastAsia" w:ascii="宋体" w:hAnsi="宋体" w:cs="宋体"/>
                <w:snapToGrid w:val="0"/>
                <w:color w:val="auto"/>
                <w:kern w:val="0"/>
                <w:szCs w:val="21"/>
                <w:highlight w:val="cyan"/>
              </w:rPr>
              <w:t>：经营单位对上述材料真实性负责。</w:t>
            </w:r>
          </w:p>
          <w:p w14:paraId="6483A6E1">
            <w:commentRangeStart w:id="11"/>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1"/>
            <w:r>
              <w:rPr>
                <w:rStyle w:val="CommentReference"/>
              </w:rPr>
              <w:commentReference w:id="11"/>
            </w:r>
          </w:p>
          <w:p w14:paraId="6AC425A6">
            <w:commentRangeStart w:id="12"/>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2"/>
            <w:r>
              <w:rPr>
                <w:rStyle w:val="CommentReference"/>
              </w:rPr>
              <w:commentReference w:id="12"/>
            </w:r>
          </w:p>
          <w:p w14:paraId="2FC82B07">
            <w:commentRangeStart w:id="13"/>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3"/>
            <w:r>
              <w:rPr>
                <w:rStyle w:val="CommentReference"/>
              </w:rPr>
              <w:commentReference w:id="13"/>
            </w:r>
          </w:p>
          <w:p w14:paraId="269107E9">
            <w:commentRangeStart w:id="14"/>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4"/>
            <w:r>
              <w:rPr>
                <w:rStyle w:val="CommentReference"/>
              </w:rPr>
              <w:commentReference w:id="14"/>
            </w:r>
          </w:p>
          <w:p w14:paraId="3096CC3B">
            <w:commentRangeStart w:id="15"/>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5"/>
            <w:r>
              <w:rPr>
                <w:rStyle w:val="CommentReference"/>
              </w:rPr>
              <w:commentReference w:id="15"/>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bCs/>
                <w:snapToGrid w:val="0"/>
                <w:color w:val="000000"/>
                <w:kern w:val="0"/>
                <w:szCs w:val="21"/>
                <w:highlight w:val="none"/>
              </w:rPr>
              <w:t>普惠部审查岗意见</w:t>
            </w:r>
            <w:r>
              <w:rPr>
                <w:rFonts w:hint="eastAsia" w:ascii="宋体" w:hAnsi="宋体" w:cs="宋体"/>
                <w:bCs/>
                <w:snapToGrid w:val="0"/>
                <w:kern w:val="0"/>
                <w:szCs w:val="21"/>
                <w:highlight w:val="none"/>
                <w:lang w:eastAsia="zh-CN"/>
              </w:rPr>
              <w:t>（</w:t>
            </w:r>
            <w:r>
              <w:rPr>
                <w:rFonts w:hint="eastAsia" w:ascii="宋体" w:hAnsi="宋体" w:cs="宋体"/>
                <w:bCs/>
                <w:snapToGrid w:val="0"/>
                <w:kern w:val="0"/>
                <w:szCs w:val="21"/>
                <w:highlight w:val="none"/>
                <w:lang w:val="en-US" w:eastAsia="zh-CN"/>
              </w:rPr>
              <w:t>可另附</w:t>
            </w:r>
            <w:r>
              <w:rPr>
                <w:rFonts w:hint="eastAsia" w:ascii="宋体" w:hAnsi="宋体" w:cs="宋体"/>
                <w:bCs/>
                <w:snapToGrid w:val="0"/>
                <w:kern w:val="0"/>
                <w:szCs w:val="21"/>
                <w:highlight w:val="none"/>
                <w:lang w:eastAsia="zh-CN"/>
              </w:rPr>
              <w:t>）</w:t>
            </w:r>
            <w:r>
              <w:rPr>
                <w:rFonts w:hint="eastAsia" w:ascii="宋体" w:hAnsi="宋体" w:cs="宋体"/>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color w:val="auto"/>
                <w:kern w:val="2"/>
                <w:sz w:val="21"/>
                <w:szCs w:val="21"/>
                <w:highlight w:val="none"/>
                <w:lang w:val="en-US" w:eastAsia="zh-CN"/>
              </w:rPr>
              <w:t>主要风险及</w:t>
            </w:r>
            <w:r>
              <w:rPr>
                <w:rFonts w:hint="eastAsia" w:ascii="宋体" w:hAnsi="宋体"/>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1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6"/>
            <w:r>
              <w:rPr>
                <w:rStyle w:val="CommentReference"/>
              </w:rPr>
              <w:commentReference w:id="16"/>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17"/>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7"/>
            <w:r>
              <w:rPr>
                <w:rStyle w:val="CommentReference"/>
              </w:rPr>
              <w:commentReference w:id="17"/>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5T17:47:42Z" w:initials="Agent">
    <w:p>
      <w:r>
        <w:rPr>
          <w:rStyle w:val="CommentReference"/>
        </w:rPr>
        <w:annotationRef/>
      </w:r>
      <w:r>
        <w:t xml:space="preserve">该处“申报单位”仍为空白，请人工确认。</w:t>
      </w:r>
    </w:p>
  </w:comment>
  <w:comment w:id="1" w:author="信贷报告 Agent" w:date="2026-04-15T17:47:42Z" w:initials="Agent">
    <w:p>
      <w:r>
        <w:rPr>
          <w:rStyle w:val="CommentReference"/>
        </w:rPr>
        <w:annotationRef/>
      </w:r>
      <w:r>
        <w:t xml:space="preserve">该处“小类）”仍为空白，请人工确认。</w:t>
      </w:r>
    </w:p>
  </w:comment>
  <w:comment w:id="2" w:author="信贷报告 Agent" w:date="2026-04-15T17:47:42Z" w:initials="Agent">
    <w:p>
      <w:r>
        <w:rPr>
          <w:rStyle w:val="CommentReference"/>
        </w:rPr>
        <w:annotationRef/>
      </w:r>
      <w:r>
        <w:t xml:space="preserve">该处“绿通标识”仍为空白，请人工确认。</w:t>
      </w:r>
    </w:p>
  </w:comment>
  <w:comment w:id="3" w:author="信贷报告 Agent" w:date="2026-04-15T17:47:42Z" w:initials="Agent">
    <w:p>
      <w:r>
        <w:rPr>
          <w:rStyle w:val="CommentReference"/>
        </w:rPr>
        <w:annotationRef/>
      </w:r>
      <w:r>
        <w:t xml:space="preserve">该处“过往两年企业股权变动情况及变动原因”仍为空白，请人工确认。</w:t>
      </w:r>
    </w:p>
  </w:comment>
  <w:comment w:id="4" w:author="信贷报告 Agent" w:date="2026-04-15T17:47:42Z" w:initials="Agent">
    <w:p>
      <w:r>
        <w:rPr>
          <w:rStyle w:val="CommentReference"/>
        </w:rPr>
        <w:annotationRef/>
      </w:r>
      <w:r>
        <w:t xml:space="preserve">该处“分析原因”仍为空白，请人工确认。</w:t>
      </w:r>
    </w:p>
  </w:comment>
  <w:comment w:id="5" w:author="信贷报告 Agent" w:date="2026-04-15T17:47:42Z" w:initials="Agent">
    <w:p>
      <w:r>
        <w:rPr>
          <w:rStyle w:val="CommentReference"/>
        </w:rPr>
        <w:annotationRef/>
      </w:r>
      <w:r>
        <w:t xml:space="preserve">该处“企业近三年财务数据已通过税务申报与银行流水交叉验证，数据真实”仍为待补充，请人工补充。</w:t>
      </w:r>
    </w:p>
  </w:comment>
  <w:comment w:id="6" w:author="信贷报告 Agent" w:date="2026-04-15T17:47:42Z" w:initials="Agent">
    <w:p>
      <w:r>
        <w:rPr>
          <w:rStyle w:val="CommentReference"/>
        </w:rPr>
        <w:annotationRef/>
      </w:r>
      <w:r>
        <w:t xml:space="preserve">该处“务数据，其中______年报由”仍为模板占位符，请人工核实。；该处“其中”仍为空白，请人工确认。</w:t>
      </w:r>
    </w:p>
  </w:comment>
  <w:comment w:id="7" w:author="信贷报告 Agent" w:date="2026-04-15T17:47:42Z" w:initials="Agent">
    <w:p>
      <w:r>
        <w:rPr>
          <w:rStyle w:val="CommentReference"/>
        </w:rPr>
        <w:annotationRef/>
      </w:r>
      <w:r>
        <w:t xml:space="preserve">该处“（若有）对外担保情况”仍为空白，请人工确认。</w:t>
      </w:r>
    </w:p>
  </w:comment>
  <w:comment w:id="8" w:author="信贷报告 Agent" w:date="2026-04-15T17:47:42Z" w:initials="Agent">
    <w:p>
      <w:r>
        <w:rPr>
          <w:rStyle w:val="CommentReference"/>
        </w:rPr>
        <w:annotationRef/>
      </w:r>
      <w:r>
        <w:t xml:space="preserve">该处“为中行个人经营贷款，经营主体为”仍为模板占位符，请人工核实。</w:t>
      </w:r>
    </w:p>
  </w:comment>
  <w:comment w:id="9" w:author="信贷报告 Agent" w:date="2026-04-15T17:47:42Z" w:initials="Agent">
    <w:p>
      <w:r>
        <w:rPr>
          <w:rStyle w:val="CommentReference"/>
        </w:rPr>
        <w:annotationRef/>
      </w:r>
      <w:r>
        <w:t xml:space="preserve">该处“变动原因”仍为空白，请人工确认。</w:t>
      </w:r>
    </w:p>
  </w:comment>
  <w:comment w:id="10" w:author="信贷报告 Agent" w:date="2026-04-15T17:47:42Z" w:initials="Agent">
    <w:p>
      <w:r>
        <w:rPr>
          <w:rStyle w:val="CommentReference"/>
        </w:rPr>
        <w:annotationRef/>
      </w:r>
      <w:r>
        <w:t xml:space="preserve">该处“予借款人授信敞口1000万元，”仍为模板占位符，请人工核实。</w:t>
      </w:r>
    </w:p>
  </w:comment>
  <w:comment w:id="11" w:author="信贷报告 Agent" w:date="2026-04-15T17:47:42Z" w:initials="Agent">
    <w:p>
      <w:r>
        <w:rPr>
          <w:rStyle w:val="CommentReference"/>
        </w:rPr>
        <w:annotationRef/>
      </w:r>
      <w:r>
        <w:t xml:space="preserve">该处“客户经理”仍为空白，请人工确认。</w:t>
      </w:r>
    </w:p>
  </w:comment>
  <w:comment w:id="12" w:author="信贷报告 Agent" w:date="2026-04-15T17:47:42Z" w:initials="Agent">
    <w:p>
      <w:r>
        <w:rPr>
          <w:rStyle w:val="CommentReference"/>
        </w:rPr>
        <w:annotationRef/>
      </w:r>
      <w:r>
        <w:t xml:space="preserve">该处“共同调查人”仍为空白，请人工确认。</w:t>
      </w:r>
    </w:p>
  </w:comment>
  <w:comment w:id="13" w:author="信贷报告 Agent" w:date="2026-04-15T17:47:42Z" w:initials="Agent">
    <w:p>
      <w:r>
        <w:rPr>
          <w:rStyle w:val="CommentReference"/>
        </w:rPr>
        <w:annotationRef/>
      </w:r>
      <w:r>
        <w:t xml:space="preserve">该处“二级支行行长”仍为空白，请人工确认。</w:t>
      </w:r>
    </w:p>
  </w:comment>
  <w:comment w:id="14" w:author="信贷报告 Agent" w:date="2026-04-15T17:47:42Z" w:initials="Agent">
    <w:p>
      <w:r>
        <w:rPr>
          <w:rStyle w:val="CommentReference"/>
        </w:rPr>
        <w:annotationRef/>
      </w:r>
      <w:r>
        <w:t xml:space="preserve">该处“分管行长”仍为空白，请人工确认。</w:t>
      </w:r>
    </w:p>
  </w:comment>
  <w:comment w:id="15" w:author="信贷报告 Agent" w:date="2026-04-15T17:47:42Z" w:initials="Agent">
    <w:p>
      <w:r>
        <w:rPr>
          <w:rStyle w:val="CommentReference"/>
        </w:rPr>
        <w:annotationRef/>
      </w:r>
      <w:r>
        <w:t xml:space="preserve">该处“行长”仍为空白，请人工确认。</w:t>
      </w:r>
    </w:p>
  </w:comment>
  <w:comment w:id="16" w:author="信贷报告 Agent" w:date="2026-04-15T17:47:42Z" w:initials="Agent">
    <w:p>
      <w:r>
        <w:rPr>
          <w:rStyle w:val="CommentReference"/>
        </w:rPr>
        <w:annotationRef/>
      </w:r>
      <w:r>
        <w:t xml:space="preserve">该处“审查员”仍为空白，请人工确认。</w:t>
      </w:r>
    </w:p>
  </w:comment>
  <w:comment w:id="17" w:author="信贷报告 Agent" w:date="2026-04-15T17:47:42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