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 w:val="32"/>
                <w:szCs w:val="32"/>
                <w:lang w:eastAsia="zh-CN"/>
              </w:rPr>
              <w:t>福建省分行普惠法人授信申报及审查审批意见表（2025新版）</w:t>
            </w:r>
            <w:r>
              <w:rPr>
                <w:rFonts w:hint="eastAsia" w:ascii="宋体" w:hAnsi="宋体" w:cs="宋体"/>
                <w:snapToGrid w:val="0"/>
                <w:color w:val="000000"/>
                <w:kern w:val="0"/>
                <w:sz w:val="32"/>
                <w:szCs w:val="32"/>
              </w:rPr>
            </w:r>
            <w:r>
              <w:rPr>
                <w:rFonts w:hint="eastAsia" w:ascii="宋体" w:hAnsi="宋体" w:cs="宋体"/>
                <w:snapToGrid w:val="0"/>
                <w:color w:val="000000"/>
                <w:kern w:val="0"/>
                <w:sz w:val="32"/>
                <w:szCs w:val="32"/>
                <w:lang w:val="en-US" w:eastAsia="zh-CN"/>
              </w:rPr>
            </w:r>
            <w:r>
              <w:rPr>
                <w:rFonts w:hint="eastAsia" w:ascii="宋体" w:hAnsi="宋体" w:cs="宋体"/>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sz w:val="21"/>
                <w:szCs w:val="21"/>
                <w:highlight w:val="none"/>
                <w:lang w:val="en-US" w:eastAsia="zh-CN"/>
              </w:rPr>
              <w:t>申报单位：客户经理：联系电话：</w:t>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i w:val="0"/>
                <w:iCs w:val="0"/>
                <w:sz w:val="21"/>
                <w:szCs w:val="21"/>
                <w:highlight w:val="none"/>
              </w:rPr>
            </w:r>
            <w:r>
              <w:rPr>
                <w:rFonts w:hint="eastAsia" w:ascii="宋体" w:hAnsi="宋体" w:eastAsia="宋体" w:cs="宋体"/>
                <w:i w:val="0"/>
                <w:iCs w:val="0"/>
                <w:sz w:val="21"/>
                <w:szCs w:val="21"/>
                <w:highlight w:val="none"/>
                <w:lang w:eastAsia="zh-CN"/>
              </w:rPr>
            </w:r>
            <w:r>
              <w:rPr>
                <w:rFonts w:hint="eastAsia" w:ascii="宋体" w:hAnsi="宋体" w:eastAsia="宋体" w:cs="宋体"/>
                <w:i w:val="0"/>
                <w:iCs w:val="0"/>
                <w:sz w:val="21"/>
                <w:szCs w:val="21"/>
                <w:highlight w:val="none"/>
                <w:lang w:val="en-US" w:eastAsia="zh-CN"/>
              </w:rPr>
            </w:r>
            <w:r>
              <w:rPr>
                <w:rFonts w:hint="eastAsia" w:ascii="宋体" w:hAnsi="宋体" w:eastAsia="宋体" w:cs="宋体"/>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rPr>
              <w:t>授信</w:t>
            </w:r>
            <w:r>
              <w:rPr>
                <w:rFonts w:hint="eastAsia" w:ascii="宋体" w:hAnsi="宋体" w:cs="宋体"/>
                <w:bCs/>
                <w:snapToGrid w:val="0"/>
                <w:kern w:val="0"/>
                <w:szCs w:val="21"/>
                <w:lang w:eastAsia="zh-CN"/>
              </w:rPr>
              <w:t>方案</w:t>
            </w:r>
            <w:r>
              <w:rPr>
                <w:rFonts w:hint="eastAsia" w:ascii="宋体" w:hAnsi="宋体" w:cs="宋体"/>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Cs/>
                <w:snapToGrid w:val="0"/>
                <w:kern w:val="0"/>
                <w:szCs w:val="21"/>
              </w:rPr>
              <w:t>☑</w:t>
            </w:r>
            <w:r>
              <w:rPr>
                <w:rFonts w:hint="eastAsia" w:ascii="宋体" w:hAnsi="宋体" w:cs="宋体"/>
                <w:bCs/>
                <w:snapToGrid w:val="0"/>
                <w:kern w:val="0"/>
                <w:szCs w:val="21"/>
                <w:lang w:eastAsia="zh-CN"/>
              </w:rPr>
              <w:t>存量</w:t>
            </w:r>
            <w:r>
              <w:rPr>
                <w:rFonts w:hint="eastAsia" w:ascii="宋体" w:hAnsi="宋体" w:cs="宋体"/>
                <w:bCs/>
                <w:snapToGrid w:val="0"/>
                <w:kern w:val="0"/>
                <w:szCs w:val="21"/>
              </w:rPr>
              <w:t>客户</w:t>
            </w:r>
            <w:r>
              <w:rPr>
                <w:rFonts w:hint="eastAsia" w:ascii="宋体" w:hAnsi="宋体" w:cs="宋体"/>
                <w:bCs/>
                <w:snapToGrid w:val="0"/>
                <w:kern w:val="0"/>
                <w:szCs w:val="21"/>
                <w:lang w:eastAsia="zh-CN"/>
              </w:rPr>
              <w:t>（</w:t>
            </w:r>
            <w:r>
              <w:rPr>
                <w:rFonts w:hint="eastAsia" w:ascii="宋体" w:hAnsi="宋体" w:cs="宋体"/>
                <w:bCs/>
                <w:szCs w:val="21"/>
              </w:rPr>
              <w:t>原有额度批复日期</w:t>
            </w:r>
            <w:r>
              <w:rPr>
                <w:rFonts w:hint="eastAsia" w:ascii="宋体" w:hAnsi="宋体" w:cs="宋体"/>
                <w:bCs/>
                <w:snapToGrid w:val="0"/>
                <w:kern w:val="0"/>
                <w:szCs w:val="21"/>
                <w:lang w:val="en-US" w:eastAsia="zh-CN"/>
              </w:rPr>
              <w:t>:</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年</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月</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日</w:t>
            </w:r>
            <w:r>
              <w:rPr>
                <w:rFonts w:hint="eastAsia" w:ascii="宋体" w:hAnsi="宋体" w:cs="宋体"/>
                <w:bCs/>
                <w:snapToGrid w:val="0"/>
                <w:kern w:val="0"/>
                <w:szCs w:val="21"/>
                <w:lang w:eastAsia="zh-CN"/>
              </w:rPr>
              <w:t>）</w:t>
            </w:r>
            <w:r>
              <w:rPr>
                <w:rFonts w:hint="eastAsia" w:ascii="宋体" w:hAnsi="宋体" w:cs="宋体"/>
                <w:bCs/>
                <w:snapToGrid w:val="0"/>
                <w:kern w:val="0"/>
                <w:szCs w:val="21"/>
              </w:rPr>
              <w:t xml:space="preserve">☑维持 </w:t>
            </w:r>
            <w:r>
              <w:rPr>
                <w:rFonts w:hint="eastAsia" w:ascii="宋体" w:hAnsi="宋体" w:cs="宋体"/>
                <w:bCs/>
                <w:snapToGrid w:val="0"/>
                <w:kern w:val="0"/>
                <w:szCs w:val="21"/>
              </w:rPr>
              <w:sym w:font="Wingdings 2" w:char="00A3"/>
            </w:r>
            <w:r>
              <w:rPr>
                <w:rFonts w:hint="eastAsia" w:ascii="宋体" w:hAnsi="宋体" w:cs="宋体"/>
                <w:bCs/>
                <w:snapToGrid w:val="0"/>
                <w:kern w:val="0"/>
                <w:szCs w:val="21"/>
              </w:rPr>
              <w:t>增加</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□减少</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cs="宋体"/>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Cs/>
                <w:snapToGrid w:val="0"/>
                <w:color w:val="000000"/>
                <w:kern w:val="0"/>
                <w:szCs w:val="21"/>
                <w:lang w:eastAsia="zh-CN"/>
              </w:rPr>
              <w:t>国标</w:t>
            </w:r>
            <w:r>
              <w:rPr>
                <w:rFonts w:hint="eastAsia" w:ascii="宋体" w:hAnsi="宋体" w:cs="宋体"/>
                <w:bCs/>
                <w:snapToGrid w:val="0"/>
                <w:color w:val="000000"/>
                <w:kern w:val="0"/>
                <w:szCs w:val="21"/>
              </w:rPr>
              <w:t>行业</w:t>
            </w:r>
            <w:r>
              <w:rPr>
                <w:rFonts w:hint="eastAsia" w:ascii="宋体" w:hAnsi="宋体" w:eastAsia="宋体" w:cs="宋体"/>
                <w:bCs/>
                <w:snapToGrid w:val="0"/>
                <w:kern w:val="0"/>
                <w:szCs w:val="21"/>
                <w:lang w:eastAsia="zh-CN"/>
              </w:rPr>
              <w:t>（</w:t>
            </w:r>
            <w:r>
              <w:rPr>
                <w:rFonts w:hint="eastAsia" w:ascii="宋体" w:hAnsi="宋体" w:eastAsia="宋体" w:cs="宋体"/>
                <w:bCs/>
                <w:snapToGrid w:val="0"/>
                <w:kern w:val="0"/>
                <w:szCs w:val="21"/>
                <w:lang w:val="en-US" w:eastAsia="zh-CN"/>
              </w:rPr>
              <w:t>门类-大类-中类-小类</w:t>
            </w:r>
            <w:r>
              <w:rPr>
                <w:rFonts w:hint="eastAsia" w:ascii="宋体" w:hAnsi="宋体" w:eastAsia="宋体" w:cs="宋体"/>
                <w:bCs/>
                <w:snapToGrid w:val="0"/>
                <w:kern w:val="0"/>
                <w:szCs w:val="21"/>
                <w:lang w:eastAsia="zh-CN"/>
              </w:rPr>
              <w:t>）</w:t>
            </w:r>
            <w:r>
              <w:rPr>
                <w:rFonts w:hint="eastAsia" w:ascii="宋体" w:hAnsi="宋体" w:cs="宋体"/>
                <w:bCs/>
                <w:snapToGrid w:val="0"/>
                <w:color w:val="000000"/>
                <w:kern w:val="0"/>
                <w:szCs w:val="21"/>
              </w:rPr>
              <w:t>：</w:t>
            </w:r>
            <w:r>
              <w:rPr>
                <w:rFonts w:hint="eastAsia" w:ascii="宋体" w:hAnsi="宋体" w:cs="宋体"/>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lang w:eastAsia="zh-CN"/>
              </w:rPr>
              <w:t>规模</w:t>
            </w:r>
            <w:r>
              <w:rPr>
                <w:rFonts w:hint="eastAsia" w:ascii="宋体" w:hAnsi="宋体" w:cs="宋体"/>
                <w:bCs/>
                <w:snapToGrid w:val="0"/>
                <w:kern w:val="0"/>
                <w:szCs w:val="21"/>
              </w:rPr>
              <w:t>划型：□微型 ☑小型 □中型</w:t>
            </w:r>
            <w:r>
              <w:rPr>
                <w:rFonts w:hint="eastAsia" w:ascii="宋体" w:hAnsi="宋体" w:cs="宋体"/>
                <w:bCs/>
                <w:snapToGrid w:val="0"/>
                <w:kern w:val="0"/>
                <w:szCs w:val="21"/>
                <w:lang w:eastAsia="zh-CN"/>
              </w:rPr>
              <w:t>，</w:t>
            </w:r>
            <w:r>
              <w:rPr>
                <w:rFonts w:hint="eastAsia" w:ascii="宋体" w:hAnsi="宋体" w:eastAsia="宋体" w:cs="宋体"/>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Cs/>
                <w:snapToGrid w:val="0"/>
                <w:kern w:val="0"/>
                <w:szCs w:val="21"/>
                <w:lang w:val="en-US" w:eastAsia="zh-CN"/>
              </w:rPr>
              <w:t>划型要素：上年度资产总额 16956万元；上年度销售额 10010万元；上年度末员工人数 73 人</w:t>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Cs/>
                <w:snapToGrid w:val="0"/>
                <w:kern w:val="0"/>
                <w:szCs w:val="21"/>
                <w:lang w:val="en-US" w:eastAsia="zh-CN"/>
              </w:rPr>
              <w:t>环境、社会和治理风险分类</w:t>
            </w:r>
            <w:r>
              <w:rPr>
                <w:rFonts w:hint="eastAsia" w:ascii="宋体" w:hAnsi="宋体" w:eastAsia="宋体" w:cs="宋体"/>
                <w:bCs/>
                <w:strike w:val="0"/>
                <w:dstrike w:val="0"/>
                <w:sz w:val="21"/>
                <w:szCs w:val="21"/>
                <w:highlight w:val="none"/>
                <w:lang w:val="en-US" w:eastAsia="zh-CN"/>
              </w:rPr>
              <w:t>（ESG评价）</w:t>
            </w:r>
            <w:r>
              <w:rPr>
                <w:rFonts w:hint="eastAsia" w:ascii="宋体" w:hAnsi="宋体" w:eastAsia="宋体" w:cs="宋体"/>
                <w:bCs/>
                <w:snapToGrid w:val="0"/>
                <w:kern w:val="0"/>
                <w:szCs w:val="21"/>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A</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val="en-US" w:eastAsia="zh-CN"/>
              </w:rPr>
              <w:t xml:space="preserve">B </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C</w:t>
            </w:r>
            <w:r>
              <w:rPr>
                <w:rFonts w:hint="eastAsia" w:ascii="宋体" w:hAnsi="宋体" w:eastAsia="宋体" w:cs="宋体"/>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Cs/>
                <w:snapToGrid w:val="0"/>
                <w:kern w:val="0"/>
                <w:szCs w:val="21"/>
                <w:lang w:val="en-US" w:eastAsia="zh-CN"/>
              </w:rPr>
              <w:t>反洗钱</w:t>
            </w:r>
            <w:r>
              <w:rPr>
                <w:rFonts w:hint="eastAsia" w:ascii="宋体" w:hAnsi="宋体" w:eastAsia="宋体" w:cs="宋体"/>
                <w:bCs/>
                <w:sz w:val="21"/>
                <w:szCs w:val="21"/>
                <w:highlight w:val="none"/>
                <w:lang w:val="en-US" w:eastAsia="zh-CN"/>
              </w:rPr>
              <w:t>风险等级：</w:t>
            </w:r>
            <w:r>
              <w:rPr>
                <w:rFonts w:hint="eastAsia" w:ascii="宋体" w:hAnsi="宋体" w:cs="宋体"/>
                <w:bCs/>
                <w:snapToGrid w:val="0"/>
                <w:kern w:val="0"/>
                <w:szCs w:val="21"/>
              </w:rPr>
              <w:t>☑</w:t>
            </w:r>
            <w:r>
              <w:rPr>
                <w:rFonts w:hint="eastAsia" w:ascii="宋体" w:hAnsi="宋体" w:cs="宋体"/>
                <w:bCs/>
                <w:snapToGrid w:val="0"/>
                <w:kern w:val="0"/>
                <w:szCs w:val="21"/>
                <w:lang w:eastAsia="zh-CN"/>
              </w:rPr>
              <w:t>低</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eastAsia="zh-CN"/>
              </w:rPr>
              <w:t>一般</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较高（</w:t>
            </w:r>
            <w:r>
              <w:rPr>
                <w:rFonts w:hint="eastAsia" w:ascii="宋体" w:hAnsi="宋体" w:eastAsia="宋体" w:cs="宋体"/>
                <w:bCs/>
                <w:strike w:val="0"/>
                <w:dstrike w:val="0"/>
                <w:sz w:val="21"/>
                <w:szCs w:val="21"/>
                <w:highlight w:val="none"/>
                <w:lang w:val="en-US" w:eastAsia="zh-CN"/>
              </w:rPr>
              <w:t>须在其他负面信息栏说明</w:t>
            </w:r>
            <w:r>
              <w:rPr>
                <w:rFonts w:hint="eastAsia" w:ascii="宋体" w:hAnsi="宋体" w:eastAsia="宋体" w:cs="宋体"/>
                <w:bCs/>
                <w:sz w:val="21"/>
                <w:szCs w:val="21"/>
                <w:highlight w:val="none"/>
                <w:lang w:eastAsia="zh-CN"/>
              </w:rPr>
              <w:t>）；</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高（</w:t>
            </w:r>
            <w:r>
              <w:rPr>
                <w:rFonts w:hint="eastAsia" w:ascii="宋体" w:hAnsi="宋体" w:eastAsia="宋体" w:cs="宋体"/>
                <w:bCs/>
                <w:sz w:val="21"/>
                <w:szCs w:val="21"/>
                <w:highlight w:val="none"/>
                <w:lang w:val="en-US" w:eastAsia="zh-CN"/>
              </w:rPr>
              <w:t>不得准入</w:t>
            </w:r>
            <w:r>
              <w:rPr>
                <w:rFonts w:hint="eastAsia" w:ascii="宋体" w:hAnsi="宋体" w:eastAsia="宋体" w:cs="宋体"/>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Cs/>
                <w:snapToGrid w:val="0"/>
                <w:kern w:val="0"/>
                <w:sz w:val="21"/>
                <w:szCs w:val="21"/>
                <w:lang w:val="en-US" w:eastAsia="zh-CN" w:bidi="ar-SA"/>
              </w:rPr>
              <w:t>绿通标识：</w:t>
            </w:r>
            <w:r>
              <w:rPr>
                <w:rFonts w:hint="eastAsia" w:ascii="宋体" w:hAnsi="宋体" w:cs="宋体"/>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Cs/>
                <w:snapToGrid w:val="0"/>
                <w:color w:val="000000"/>
                <w:kern w:val="0"/>
                <w:szCs w:val="21"/>
                <w:highlight w:val="none"/>
                <w:lang w:eastAsia="zh-CN"/>
              </w:rPr>
              <w:t>一、</w:t>
            </w:r>
            <w:r>
              <w:rPr>
                <w:rFonts w:hint="eastAsia" w:ascii="宋体" w:hAnsi="宋体" w:eastAsia="宋体" w:cs="宋体"/>
                <w:bCs/>
                <w:snapToGrid w:val="0"/>
                <w:color w:val="000000"/>
                <w:kern w:val="0"/>
                <w:szCs w:val="21"/>
                <w:highlight w:val="none"/>
              </w:rPr>
              <w:t>经营单位</w:t>
            </w:r>
            <w:r>
              <w:rPr>
                <w:rFonts w:hint="eastAsia" w:ascii="宋体" w:hAnsi="宋体" w:eastAsia="宋体" w:cs="宋体"/>
                <w:bCs/>
                <w:snapToGrid w:val="0"/>
                <w:color w:val="000000"/>
                <w:kern w:val="0"/>
                <w:szCs w:val="21"/>
                <w:highlight w:val="none"/>
                <w:lang w:eastAsia="zh-CN"/>
              </w:rPr>
              <w:t>尽调</w:t>
            </w:r>
            <w:r>
              <w:rPr>
                <w:rFonts w:hint="eastAsia" w:ascii="宋体" w:hAnsi="宋体" w:eastAsia="宋体" w:cs="宋体"/>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（一）</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市马尾区罗星东路2号海峡经贸福州保税区综合大楼15层20#。实际主营业务为智慧水利与智慧教育解决方案的研发与销售。上年度末社保人数69人；注册资本：4100万元、实收资本：4100万元；法定代表人：黄祖海。股权穿透后实际控制人为黄祖海，持股比例详见下表。最新股权结构表详见下表。过往两年企业股权变动情况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Cs/>
                <w:sz w:val="21"/>
                <w:szCs w:val="21"/>
                <w:highlight w:val="none"/>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eastAsia="zh-CN"/>
              </w:rPr>
              <w:t>排污</w:t>
            </w:r>
            <w:r>
              <w:rPr>
                <w:rFonts w:hint="eastAsia" w:ascii="宋体" w:hAnsi="宋体" w:eastAsia="宋体" w:cs="宋体"/>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其他</w:t>
            </w:r>
            <w:r>
              <w:rPr>
                <w:rFonts w:hint="eastAsia" w:ascii="宋体" w:hAnsi="宋体" w:eastAsia="宋体" w:cs="宋体"/>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根据材料，未提供近两年企业股权变动情况及变动原因。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snapToGrid w:val="0"/>
                <w:color w:val="000000"/>
                <w:kern w:val="0"/>
                <w:szCs w:val="21"/>
                <w:lang w:val="en-US" w:eastAsia="zh-CN"/>
              </w:rPr>
              <w:t>材料未提供面访时间、双方会面人员及实控人经营风格、行业人脉、专注业务发展等具体评价。</w:t>
            </w:r>
            <w:r>
              <w:rPr>
                <w:rFonts w:hint="eastAsia" w:ascii="宋体" w:hAnsi="宋体" w:cs="宋体"/>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snapToGrid w:val="0"/>
                <w:color w:val="000000"/>
                <w:kern w:val="0"/>
                <w:szCs w:val="21"/>
                <w:lang w:val="en-US" w:eastAsia="zh-CN"/>
              </w:rPr>
              <w:t>实地走访情况材料未提供。</w:t>
            </w:r>
            <w:r>
              <w:rPr>
                <w:rFonts w:hint="eastAsia" w:ascii="宋体" w:hAnsi="宋体" w:cs="宋体"/>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Cs/>
                <w:kern w:val="2"/>
                <w:sz w:val="21"/>
                <w:szCs w:val="21"/>
                <w:highlight w:val="none"/>
                <w:lang w:val="en-US" w:eastAsia="zh-CN"/>
              </w:rPr>
              <w:t>※</w:t>
            </w:r>
            <w:r>
              <w:rPr>
                <w:rFonts w:hint="eastAsia" w:ascii="宋体" w:hAnsi="宋体" w:cs="宋体"/>
                <w:bCs/>
                <w:kern w:val="2"/>
                <w:sz w:val="21"/>
                <w:szCs w:val="21"/>
                <w:highlight w:val="none"/>
                <w:lang w:val="en-US" w:eastAsia="zh-CN"/>
              </w:rPr>
              <w:t>4.</w:t>
            </w:r>
            <w:r>
              <w:rPr>
                <w:rFonts w:hint="eastAsia" w:ascii="宋体" w:hAnsi="宋体" w:eastAsia="宋体" w:cs="宋体"/>
                <w:bCs/>
                <w:kern w:val="2"/>
                <w:sz w:val="21"/>
                <w:szCs w:val="21"/>
                <w:highlight w:val="none"/>
                <w:lang w:val="en-US" w:eastAsia="zh-CN"/>
              </w:rPr>
              <w:t>历年</w:t>
            </w:r>
            <w:r>
              <w:rPr>
                <w:rFonts w:hint="eastAsia" w:ascii="宋体" w:hAnsi="宋体" w:cs="宋体"/>
                <w:bCs/>
                <w:kern w:val="2"/>
                <w:sz w:val="21"/>
                <w:szCs w:val="21"/>
                <w:highlight w:val="none"/>
                <w:lang w:val="en-US" w:eastAsia="zh-CN"/>
              </w:rPr>
              <w:t>股权</w:t>
            </w:r>
            <w:r>
              <w:rPr>
                <w:rFonts w:hint="eastAsia" w:ascii="宋体" w:hAnsi="宋体" w:eastAsia="宋体" w:cs="宋体"/>
                <w:bCs/>
                <w:kern w:val="2"/>
                <w:sz w:val="21"/>
                <w:szCs w:val="21"/>
                <w:highlight w:val="none"/>
                <w:lang w:val="en-US" w:eastAsia="zh-CN"/>
              </w:rPr>
              <w:t>融资情况</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如</w:t>
            </w:r>
            <w:r>
              <w:rPr>
                <w:rFonts w:hint="eastAsia" w:ascii="宋体" w:hAnsi="宋体" w:eastAsia="宋体" w:cs="宋体"/>
                <w:sz w:val="21"/>
                <w:szCs w:val="21"/>
                <w:highlight w:val="none"/>
                <w:lang w:val="en-US" w:eastAsia="zh-CN"/>
              </w:rPr>
              <w:t>为</w:t>
            </w:r>
            <w:r>
              <w:rPr>
                <w:rFonts w:hint="eastAsia" w:ascii="宋体" w:hAnsi="宋体" w:cs="宋体"/>
                <w:sz w:val="21"/>
                <w:szCs w:val="21"/>
                <w:highlight w:val="none"/>
                <w:lang w:val="en-US" w:eastAsia="zh-CN"/>
              </w:rPr>
              <w:t>科技型</w:t>
            </w:r>
            <w:r>
              <w:rPr>
                <w:rFonts w:hint="eastAsia" w:ascii="宋体" w:hAnsi="宋体" w:eastAsia="宋体" w:cs="宋体"/>
                <w:sz w:val="21"/>
                <w:szCs w:val="21"/>
                <w:highlight w:val="none"/>
                <w:lang w:val="en-US" w:eastAsia="zh-CN"/>
              </w:rPr>
              <w:t>企业，请填列下表</w:t>
            </w:r>
            <w:r>
              <w:rPr>
                <w:rFonts w:hint="eastAsia" w:ascii="宋体" w:hAnsi="宋体" w:eastAsia="宋体" w:cs="宋体"/>
                <w:sz w:val="21"/>
                <w:szCs w:val="21"/>
                <w:highlight w:val="none"/>
              </w:rPr>
              <w:t>）</w:t>
            </w:r>
            <w:r>
              <w:rPr>
                <w:rFonts w:hint="eastAsia" w:ascii="宋体" w:hAnsi="宋体" w:cs="宋体"/>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未提供</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Cs/>
                <w:snapToGrid w:val="0"/>
                <w:color w:val="000000"/>
                <w:kern w:val="0"/>
                <w:sz w:val="21"/>
                <w:szCs w:val="21"/>
                <w:highlight w:val="none"/>
                <w:lang w:val="en-US" w:eastAsia="zh-CN" w:bidi="ar-SA"/>
              </w:rPr>
              <w:t>材料未提供近三年我行授信敞口明细。</w:t>
            </w:r>
            <w:r>
              <w:rPr>
                <w:rFonts w:hint="eastAsia" w:ascii="宋体" w:hAnsi="宋体" w:eastAsia="宋体" w:cs="宋体"/>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10 月 2026年01月 日，经531系统查询，借款人 2025 年 12 月   日提贷 300万元，到期日 2026 年 12 月   日，贷款采取自主支付方式发放，通过调取借款人账户流水，1. 300万元向 福建中锐汉鼎信息技术有限公司 有限公司支付 福建中锐汉鼎信息技术有限公司 货款（已提供发票）；2. 200万元转至工行同户名账户，穿透查看用于向 1 个人支付采购竹刨花原料款 100万元，其余用于支付税款；3.XX万元元转至农行同户名账户(基本户），用于向37个员工支付工资款。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r>
          </w:tbl>
          <w:p w14:paraId="77E93048">
            <w:commentRangeStart w:id="3"/>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Cs/>
                <w:snapToGrid w:val="0"/>
                <w:color w:val="auto"/>
                <w:kern w:val="0"/>
                <w:szCs w:val="21"/>
                <w:highlight w:val="none"/>
                <w:lang w:val="en-US" w:eastAsia="zh-CN"/>
              </w:rPr>
              <w:t>黄色预警提示法定代表人目前信用卡存在逾期，经核实，需补充法定代表人个人征信报告及信用卡逾期情况说明。综合评判，待补充材料后复核。</w:t>
            </w:r>
            <w:r>
              <w:rPr>
                <w:rFonts w:hint="eastAsia" w:ascii="宋体" w:hAnsi="宋体" w:cs="宋体"/>
                <w:bCs/>
                <w:snapToGrid w:val="0"/>
                <w:color w:val="000000"/>
                <w:kern w:val="0"/>
                <w:szCs w:val="21"/>
                <w:highlight w:val="none"/>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commentRangeEnd w:id="3"/>
            <w:r>
              <w:rPr>
                <w:rStyle w:val="CommentReference"/>
              </w:rPr>
              <w:commentReference w:id="3"/>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8.</w:t>
            </w:r>
            <w:r>
              <w:rPr>
                <w:rFonts w:hint="eastAsia" w:ascii="宋体" w:hAnsi="宋体" w:cs="宋体"/>
                <w:bCs/>
                <w:snapToGrid w:val="0"/>
                <w:color w:val="000000"/>
                <w:kern w:val="0"/>
                <w:szCs w:val="21"/>
                <w:highlight w:val="none"/>
                <w:lang w:eastAsia="zh-CN"/>
              </w:rPr>
              <w:t>其他</w:t>
            </w:r>
            <w:r>
              <w:rPr>
                <w:rFonts w:hint="eastAsia" w:ascii="宋体" w:hAnsi="宋体" w:cs="宋体"/>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Cs/>
                <w:snapToGrid w:val="0"/>
                <w:color w:val="000000"/>
                <w:kern w:val="0"/>
                <w:szCs w:val="21"/>
                <w:highlight w:val="none"/>
                <w:lang w:val="en-US" w:eastAsia="zh-CN"/>
              </w:rPr>
              <w:t>若有）PD评级较上期下滑，分析原因：</w:t>
            </w:r>
            <w:r>
              <w:rPr>
                <w:rFonts w:hint="eastAsia" w:ascii="宋体" w:hAnsi="宋体" w:cs="宋体"/>
                <w:snapToGrid w:val="0"/>
                <w:color w:val="000000"/>
                <w:kern w:val="0"/>
                <w:szCs w:val="21"/>
                <w:u w:val="single"/>
                <w:lang w:val="en-US" w:eastAsia="zh-CN"/>
              </w:rPr>
              <w:t xml:space="preserve"> 根据材料，未提供PD评级下滑信息及原因分析。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Cs w:val="21"/>
              </w:rPr>
              <w:t>（二）法定代表人/实控人简介</w:t>
            </w:r>
            <w:r>
              <w:rPr>
                <w:rFonts w:hint="eastAsia" w:ascii="宋体" w:hAnsi="宋体" w:cs="宋体"/>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均为黄祖海，中国国籍，湖南大学电子商务专业本科学历。其行业工作经历连续：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其配偶为康恩慧。家庭拥有私有房产一处，位于仓山区上渡街道通江路17号江南水都·杰座，面积143.45平方米，权属证号为榕房权证R字第0838000号。黄祖海为借款人在融资清单中的8笔授信提供个人连带责任担保。财务表现与还款能力挂钩分析：</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借款人近两年财务表现稳健。规模与盈利持续增长：营业收入分别为10010万元、10010万元，同比增长14.9%；净利润分别为494万元、494万元，同比增长50.1%，显示业务扩张与盈利提升同步。盈利能力指标分化但整体改善：毛利率分别为38.02%、38.02%，同比微降0.8个百分点，仍处于软件和信息技术服务业30-50%的典型区间；净利率分别为4.93%、4.93%，同比提升1.2个百分点，主要得益于费用控制及规模效应。偿债能力显著增强：资产负债率分别为42.50%、42.50%，较年初下降7.7个百分点，已进入行业30-55%的合理区间；流动比率分别为1.81倍、1.82倍，较年初提升0.24倍；速动比率分别为1.45倍、1.51倍，短期偿债指标均向好。营运效率呈现结构性变化：应收账款周转天数分别为270.92天、271天，同比大幅缩短117天，回款管理成效显著，但仍显著高于行业90-180天的典型区间，主要由于项目制验收周期长及对大客户、政府客户的账期较长；存货周转天数分别为128.97天、129天，同比延长49天，且已超出行业30-90天的典型区间，主要因定制化项目未验收沉淀为存货或为硬件集成业务备货增加，需关注存货积压风险。现金流健康：当期经营活动净现金流为791万元，经营现金流/净利润达1.60倍，销售商品收现/营收为1.04倍，均处于健康水平，为偿还债务提供了稳定的第一还款来源保障。综上，实控人黄祖海行业经验丰富，公司盈利与偿债能力改善，现金流健康，但需关注存货周转效率下降对流动性的潜在影响。</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Cs/>
                <w:snapToGrid w:val="0"/>
                <w:color w:val="auto"/>
                <w:kern w:val="0"/>
                <w:szCs w:val="21"/>
                <w:highlight w:val="none"/>
                <w:lang w:val="en-US" w:eastAsia="zh-CN"/>
              </w:rPr>
              <w:t>（三）借款人及</w:t>
            </w:r>
            <w:r>
              <w:rPr>
                <w:rFonts w:hint="eastAsia" w:ascii="宋体" w:hAnsi="宋体" w:cs="宋体"/>
                <w:bCs/>
                <w:snapToGrid w:val="0"/>
                <w:color w:val="auto"/>
                <w:kern w:val="0"/>
                <w:szCs w:val="21"/>
                <w:highlight w:val="none"/>
              </w:rPr>
              <w:t>实控人</w:t>
            </w:r>
            <w:r>
              <w:rPr>
                <w:rFonts w:hint="eastAsia" w:ascii="宋体" w:hAnsi="宋体" w:cs="宋体"/>
                <w:bCs/>
                <w:snapToGrid w:val="0"/>
                <w:color w:val="auto"/>
                <w:kern w:val="0"/>
                <w:szCs w:val="21"/>
                <w:highlight w:val="none"/>
                <w:lang w:val="en-US" w:eastAsia="zh-CN"/>
              </w:rPr>
              <w:t>家庭</w:t>
            </w:r>
            <w:r>
              <w:rPr>
                <w:rFonts w:hint="eastAsia" w:ascii="宋体" w:hAnsi="宋体" w:cs="宋体"/>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2</w:t>
                  </w:r>
                  <w:r>
                    <w:rPr>
                      <w:rFonts w:hint="eastAsia" w:ascii="宋体" w:hAnsi="宋体" w:cs="宋体"/>
                      <w:bCs/>
                      <w:i w:val="0"/>
                      <w:iCs w:val="0"/>
                      <w:caps w:val="0"/>
                      <w:color w:val="000000"/>
                      <w:spacing w:val="0"/>
                      <w:kern w:val="0"/>
                      <w:sz w:val="21"/>
                      <w:szCs w:val="21"/>
                      <w:highlight w:val="none"/>
                      <w:lang w:val="en-US" w:eastAsia="zh-CN" w:bidi="ar"/>
                    </w:rPr>
                    <w:t>.</w:t>
                  </w:r>
                  <w:r>
                    <w:rPr>
                      <w:rFonts w:hint="eastAsia" w:ascii="宋体" w:hAnsi="宋体" w:eastAsia="宋体" w:cs="宋体"/>
                      <w:bCs/>
                      <w:i w:val="0"/>
                      <w:iCs w:val="0"/>
                      <w:caps w:val="0"/>
                      <w:color w:val="000000"/>
                      <w:spacing w:val="0"/>
                      <w:kern w:val="0"/>
                      <w:sz w:val="21"/>
                      <w:szCs w:val="21"/>
                      <w:highlight w:val="none"/>
                      <w:lang w:val="en-US" w:eastAsia="zh-CN" w:bidi="ar"/>
                    </w:rPr>
                    <w:t>实控人家庭资产</w:t>
                  </w:r>
                  <w:r>
                    <w:rPr>
                      <w:rFonts w:hint="eastAsia" w:ascii="宋体" w:hAnsi="宋体" w:cs="宋体"/>
                      <w:bCs/>
                      <w:i w:val="0"/>
                      <w:iCs w:val="0"/>
                      <w:caps w:val="0"/>
                      <w:color w:val="000000"/>
                      <w:spacing w:val="0"/>
                      <w:kern w:val="0"/>
                      <w:sz w:val="21"/>
                      <w:szCs w:val="21"/>
                      <w:highlight w:val="none"/>
                      <w:lang w:val="en-US" w:eastAsia="zh-CN" w:bidi="ar"/>
                    </w:rPr>
                    <w:t>情况</w:t>
                  </w:r>
                  <w:r>
                    <w:rPr>
                      <w:rFonts w:hint="eastAsia" w:ascii="宋体" w:hAnsi="宋体" w:eastAsia="宋体" w:cs="宋体"/>
                      <w:bCs/>
                      <w:i w:val="0"/>
                      <w:iCs w:val="0"/>
                      <w:caps w:val="0"/>
                      <w:color w:val="000000"/>
                      <w:spacing w:val="0"/>
                      <w:kern w:val="0"/>
                      <w:sz w:val="21"/>
                      <w:szCs w:val="21"/>
                      <w:highlight w:val="none"/>
                      <w:lang w:val="en-US" w:eastAsia="zh-CN" w:bidi="ar"/>
                    </w:rPr>
                    <w:t>（</w:t>
                  </w:r>
                  <w:r>
                    <w:rPr>
                      <w:rFonts w:hint="eastAsia" w:ascii="宋体" w:hAnsi="宋体" w:cs="宋体"/>
                      <w:bCs/>
                      <w:i w:val="0"/>
                      <w:iCs w:val="0"/>
                      <w:caps w:val="0"/>
                      <w:color w:val="000000"/>
                      <w:spacing w:val="0"/>
                      <w:kern w:val="0"/>
                      <w:sz w:val="21"/>
                      <w:szCs w:val="21"/>
                      <w:highlight w:val="none"/>
                      <w:lang w:val="en-US" w:eastAsia="zh-CN" w:bidi="ar"/>
                    </w:rPr>
                    <w:t>实控人、</w:t>
                  </w:r>
                  <w:r>
                    <w:rPr>
                      <w:rFonts w:hint="eastAsia" w:ascii="宋体" w:hAnsi="宋体" w:eastAsia="宋体" w:cs="宋体"/>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四</w:t>
            </w:r>
            <w:r>
              <w:rPr>
                <w:rFonts w:hint="eastAsia" w:ascii="宋体" w:hAnsi="宋体" w:cs="宋体"/>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Cs/>
                <w:snapToGrid w:val="0"/>
                <w:color w:val="000000"/>
                <w:kern w:val="0"/>
                <w:szCs w:val="21"/>
                <w:highlight w:val="none"/>
              </w:rPr>
              <w:t>1</w:t>
            </w:r>
            <w:r>
              <w:rPr>
                <w:rFonts w:hint="eastAsia" w:ascii="宋体" w:hAnsi="宋体" w:cs="宋体"/>
                <w:bCs/>
                <w:snapToGrid w:val="0"/>
                <w:color w:val="000000"/>
                <w:kern w:val="0"/>
                <w:szCs w:val="21"/>
                <w:highlight w:val="none"/>
                <w:lang w:val="en-US" w:eastAsia="zh-CN"/>
              </w:rPr>
              <w:t>.</w:t>
            </w:r>
            <w:r>
              <w:rPr>
                <w:rFonts w:hint="eastAsia" w:ascii="宋体" w:hAnsi="宋体" w:cs="宋体"/>
                <w:bCs/>
                <w:snapToGrid w:val="0"/>
                <w:color w:val="000000"/>
                <w:kern w:val="0"/>
                <w:szCs w:val="21"/>
                <w:highlight w:val="none"/>
              </w:rPr>
              <w:t>关联企业</w:t>
            </w:r>
            <w:r>
              <w:rPr>
                <w:rFonts w:hint="eastAsia" w:ascii="宋体" w:hAnsi="宋体" w:cs="宋体"/>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Cs/>
                <w:snapToGrid w:val="0"/>
                <w:kern w:val="0"/>
                <w:szCs w:val="21"/>
                <w:highlight w:val="none"/>
              </w:rPr>
              <w:t>关联企业关系：可附图</w:t>
            </w:r>
            <w:r>
              <w:rPr>
                <w:rFonts w:hint="eastAsia" w:ascii="宋体" w:hAnsi="宋体" w:eastAsia="宋体" w:cs="宋体"/>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Cs/>
                <w:snapToGrid w:val="0"/>
                <w:kern w:val="0"/>
                <w:szCs w:val="21"/>
                <w:highlight w:val="none"/>
              </w:rPr>
              <w:t>关联企业情况小结：企业关联方共5家，均为借款人100%或84%控股，其中福建中锐汉鼎信息技术有限公司、福建中锐教育科技有限公司、北京中锐青云科技有限公司、厦门中锐软件科技有限公司、中锐海沃水利技术(福建)有限公司。关联企业总体经营规模有限，与借款人业务协同性较强，但部分企业处于亏损或微利状态。</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3</w:t>
            </w:r>
            <w:r>
              <w:rPr>
                <w:rFonts w:hint="eastAsia" w:ascii="宋体" w:hAnsi="宋体" w:cs="宋体"/>
                <w:bCs/>
                <w:snapToGrid w:val="0"/>
                <w:kern w:val="0"/>
                <w:szCs w:val="21"/>
                <w:highlight w:val="none"/>
                <w:lang w:val="en-US" w:eastAsia="zh-CN"/>
              </w:rPr>
              <w:t>.</w:t>
            </w:r>
            <w:r>
              <w:rPr>
                <w:rFonts w:hint="eastAsia" w:ascii="宋体" w:hAnsi="宋体" w:cs="宋体"/>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五</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kern w:val="0"/>
                <w:szCs w:val="21"/>
                <w:highlight w:val="none"/>
              </w:rPr>
              <w:t>主要经营</w:t>
            </w:r>
            <w:r>
              <w:rPr>
                <w:rFonts w:hint="eastAsia" w:ascii="宋体" w:hAnsi="宋体" w:cs="宋体"/>
                <w:snapToGrid w:val="0"/>
                <w:kern w:val="0"/>
                <w:szCs w:val="21"/>
                <w:highlight w:val="none"/>
                <w:lang w:val="en-US" w:eastAsia="zh-CN"/>
              </w:rPr>
              <w:t>及</w:t>
            </w:r>
            <w:r>
              <w:rPr>
                <w:rFonts w:hint="eastAsia" w:ascii="宋体" w:hAnsi="宋体" w:cs="宋体"/>
                <w:snapToGrid w:val="0"/>
                <w:kern w:val="0"/>
                <w:szCs w:val="21"/>
                <w:highlight w:val="none"/>
              </w:rPr>
              <w:t>财务情</w:t>
            </w:r>
            <w:r>
              <w:rPr>
                <w:rFonts w:hint="eastAsia" w:ascii="宋体" w:hAnsi="宋体" w:cs="宋体"/>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企业主营智慧水利与智慧教育解决方案，其中智慧水利业务占比46%，智慧教育业务占比54%。</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kern w:val="0"/>
                <w:szCs w:val="21"/>
                <w:highlight w:val="none"/>
                <w:lang w:val="en-US" w:eastAsia="zh-CN"/>
              </w:rPr>
              <w:t>企业为高新技术企业，主营智慧水利与智慧教育，技术门槛较高。智慧水利业务拥有大坝安全智能监测平台等成熟方案，获福建省科技进步奖二等奖，已应用于省内300余座水库；智慧教育业务与全国超1000所高校及科研院所建立产学研合作。企业依托与上下游建立的稳定合作关系经营，上游主要供应商给予较优信用账期，下游采用预收款与账期结合方式。近三年研发投入持续，2023-2025年研发费用分别为895万、1262万、1049万（来源：证据清单），占营收比分别为7.4%、14.5%、10.5%（来源：证据清单），研发人员占比由44%提升至53%。实际控制人黄祖海拥有超过20年行业技术与管理经验。</w:t>
              <w:br/>
              <w:br/>
              <w:t>从财务表现看，企业2024至2025年经营规模与效益持续提升。营业收入分别为10010万元、10010万元，同比增长14.9%；净利润分别为494万元、494万元，同比大幅增长50.1%。盈利能力方面，毛利率分别为38.02%、38.02%，同比微降0.79个百分点；净利率分别为4.93%、4.93%，同比提升1.15个百分点，主要得益于费用控制得当。偿债能力显著改善，资产负债率分别为42.50%、42.50%，较年初下降7.67个百分点；流动比率分别为1.81倍、1.82倍，较年初提升0.24倍，主要系负债总额下降所致，增强了短期偿债保障。营运效率呈现分化，应收账款周转天数分别为270.92天、271天，同比缩短117天，回款管理改善；但存货周转天数分别为128.97天、129天，同比延长49天，且存货期末值较年初大幅增长88.0%，远超营收增速，存在积压迹象。需重点关注的是，企业短期借款为4730万元，而年经营现金流净额为791万元，对短期债务的覆盖能力一般，还款来源主要依赖经营收入的持续实现和应收账款的回收。整体而言，企业盈利与偿债指标向好，但存货管理及短期债务周转压力是影响其还款能力的潜在风险点。</w:t>
            </w: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3.</w:t>
            </w:r>
            <w:r>
              <w:rPr>
                <w:rFonts w:hint="eastAsia" w:ascii="宋体" w:hAnsi="宋体" w:cs="宋体"/>
                <w:bCs/>
                <w:snapToGrid w:val="0"/>
                <w:color w:val="000000"/>
                <w:kern w:val="0"/>
                <w:szCs w:val="21"/>
                <w:highlight w:val="none"/>
              </w:rPr>
              <w:t>产品</w:t>
            </w:r>
            <w:r>
              <w:rPr>
                <w:rFonts w:hint="eastAsia" w:ascii="宋体" w:hAnsi="宋体" w:cs="宋体"/>
                <w:bCs/>
                <w:snapToGrid w:val="0"/>
                <w:color w:val="000000"/>
                <w:kern w:val="0"/>
                <w:szCs w:val="21"/>
                <w:highlight w:val="none"/>
                <w:lang w:eastAsia="zh-CN"/>
              </w:rPr>
              <w:t>生产、</w:t>
            </w:r>
            <w:r>
              <w:rPr>
                <w:rFonts w:hint="eastAsia" w:ascii="宋体" w:hAnsi="宋体" w:cs="宋体"/>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其中水利业务收入占比46%，教育业务收入占比54%。营业收入2022/2023/2024/2025年分别为21198.0万、12130.0万、8712.0万、10010.0万，2024年触底后于2025年反弹，同比增长14.9%。外因分析-行业景气待补充（智慧水利/智慧教育行业年度报告）。内因分析-业务结构变化待补充（近三年分业务线收入及成本明细表）。</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commentRangeEnd w:id="4"/>
            <w:r>
              <w:rPr>
                <w:rStyle w:val="CommentReference"/>
              </w:rPr>
              <w:commentReference w:id="4"/>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上游主要为网络设备及技术服务供应商，下游客户以水利、交通等政府及事业单位为主。①主要上游（前五大）：锐捷网络股份有限公司（采购额943万元，占比19.77%）、北京星链南天科技有限公司（186万元，3.90%）、广州浩瀚星图信息技术有限公司（172万元，3.61%）、新天科技股份有限公司（90万元，1.88%）、精导信息技术有限公司（89万元，1.87%）。②主要下游（前五大）：涵江水利局（销售额1116万元，占比10.02%）、福建省翔远电子科技有限公司（1122万元，9.92%）、三明水利水电工程有限公司顺昌分公司（572万元，5.07%）、福州市福清公路事业发展中心（396万元，3.51%）、济南展雄电子有限公司（356万元，2.99%）。③财务表现与还款能力分析：2025年，企业营业收入为10010万元，同比增长14.9%；净利润为494万元，同比增长50.1%，盈利能力改善。毛利率为38.0%，同比下降0.8个百分点；净利率为4.9%，同比上升1.2个百分点；营业利润率为4.8%，同比上升0.2个百分点，净利率提升主要得益于费用控制。偿债能力方面，资产负债率为42.5%，较年初下降7.7个百分点；流动比率为1.82倍，较年初提升0.24倍；速动比率为1.51倍，较年初提升0.06倍，整体偿债指标向好。营运效率呈现分化：应收账款周转天数为271天，同比缩短117天，回款效率显著改善；但存货周转天数为129天，同比延长49天，且存货期末值较年初大幅增长88.0%至2192万元，远超营收增速，存在积压风险。企业当期经营活动净现金流为791万元，经营现金流/净利润为1.60，现金流质量健康，为偿还短期借款（4730万元）提供了基础保障。</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Cs/>
                <w:snapToGrid w:val="0"/>
                <w:color w:val="000000"/>
                <w:kern w:val="0"/>
                <w:szCs w:val="21"/>
                <w:highlight w:val="none"/>
                <w:lang w:val="en-US" w:eastAsia="zh-CN"/>
              </w:rPr>
              <w:t>材料未提供最新在手订单列表。</w:t>
            </w: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commentRangeStart w:id="2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commentRangeEnd w:id="23"/>
                  <w:r>
                    <w:rPr>
                      <w:rStyle w:val="CommentReference"/>
                    </w:rPr>
                    <w:commentReference w:id="23"/>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Cs/>
                <w:color w:val="000000"/>
                <w:highlight w:val="none"/>
                <w:lang w:val="en-US" w:eastAsia="zh-CN"/>
              </w:rPr>
              <w:t>①</w:t>
            </w:r>
            <w:r>
              <w:rPr>
                <w:rFonts w:ascii="宋体" w:hAnsi="宋体"/>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Cs/>
                <w:color w:val="000000"/>
                <w:highlight w:val="none"/>
                <w:lang w:val="en-US" w:eastAsia="zh-CN"/>
              </w:rPr>
              <w:t>②</w:t>
            </w:r>
            <w:r>
              <w:rPr>
                <w:rFonts w:ascii="宋体" w:hAnsi="宋体"/>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在经历连续下滑后于2025年恢复增长，同时毛利率在经历波动后已稳定在较高水平，盈利能力的稳定性有所改善。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Cs/>
                <w:snapToGrid w:val="0"/>
                <w:kern w:val="0"/>
                <w:szCs w:val="21"/>
                <w:highlight w:val="none"/>
                <w:lang w:val="en-US" w:eastAsia="zh-CN"/>
              </w:rPr>
              <w:t>③</w:t>
            </w:r>
            <w:r>
              <w:rPr>
                <w:rFonts w:hint="eastAsia" w:ascii="宋体" w:hAnsi="宋体" w:cs="宋体"/>
                <w:bCs/>
                <w:snapToGrid w:val="0"/>
                <w:color w:val="000000"/>
                <w:kern w:val="0"/>
                <w:szCs w:val="21"/>
                <w:highlight w:val="none"/>
              </w:rPr>
              <w:t>近三年</w:t>
            </w:r>
            <w:r>
              <w:rPr>
                <w:rFonts w:hint="eastAsia" w:ascii="宋体" w:hAnsi="宋体" w:cs="宋体"/>
                <w:bCs/>
                <w:snapToGrid w:val="0"/>
                <w:color w:val="000000"/>
                <w:kern w:val="0"/>
                <w:szCs w:val="21"/>
                <w:highlight w:val="none"/>
                <w:lang w:val="en-US" w:eastAsia="zh-CN"/>
              </w:rPr>
              <w:t>及最近一期</w:t>
            </w:r>
            <w:r>
              <w:rPr>
                <w:rFonts w:hint="eastAsia" w:ascii="宋体" w:hAnsi="宋体" w:cs="宋体"/>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企业近三年财务数据已通过税务申报与银行流水交叉验证，数据真实可信。2023年及2024年年报均由德赢（福建）会计师事务所审计，均出具无保留意见。2025年审计报告未提供。关键科目变动分析：</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1）应收账款7430万元，2023/2024/2025年分别为6354万元、9253万元、7430万元，呈现先升后降趋势。2025年末较年初下降19.7%，周转天数同比缩短117天至271天，但仍显著高于软件信息业90-180天典型区间，主要由于项目验收周期较长及政府、大客户回款账期较长所致。</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（1）应收账款 9253万元，主要构成及趋势变动情况： 根据审计报告，2024年末应收账款为92，525，439.61元（约9253万元），较2023年末的63，535，435.07元（约6354万元）显著增长。主要构成应为智慧水利、智慧教育业务形成的应收款项。增长趋势与行业特性（政府/事业单位项目结算周期长）及公司业务规模扩张相符。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（2）其他应收款 3522万元，主要构成及趋势变动情况： 根据审计报告，2024年末其他应收款为35，222，276.59元（约3522万元），较2023年末的36，211，559.49元（约3621万元）略有下降。主要构成可能包括投标保证金、员工备用金、关联方往来等。变动情况相对稳定。 </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（3）存货 151万元，主要构成及趋势变动情况： 根据审计报告，2024年末存货为1，510，089.17元（约151万元）。主要构成应为未验收项目的硬件设备及原材料。材料中未提供2023年数据，无法进行趋势对比。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（4）长期投资 1626万元，主要构成及趋势变动情况： 根据审计报告，2024年末长期股权投资为16，259，500.00元（约1626万元），较2023年末的16，439，500.00元（约1644万元）略有下降。主要构成为对关联企业或联营企业的投资。变动情况相对稳定。      </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（5）应付账款 142万元，主要构成及趋势变动情况： 根据审计报告，2024年末应付账款为1，419，191.18元（约142万元）。主要构成应为对上游供应商（如锐捷网络等）的采购应付款。材料中未提供2023年数据，无法进行趋势对比。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（6）其他应付款 1428万元，主要构成及趋势变动情况： 根据审计报告，2024年末其他应付款为14，282，515.10元（约1428万元）。主要构成可能包括押金、保证金、关联方往来等。材料中未提供2023年数据，无法进行趋势对比。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材料，2025年营收为1010万元。智慧水利业务受益于国家'十四五'水安全保障规划及增发国债水利项目等政策推动，订单能见度拉长；智慧教育业务紧跟国家教育新基建及职业教育高质量发展战略。收入结构为水利占比46%、教育占比54%。主要下游客户包括涵江水利局、福建省翔远电子科技有限公司等，前五大客户合计销售3562万元，客户结构以政府及国企为主，业务基础稳定。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近年持续投入研发，2023-2025年研发费用分别为895万、1262万、1049万，占营收比例分别为7.4%、14.5%、10.5%，研发人员占比维持在44%-53%的高水平。高研发投入短期内可能影响净利润，但有助于打造核心技术，如智慧水利平台解决方案已获省级奖项并应用于福建省300+座水库。关联企业中，福建中锐汉鼎信息技术有限公司（智慧水利）上年净亏损682万元，福建中锐教育科技有限公司上年净亏损1275万元，子公司亏损对集团整体盈利能力构成一定拖累。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Cs w:val="0"/>
                <w:snapToGrid w:val="0"/>
                <w:kern w:val="0"/>
                <w:szCs w:val="21"/>
                <w:highlight w:val="none"/>
                <w:lang w:val="zh-CN"/>
              </w:rPr>
              <w:t>（</w:t>
            </w:r>
            <w:r>
              <w:rPr>
                <w:rFonts w:hint="eastAsia" w:ascii="宋体" w:hAnsi="宋体" w:cs="宋体"/>
                <w:bCs w:val="0"/>
                <w:snapToGrid w:val="0"/>
                <w:kern w:val="0"/>
                <w:szCs w:val="21"/>
                <w:highlight w:val="none"/>
                <w:lang w:val="en-US" w:eastAsia="zh-CN"/>
              </w:rPr>
              <w:t>后续若有大额固定资产投入计划，分析投入及资金安排</w:t>
            </w:r>
            <w:r>
              <w:rPr>
                <w:rFonts w:hint="eastAsia" w:ascii="宋体" w:hAnsi="宋体" w:cs="宋体"/>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根据提供的2025年资产负债表，企业存货期末余额为2192万元，较年初的1166万元大幅增长87.9%，是流动资产中变动最为显著的科目。其他应收款期末余额为2774万元，较年初的3522万元下降21.2%，呈减少趋势。</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快速恶化。尽管流动比率有所改善且资产负债率呈下降趋势，但核心流动性指标的大幅下滑表明企业面临严峻的即时支付风险。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周期显著延长，表明公司对下游客户的议价能力减弱或信用政策过于宽松。存货管理波动剧烈，近期库存水平大幅反弹，可能面临滞销风险或备货策略过于激进，需关注其与销售增长的匹配性。运营效率需重点跟踪应收账款周转与收入扩张的匹配程度。</w:t>
            </w:r>
          </w:p>
          <w:p w14:paraId="0A792E2F">
            <w:pPr>
              <w:pStyle w:val="11"/>
              <w:rPr>
                <w:rFonts w:hint="eastAsia"/>
                <w:lang w:val="en-US" w:eastAsia="zh-CN"/>
              </w:rPr>
            </w:pPr>
            <w:r>
              <w:t xml:space="preserve">经营现金流波动剧烈，呈现间歇性净流入，表明主营业务造血能力不稳定。公司持续依赖外部融资支撑投资活动，但筹资活动净流入规模逐年收缩，2025年转为净流出，显示外部融资环境趋紧。整体现金流结构显示企业仍处于投资扩张期，但经营现金流质量有待改善。</w:t>
            </w:r>
          </w:p>
          <w:p w14:paraId="0A792E2F">
            <w:pPr>
              <w:pStyle w:val="11"/>
              <w:rPr>
                <w:rFonts w:hint="eastAsia"/>
                <w:lang w:val="en-US" w:eastAsia="zh-CN"/>
              </w:rPr>
            </w:pPr>
            <w:r>
              <w:t xml:space="preserve">企业应收账款周转天数持续恶化，已显著超过风险阈值，表明回款能力严重不足，存在较高的坏账风险。同时，货币资金对短期借款的覆盖率已降至极低水平，远低于安全阈值，企业面临严峻的短期偿债压力。尽管资产负债率呈下降趋势且未触发阈值，但前述两项关键指标的恶化已构成重大风险信号，需高度警惕其整体信用状况。</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snapToGrid w:val="0"/>
                <w:kern w:val="0"/>
                <w:szCs w:val="21"/>
                <w:highlight w:val="none"/>
                <w:lang w:val="en-US" w:eastAsia="zh-CN"/>
              </w:rPr>
              <w:t>（2）其他应收款2774万元，2023/2024/2025年分别为3621万元、3522万元、2774万元，呈持续下降趋势，2025年末较年初下降21.2%，对资金占用有所缓解。</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Cs w:val="0"/>
                <w:snapToGrid w:val="0"/>
                <w:color w:val="auto"/>
                <w:szCs w:val="21"/>
                <w:highlight w:val="none"/>
                <w:u w:val="none"/>
                <w:lang w:val="en-US" w:eastAsia="zh-CN"/>
              </w:rPr>
              <w:t>最近三年现金流量表分析：  根据审计报告及财务报表：</w:t>
              <w:br/>
              <w:t>2024年度：经营活动现金流入小计830万元（其中销售商品、提供劳务收到现金4890万元），经营活动现金流出小计8926万元，经营活动产生的现金流量净额为-896万元。投资活动现金流量净额未提供。筹资活动现金流量净额未提供。</w:t>
              <w:br/>
              <w:t>2025年度（截至12月31日）：销售商品、提供劳务收到的现金为10385万元，经营活动现金流入总额未完整提供。</w:t>
              <w:br/>
              <w:t xml:space="preserve">总体来看，2024年经营性现金流为负，主要因购买商品、接受劳务支付现金（477万元）及支付其他与经营活动有关的现金（3177万元）较多，可能与项目执行垫资及研发投入有关。2025年销售回款情况有所改善。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commentRangeStart w:id="5"/>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（3）存货2192万元，2023/2024/2025年分别为2545万元、1166万元、2192万元，呈波动上升趋势，2025年末较年初大幅增长88.0%，远超营收14.9%的同比增速，存货周转天数(待补充 存货周转天数 近三年同比明细)，高于软件信息业30-90天典型区间，存在定制化项目未验收沉淀或备货周期拉长的积压信号。</w:t>
              <w:br/>
              <w:t>（4）应付账款1026万元，2023/2024/2025年分别为1847万元、2333万元、1026万元，呈先升后降趋势，2025年末较年初下降56.0%，缓解了短期偿付压力。</w:t>
              <w:br/>
              <w:t>（5）其他应付款168万元，2023/2024/2025年分别为185万元、648万元、168万元，呈波动下降趋势。综合财务分析：</w:t>
              <w:br/>
              <w:t>盈利能力改善：2025年营业收入为10010万元，同比增长14.9%；净利润为494万元，同比大幅增长50.1%。净利率(待补充 净利率 近三年同比明细)，但仍处于软件信息业5-15%典型区间的下限，主要因研发等投入占比仍较高。毛利率为38.0%，同比下降0.8个百分点，但仍处于行业30-50%的合理区间。</w:t>
              <w:br/>
              <w:t>偿债能力增强：2025年末资产负债率为42.5%，较年初下降7.7个百分点，处于行业30-55%的合理区间。流动比率与速动比率分别为1.82倍和1.51倍，较年初均有提升，短期偿债指标有所改善。</w:t>
              <w:br/>
              <w:t>营运效率分化：应收账款周转效率显著改善，但存货周转效率恶化，两者共同作用对营运资金形成一定压力。</w:t>
              <w:br/>
              <w:t>现金流健康但短期偿债压力需关注：2025年经营活动净现金流为791万元，经营现金流/净利润达1.60，现金流生成能力健康。销售商品收现/营收为1.04，回款质量正常。然而，期末短期借款为4730万元，远超当期经营现金流，短期偿债对再融资存在一定依赖。</w:t>
              <w:br/>
              <w:t>总体还款能力评估：借款人2025年盈利与偿债能力指标均有所改善，主营业务呈现复苏态势，经营性现金流健康，第一还款来源基础得到巩固。但需重点关注其应收账款与存货周转天数均超出行业基准所带来的营运资金占用压力，以及短期借款集中到期可能带来的流动性管理压力。</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commentRangeEnd w:id="5"/>
            <w:r>
              <w:rPr>
                <w:rStyle w:val="CommentReference"/>
              </w:rPr>
              <w:commentReference w:id="5"/>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六</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融资</w:t>
            </w:r>
            <w:r>
              <w:rPr>
                <w:rFonts w:hint="eastAsia" w:ascii="宋体" w:hAnsi="宋体" w:cs="宋体"/>
                <w:snapToGrid w:val="0"/>
                <w:color w:val="000000"/>
                <w:kern w:val="0"/>
                <w:szCs w:val="21"/>
                <w:highlight w:val="none"/>
                <w:lang w:val="en-US" w:eastAsia="zh-CN"/>
              </w:rPr>
              <w:t>/</w:t>
            </w:r>
            <w:r>
              <w:rPr>
                <w:rFonts w:hint="eastAsia" w:ascii="宋体" w:hAnsi="宋体" w:cs="宋体"/>
                <w:snapToGrid w:val="0"/>
                <w:color w:val="000000"/>
                <w:kern w:val="0"/>
                <w:szCs w:val="21"/>
                <w:highlight w:val="none"/>
              </w:rPr>
              <w:t>对外担保</w:t>
            </w:r>
            <w:r>
              <w:rPr>
                <w:rFonts w:hint="eastAsia" w:ascii="宋体" w:hAnsi="宋体" w:cs="宋体"/>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截至2025年末，公司各行贷款余额合计4440万元，均为短期流动资金贷款，详见下表。无对外担保、无被追偿记录。</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根据融资清单，企业现有8笔授信均为流动资金贷款，期限均在1-2年，未发现中长期借款。因此，不涉及中长期借款还款计划。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根据现有材料，未发现借款人有不良信用记录或涉诉情况的明确信息。 </w:t>
            </w:r>
          </w:p>
          <w:p w14:paraId="0BD0E5B0">
            <w:commentRangeStart w:i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截至2025年7月23日，查询信用报告，黄祖海名下有未结清贷款账户1笔，余额1000万元，为中行个人经营贷款，经营主体为一家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一家有限公司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7"/>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color w:val="000000"/>
                <w:kern w:val="0"/>
                <w:szCs w:val="21"/>
                <w:highlight w:val="none"/>
                <w:lang w:val="en-US" w:eastAsia="zh-CN"/>
              </w:rPr>
              <w:t>康恩慧，中国国籍。</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Cs/>
                <w:snapToGrid w:val="0"/>
                <w:kern w:val="0"/>
                <w:szCs w:val="21"/>
              </w:rPr>
              <w:t>科技型企业类型：</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科技型中小企业</w:t>
            </w:r>
            <w:r>
              <w:rPr>
                <w:rFonts w:hint="eastAsia" w:ascii="宋体" w:hAnsi="宋体" w:eastAsia="宋体" w:cs="宋体"/>
                <w:bCs/>
                <w:snapToGrid w:val="0"/>
                <w:kern w:val="0"/>
                <w:szCs w:val="21"/>
                <w:lang w:val="en-US" w:eastAsia="zh-CN"/>
              </w:rPr>
              <w:t>（第几轮，有效期至X年X月X日）</w:t>
            </w:r>
            <w:r>
              <w:rPr>
                <w:rFonts w:hint="eastAsia" w:ascii="宋体" w:hAnsi="宋体" w:eastAsia="宋体" w:cs="宋体"/>
                <w:bCs/>
                <w:snapToGrid w:val="0"/>
                <w:kern w:val="0"/>
                <w:szCs w:val="21"/>
                <w:lang w:val="en-US" w:eastAsia="zh-CN"/>
              </w:rPr>
              <w:t>；</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高新技术企业；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“专精特新”中小企业；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制造业单项冠军企业；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Cs/>
                <w:snapToGrid w:val="0"/>
                <w:kern w:val="0"/>
                <w:sz w:val="21"/>
                <w:szCs w:val="21"/>
                <w:lang w:val="en-US" w:eastAsia="zh-CN" w:bidi="ar-SA"/>
              </w:rPr>
              <w:t>科技型企业评分：</w:t>
            </w:r>
            <w:r>
              <w:rPr>
                <w:rFonts w:hint="eastAsia" w:ascii="宋体" w:hAnsi="宋体" w:cs="宋体"/>
                <w:bCs/>
                <w:snapToGrid w:val="0"/>
                <w:color w:val="000000"/>
                <w:kern w:val="0"/>
                <w:szCs w:val="21"/>
                <w:u w:val="single"/>
                <w:lang w:val="en-US" w:eastAsia="zh-CN"/>
              </w:rPr>
              <w:t xml:space="preserve"> 企业符合科技型企业特征：1. 主营业务为智慧水利与智慧教育，属于信息技术服务业；2. 研发投入持续且占比较高，近三年研发费用占营收比例在7.4%-14.5%之间；3. 研发人员占比高（44%-53%）；4. 拥有自主研发的智慧水利平台解决方案并获得省级科技进步奖。综合评估，可给予较高评分。 </w:t>
            </w:r>
            <w:r>
              <w:rPr>
                <w:rFonts w:hint="eastAsia" w:ascii="宋体" w:hAnsi="宋体" w:eastAsia="宋体" w:cs="宋体"/>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Cs/>
                <w:kern w:val="2"/>
                <w:sz w:val="21"/>
                <w:szCs w:val="21"/>
                <w:highlight w:val="none"/>
                <w:lang w:val="en-US" w:eastAsia="zh-CN"/>
              </w:rPr>
              <w:t>※2.研发投入情况</w:t>
            </w:r>
            <w:r>
              <w:rPr>
                <w:rFonts w:hint="eastAsia" w:ascii="宋体" w:hAnsi="宋体" w:cs="宋体"/>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Cs w:val="0"/>
                <w:kern w:val="2"/>
                <w:sz w:val="21"/>
                <w:szCs w:val="21"/>
                <w:highlight w:val="none"/>
                <w:lang w:val="en-US" w:eastAsia="zh-CN"/>
              </w:rPr>
              <w:t>①</w:t>
            </w:r>
            <w:r>
              <w:rPr>
                <w:rFonts w:hint="eastAsia" w:ascii="宋体" w:hAnsi="宋体" w:eastAsia="宋体" w:cs="宋体"/>
                <w:bCs w:val="0"/>
                <w:kern w:val="2"/>
                <w:sz w:val="21"/>
                <w:szCs w:val="21"/>
                <w:highlight w:val="none"/>
                <w:lang w:eastAsia="zh-CN"/>
              </w:rPr>
              <w:t>核心</w:t>
            </w:r>
            <w:r>
              <w:rPr>
                <w:rFonts w:hint="eastAsia" w:ascii="宋体" w:hAnsi="宋体" w:cs="宋体"/>
                <w:bCs w:val="0"/>
                <w:kern w:val="2"/>
                <w:sz w:val="21"/>
                <w:szCs w:val="21"/>
                <w:highlight w:val="none"/>
                <w:lang w:val="en-US" w:eastAsia="zh-CN"/>
              </w:rPr>
              <w:t>研发</w:t>
            </w:r>
            <w:r>
              <w:rPr>
                <w:rFonts w:hint="eastAsia" w:ascii="宋体" w:hAnsi="宋体" w:eastAsia="宋体" w:cs="宋体"/>
                <w:bCs w:val="0"/>
                <w:kern w:val="2"/>
                <w:sz w:val="21"/>
                <w:szCs w:val="21"/>
                <w:highlight w:val="none"/>
                <w:lang w:eastAsia="zh-CN"/>
              </w:rPr>
              <w:t>人员是否</w:t>
            </w:r>
            <w:r>
              <w:rPr>
                <w:rFonts w:hint="eastAsia" w:ascii="宋体" w:hAnsi="宋体" w:cs="宋体"/>
                <w:bCs w:val="0"/>
                <w:kern w:val="2"/>
                <w:sz w:val="21"/>
                <w:szCs w:val="21"/>
                <w:highlight w:val="none"/>
                <w:lang w:val="en-US" w:eastAsia="zh-CN"/>
              </w:rPr>
              <w:t>享有</w:t>
            </w:r>
            <w:r>
              <w:rPr>
                <w:rFonts w:hint="eastAsia" w:ascii="宋体" w:hAnsi="宋体" w:eastAsia="宋体" w:cs="宋体"/>
                <w:bCs w:val="0"/>
                <w:kern w:val="2"/>
                <w:sz w:val="21"/>
                <w:szCs w:val="21"/>
                <w:highlight w:val="none"/>
                <w:lang w:eastAsia="zh-CN"/>
              </w:rPr>
              <w:t>股权激励：</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是</w:t>
            </w:r>
            <w:r>
              <w:rPr>
                <w:rFonts w:hint="eastAsia" w:ascii="宋体" w:hAnsi="宋体" w:eastAsia="宋体" w:cs="宋体"/>
                <w:bCs w:val="0"/>
                <w:kern w:val="2"/>
                <w:szCs w:val="21"/>
                <w:highlight w:val="none"/>
                <w:lang w:val="en-US" w:eastAsia="zh-CN"/>
              </w:rPr>
              <w:t xml:space="preserve"> </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Cs/>
                <w:kern w:val="2"/>
                <w:sz w:val="21"/>
                <w:szCs w:val="21"/>
                <w:highlight w:val="none"/>
                <w:lang w:val="en-US" w:eastAsia="zh-CN"/>
              </w:rPr>
              <w:t>科技型企业类型：材料未提供相关认定证书。</w:t>
              <w:br/>
              <w:t>核心研发人员享有股权激励(据材料:补充材料原文)。</w:t>
              <w:br/>
              <w:t>近三年研发投入占比及研发人员占比详见下表。</w:t>
              <w:br/>
              <w:t>企业拥有发明专利及实用专利情况详见下表。</w:t>
            </w:r>
            <w:r>
              <w:rPr>
                <w:rFonts w:hint="eastAsia" w:ascii="宋体" w:hAnsi="宋体" w:cs="宋体"/>
                <w:bCs w:val="0"/>
                <w:kern w:val="2"/>
                <w:sz w:val="21"/>
                <w:szCs w:val="21"/>
                <w:highlight w:val="none"/>
                <w:lang w:val="en-US" w:eastAsia="zh-CN" w:bidi="ar-SA"/>
              </w:rPr>
            </w:r>
            <w:r>
              <w:rPr>
                <w:rFonts w:hint="eastAsia" w:ascii="宋体" w:hAnsi="宋体" w:eastAsia="宋体" w:cs="宋体"/>
                <w:bCs w:val="0"/>
                <w:kern w:val="2"/>
                <w:sz w:val="21"/>
                <w:szCs w:val="21"/>
                <w:highlight w:val="none"/>
                <w:lang w:val="en-US" w:eastAsia="zh-CN" w:bidi="ar-SA"/>
              </w:rPr>
            </w:r>
            <w:r>
              <w:rPr>
                <w:rFonts w:hint="eastAsia" w:ascii="宋体" w:hAnsi="宋体" w:cs="宋体"/>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w:t>
            </w:r>
            <w:r>
              <w:rPr>
                <w:rFonts w:hint="eastAsia" w:ascii="宋体" w:hAnsi="宋体" w:cs="宋体"/>
                <w:bCs/>
                <w:snapToGrid w:val="0"/>
                <w:kern w:val="0"/>
                <w:sz w:val="21"/>
                <w:szCs w:val="21"/>
                <w:highlight w:val="none"/>
                <w:lang w:val="en-US" w:eastAsia="zh-CN" w:bidi="ar-SA"/>
              </w:rPr>
              <w:t>八</w:t>
            </w:r>
            <w:r>
              <w:rPr>
                <w:rFonts w:hint="eastAsia" w:ascii="宋体" w:hAnsi="宋体" w:eastAsia="宋体" w:cs="宋体"/>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材料未提供企业在我行日均存款、对公有效户、全年结算量、代发签约人数及发薪量数据。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九</w:t>
            </w:r>
            <w:r>
              <w:rPr>
                <w:rFonts w:hint="eastAsia" w:ascii="宋体" w:hAnsi="宋体" w:cs="宋体"/>
                <w:snapToGrid w:val="0"/>
                <w:color w:val="000000"/>
                <w:kern w:val="0"/>
                <w:szCs w:val="21"/>
                <w:highlight w:val="none"/>
              </w:rPr>
              <w:t>）借款原因及还款能力</w:t>
            </w:r>
            <w:r>
              <w:rPr>
                <w:rFonts w:hint="eastAsia" w:ascii="宋体" w:hAnsi="宋体" w:cs="宋体"/>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财务分析：从近三年财务指标看，借款人盈利能力改善，偿债能力增强，但营运资金占用加剧。具体而言：盈利能力方面，2025年营业收入为10010万元，同比增长14.9%；净利润为494万元，同比增长50.1%；净利率为4.93%，同比提升1.15个百分点，主要得益于费用控制。偿债能力方面，资产负债率为42.50%，较年初下降7.67个百分点；流动比率为1.82倍，较年初提升0.24倍，偿债压力有所缓解。营运效率方面，应收账款周转天数为271天，虽同比缩短117天，但仍显著高于软件信息业90-180天的典型区间，主要由于项目验收周期较长及政府客户回款账期较长；存货周转天数为129天，同比延长49天，且远超行业30-90天的区间，主要因前端工序备货增加及存货积压，导致存货较年初增长88.0%。还款能力挂钩：2025年经营活动净现金流为791万元，经营现金流/净利润为1.60，销售商品收现/营收为1.04，显示现金流质量健康，能够覆盖利息支出，但考虑到短期借款4730万元需滚动偿还，以及营运资金占用加剧，仍需外部融资支持。</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8"/>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Cs/>
                <w:snapToGrid w:val="0"/>
                <w:kern w:val="0"/>
                <w:szCs w:val="21"/>
                <w:highlight w:val="none"/>
                <w:lang w:val="en-US" w:eastAsia="zh-CN"/>
              </w:rPr>
              <w:t>（若申请中期流动资金贷款，请补充分析原因：</w:t>
            </w:r>
            <w:r>
              <w:rPr>
                <w:rFonts w:hint="eastAsia" w:ascii="宋体" w:hAnsi="宋体" w:cs="宋体"/>
                <w:bCs/>
                <w:snapToGrid w:val="0"/>
                <w:kern w:val="0"/>
                <w:szCs w:val="21"/>
                <w:highlight w:val="none"/>
                <w:u w:val="single"/>
                <w:lang w:val="en-US" w:eastAsia="zh-CN"/>
              </w:rPr>
              <w:t xml:space="preserve">                                 </w:t>
            </w:r>
            <w:r>
              <w:rPr>
                <w:rFonts w:hint="eastAsia" w:ascii="宋体" w:hAnsi="宋体" w:cs="宋体"/>
                <w:bCs/>
                <w:snapToGrid w:val="0"/>
                <w:kern w:val="0"/>
                <w:szCs w:val="21"/>
                <w:highlight w:val="none"/>
                <w:u w:val="none"/>
                <w:lang w:val="en-US" w:eastAsia="zh-CN"/>
              </w:rPr>
              <w:t>）</w:t>
            </w:r>
            <w:commentRangeEnd w:id="8"/>
            <w:r>
              <w:rPr>
                <w:rStyle w:val="CommentReference"/>
              </w:rPr>
              <w:commentReference w:id="8"/>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2</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rPr>
              <w:t>营运资金需求测算</w:t>
            </w:r>
          </w:p>
          <w:p w14:paraId="4655273D">
            <w:commentRangeStart w:id="9"/>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Cs/>
                <w:snapToGrid w:val="0"/>
                <w:color w:val="auto"/>
                <w:kern w:val="0"/>
                <w:szCs w:val="21"/>
                <w:highlight w:val="none"/>
              </w:rPr>
              <w:t>根据流动资金需求测算，企业营运资金需求：         万元（请附（材料未提供）系统测算表截图）</w:t>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commentRangeEnd w:id="9"/>
            <w:r>
              <w:rPr>
                <w:rStyle w:val="CommentReference"/>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如上述测算过程存在数据调整，请补充说明：需补充2025年预收款项/合同负债及预付账款科目明细。</w:t>
            </w:r>
          </w:p>
          <w:p w14:paraId="64AA94E5">
            <w:pPr>
              <w:pStyle w:val="11"/>
              <w:rPr>
                <w:rFonts w:hint="eastAsia"/>
              </w:rPr>
            </w:pPr>
          </w:p>
          <w:p w14:paraId="1970A0F7">
            <w:commentRangeStart w:id="10"/>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0"/>
            <w:r>
              <w:rPr>
                <w:rStyle w:val="CommentReference"/>
              </w:rPr>
              <w:commentReference w:id="10"/>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snapToGrid w:val="0"/>
                <w:kern w:val="0"/>
                <w:szCs w:val="21"/>
                <w:highlight w:val="none"/>
                <w:lang w:val="en-US" w:eastAsia="zh-CN"/>
              </w:rPr>
              <w:t>3.</w:t>
            </w:r>
            <w:r>
              <w:rPr>
                <w:rFonts w:hint="eastAsia" w:ascii="宋体" w:hAnsi="宋体" w:cs="宋体"/>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主要依赖企业经营性现金流。企业2025年营收1010万元，主营业务为智慧水利与智慧教育，下游客户以政府部门及国企为主，订单持续性较好。但行业特性导致应收账款周转较慢（智慧水利典型为180-360天），项目验收周期长（12-24个月），存在垫资压力。2024年经营性现金流为负，2025年销售回款现金（10385万元）显示有所改善。未来还款能力取决于项目回款进度及对营运资金的管理效率。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第二还款来源分析：</w:t>
              <w:br/>
              <w:t>1. 抵质押物：材料中仅列出一项私有房产（仓山区上渡街道通江路17号江南水都·杰座），所有权人为康恩慧、黄祖海（实控人及其配偶），面积143.45平方米，但未提供评估价及抵押状态。该房产位于福州市区，区位尚可，具备一定变现能力，但价值需评估确认。</w:t>
              <w:br/>
              <w:t>2. 保证担保：企业现有融资多由实际控制人黄祖海、陈其俤及关联企业（如中锐汉鼎）提供连带责任保证，部分贷款由福州市融资担保有限公司提供担保，增信措施较为充分。</w:t>
              <w:br/>
              <w:t xml:space="preserve">3. 其他渠道现金流：企业作为存量客户，与多家银行（交通银行、兴业银行、厦门国际银行等）保持合作关系，具备一定的再融资能力。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1"/>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十</w:t>
            </w:r>
            <w:r>
              <w:rPr>
                <w:rFonts w:hint="eastAsia" w:ascii="宋体" w:hAnsi="宋体" w:cs="宋体"/>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rPr>
              <w:t>抵押担保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如涉及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sz w:val="18"/>
                      <w:szCs w:val="18"/>
                      <w:highlight w:val="none"/>
                    </w:rPr>
                    <w:t>抵押物</w:t>
                  </w:r>
                  <w:r>
                    <w:rPr>
                      <w:rFonts w:hint="eastAsia" w:ascii="宋体" w:hAnsi="宋体" w:cs="宋体"/>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自用/</w:t>
                  </w:r>
                  <w:r>
                    <w:rPr>
                      <w:rFonts w:hint="eastAsia" w:ascii="宋体" w:hAnsi="宋体" w:eastAsia="宋体" w:cs="宋体"/>
                      <w:sz w:val="18"/>
                      <w:szCs w:val="18"/>
                      <w:highlight w:val="none"/>
                      <w:lang w:eastAsia="zh-CN"/>
                    </w:rPr>
                    <w:t>出租</w:t>
                  </w:r>
                  <w:r>
                    <w:rPr>
                      <w:rFonts w:hint="eastAsia" w:ascii="宋体" w:hAnsi="宋体" w:eastAsia="宋体" w:cs="宋体"/>
                      <w:sz w:val="18"/>
                      <w:szCs w:val="18"/>
                      <w:highlight w:val="none"/>
                      <w:lang w:val="en-US" w:eastAsia="zh-CN"/>
                    </w:rPr>
                    <w:t>/空置</w:t>
                  </w:r>
                  <w:r>
                    <w:rPr>
                      <w:rFonts w:hint="eastAsia" w:ascii="宋体" w:hAnsi="宋体" w:eastAsia="宋体" w:cs="宋体"/>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本次授信方案未涉及抵押担保。</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公司担保</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如涉及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包括福建中锐汉鼎信息技术有限公司、福建中锐教育科技有限公司、北京中锐青云科技有限公司、厦门中锐软件科技有限公司及中锐海沃水利技术（福建）有限公司，均为借款人全资或控股子公司。保证人化型及对公PD等级材料未提供，需补充各保证人征信报告。根据现有材料，保证人主要经营情况如下：福建中锐汉鼎信息技术有限公司（主营智慧水利）营业收入1223万元，净亏损682万元；福建中锐教育科技有限公司（主营智慧教育）营业收入21万元，财务数据存疑待人工核实；北京中锐青云科技有限公司（主营产教融合创新服务）营业收入204万元，净利润16万元；厦门中锐软件科技有限公司（主营软硬件销售）营业收入7万元，财务数据存疑待人工核实；中锐海沃水利技术（福建）有限公司（主营智慧水利）上年营业收入为8712万元，净利润0万元。保证人征信信息（银行授信业务品种、敞口提用余额、对外担保余额、不良记录）均未提供，需补充各保证人征信报告。保证人风险信息及涉诉情况材料未提供，需补充相关查询记录。</w:t>
              <w:br/>
              <w:br/>
              <w:t>保证人财务实力及增信能力分析：</w:t>
              <w:br/>
              <w:t>从已提供的经营数据看，除北京中锐青云科技有限公司微利外，其余主要保证人均处于亏损或营收规模极小的状态。福建中锐汉鼎信息技术有限公司与福建中锐教育科技有限公司亏损额较大，分别达682万元和1275万元。这表明多数保证人自身盈利能力薄弱，财务独立性较差。结合借款人（母公司）的财务表现（2025年净利润494万元，同比增长50.1%；资产负债率42.50%，较年初下降7.7个百分点；经营净现金流791万元），保证人群体对提升主债务人整体偿债能力的直接贡献有限。其担保效力更多体现在对借款人资产和经营的控制上，而非提供额外的现金偿付来源。因此，本次担保的实际风险缓释效果需审慎评估，应重点关注借款人自身的还款能力。建议后续补充各保证人完整的征信报告及财务报表，以进一步核实其或有负债与资产质量。</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commentRangeStart w:id="12"/>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color w:val="auto"/>
                <w:sz w:val="21"/>
                <w:szCs w:val="21"/>
                <w:highlight w:val="none"/>
                <w:lang w:val="en-US" w:eastAsia="zh-CN"/>
              </w:rPr>
              <w:t>本次担保涉及福州市融资担保有限公司。我行内部对该担保公司的审批结论（额度、风险分担比例、放大倍数、单户上限）未提供。截至上报日，该担保公司对外担保总额、在我行担保余额、净资产及担保倍率等关键准入数据均未提供，需补充担保公司最新经审计的财务报表及对外担保明细。本次担保是否符合准入要求待补充材料后复核。</w:t>
            </w:r>
            <w:r>
              <w:rPr>
                <w:rFonts w:hint="eastAsia" w:ascii="宋体" w:hAnsi="宋体" w:eastAsia="宋体" w:cs="宋体"/>
                <w:color w:val="auto"/>
                <w:sz w:val="21"/>
                <w:szCs w:val="21"/>
                <w:highlight w:val="none"/>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lang w:val="en-US" w:eastAsia="zh-CN"/>
              </w:rPr>
            </w:r>
            <w:r>
              <w:rPr>
                <w:rFonts w:hint="eastAsia" w:ascii="宋体" w:hAnsi="宋体" w:cs="宋体"/>
                <w:color w:val="auto"/>
                <w:sz w:val="21"/>
                <w:szCs w:val="21"/>
                <w:highlight w:val="none"/>
                <w:lang w:val="en-US" w:eastAsia="zh-CN"/>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commentRangeEnd w:id="12"/>
            <w:r>
              <w:rPr>
                <w:rStyle w:val="CommentReference"/>
              </w:rPr>
              <w:commentReference w:id="12"/>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个人担保</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如：实控人及配偶</w:t>
            </w:r>
            <w:r>
              <w:rPr>
                <w:rFonts w:hint="eastAsia" w:ascii="宋体" w:hAnsi="宋体" w:cs="宋体"/>
                <w:sz w:val="21"/>
                <w:szCs w:val="21"/>
                <w:highlight w:val="none"/>
                <w:lang w:eastAsia="zh-CN"/>
              </w:rPr>
              <w:t>）</w:t>
            </w:r>
            <w:r>
              <w:rPr>
                <w:rFonts w:hint="eastAsia" w:ascii="宋体" w:hAnsi="宋体" w:eastAsia="宋体" w:cs="宋体"/>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信用方式</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commentRangeStart w:id="13"/>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br/>
              <w:t>现金流方面，借款人2025年经营活动净现金流为791万元，经营现金流/净利润达1.60，销售商品收现/营收为1.04，现金流质量健康，对短期债务覆盖能力尚可。杠杆率方面，资产负债率(待补充资产负债率近三年较年初明细)，处于智慧水利行业40-60%的典型区间内，杠杆水平适中。可持续性方面，营业收入2024年为8712万元，2025年为10010万元，同比增长14.9%，呈现触底反弹；净利润2024年为329万元，2025年为494万元，同比增长50.1%，盈利能力改善，净利率由4.93%提升至4.93%。归因于收入增长及费用控制。应收账款周转天数由271天缩短至271天，同比改善30.1%，虽仍高于智慧教育行业120-240天的典型区间，主要因项目制验收周期及政府客户回款账期较长，但周转效率显著提升有利于未来现金流生成。存货周转天数由129天延长至129天，同比恶化61.5%，虽处于智慧水利行业60-180天的区间内，但存货较年初大幅增长88.0%至2192万元，远超营收增速，主要因项目备货或定制化项目未验收沉淀，存在积压风险，可能影响资产流动性及短期偿债能力。垒小户方面，企业为存量客户，现有银行授信总额5640万元，已用4440万元，涉及8家银行，融资渠道多元但较为分散。强担保方面，实际控制人黄祖海及其配偶康恩慧名下拥有仓山区上渡街道通江路17号江南水都·杰座房产（面积143.45㎡），可追加抵押，但需补充该房产的评估价值及当前抵押状态报告。</w:t>
              <w:br/>
              <w:br/>
              <w:t>综合六要素评判，借款人经营触底回升，现金流健康，杠杆可控，但存货增长过快形成资金占用，且短期借款4730万元需依赖年经营现金流791万元滚动偿还，存在一定流动性压力。授信方案需补充本次申报的具体金额、品种、期限、用途及担保方式。贷后管控需重点关注存货变动及项目验收回款情况，并监控关联企业福建中锐汉鼎信息技术有限公司的亏损状况。</w:t>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rPr>
            </w:r>
            <w:r>
              <w:rPr>
                <w:rFonts w:hint="eastAsia" w:ascii="宋体" w:hAnsi="宋体" w:cs="宋体"/>
                <w:bCs/>
                <w:snapToGrid w:val="0"/>
                <w:kern w:val="0"/>
                <w:szCs w:val="21"/>
                <w:highlight w:val="none"/>
                <w:u w:val="single"/>
                <w:lang w:eastAsia="zh-CN"/>
              </w:rPr>
            </w:r>
            <w:r>
              <w:rPr>
                <w:rFonts w:hint="eastAsia" w:ascii="宋体" w:hAnsi="宋体" w:cs="宋体"/>
                <w:bCs/>
                <w:snapToGrid w:val="0"/>
                <w:kern w:val="0"/>
                <w:szCs w:val="21"/>
                <w:highlight w:val="none"/>
                <w:u w:val="single"/>
                <w:lang w:val="en-US" w:eastAsia="zh-CN"/>
              </w:rPr>
            </w:r>
            <w:commentRangeEnd w:id="13"/>
            <w:r>
              <w:rPr>
                <w:rStyle w:val="CommentReference"/>
              </w:rPr>
              <w:commentReference w:id="13"/>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kern w:val="2"/>
                <w:sz w:val="21"/>
                <w:szCs w:val="21"/>
                <w:highlight w:val="none"/>
              </w:rPr>
              <w:t>1</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综合</w:t>
            </w:r>
            <w:r>
              <w:rPr>
                <w:rFonts w:hint="eastAsia" w:ascii="宋体" w:hAnsi="宋体" w:eastAsia="宋体" w:cs="宋体"/>
                <w:kern w:val="2"/>
                <w:sz w:val="21"/>
                <w:szCs w:val="21"/>
                <w:highlight w:val="none"/>
              </w:rPr>
              <w:t>评价</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围绕</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六要素</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eastAsia="zh-CN"/>
              </w:rPr>
              <w:t>）</w:t>
            </w:r>
            <w:r>
              <w:rPr>
                <w:rFonts w:hint="eastAsia" w:ascii="宋体" w:hAnsi="宋体" w:cs="宋体"/>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现金流：借款人2025年经营活动净现金流791万元，经营现金流/净利润达1.60，销售商品收现/营收为1.04，现金流质量健康。但公司短期借款4730万元，年经营现金流仅791万元，短贷偿还对持续经营现金流流入依赖度高，需关注其滚动偿付能力。</w:t>
            </w:r>
            <w:r>
              <w:rPr>
                <w:rFonts w:hint="eastAsia" w:ascii="宋体" w:hAnsi="宋体" w:eastAsia="宋体" w:cs="宋体"/>
                <w:snapToGrid w:val="0"/>
                <w:kern w:val="0"/>
                <w:szCs w:val="21"/>
                <w:highlight w:val="none"/>
                <w:u w:val="single"/>
                <w:lang w:val="en-US" w:eastAsia="zh-CN"/>
              </w:rPr>
            </w:r>
          </w:p>
          <w:p w14:paraId="4FF78978">
            <w:commentRangeStart w:id="1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杠杆率：借款人资产负债率(待补充资产负债率近三年较年初明细)，流动比率(待补充流动比率近三年较年初明细)，速动比率(待补充速动比率近三年较年初明细)，整体偿债能力指标改善，处于行业合理区间。</w:t>
            </w:r>
            <w:r>
              <w:rPr>
                <w:rFonts w:hint="eastAsia" w:ascii="宋体" w:hAnsi="宋体" w:eastAsia="宋体" w:cs="宋体"/>
                <w:snapToGrid w:val="0"/>
                <w:kern w:val="0"/>
                <w:szCs w:val="21"/>
                <w:highlight w:val="none"/>
                <w:u w:val="single"/>
                <w:lang w:val="en-US" w:eastAsia="zh-CN"/>
              </w:rPr>
            </w:r>
            <w:commentRangeEnd w:id="14"/>
            <w:r>
              <w:rPr>
                <w:rStyle w:val="CommentReference"/>
              </w:rPr>
              <w:commentReference w:id="14"/>
            </w:r>
          </w:p>
          <w:p w14:paraId="1882DF71">
            <w:commentRangeStart w:id="15"/>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可持续：借款人营业收入2022/2023/2024/2025年分别为21198.0万、12130.0万、8712.4万、10009.6万，2025年同比增长14.9%，呈现触底反弹。净利润同比增长50.1%至494万元，净利率提升至4.9%，盈利能力改善。但毛利率微降至38.0%，存货周转天数(待补充存货周转天数近三年同比明细)（高于智慧教育行业30-90天典型区间），主要因项目备货增加，存在一定积压，对营运资金形成占用。应收账款周转天数同比缩短117天至271天，回款管理有所改善，但仍处于较高水平。公司持续投入研发，2023-2025年研发费用分别为895万、1262万、1049万，保持一定技术投入。综合看，公司盈利恢复且偿债指标优化，但存货周转效率下降及应收款规模仍大，影响其短期偿债资金周转效率。</w:t>
            </w:r>
            <w:r>
              <w:rPr>
                <w:rFonts w:hint="eastAsia" w:ascii="宋体" w:hAnsi="宋体" w:eastAsia="宋体" w:cs="宋体"/>
                <w:snapToGrid w:val="0"/>
                <w:kern w:val="0"/>
                <w:szCs w:val="21"/>
                <w:highlight w:val="none"/>
                <w:u w:val="single"/>
                <w:lang w:val="en-US" w:eastAsia="zh-CN"/>
              </w:rPr>
            </w:r>
            <w:commentRangeEnd w:id="15"/>
            <w:r>
              <w:rPr>
                <w:rStyle w:val="CommentReference"/>
              </w:rPr>
              <w:commentReference w:id="15"/>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Cs/>
                <w:snapToGrid w:val="0"/>
                <w:kern w:val="0"/>
                <w:szCs w:val="21"/>
                <w:highlight w:val="none"/>
                <w:u w:val="single"/>
                <w:lang w:val="en-US" w:eastAsia="zh-CN"/>
              </w:rPr>
              <w:t>垒小户：该公司现有合作银行8家，总授信5640万元，已用4440万元。主要下游客户前五大合计销售额3562万元，客户结构稳定。公司名下无房产，现有固定资产主要为生产设备。配结算：借款人为我行存量客户，结算情况需进一步核实。</w:t>
            </w: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强担保：该公司名下无房产，他行贷款主要由实控人及关联方担保。本次申请需明确担保方案。</w:t>
            </w:r>
            <w:r>
              <w:rPr>
                <w:rFonts w:hint="eastAsia" w:ascii="宋体" w:hAnsi="宋体" w:eastAsia="宋体" w:cs="宋体"/>
                <w:snapToGrid w:val="0"/>
                <w:kern w:val="0"/>
                <w:szCs w:val="21"/>
                <w:highlight w:val="none"/>
                <w:u w:val="single"/>
                <w:lang w:val="en-US" w:eastAsia="zh-CN"/>
              </w:rPr>
            </w:r>
          </w:p>
          <w:p w14:paraId="5BDB9922">
            <w:commentRangeStart w:id="1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基于以上六要素综合评判，借款人整体经营呈现复苏，偿债能力指标改善，但短贷偿还压力、存货积压及部分关联企业亏损需关注，待补充完整授信方案后复核。</w:t>
            </w:r>
            <w:r>
              <w:rPr>
                <w:rFonts w:hint="eastAsia" w:ascii="宋体" w:hAnsi="宋体" w:eastAsia="宋体" w:cs="宋体"/>
                <w:snapToGrid w:val="0"/>
                <w:kern w:val="0"/>
                <w:szCs w:val="21"/>
                <w:highlight w:val="none"/>
                <w:u w:val="single"/>
                <w:lang w:val="en-US" w:eastAsia="zh-CN"/>
              </w:rPr>
            </w:r>
            <w:commentRangeEnd w:id="16"/>
            <w:r>
              <w:rPr>
                <w:rStyle w:val="CommentReference"/>
              </w:rPr>
              <w:commentReference w:id="16"/>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7"/>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2</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lang w:val="en-US" w:eastAsia="zh-CN"/>
              </w:rPr>
              <w:t>申报</w:t>
            </w:r>
            <w:r>
              <w:rPr>
                <w:rFonts w:hint="eastAsia" w:ascii="宋体" w:hAnsi="宋体" w:eastAsia="宋体" w:cs="宋体"/>
                <w:kern w:val="2"/>
                <w:sz w:val="21"/>
                <w:szCs w:val="21"/>
                <w:highlight w:val="none"/>
              </w:rPr>
              <w:t>授信</w:t>
            </w:r>
            <w:r>
              <w:rPr>
                <w:rFonts w:hint="eastAsia" w:ascii="宋体" w:hAnsi="宋体" w:eastAsia="宋体" w:cs="宋体"/>
                <w:kern w:val="2"/>
                <w:sz w:val="21"/>
                <w:szCs w:val="21"/>
                <w:highlight w:val="none"/>
                <w:lang w:val="en-US" w:eastAsia="zh-CN"/>
              </w:rPr>
              <w:t>方案</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kern w:val="2"/>
                <w:sz w:val="21"/>
                <w:szCs w:val="21"/>
                <w:highlight w:val="none"/>
                <w:u w:val="single"/>
                <w:lang w:val="en-US" w:eastAsia="zh-CN"/>
              </w:rPr>
              <w:t xml:space="preserve"> </w:t>
            </w:r>
            <w:commentRangeEnd w:id="17"/>
            <w:r>
              <w:rPr>
                <w:rStyle w:val="CommentReference"/>
              </w:rPr>
              <w:commentReference w:id="17"/>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snapToGrid w:val="0"/>
                <w:color w:val="auto"/>
                <w:kern w:val="0"/>
                <w:szCs w:val="21"/>
                <w:highlight w:val="cyan"/>
              </w:rPr>
              <w:t>尽职</w:t>
            </w:r>
            <w:r>
              <w:rPr>
                <w:rFonts w:hint="eastAsia" w:ascii="宋体" w:hAnsi="宋体" w:cs="宋体"/>
                <w:snapToGrid w:val="0"/>
                <w:color w:val="auto"/>
                <w:kern w:val="0"/>
                <w:szCs w:val="21"/>
                <w:highlight w:val="cyan"/>
                <w:lang w:val="en-US" w:eastAsia="zh-CN"/>
              </w:rPr>
              <w:t>调查</w:t>
            </w:r>
            <w:r>
              <w:rPr>
                <w:rFonts w:hint="eastAsia" w:ascii="宋体" w:hAnsi="宋体" w:cs="宋体"/>
                <w:snapToGrid w:val="0"/>
                <w:color w:val="auto"/>
                <w:kern w:val="0"/>
                <w:szCs w:val="21"/>
                <w:highlight w:val="cyan"/>
              </w:rPr>
              <w:t>：经营单位对上述材料真实性负责。</w:t>
            </w:r>
          </w:p>
          <w:p w14:paraId="6483A6E1">
            <w:commentRangeStart w:id="18"/>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p w14:paraId="6AC425A6">
            <w:commentRangeStart w:id="19"/>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9"/>
            <w:r>
              <w:rPr>
                <w:rStyle w:val="CommentReference"/>
              </w:rPr>
              <w:commentReference w:id="19"/>
            </w:r>
          </w:p>
          <w:p w14:paraId="2FC82B07">
            <w:commentRangeStart w:id="20"/>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0"/>
            <w:r>
              <w:rPr>
                <w:rStyle w:val="CommentReference"/>
              </w:rPr>
              <w:commentReference w:id="20"/>
            </w:r>
          </w:p>
          <w:p w14:paraId="269107E9">
            <w:commentRangeStart w:id="21"/>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1"/>
            <w:r>
              <w:rPr>
                <w:rStyle w:val="CommentReference"/>
              </w:rPr>
              <w:commentReference w:id="21"/>
            </w:r>
          </w:p>
          <w:p w14:paraId="3096CC3B">
            <w:commentRangeStart w:id="22"/>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2"/>
            <w:r>
              <w:rPr>
                <w:rStyle w:val="CommentReference"/>
              </w:rPr>
              <w:commentReference w:id="22"/>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bCs/>
                <w:snapToGrid w:val="0"/>
                <w:color w:val="000000"/>
                <w:kern w:val="0"/>
                <w:szCs w:val="21"/>
                <w:highlight w:val="none"/>
              </w:rPr>
              <w:t>普惠部审查岗意见</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lang w:val="en-US" w:eastAsia="zh-CN"/>
              </w:rPr>
              <w:t>可另附</w:t>
            </w:r>
            <w:r>
              <w:rPr>
                <w:rFonts w:hint="eastAsia" w:ascii="宋体" w:hAnsi="宋体" w:cs="宋体"/>
                <w:bCs/>
                <w:snapToGrid w:val="0"/>
                <w:kern w:val="0"/>
                <w:szCs w:val="21"/>
                <w:highlight w:val="none"/>
                <w:lang w:eastAsia="zh-CN"/>
              </w:rPr>
              <w:t>）</w:t>
            </w:r>
            <w:r>
              <w:rPr>
                <w:rFonts w:hint="eastAsia" w:ascii="宋体" w:hAnsi="宋体" w:cs="宋体"/>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color w:val="auto"/>
                <w:kern w:val="2"/>
                <w:sz w:val="21"/>
                <w:szCs w:val="21"/>
                <w:highlight w:val="none"/>
                <w:lang w:val="en-US" w:eastAsia="zh-CN"/>
              </w:rPr>
              <w:t>主要风险及</w:t>
            </w:r>
            <w:r>
              <w:rPr>
                <w:rFonts w:hint="eastAsia" w:ascii="宋体" w:hAnsi="宋体"/>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4"/>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4"/>
            <w:r>
              <w:rPr>
                <w:rStyle w:val="CommentReference"/>
              </w:rPr>
              <w:commentReference w:id="24"/>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8:35:59Z" w:initials="Agent">
    <w:p>
      <w:r>
        <w:rPr>
          <w:rStyle w:val="CommentReference"/>
        </w:rPr>
        <w:annotationRef/>
      </w:r>
      <w:r>
        <w:t xml:space="preserve">该处“申报单位”仍为空白，请人工确认。</w:t>
      </w:r>
    </w:p>
  </w:comment>
  <w:comment w:id="1" w:author="信贷报告 Agent" w:date="2026-04-15T18:35:59Z" w:initials="Agent">
    <w:p>
      <w:r>
        <w:rPr>
          <w:rStyle w:val="CommentReference"/>
        </w:rPr>
        <w:annotationRef/>
      </w:r>
      <w:r>
        <w:t xml:space="preserve">该处“小类）”仍为空白，请人工确认。</w:t>
      </w:r>
    </w:p>
  </w:comment>
  <w:comment w:id="2" w:author="信贷报告 Agent" w:date="2026-04-15T18:35:59Z" w:initials="Agent">
    <w:p>
      <w:r>
        <w:rPr>
          <w:rStyle w:val="CommentReference"/>
        </w:rPr>
        <w:annotationRef/>
      </w:r>
      <w:r>
        <w:t xml:space="preserve">该处“绿通标识”仍为空白，请人工确认。</w:t>
      </w:r>
    </w:p>
  </w:comment>
  <w:comment w:id="3" w:author="信贷报告 Agent" w:date="2026-04-15T18:35:59Z" w:initials="Agent">
    <w:p>
      <w:r>
        <w:rPr>
          <w:rStyle w:val="CommentReference"/>
        </w:rPr>
        <w:annotationRef/>
      </w:r>
      <w:r>
        <w:t xml:space="preserve">该处“黄色预警提示法定代表人目前信用卡存在逾期，经核实，需补充法定”仍为待补充，请人工补充。</w:t>
      </w:r>
    </w:p>
  </w:comment>
  <w:comment w:id="4" w:author="信贷报告 Agent" w:date="2026-04-15T18:35:59Z" w:initials="Agent">
    <w:p>
      <w:r>
        <w:rPr>
          <w:rStyle w:val="CommentReference"/>
        </w:rPr>
        <w:annotationRef/>
      </w:r>
      <w:r>
        <w:t xml:space="preserve">该处“公司主营业务为智慧水利与智慧教育，其中水利业务收入占比46%”仍为待补充，请人工补充。</w:t>
      </w:r>
    </w:p>
  </w:comment>
  <w:comment w:id="5" w:author="信贷报告 Agent" w:date="2026-04-15T18:35:59Z" w:initials="Agent">
    <w:p>
      <w:r>
        <w:rPr>
          <w:rStyle w:val="CommentReference"/>
        </w:rPr>
        <w:annotationRef/>
      </w:r>
      <w:r>
        <w:t xml:space="preserve">该处“（3）存货2192万元，2023/2024/2025年分别为”仍为待补充，请人工补充。</w:t>
      </w:r>
    </w:p>
  </w:comment>
  <w:comment w:id="6" w:author="信贷报告 Agent" w:date="2026-04-15T18:35:59Z" w:initials="Agent">
    <w:p>
      <w:r>
        <w:rPr>
          <w:rStyle w:val="CommentReference"/>
        </w:rPr>
        <w:annotationRef/>
      </w:r>
      <w:r>
        <w:t xml:space="preserve">该处“（若有）对外担保情况”仍为空白，请人工确认。</w:t>
      </w:r>
    </w:p>
  </w:comment>
  <w:comment w:id="7" w:author="信贷报告 Agent" w:date="2026-04-15T18:35:59Z" w:initials="Agent">
    <w:p>
      <w:r>
        <w:rPr>
          <w:rStyle w:val="CommentReference"/>
        </w:rPr>
        <w:annotationRef/>
      </w:r>
      <w:r>
        <w:t xml:space="preserve">该处“为中行个人经营贷款，经营主体为”仍为模板占位符，请人工核实。</w:t>
      </w:r>
    </w:p>
  </w:comment>
  <w:comment w:id="8" w:author="信贷报告 Agent" w:date="2026-04-15T18:35:59Z" w:initials="Agent">
    <w:p>
      <w:r>
        <w:rPr>
          <w:rStyle w:val="CommentReference"/>
        </w:rPr>
        <w:annotationRef/>
      </w:r>
      <w:r>
        <w:t xml:space="preserve">该处“请补充分析原因”仍为空白，请人工确认。</w:t>
      </w:r>
    </w:p>
  </w:comment>
  <w:comment w:id="9" w:author="信贷报告 Agent" w:date="2026-04-15T18:35:59Z" w:initials="Agent">
    <w:p>
      <w:r>
        <w:rPr>
          <w:rStyle w:val="CommentReference"/>
        </w:rPr>
        <w:annotationRef/>
      </w:r>
      <w:r>
        <w:t xml:space="preserve">该处“万元（请附”仍为空白，请人工确认。；该处“企业营运资金需求”仍为空白，请人工确认。</w:t>
      </w:r>
    </w:p>
  </w:comment>
  <w:comment w:id="10" w:author="信贷报告 Agent" w:date="2026-04-15T18:35:59Z" w:initials="Agent">
    <w:p>
      <w:r>
        <w:rPr>
          <w:rStyle w:val="CommentReference"/>
        </w:rPr>
        <w:annotationRef/>
      </w:r>
      <w:r>
        <w:t xml:space="preserve">该处“请补充说明”仍为空白，请人工确认。</w:t>
      </w:r>
    </w:p>
  </w:comment>
  <w:comment w:id="11" w:author="信贷报告 Agent" w:date="2026-04-15T18:35:59Z" w:initials="Agent">
    <w:p>
      <w:r>
        <w:rPr>
          <w:rStyle w:val="CommentReference"/>
        </w:rPr>
        <w:annotationRef/>
      </w:r>
      <w:r>
        <w:t xml:space="preserve">该处“变动原因”仍为空白，请人工确认。</w:t>
      </w:r>
    </w:p>
  </w:comment>
  <w:comment w:id="12" w:author="信贷报告 Agent" w:date="2026-04-15T18:35:59Z" w:initials="Agent">
    <w:p>
      <w:r>
        <w:rPr>
          <w:rStyle w:val="CommentReference"/>
        </w:rPr>
        <w:annotationRef/>
      </w:r>
      <w:r>
        <w:t xml:space="preserve">该处“本次担保涉及福州市融资担保有限公司。我行内部对该担保公司的审”仍为待补充，请人工补充。</w:t>
      </w:r>
    </w:p>
  </w:comment>
  <w:comment w:id="13" w:author="信贷报告 Agent" w:date="2026-04-15T18:35:59Z" w:initials="Agent">
    <w:p>
      <w:r>
        <w:rPr>
          <w:rStyle w:val="CommentReference"/>
        </w:rPr>
        <w:annotationRef/>
      </w:r>
      <w:r>
        <w:t xml:space="preserve">该处“（十一）经营单位授信申报结论及方案：（围绕“现金流、杠杆率、”仍为待补充，请人工补充。</w:t>
      </w:r>
    </w:p>
  </w:comment>
  <w:comment w:id="14" w:author="信贷报告 Agent" w:date="2026-04-15T18:35:59Z" w:initials="Agent">
    <w:p>
      <w:r>
        <w:rPr>
          <w:rStyle w:val="CommentReference"/>
        </w:rPr>
        <w:annotationRef/>
      </w:r>
      <w:r>
        <w:t xml:space="preserve">该处“杠杆率：借款人资产负债率(待补充资产负债率近三年较年初明细)”仍为待补充，请人工补充。</w:t>
      </w:r>
    </w:p>
  </w:comment>
  <w:comment w:id="15" w:author="信贷报告 Agent" w:date="2026-04-15T18:35:59Z" w:initials="Agent">
    <w:p>
      <w:r>
        <w:rPr>
          <w:rStyle w:val="CommentReference"/>
        </w:rPr>
        <w:annotationRef/>
      </w:r>
      <w:r>
        <w:t xml:space="preserve">该处“可持续：借款人营业收入2022/2023/2024/2025”仍为待补充，请人工补充。</w:t>
      </w:r>
    </w:p>
  </w:comment>
  <w:comment w:id="16" w:author="信贷报告 Agent" w:date="2026-04-15T18:35:59Z" w:initials="Agent">
    <w:p>
      <w:r>
        <w:rPr>
          <w:rStyle w:val="CommentReference"/>
        </w:rPr>
        <w:annotationRef/>
      </w:r>
      <w:r>
        <w:t xml:space="preserve">该处“基于以上六要素综合评判，借款人整体经营呈现复苏，偿债能力指标”仍为待补充，请人工补充。</w:t>
      </w:r>
    </w:p>
  </w:comment>
  <w:comment w:id="17" w:author="信贷报告 Agent" w:date="2026-04-15T18:35:59Z" w:initials="Agent">
    <w:p>
      <w:r>
        <w:rPr>
          <w:rStyle w:val="CommentReference"/>
        </w:rPr>
        <w:annotationRef/>
      </w:r>
      <w:r>
        <w:t xml:space="preserve">该处“予借款人授信敞口1000万元，”仍为模板占位符，请人工核实。</w:t>
      </w:r>
    </w:p>
  </w:comment>
  <w:comment w:id="18" w:author="信贷报告 Agent" w:date="2026-04-15T18:35:59Z" w:initials="Agent">
    <w:p>
      <w:r>
        <w:rPr>
          <w:rStyle w:val="CommentReference"/>
        </w:rPr>
        <w:annotationRef/>
      </w:r>
      <w:r>
        <w:t xml:space="preserve">该处“客户经理”仍为空白，请人工确认。</w:t>
      </w:r>
    </w:p>
  </w:comment>
  <w:comment w:id="19" w:author="信贷报告 Agent" w:date="2026-04-15T18:35:59Z" w:initials="Agent">
    <w:p>
      <w:r>
        <w:rPr>
          <w:rStyle w:val="CommentReference"/>
        </w:rPr>
        <w:annotationRef/>
      </w:r>
      <w:r>
        <w:t xml:space="preserve">该处“共同调查人”仍为空白，请人工确认。</w:t>
      </w:r>
    </w:p>
  </w:comment>
  <w:comment w:id="20" w:author="信贷报告 Agent" w:date="2026-04-15T18:35:59Z" w:initials="Agent">
    <w:p>
      <w:r>
        <w:rPr>
          <w:rStyle w:val="CommentReference"/>
        </w:rPr>
        <w:annotationRef/>
      </w:r>
      <w:r>
        <w:t xml:space="preserve">该处“二级支行行长”仍为空白，请人工确认。</w:t>
      </w:r>
    </w:p>
  </w:comment>
  <w:comment w:id="21" w:author="信贷报告 Agent" w:date="2026-04-15T18:35:59Z" w:initials="Agent">
    <w:p>
      <w:r>
        <w:rPr>
          <w:rStyle w:val="CommentReference"/>
        </w:rPr>
        <w:annotationRef/>
      </w:r>
      <w:r>
        <w:t xml:space="preserve">该处“分管行长”仍为空白，请人工确认。</w:t>
      </w:r>
    </w:p>
  </w:comment>
  <w:comment w:id="22" w:author="信贷报告 Agent" w:date="2026-04-15T18:35:59Z" w:initials="Agent">
    <w:p>
      <w:r>
        <w:rPr>
          <w:rStyle w:val="CommentReference"/>
        </w:rPr>
        <w:annotationRef/>
      </w:r>
      <w:r>
        <w:t xml:space="preserve">该处“行长”仍为空白，请人工确认。</w:t>
      </w:r>
    </w:p>
  </w:comment>
  <w:comment w:id="23" w:author="信贷报告 Agent" w:date="2026-04-15T18:35:59Z" w:initials="Agent">
    <w:p>
      <w:r>
        <w:rPr>
          <w:rStyle w:val="CommentReference"/>
        </w:rPr>
        <w:annotationRef/>
      </w:r>
      <w:r>
        <w:t xml:space="preserve">该处“中船重工第”仍为模板占位符，请人工核实。</w:t>
      </w:r>
    </w:p>
  </w:comment>
  <w:comment w:id="24" w:author="信贷报告 Agent" w:date="2026-04-15T18:35:59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