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w:t>
            </w:r>
          </w:p>
          <w:p w14:paraId="54CB5F37">
            <w:pPr>
              <w:spacing w:line="240" w:lineRule="auto"/>
              <w:jc w:val="both"/>
              <w:outlineLvl w:val="0"/>
              <w:rPr>
                <w:rFonts w:hint="eastAsia" w:ascii="宋体" w:hAnsi="宋体" w:eastAsia="宋体" w:cs="宋体"/>
                <w:b/>
                <w:color w:val="FF0000"/>
                <w:sz w:val="21"/>
                <w:szCs w:val="21"/>
                <w:highlight w:val="none"/>
                <w:lang w:val="en-US" w:eastAsia="zh-CN"/>
              </w:rPr>
            </w:pPr>
            <w:r>
              <w:rPr>
                <w:rFonts w:hint="eastAsia" w:ascii="宋体" w:hAnsi="宋体" w:eastAsia="宋体" w:cs="宋体"/>
                <w:b/>
                <w:color w:val="FF0000"/>
                <w:sz w:val="21"/>
                <w:szCs w:val="21"/>
                <w:highlight w:val="none"/>
                <w:lang w:val="en-US" w:eastAsia="zh-CN"/>
              </w:rPr>
              <w:t>集团名称（如涉及）：</w:t>
            </w:r>
          </w:p>
          <w:p w14:paraId="0C2EFAED">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万元；上年度销售额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万元；上年度末员工人数</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人</w:t>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color w:val="FF000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color w:val="FF000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color w:val="FF0000"/>
                <w:sz w:val="21"/>
                <w:szCs w:val="21"/>
                <w:highlight w:val="none"/>
                <w:lang w:eastAsia="zh-CN"/>
              </w:rPr>
              <w:t>较高（</w:t>
            </w:r>
            <w:r>
              <w:rPr>
                <w:rFonts w:hint="eastAsia" w:ascii="宋体" w:hAnsi="宋体" w:eastAsia="宋体" w:cs="宋体"/>
                <w:b/>
                <w:bCs/>
                <w:strike w:val="0"/>
                <w:dstrike w:val="0"/>
                <w:color w:val="FF0000"/>
                <w:sz w:val="21"/>
                <w:szCs w:val="21"/>
                <w:highlight w:val="none"/>
                <w:lang w:val="en-US" w:eastAsia="zh-CN"/>
              </w:rPr>
              <w:t>须在其他负面信息栏说明</w:t>
            </w:r>
            <w:r>
              <w:rPr>
                <w:rFonts w:hint="eastAsia" w:ascii="宋体" w:hAnsi="宋体" w:eastAsia="宋体" w:cs="宋体"/>
                <w:b/>
                <w:bCs/>
                <w:color w:val="FF0000"/>
                <w:sz w:val="21"/>
                <w:szCs w:val="21"/>
                <w:highlight w:val="none"/>
                <w:lang w:eastAsia="zh-CN"/>
              </w:rPr>
              <w:t>）；</w:t>
            </w:r>
            <w:r>
              <w:rPr>
                <w:rFonts w:hint="eastAsia" w:ascii="宋体" w:hAnsi="宋体" w:cs="宋体"/>
                <w:b/>
                <w:bCs/>
                <w:snapToGrid w:val="0"/>
                <w:color w:val="FF0000"/>
                <w:kern w:val="0"/>
                <w:szCs w:val="21"/>
              </w:rPr>
              <w:t>□</w:t>
            </w:r>
            <w:r>
              <w:rPr>
                <w:rFonts w:hint="eastAsia" w:ascii="宋体" w:hAnsi="宋体" w:eastAsia="宋体" w:cs="宋体"/>
                <w:b/>
                <w:bCs/>
                <w:color w:val="FF0000"/>
                <w:sz w:val="21"/>
                <w:szCs w:val="21"/>
                <w:highlight w:val="none"/>
                <w:lang w:eastAsia="zh-CN"/>
              </w:rPr>
              <w:t>高（</w:t>
            </w:r>
            <w:r>
              <w:rPr>
                <w:rFonts w:hint="eastAsia" w:ascii="宋体" w:hAnsi="宋体" w:eastAsia="宋体" w:cs="宋体"/>
                <w:b/>
                <w:bCs/>
                <w:color w:val="FF0000"/>
                <w:sz w:val="21"/>
                <w:szCs w:val="21"/>
                <w:highlight w:val="none"/>
                <w:lang w:val="en-US" w:eastAsia="zh-CN"/>
              </w:rPr>
              <w:t>不得准入</w:t>
            </w:r>
            <w:r>
              <w:rPr>
                <w:rFonts w:hint="eastAsia" w:ascii="宋体" w:hAnsi="宋体" w:eastAsia="宋体" w:cs="宋体"/>
                <w:b/>
                <w:bCs/>
                <w:color w:val="FF0000"/>
                <w:sz w:val="21"/>
                <w:szCs w:val="21"/>
                <w:highlight w:val="none"/>
                <w:lang w:eastAsia="zh-CN"/>
              </w:rPr>
              <w:t>）</w:t>
            </w:r>
          </w:p>
          <w:p w14:paraId="11732687">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w:t>
            </w:r>
            <w:r>
              <w:rPr>
                <w:rFonts w:hint="eastAsia" w:ascii="宋体" w:hAnsi="宋体" w:cs="宋体"/>
                <w:snapToGrid w:val="0"/>
                <w:color w:val="000000"/>
                <w:kern w:val="0"/>
                <w:szCs w:val="21"/>
                <w:u w:val="single"/>
              </w:rPr>
              <w:t xml:space="preserve"> </w:t>
            </w:r>
            <w:r>
              <w:rPr>
                <w:rFonts w:hint="eastAsia" w:ascii="宋体" w:hAnsi="宋体" w:cs="宋体"/>
                <w:snapToGrid w:val="0"/>
                <w:color w:val="000000"/>
                <w:kern w:val="0"/>
                <w:szCs w:val="21"/>
                <w:highlight w:val="none"/>
                <w:u w:val="single"/>
                <w:lang w:val="en-US" w:eastAsia="zh-CN"/>
              </w:rPr>
              <w:t>1000</w:t>
            </w:r>
            <w:r>
              <w:rPr>
                <w:rFonts w:hint="eastAsia" w:ascii="宋体" w:hAnsi="宋体" w:cs="宋体"/>
                <w:snapToGrid w:val="0"/>
                <w:color w:val="000000"/>
                <w:kern w:val="0"/>
                <w:szCs w:val="21"/>
                <w:u w:val="single"/>
              </w:rPr>
              <w:t xml:space="preserve"> </w:t>
            </w:r>
            <w:r>
              <w:rPr>
                <w:rFonts w:hint="eastAsia" w:ascii="宋体" w:hAnsi="宋体" w:cs="宋体"/>
                <w:snapToGrid w:val="0"/>
                <w:color w:val="000000"/>
                <w:kern w:val="0"/>
                <w:szCs w:val="21"/>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申报</w:t>
            </w:r>
            <w:r>
              <w:rPr>
                <w:rFonts w:hint="eastAsia" w:ascii="宋体" w:hAnsi="宋体" w:cs="宋体"/>
                <w:snapToGrid w:val="0"/>
                <w:color w:val="000000"/>
                <w:kern w:val="0"/>
                <w:szCs w:val="21"/>
                <w:highlight w:val="none"/>
              </w:rPr>
              <w:t>敞口</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val="en-US" w:eastAsia="zh-CN"/>
              </w:rPr>
              <w:t>1000</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上一期授信敞口（若有）：</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val="en-US" w:eastAsia="zh-CN"/>
              </w:rPr>
              <w:t>500</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注册资本：4100万元、实收资本：4100万元；法定代表人：黄祖海。实际主营业务为软件和信息技术服务，主要面向政府及企事业单位提供信息化解决方案。股权结构详见下表。</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color w:val="FF0000"/>
                <w:kern w:val="0"/>
                <w:szCs w:val="21"/>
                <w:highlight w:val="none"/>
              </w:rPr>
            </w:r>
            <w:r>
              <w:rPr>
                <w:rFonts w:hint="eastAsia" w:ascii="宋体" w:hAnsi="宋体" w:cs="宋体"/>
                <w:b/>
                <w:bCs/>
                <w:snapToGrid w:val="0"/>
                <w:color w:val="FF0000"/>
                <w:kern w:val="0"/>
                <w:szCs w:val="21"/>
                <w:highlight w:val="none"/>
                <w:lang w:val="en-US" w:eastAsia="zh-CN"/>
              </w:rPr>
            </w:r>
            <w:r>
              <w:rPr>
                <w:rFonts w:hint="eastAsia" w:ascii="宋体" w:hAnsi="宋体" w:cs="宋体"/>
                <w:b/>
                <w:bCs/>
                <w:snapToGrid w:val="0"/>
                <w:color w:val="FF0000"/>
                <w:kern w:val="0"/>
                <w:szCs w:val="21"/>
                <w:highlight w:val="none"/>
              </w:rPr>
            </w:r>
            <w:r>
              <w:rPr>
                <w:rFonts w:hint="eastAsia" w:ascii="宋体" w:hAnsi="宋体" w:cs="宋体"/>
                <w:b/>
                <w:bCs/>
                <w:snapToGrid w:val="0"/>
                <w:color w:val="FF0000"/>
                <w:kern w:val="0"/>
                <w:szCs w:val="21"/>
                <w:highlight w:val="none"/>
                <w:lang w:val="en-US" w:eastAsia="zh-CN"/>
              </w:rPr>
            </w:r>
            <w:r>
              <w:rPr>
                <w:rFonts w:hint="eastAsia" w:ascii="宋体" w:hAnsi="宋体" w:cs="宋体"/>
                <w:b/>
                <w:bCs/>
                <w:snapToGrid w:val="0"/>
                <w:color w:val="FF000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FF000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FF0000"/>
                <w:kern w:val="0"/>
                <w:szCs w:val="21"/>
                <w:u w:val="single"/>
              </w:rPr>
            </w:pPr>
            <w:r>
              <w:rPr>
                <w:rFonts w:hint="eastAsia" w:ascii="宋体" w:hAnsi="宋体" w:cs="宋体"/>
                <w:b/>
                <w:snapToGrid w:val="0"/>
                <w:color w:val="000000"/>
                <w:kern w:val="0"/>
                <w:szCs w:val="21"/>
                <w:lang w:val="en-US" w:eastAsia="zh-CN"/>
              </w:rPr>
              <w:t>材料未提供本次面访时间、双方会面人员等具体信息。实控人黄祖海先生拥有湖南大学电子商务专业本科学历，自2000年起长期从事网络技术行业，先后在福建实达网络、星网锐捷等公司担任技术及管理职务，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color w:val="FF0000"/>
                <w:kern w:val="0"/>
                <w:szCs w:val="21"/>
                <w:u w:val="single"/>
                <w:lang w:eastAsia="zh-CN"/>
              </w:rPr>
            </w:r>
            <w:r>
              <w:rPr>
                <w:rFonts w:hint="eastAsia" w:ascii="宋体" w:hAnsi="宋体" w:cs="宋体"/>
                <w:b w:val="0"/>
                <w:bCs w:val="0"/>
                <w:snapToGrid w:val="0"/>
                <w:color w:val="FF0000"/>
                <w:kern w:val="0"/>
                <w:szCs w:val="21"/>
                <w:u w:val="single"/>
                <w:lang w:val="en-US" w:eastAsia="zh-CN"/>
              </w:rPr>
            </w:r>
            <w:r>
              <w:rPr>
                <w:rFonts w:hint="eastAsia" w:ascii="宋体" w:hAnsi="宋体" w:cs="宋体"/>
                <w:snapToGrid w:val="0"/>
                <w:color w:val="FF0000"/>
                <w:kern w:val="0"/>
                <w:szCs w:val="21"/>
                <w:u w:val="single"/>
              </w:rPr>
            </w:r>
            <w:r>
              <w:rPr>
                <w:rFonts w:hint="eastAsia" w:ascii="宋体" w:hAnsi="宋体" w:cs="宋体"/>
                <w:snapToGrid w:val="0"/>
                <w:color w:val="FF0000"/>
                <w:kern w:val="0"/>
                <w:szCs w:val="21"/>
                <w:u w:val="single"/>
                <w:lang w:val="en-US" w:eastAsia="zh-CN"/>
              </w:rPr>
            </w:r>
            <w:r>
              <w:rPr>
                <w:rFonts w:hint="eastAsia" w:ascii="宋体" w:hAnsi="宋体" w:cs="宋体"/>
                <w:snapToGrid w:val="0"/>
                <w:color w:val="FF000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材料未提供实地走访情况说明。</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color w:val="FF0000"/>
                <w:kern w:val="0"/>
                <w:szCs w:val="21"/>
                <w:highlight w:val="none"/>
                <w:u w:val="single"/>
                <w:lang w:val="en-US" w:eastAsia="zh-CN"/>
              </w:rPr>
            </w:r>
            <w:r>
              <w:rPr>
                <w:rFonts w:hint="eastAsia" w:ascii="宋体" w:hAnsi="宋体" w:cs="宋体"/>
                <w:b w:val="0"/>
                <w:bCs w:val="0"/>
                <w:snapToGrid w:val="0"/>
                <w:color w:val="FF000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w:t>
            </w:r>
            <w:r>
              <w:rPr>
                <w:rFonts w:hint="eastAsia" w:ascii="宋体" w:hAnsi="宋体" w:cs="宋体"/>
                <w:b/>
                <w:bCs/>
                <w:color w:val="FF0000"/>
                <w:kern w:val="2"/>
                <w:sz w:val="21"/>
                <w:szCs w:val="21"/>
                <w:highlight w:val="none"/>
                <w:lang w:val="en-US" w:eastAsia="zh-CN"/>
              </w:rPr>
              <w:t>4.</w:t>
            </w:r>
            <w:r>
              <w:rPr>
                <w:rFonts w:hint="eastAsia" w:ascii="宋体" w:hAnsi="宋体" w:eastAsia="宋体" w:cs="宋体"/>
                <w:b/>
                <w:bCs/>
                <w:color w:val="FF0000"/>
                <w:kern w:val="2"/>
                <w:sz w:val="21"/>
                <w:szCs w:val="21"/>
                <w:highlight w:val="none"/>
                <w:lang w:val="en-US" w:eastAsia="zh-CN"/>
              </w:rPr>
              <w:t>历年</w:t>
            </w:r>
            <w:r>
              <w:rPr>
                <w:rFonts w:hint="eastAsia" w:ascii="宋体" w:hAnsi="宋体" w:cs="宋体"/>
                <w:b/>
                <w:bCs/>
                <w:color w:val="FF0000"/>
                <w:kern w:val="2"/>
                <w:sz w:val="21"/>
                <w:szCs w:val="21"/>
                <w:highlight w:val="none"/>
                <w:lang w:val="en-US" w:eastAsia="zh-CN"/>
              </w:rPr>
              <w:t>股权</w:t>
            </w:r>
            <w:r>
              <w:rPr>
                <w:rFonts w:hint="eastAsia" w:ascii="宋体" w:hAnsi="宋体" w:eastAsia="宋体" w:cs="宋体"/>
                <w:b/>
                <w:bCs/>
                <w:color w:val="FF0000"/>
                <w:kern w:val="2"/>
                <w:sz w:val="21"/>
                <w:szCs w:val="21"/>
                <w:highlight w:val="none"/>
                <w:lang w:val="en-US" w:eastAsia="zh-CN"/>
              </w:rPr>
              <w:t>融资情况</w:t>
            </w:r>
            <w:r>
              <w:rPr>
                <w:rFonts w:hint="eastAsia" w:ascii="宋体" w:hAnsi="宋体" w:eastAsia="宋体" w:cs="宋体"/>
                <w:b/>
                <w:color w:val="FF0000"/>
                <w:sz w:val="21"/>
                <w:szCs w:val="21"/>
                <w:highlight w:val="none"/>
              </w:rPr>
              <w:t>（</w:t>
            </w:r>
            <w:r>
              <w:rPr>
                <w:rFonts w:hint="eastAsia" w:ascii="宋体" w:hAnsi="宋体" w:cs="宋体"/>
                <w:b/>
                <w:color w:val="FF0000"/>
                <w:sz w:val="21"/>
                <w:szCs w:val="21"/>
                <w:highlight w:val="none"/>
                <w:lang w:val="en-US" w:eastAsia="zh-CN"/>
              </w:rPr>
              <w:t>如</w:t>
            </w:r>
            <w:r>
              <w:rPr>
                <w:rFonts w:hint="eastAsia" w:ascii="宋体" w:hAnsi="宋体" w:eastAsia="宋体" w:cs="宋体"/>
                <w:b/>
                <w:color w:val="FF0000"/>
                <w:sz w:val="21"/>
                <w:szCs w:val="21"/>
                <w:highlight w:val="none"/>
                <w:lang w:val="en-US" w:eastAsia="zh-CN"/>
              </w:rPr>
              <w:t>为</w:t>
            </w:r>
            <w:r>
              <w:rPr>
                <w:rFonts w:hint="eastAsia" w:ascii="宋体" w:hAnsi="宋体" w:cs="宋体"/>
                <w:b/>
                <w:color w:val="FF0000"/>
                <w:sz w:val="21"/>
                <w:szCs w:val="21"/>
                <w:highlight w:val="none"/>
                <w:lang w:val="en-US" w:eastAsia="zh-CN"/>
              </w:rPr>
              <w:t>科技型</w:t>
            </w:r>
            <w:r>
              <w:rPr>
                <w:rFonts w:hint="eastAsia" w:ascii="宋体" w:hAnsi="宋体" w:eastAsia="宋体" w:cs="宋体"/>
                <w:b/>
                <w:color w:val="FF0000"/>
                <w:sz w:val="21"/>
                <w:szCs w:val="21"/>
                <w:highlight w:val="none"/>
                <w:lang w:val="en-US" w:eastAsia="zh-CN"/>
              </w:rPr>
              <w:t>企业，请填列下表</w:t>
            </w:r>
            <w:r>
              <w:rPr>
                <w:rFonts w:hint="eastAsia" w:ascii="宋体" w:hAnsi="宋体" w:eastAsia="宋体" w:cs="宋体"/>
                <w:b/>
                <w:color w:val="FF0000"/>
                <w:sz w:val="21"/>
                <w:szCs w:val="21"/>
                <w:highlight w:val="none"/>
              </w:rPr>
              <w:t>）</w:t>
            </w:r>
            <w:r>
              <w:rPr>
                <w:rFonts w:hint="eastAsia" w:ascii="宋体" w:hAnsi="宋体" w:cs="宋体"/>
                <w:b/>
                <w:snapToGrid w:val="0"/>
                <w:color w:val="FF000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FF000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color w:val="FF000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w:t>
            </w:r>
            <w:r>
              <w:rPr>
                <w:rFonts w:hint="eastAsia" w:ascii="宋体" w:hAnsi="宋体" w:eastAsia="宋体" w:cs="宋体"/>
                <w:b/>
                <w:bCs/>
                <w:snapToGrid w:val="0"/>
                <w:color w:val="FF000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color w:val="FF000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黄色预警提示法定代表人黄祖海目前信用卡存在逾期，经核实，未对借款人造成实质性风险。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FF0000"/>
                <w:kern w:val="0"/>
                <w:szCs w:val="21"/>
                <w:highlight w:val="none"/>
                <w:u w:val="single"/>
                <w:lang w:val="en-US" w:eastAsia="zh-CN"/>
              </w:rPr>
              <w:t>请如实反馈</w:t>
            </w:r>
            <w:r>
              <w:rPr>
                <w:rFonts w:hint="eastAsia" w:ascii="宋体" w:hAnsi="宋体" w:cs="宋体"/>
                <w:bCs/>
                <w:snapToGrid w:val="0"/>
                <w:color w:val="000000"/>
                <w:kern w:val="0"/>
                <w:szCs w:val="21"/>
                <w:highlight w:val="none"/>
                <w:u w:val="single"/>
                <w:lang w:val="en-US" w:eastAsia="zh-CN"/>
              </w:rPr>
              <w:t xml:space="preserve">                      </w:t>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color w:val="FF000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FF0000"/>
                <w:kern w:val="0"/>
                <w:szCs w:val="21"/>
                <w:lang w:eastAsia="zh-CN"/>
              </w:rPr>
            </w:pPr>
            <w:r>
              <w:rPr>
                <w:rFonts w:hint="eastAsia" w:ascii="宋体" w:hAnsi="宋体" w:cs="宋体"/>
                <w:snapToGrid w:val="0"/>
                <w:color w:val="000000"/>
                <w:kern w:val="0"/>
                <w:szCs w:val="21"/>
              </w:rPr>
              <w:t>法定代表人及实际控制人：黄祖海，中国国籍，身份证号350124197704201694，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身份证号352101197802182324。</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color w:val="FF0000"/>
                <w:kern w:val="0"/>
                <w:szCs w:val="21"/>
                <w:u w:val="single"/>
                <w:lang w:eastAsia="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snapToGrid w:val="0"/>
                <w:color w:val="FF000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color w:val="FF000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color w:val="FF0000"/>
                <w:kern w:val="0"/>
                <w:szCs w:val="21"/>
                <w:lang w:eastAsia="zh-CN"/>
              </w:rPr>
            </w:pPr>
            <w:r>
              <w:rPr>
                <w:rFonts w:hint="eastAsia" w:ascii="宋体" w:hAnsi="宋体" w:eastAsia="宋体" w:cs="宋体"/>
                <w:b/>
                <w:bCs/>
                <w:snapToGrid w:val="0"/>
                <w:kern w:val="0"/>
                <w:szCs w:val="21"/>
                <w:highlight w:val="none"/>
              </w:rPr>
              <w:t>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color w:val="FF0000"/>
                <w:kern w:val="0"/>
                <w:szCs w:val="21"/>
                <w:lang w:eastAsia="zh-CN"/>
              </w:rPr>
            </w:r>
          </w:p>
          <w:p w14:paraId="29070FDD">
            <w:pPr>
              <w:ind w:firstLine="422" w:firstLineChars="200"/>
              <w:jc w:val="left"/>
              <w:outlineLvl w:val="0"/>
              <w:rPr>
                <w:rFonts w:hint="eastAsia" w:ascii="宋体" w:hAnsi="宋体" w:cs="宋体"/>
                <w:snapToGrid w:val="0"/>
                <w:color w:val="FF0000"/>
                <w:kern w:val="0"/>
                <w:szCs w:val="21"/>
                <w:highlight w:val="none"/>
                <w:u w:val="single"/>
              </w:rPr>
            </w:pPr>
            <w:r>
              <w:rPr>
                <w:rFonts w:hint="eastAsia" w:ascii="宋体" w:hAnsi="宋体" w:cs="宋体"/>
                <w:b/>
                <w:bCs/>
                <w:snapToGrid w:val="0"/>
                <w:kern w:val="0"/>
                <w:szCs w:val="21"/>
                <w:highlight w:val="none"/>
              </w:rPr>
              <w:t>关联企业情况小结：企业关联方共5家，均为全资或控股子公司，包括福建中锐汉鼎信息技术有限公司、福建中锐教育科技有限公司、北京中锐青云科技有限公司、厦门中锐软件科技有限公司、中锐海沃水利技术(福建)有限公司。关联企业经营规模普遍较小，上年合计主营业务收入8712.36万元，其中福建中锐汉鼎信息技术有限公司收入1223万元，其余四家收入均未超过300万元。关联企业整体盈利能力较弱，除北京中锐青云科技有限公司微利16万元、中锐海沃水利技术(福建)有限公司基本持平外，其余三家均处于亏损状态，合计亏损额达1970万元。需补充关联企业与借款企业间的关联交易及资金往来明细。主体企业（福建中锐网络股份有限公司）财务分析：</w:t>
              <w:br/>
              <w:t>从单体报表看，公司2025年经营呈现“增收增利、资产收缩、偿债能力改善但存货积压”的特点。具体而言：</w:t>
              <w:br/>
              <w:t>1.  规模与盈利：营业收入同比增长14.9%至10，009.6万元，净利润同比增长50.1%至493.8万元，显示主业增长动力良好。盈利能力指标中，净利率较年初有所变化，具体幅度以财务附表为准，但毛利率较年初有所变化，具体幅度以财务附表为准，可能与业务结构或成本上升有关。</w:t>
              <w:br/>
              <w:t>2.  偿债能力：资产负债率较年初有所变化，具体幅度以财务附表为准，流动比率与速动比率分别提升至1.82倍和1.51倍，均处于软件和信息服务业典型区间内，短期偿债压力有所缓解。</w:t>
              <w:br/>
              <w:t>3.  营运效率：应收账款周转天数同比显著缩短270.92天至271天，回款管理有所改善，但仍显著高于行业90-180天的典型区间，主要由于项目验收周期较长及政府、大客户账期较长。存货周转天数较年初有所变化，具体幅度以财务附表为准，远超行业30-90天的区间，且存货较年初大幅增长88.0%，显示可能存在项目未验收沉淀或备货积压的情况。</w:t>
              <w:br/>
              <w:t>4.  现金流与还款能力：经营活动净现金流为791.2万元，为净利润的1.60倍，现金流生成能力健康。销售商品收现与营收比为1.04，回款情况正常。然而，公司期末短期借款为4，4730.0万元，远超当期经营现金流，主要依赖再融资滚动偿还，需关注其再融资渠道的稳定性。关联企业普遍亏损且规模小，对主体公司形成一定拖累，但未发现关联交易与资金往来异常的直接证据。</w:t>
              <w:br/>
              <w:t>综上，主体公司自身盈利与现金流可覆盖利息支出，但短期债务偿还对融资接续依赖度较高，且存货管理效率下降需关注。</w:t>
            </w:r>
            <w:r>
              <w:rPr>
                <w:rFonts w:hint="eastAsia" w:ascii="宋体" w:hAnsi="宋体" w:cs="宋体"/>
                <w:snapToGrid w:val="0"/>
                <w:color w:val="FF000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合并报表经德赢审计，出具标准无保留意见。集团主要子公司包括福建中锐汉鼎信息技术有限公司（智慧水利，收入1223万元，净亏损682万元）、福建中锐教育科技有限公司（智慧教育，收入21万元，净亏损1275万元）、北京中锐青云科技有限公司（产教融合，收入204万元，净利润493.77万元）、厦门中锐软件科技有限公司（软硬件销售，收入7万元，净亏损13万元）及中锐海沃水利技术(福建)有限公司（智慧水利，收入0万元，净利润493.77万元）。需补充集团合并资产负债表及利润表。</w:t>
              <w:br/>
              <w:br/>
              <w:t>财务分析：</w:t>
              <w:br/>
              <w:t>根据现有福建中锐网络股份有限公司单体财务数据，公司2025年经营呈现“增收增利、资产收缩、偿债改善但存货积压”的特征。规模与盈利方面，营业收入同比增长14.9%至10009.6万元，净利润同比增长50.1%至493.8万元，显示主业增长与盈利改善。盈利能力指标，毛利率为38.0%（同比下降0.8个百分点），净利率为4.9%（同比上升1.2个百分点），营业利润率为4.8%（同比上升0.2个百分点），净利率提升主要得益于费用控制。偿债能力显著改善，资产负债率较年初有所变化，具体幅度以财务附表为准，流动比率与速动比率分别提升至1.82倍和1.51倍，均处于行业健康区间，短期偿债压力有所缓解。营运效率呈现分化：应收账款周转天数同比大幅缩短270.92天至271天，回款管理取得成效，但仍显著高于软件信息业90-180天的典型区间，主要由于项目验收周期较长及政府、大客户回款账期较长；存货周转天数则较年初有所变化，具体幅度以财务附表为准，远超行业30-90天的区间，且存货较年初激增88.0%，远超营收增速，表明可能存在定制化项目未验收或备货积压的情况。现金流质量健康，经营活动净现金流为791.2万元，经营现金流/净利润达1.60，销售收现比为1.04，利润现金保障程度高。</w:t>
              <w:br/>
              <w:br/>
              <w:t>对还款能力的影响：公司短期偿债指标改善，且经营现金流能有效覆盖净利润，为利息支付提供了保障。然而，存货和应收账款占用了大量营运资金，且短期借款余额（7429.67万元）规模远超年经营现金流（791.2万元），表明其短期债务偿还高度依赖再融资或资产变现，存在一定的流动性管理压力。集团层面多家子公司处于亏损状态，可能对合并报表的盈利稳定性构成拖累。</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color w:val="FF0000"/>
                <w:kern w:val="0"/>
                <w:szCs w:val="21"/>
                <w:highlight w:val="none"/>
                <w:u w:val="single"/>
                <w:lang w:val="en-US" w:eastAsia="zh-CN"/>
              </w:rPr>
              <w:t>请描述集团或关联授信的最新授信方案及当前授信提用情况</w:t>
            </w:r>
            <w:r>
              <w:rPr>
                <w:rFonts w:hint="eastAsia" w:ascii="宋体" w:hAnsi="宋体" w:cs="宋体"/>
                <w:snapToGrid w:val="0"/>
                <w:color w:val="FF000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主营智慧水利、智慧教育、产教融合创新服务及软硬件销售。</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智慧水利与智慧教育业务，其中智慧水利收入占比约46%，智慧教育收入占比约54%。智慧水利业务聚焦水灾害、水工程等六大应用，拥有大坝安全智能监测平台等核心技术，方案已应用于福建省300余座水库；智慧教育业务提供数字人才培养方案，与全国超1000所高校及科研院所合作，服务1600多家政企客户。企业于2025年12月获高新技术企业认定，曾获福建省科技进步奖二等奖、水利科学技术奖一等奖。实控人黄祖海具备超过20年行业技术与管理经验。</w:t>
              <w:br/>
              <w:br/>
              <w:t>财务方面，企业2025年呈现“增收增利、负债优化但存货积压”的特点。具体来看：1）规模与盈利：营业收入同比增长14.9%至10，009.6万元，净利润同比增长50.1%至493.8万元，显示业务扩张与盈利改善。净利率较年初有所变化，具体幅度以财务附表为准，但毛利率微降38.0个百分点至38.0%，仍处于软件信息业30-50%的典型区间。2）偿债与结构：资产负债率较年初有所变化，具体幅度以财务附表为准，处于行业合理区间；流动比率与速动比率分别提升至1.82倍和1.51倍，短期偿债能力指标有所改善。3）营运效率：应收账款周转天数同比大幅缩短271天至271天，回款管理成效显著，但仍显著高于软件信息业90-180天的典型区间，主要由于项目验收周期较长及政府、大企业客户回款账期较长；存货周转天数较年初有所变化，具体幅度以财务附表为准，远超行业30-90天的典型区间，且存货较年初激增88.0%，远超营收增速，存在明显的存货积压信号，主要因定制化项目未验收沉淀或硬件集成业务备货周期长。4）现金流与还款能力：经营活动净现金流为791.2万元，经营现金流/净利润达1.60，现金流生成质量健康。然而，期末短期借款为4，4730.0万元，远超当期经营现金流，表明短期偿债对银行信贷滚动依赖较大，需关注其再融资能力。</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color w:val="FF0000"/>
                <w:kern w:val="0"/>
                <w:szCs w:val="21"/>
                <w:highlight w:val="none"/>
                <w:lang w:eastAsia="zh-CN"/>
              </w:rPr>
              <w:t>可附</w:t>
            </w:r>
            <w:r>
              <w:rPr>
                <w:rFonts w:hint="eastAsia" w:ascii="宋体" w:hAnsi="宋体" w:cs="宋体"/>
                <w:snapToGrid w:val="0"/>
                <w:color w:val="FF000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解决方案，2025年实现营业收入10009.6万元，同比增长14.9%。其中，智慧水利业务收入占比约46%，主要提供大坝安全智能监测平台、智慧水利流域四预系统等解决方案，已应用于福建省300余座水库；智慧教育业务收入占比约54%，公司与全国超过1000所高校及科研院所建立产学研合作，服务1600多家政企客户。需补充近三年分产品线销售收入明细表及主要产品产销数量明细。</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企业上游主要为网络设备及信息技术服务供应商，下游客户以水利、公路等政府及事业单位项目为主。详见下表。</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已核实主要银行账户流水中付款对象与提供的上游订单中的企业名称一致。</w:t>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已核实主要银行账户流水中收款对象与提供的下游订单中的企业名称一致。</w:t>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企业未提供最新在手订单列表。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autofit"/>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color w:val="FF0000"/>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盈利能力方面，毛利率为38.0%（同比下降0.8个百分点），净利率为4.9%（同比上升1.2个百分点），营业利润率为4.8%（同比上升0.2个百分点）。净利率提升主要得益于费用控制或营业外收入等因素（具体原因需企业补充说明），但毛利率微降需关注成本端压力。</w:t>
            </w:r>
            <w:r>
              <w:rPr>
                <w:rFonts w:hint="eastAsia" w:ascii="宋体" w:hAnsi="宋体" w:cs="宋体"/>
                <w:snapToGrid w:val="0"/>
                <w:color w:val="FF0000"/>
                <w:kern w:val="0"/>
                <w:szCs w:val="21"/>
                <w:highlight w:val="none"/>
                <w:u w:val="single"/>
                <w:lang w:eastAsia="zh-CN"/>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69"/>
              <w:gridCol w:w="1523"/>
              <w:gridCol w:w="1525"/>
              <w:gridCol w:w="1523"/>
              <w:gridCol w:w="1352"/>
              <w:gridCol w:w="1352"/>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02"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03"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02"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3"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3"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02"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02"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02"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02"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02"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02"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02"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02"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02"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02"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02"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02"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02"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02"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02"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02"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02"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02"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02"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02"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02"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02"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02"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02"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02"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02"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02"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02"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02"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02"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02"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02"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02"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02"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02"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02"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02"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02"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02"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02"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02"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02"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02"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color w:val="FF0000"/>
                <w:kern w:val="0"/>
                <w:szCs w:val="21"/>
                <w:highlight w:val="none"/>
                <w:lang w:val="zh-CN"/>
              </w:rPr>
            </w:pPr>
            <w:r>
              <w:rPr>
                <w:rFonts w:hint="eastAsia" w:ascii="宋体" w:hAnsi="宋体" w:cs="宋体"/>
                <w:bCs/>
                <w:snapToGrid w:val="0"/>
                <w:color w:val="000000"/>
                <w:kern w:val="0"/>
                <w:szCs w:val="21"/>
                <w:highlight w:val="none"/>
                <w:lang w:val="en-US" w:eastAsia="zh-CN"/>
              </w:rPr>
              <w:t>偿债能力显著改善，资产负债率为42.5%，较年初下降7.7个百分点；流动比率1.82倍，速动比率1.51倍，分别较年初提升0.24倍和0.06倍，短期偿债指标处于行业健康区间，直接增强了其短期债务的覆盖与偿还能力。</w:t>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FF000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color w:val="FF0000"/>
                <w:kern w:val="0"/>
                <w:szCs w:val="21"/>
                <w:highlight w:val="none"/>
                <w:lang w:val="zh-CN"/>
              </w:rPr>
              <w:t>（</w:t>
            </w:r>
            <w:r>
              <w:rPr>
                <w:rFonts w:hint="eastAsia" w:ascii="宋体" w:hAnsi="宋体" w:cs="宋体"/>
                <w:b/>
                <w:bCs w:val="0"/>
                <w:snapToGrid w:val="0"/>
                <w:color w:val="FF0000"/>
                <w:kern w:val="0"/>
                <w:szCs w:val="21"/>
                <w:highlight w:val="none"/>
                <w:lang w:val="en-US" w:eastAsia="zh-CN"/>
              </w:rPr>
              <w:t>后续若有大额固定资产投入计划，分析投入及资金安排</w:t>
            </w:r>
            <w:r>
              <w:rPr>
                <w:rFonts w:hint="eastAsia" w:ascii="宋体" w:hAnsi="宋体" w:cs="宋体"/>
                <w:b/>
                <w:bCs w:val="0"/>
                <w:snapToGrid w:val="0"/>
                <w:color w:val="FF000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color w:val="FF0000"/>
                <w:szCs w:val="21"/>
                <w:highlight w:val="none"/>
                <w:u w:val="single"/>
                <w:lang w:val="en-US" w:eastAsia="zh-CN"/>
              </w:rPr>
            </w:pPr>
            <w:r>
              <w:rPr>
                <w:rFonts w:hint="eastAsia" w:ascii="宋体" w:hAnsi="宋体" w:cs="宋体"/>
                <w:b/>
                <w:snapToGrid w:val="0"/>
                <w:color w:val="FF0000"/>
                <w:kern w:val="0"/>
                <w:szCs w:val="21"/>
                <w:highlight w:val="none"/>
                <w:lang w:val="en-US" w:eastAsia="zh-CN"/>
              </w:rPr>
              <w:t>营运效率呈现分化：应收账款周转天数271天，同比大幅缩短117天，回款效率提升，但仍显著高于软件信息业90-180天典型区间，主要由于项目验收周期较长及政府、大企业客户账期较长所致；存货周转天数129天，同比延长49天，且存货余额较年初激增88.0%，远超营收增速，存在明显的存货积压信号，可能占用营运资金并带来减值风险。</w:t>
            </w:r>
            <w:r>
              <w:rPr>
                <w:rFonts w:hint="eastAsia" w:ascii="宋体" w:hAnsi="宋体" w:cs="宋体"/>
                <w:b w:val="0"/>
                <w:bCs/>
                <w:snapToGrid w:val="0"/>
                <w:color w:val="FF0000"/>
                <w:kern w:val="0"/>
                <w:szCs w:val="21"/>
                <w:highlight w:val="none"/>
                <w:lang w:val="en-US" w:eastAsia="zh-CN"/>
              </w:rPr>
            </w:r>
            <w:r>
              <w:rPr>
                <w:rFonts w:hint="eastAsia" w:ascii="宋体" w:hAnsi="宋体" w:eastAsia="宋体" w:cs="宋体"/>
                <w:b w:val="0"/>
                <w:bCs/>
                <w:snapToGrid w:val="0"/>
                <w:color w:val="FF0000"/>
                <w:kern w:val="0"/>
                <w:szCs w:val="21"/>
                <w:highlight w:val="none"/>
                <w:lang w:val="en-US" w:eastAsia="zh-CN"/>
              </w:rPr>
            </w:r>
            <w:r>
              <w:rPr>
                <w:rFonts w:hint="eastAsia" w:ascii="宋体" w:hAnsi="宋体" w:eastAsia="宋体" w:cs="宋体"/>
                <w:b w:val="0"/>
                <w:bCs/>
                <w:snapToGrid w:val="0"/>
                <w:color w:val="FF000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现金流状况健康，2025年经营活动净现金流791.2万元，投资活动净流出585.8万元，筹资活动净流出426.0万元。经营现金流/净利润达1.60，利润实现质量高；销售商品收现/营收为1.04，表明当期销售回款情况正常。然而，期末货币资金仅285.6万元，而短期借款达4730.0万元，公司对银行短期贷款的滚动续贷依赖度较高，还款能力虽因经营现金流改善而有所支撑，但流动性管理压力仍需密切关注。</w:t>
              <w:br/>
              <w:t>（注：为完成全面分析，需企业补充近三年审计报告、成本费用明细、存货构成及积压原因、应收账款账龄明细等资料。）</w:t>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FF000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短期借款余额4730万元（报表口径）。根据客户提供资料，银行授信总额为4640万元，已用总额为4440万元，明细如下：交通银行屏东支行流贷1000万元（起始日2024.4.25，到期日2026.4.24）、海峡银行金山支行流贷加担保500万元（起始日2025.10.15，到期日2026.10.15）、厦门国际银行台江支行流贷640万元（起始日2025.11.21，到期日2026.11.21）、兴业银行环球支行流贷1000万元（起始日2025.11.25，已用700万元，到期日2026.11.25）、兴业银行环球支行流贷1000万元（起始日2025.12.22，已用300万元，到期日2026.12.22）、工商银行流贷500万元（起始日2025.12.2，到期日2026.12.2）、中国银行福建省分行流贷600万元（起始日2026.1.4，到期日2027.1.4）、广发银行鼓楼支行流贷400万元（起始日2026.1.23，已用200万元，到期日2027.1.23）。财务关联与还款能力分析：</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公司短期负债压力需关注。期末短期借款4730万元，而年度经营活动净现金流为791.2万元，自有现金流对短期债务的覆盖能力偏弱，短期借款主要依赖再融资滚动偿还。偿债能力指标有所改善，流动比率1.82倍、速动比率1.51倍，分别较年初提升0.24倍和0.06倍，处于行业基准区间内，短期流动性风险可控。整体负债水平下降，资产负债率为42.5%，较年初下降7.7个百分点，负债结构稳健。公司2025年净利润同比增长50.1%至493.8万元，盈利能力的改善为利息偿付提供了基础保障。</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color w:val="FF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XXX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XXX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color w:val="FF0000"/>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需补充实控人配偶国籍、籍贯、出生年份及个人征信报告。</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FF000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color w:val="FF0000"/>
                <w:kern w:val="2"/>
                <w:sz w:val="21"/>
                <w:szCs w:val="21"/>
                <w:highlight w:val="none"/>
                <w:lang w:val="en-US" w:eastAsia="zh-CN"/>
              </w:rPr>
            </w:pPr>
            <w:r>
              <w:rPr>
                <w:rFonts w:hint="eastAsia" w:ascii="宋体" w:hAnsi="宋体" w:cs="宋体"/>
                <w:b/>
                <w:bCs/>
                <w:color w:val="FF0000"/>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color w:val="FF000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color w:val="FF0000"/>
                <w:kern w:val="0"/>
                <w:szCs w:val="21"/>
                <w:highlight w:val="none"/>
              </w:rPr>
            </w:pPr>
            <w:r>
              <w:rPr>
                <w:rFonts w:hint="eastAsia" w:ascii="宋体" w:hAnsi="宋体" w:eastAsia="宋体" w:cs="宋体"/>
                <w:b/>
                <w:bCs/>
                <w:color w:val="FF0000"/>
                <w:kern w:val="2"/>
                <w:sz w:val="21"/>
                <w:szCs w:val="21"/>
                <w:highlight w:val="none"/>
                <w:lang w:val="en-US" w:eastAsia="zh-CN"/>
              </w:rPr>
              <w:t>※2.研发投入情况</w:t>
            </w:r>
            <w:r>
              <w:rPr>
                <w:rFonts w:hint="eastAsia" w:ascii="宋体" w:hAnsi="宋体" w:cs="宋体"/>
                <w:b/>
                <w:bCs/>
                <w:snapToGrid w:val="0"/>
                <w:color w:val="FF000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color w:val="FF0000"/>
                <w:kern w:val="2"/>
                <w:sz w:val="21"/>
                <w:szCs w:val="21"/>
                <w:highlight w:val="none"/>
                <w:u w:val="none"/>
                <w:lang w:val="en-US" w:eastAsia="zh-CN" w:bidi="ar-SA"/>
              </w:rPr>
            </w:pPr>
            <w:r>
              <w:rPr>
                <w:rFonts w:hint="eastAsia" w:ascii="宋体" w:hAnsi="宋体" w:eastAsia="宋体" w:cs="宋体"/>
                <w:b/>
                <w:bCs/>
                <w:color w:val="FF0000"/>
                <w:kern w:val="2"/>
                <w:sz w:val="21"/>
                <w:szCs w:val="21"/>
                <w:highlight w:val="none"/>
                <w:lang w:val="en-US" w:eastAsia="zh-CN"/>
              </w:rPr>
              <w:t>科技型企业类型：高新技术企业。</w:t>
              <w:br/>
              <w:t>核心研发人员享有股权激励。</w:t>
              <w:br/>
              <w:t>近三年研发投入占比及研发人员占比详见下表。</w:t>
              <w:br/>
              <w:t>企业拥有发明专利24项、实用专利6项，具体情况如下表所示：</w:t>
            </w:r>
            <w:r>
              <w:rPr>
                <w:rFonts w:hint="eastAsia" w:ascii="宋体" w:hAnsi="宋体" w:cs="宋体"/>
                <w:b/>
                <w:bCs w:val="0"/>
                <w:color w:val="FF0000"/>
                <w:kern w:val="2"/>
                <w:sz w:val="21"/>
                <w:szCs w:val="21"/>
                <w:highlight w:val="none"/>
                <w:lang w:val="en-US" w:eastAsia="zh-CN" w:bidi="ar-SA"/>
              </w:rPr>
            </w:r>
            <w:r>
              <w:rPr>
                <w:rFonts w:hint="eastAsia" w:ascii="宋体" w:hAnsi="宋体" w:eastAsia="宋体" w:cs="宋体"/>
                <w:b/>
                <w:bCs w:val="0"/>
                <w:color w:val="FF0000"/>
                <w:kern w:val="2"/>
                <w:sz w:val="21"/>
                <w:szCs w:val="21"/>
                <w:highlight w:val="none"/>
                <w:lang w:val="en-US" w:eastAsia="zh-CN" w:bidi="ar-SA"/>
              </w:rPr>
            </w:r>
            <w:r>
              <w:rPr>
                <w:rFonts w:hint="eastAsia" w:ascii="宋体" w:hAnsi="宋体" w:cs="宋体"/>
                <w:b/>
                <w:bCs/>
                <w:snapToGrid w:val="0"/>
                <w:color w:val="FF0000"/>
                <w:kern w:val="0"/>
                <w:szCs w:val="21"/>
                <w:highlight w:val="none"/>
              </w:rPr>
            </w:r>
            <w:r>
              <w:rPr>
                <w:rFonts w:hint="eastAsia" w:ascii="宋体" w:hAnsi="宋体" w:cs="宋体"/>
                <w:b w:val="0"/>
                <w:bCs/>
                <w:color w:val="FF0000"/>
                <w:kern w:val="2"/>
                <w:sz w:val="21"/>
                <w:szCs w:val="21"/>
                <w:highlight w:val="none"/>
                <w:u w:val="single"/>
                <w:lang w:val="en-US" w:eastAsia="zh-CN" w:bidi="ar-SA"/>
              </w:rPr>
            </w:r>
            <w:r>
              <w:rPr>
                <w:rFonts w:hint="eastAsia" w:ascii="宋体" w:hAnsi="宋体" w:cs="宋体"/>
                <w:b w:val="0"/>
                <w:bCs/>
                <w:color w:val="FF0000"/>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材料未提供企业在我行日均存款、对公有效户、结算量、代发签约及发薪量数据。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FF000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r>
              <w:rPr>
                <w:rFonts w:hint="eastAsia" w:ascii="宋体" w:hAnsi="宋体" w:cs="宋体"/>
                <w:snapToGrid w:val="0"/>
                <w:color w:val="FF0000"/>
                <w:kern w:val="0"/>
                <w:szCs w:val="21"/>
                <w:highlight w:val="none"/>
                <w:u w:val="single"/>
                <w:lang w:val="en-US" w:eastAsia="zh-CN"/>
              </w:rPr>
            </w:r>
            <w:r>
              <w:rPr>
                <w:rFonts w:hint="eastAsia" w:ascii="宋体" w:hAnsi="宋体" w:cs="宋体"/>
                <w:snapToGrid w:val="0"/>
                <w:color w:val="FF000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791.2万元，但账上货币资金仅285.6万元，较年初下降43.6%。因对上游供应商（如锐捷网络）采购采用分期付款，对下游客户（如涵江水利局）销售亦为分期结算，应收账款周转天数271天，存货周转天数129天，营运资金占用较大，故需申请贷款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需补充企业下一年度营业收入预测及营运资金周转次数等关键参数，以完成流动资金需求测算。</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color w:val="FF0000"/>
                <w:highlight w:val="none"/>
                <w:u w:val="none"/>
                <w:lang w:val="en-US" w:eastAsia="zh-CN"/>
              </w:rPr>
            </w:pPr>
            <w:r>
              <w:rPr>
                <w:rFonts w:hint="eastAsia"/>
                <w:color w:val="FF0000"/>
                <w:highlight w:val="none"/>
                <w:u w:val="none"/>
                <w:lang w:val="en-US" w:eastAsia="zh-CN"/>
              </w:rPr>
              <w:t>如上述测算过程存在数据调整，请补充说明：</w:t>
            </w:r>
            <w:r>
              <w:rPr>
                <w:rFonts w:hint="eastAsia"/>
                <w:color w:val="FF0000"/>
                <w:highlight w:val="none"/>
                <w:u w:val="single"/>
                <w:lang w:val="en-US" w:eastAsia="zh-CN"/>
              </w:rPr>
              <w:t xml:space="preserve">                                         </w:t>
            </w:r>
            <w:r>
              <w:rPr>
                <w:rFonts w:hint="eastAsia"/>
                <w:color w:val="FF0000"/>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FF0000"/>
                <w:kern w:val="0"/>
                <w:sz w:val="21"/>
                <w:szCs w:val="21"/>
                <w:highlight w:val="none"/>
                <w:lang w:eastAsia="zh-CN"/>
              </w:rPr>
            </w:pPr>
            <w:r>
              <w:rPr>
                <w:rFonts w:hint="eastAsia" w:ascii="宋体" w:hAnsi="宋体" w:cs="宋体"/>
                <w:snapToGrid w:val="0"/>
                <w:color w:val="FF0000"/>
                <w:kern w:val="0"/>
                <w:sz w:val="21"/>
                <w:szCs w:val="21"/>
                <w:highlight w:val="none"/>
                <w:lang w:eastAsia="zh-CN"/>
              </w:rPr>
              <w:t>①第一还款来源（经营性现金流分析）：</w:t>
              <w:br/>
              <w:t>企业2025年经营活动净现金流为791.2万元，经营现金流对净利润的覆盖倍数为1.60倍，销售收现比为1.04，现金流质量健康。营业收入同比增长14.9%至10009.6万元，净利润同比增长50.1%至493.8万元。盈利能力方面，净利率较年初有所变化，具体幅度以财务附表为准，但毛利率同比微降38.02个百分点至38.0%，仍处于行业30-50%的典型区间内。偿债能力增强，资产负债率较年初有所变化，具体幅度以财务附表为准，流动比率较年初有所变化，具体幅度以财务附表为准，速动比率提升至1.51倍。营运效率呈现分化：应收账款周转天数同比缩短270.92天至271天，回收效率改善，但仍显著高于软件信息业90-180天典型区间，主要由于项目制验收周期较长及下游客户采用分期结算方式；存货周转天数较年初有所变化，具体幅度以财务附表为准，远超行业30-90天区间，且存货较年初增长88.0%至2192.2万元，增幅远超营收增速，存在积压信号，需补充存货明细及库龄分析。短期借款余额4730万元，需依赖经营现金流滚动偿还。</w:t>
              <w:br/>
              <w:br/>
              <w:t>②第二还款来源（抵质押物变现能力分析及其他渠道现金流分析）：</w:t>
              <w:br/>
              <w:t>本笔授信拟追加自然人康恩慧、黄祖海共有的私有房产（权证号：榕 房权证 R 字第 0838000 号，面积143.45平方米）作为抵押。需补充该抵押物的市场或评估价值报告及拟融资金额。企业当前银行融资合计授信4640万元，已用4440万元。</w:t>
            </w:r>
            <w:r>
              <w:rPr>
                <w:rFonts w:hint="eastAsia" w:ascii="宋体" w:hAnsi="宋体" w:cs="宋体"/>
                <w:snapToGrid w:val="0"/>
                <w:color w:val="FF0000"/>
                <w:kern w:val="0"/>
                <w:sz w:val="21"/>
                <w:szCs w:val="21"/>
                <w:highlight w:val="none"/>
                <w:lang w:val="en-US" w:eastAsia="zh-CN"/>
              </w:rPr>
            </w:r>
            <w:r>
              <w:rPr>
                <w:rFonts w:hint="eastAsia" w:ascii="宋体" w:hAnsi="宋体" w:cs="宋体"/>
                <w:snapToGrid w:val="0"/>
                <w:color w:val="FF0000"/>
                <w:kern w:val="0"/>
                <w:sz w:val="21"/>
                <w:szCs w:val="21"/>
                <w:highlight w:val="none"/>
                <w:lang w:eastAsia="zh-CN"/>
              </w:rPr>
            </w:r>
          </w:p>
          <w:p w14:paraId="5874C0C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FF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抵押物为私有房产，坐落于仓山区上渡街道通江路17号江南水都·杰座，权属证号为榕房权证R字第0838000号，建筑面积143.45平方米，所有权人为康恩慧、黄祖海。需补充该抵押物的评估报告以确定评估价值。</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保证人福建中锐网络股份有限公司，成立于2012年1月，为股份有限公司，法定代表人黄祖海，注册资本及实收资本均为4100万元，主营业务为智慧水利、智慧教育。</w:t>
              <w:br/>
              <w:br/>
              <w:t>财务分析：</w:t>
              <w:br/>
              <w:t>保证人2025年实现营业收入10009.6万元，同比增长14.9%；净利润493.8万元，同比增长50.1%，盈利能力显著改善。具体来看，净利率较年初有所变化，具体幅度以财务附表为准，主要得益于费用控制；毛利率为38.0%，同比下降0.8个百分点，但仍处于软件和信息技术服务业30-50%的典型区间内，表明其产品/服务附加值保持稳定。</w:t>
              <w:br/>
              <w:t>偿债能力方面，资产负债率较年初有所变化，具体幅度以财务附表为准，处于行业30-55%的合理区间；流动比率与速动比率分别为1.82倍和1.51倍，均较年初有所提升，短期偿债能力指标改善，财务结构趋于稳健。</w:t>
              <w:br/>
              <w:t>营运效率呈现分化：应收账款周转天数同比大幅缩短271天至271天，回款管理取得成效，但仍显著高于软件信息业90-180天的典型区间，主要由于项目验收周期较长及政府、大客户回款账期较长；存货周转天数较年初有所变化，具体幅度以财务附表为准，远超行业30-90天的区间，且存货较年初激增88.0%，远超营收增速，显示可能存在项目备货或产品积压情况，需关注其流动性占用。</w:t>
              <w:br/>
              <w:t>现金流方面，经营活动净现金流为791.2万元，销售商品收现/营收比为1.04，现金流质量健康，能够覆盖当期净利润。然而，公司短期借款余额为4730万元，远超年度经营现金流，表明其短期债务偿还高度依赖再融资或外部资金滚动，存在一定的流动性压力。</w:t>
              <w:br/>
              <w:br/>
              <w:t>建议补充材料：</w:t>
              <w:br/>
              <w:t>1.  保证人对公PD等级认定材料。</w:t>
              <w:br/>
              <w:t>2.  保证人对外担保余额明细及征信报告（核查不良记录）。</w:t>
              <w:br/>
              <w:t>3.  保证人风险信息及涉诉情况查询记录。</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color w:val="FF000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color w:val="FF000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r>
              <w:rPr>
                <w:rFonts w:hint="eastAsia" w:ascii="宋体" w:hAnsi="宋体" w:eastAsia="宋体" w:cs="宋体"/>
                <w:i w:val="0"/>
                <w:iCs w:val="0"/>
                <w:caps w:val="0"/>
                <w:color w:val="FF0000"/>
                <w:spacing w:val="0"/>
                <w:sz w:val="21"/>
                <w:szCs w:val="21"/>
                <w:highlight w:val="none"/>
                <w:lang w:val="en-US" w:eastAsia="zh-CN"/>
              </w:rPr>
            </w:r>
            <w:r>
              <w:rPr>
                <w:rFonts w:hint="eastAsia" w:ascii="宋体" w:hAnsi="宋体" w:eastAsia="宋体" w:cs="宋体"/>
                <w:i w:val="0"/>
                <w:iCs w:val="0"/>
                <w:caps w:val="0"/>
                <w:color w:val="FF000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color w:val="FF000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color w:val="FF000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color w:val="FF0000"/>
                <w:kern w:val="0"/>
                <w:szCs w:val="21"/>
                <w:highlight w:val="none"/>
                <w:u w:val="single"/>
                <w:lang w:val="en-US" w:eastAsia="zh-CN"/>
              </w:rPr>
            </w:pPr>
            <w:r>
              <w:rPr>
                <w:rFonts w:hint="eastAsia" w:ascii="宋体" w:hAnsi="宋体" w:cs="宋体"/>
                <w:b/>
                <w:bCs/>
                <w:snapToGrid w:val="0"/>
                <w:kern w:val="0"/>
                <w:szCs w:val="21"/>
                <w:highlight w:val="none"/>
              </w:rPr>
              <w:t>现金流方面，企业经营活动净现金流为791.2万元，销售商品收现/营收为1.04，现金流质量健康；但经营现金流对短期借款4730.0万元的覆盖倍数（经营现金流/短期借款）约为0.17倍，覆盖能力偏弱，短期债务偿还主要依赖经营现金流的持续生成及再融资。杠杆率方面，资产负债率较年初有所变化，具体幅度以财务附表为准，处于软件信息业30-55%的合理区间，流动比率与速动比率分别为1.82倍和1.51倍，短期偿债能力尚可。可持续性方面，企业营业收入同比增长14.9%至10009.6万元，净利润同比增长50.1%至493.8万元，盈利能力改善；但需关注存货较年初大幅增长88.0%至2192.2万元，存货周转天数较年初有所变化，具体幅度以财务附表为准，高于行业30-90天典型区间，主要因定制化项目未验收沉淀为存货或硬件集成类业务备货周期长，存在积压风险，可能影响资产周转效率及未来现金流。垒小户方面，根据现有资料，企业前五大客户销售额合计占比约31.51%，客户集中度尚可。配结算方面，需补充企业在本行的结算流水及日均存款数据。强担保方面，材料未提供本次申报的具体担保方式及担保人信息。</w:t>
              <w:br/>
              <w:br/>
              <w:t>综合六要素评判，企业基本面尚可，盈利与偿债指标改善，但存货管理效率下降且短期债务偿付对经营现金流依赖较大。授信方案需待补充本次申报的具体金额、用途、期限、担保方式及定价等要素后方可确定。贷后需重点关注存货去化情况及应收账款回款进度。</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color w:val="FF0000"/>
                <w:kern w:val="0"/>
                <w:szCs w:val="21"/>
                <w:highlight w:val="none"/>
                <w:lang w:eastAsia="zh-CN"/>
              </w:rPr>
            </w:r>
            <w:r>
              <w:rPr>
                <w:rFonts w:hint="eastAsia" w:ascii="宋体" w:hAnsi="宋体" w:cs="宋体"/>
                <w:b/>
                <w:bCs/>
                <w:snapToGrid w:val="0"/>
                <w:color w:val="FF0000"/>
                <w:kern w:val="0"/>
                <w:szCs w:val="21"/>
                <w:highlight w:val="none"/>
                <w:u w:val="single"/>
                <w:lang w:val="en-US" w:eastAsia="zh-CN"/>
              </w:rPr>
            </w:r>
            <w:r>
              <w:rPr>
                <w:rFonts w:hint="eastAsia" w:ascii="宋体" w:hAnsi="宋体" w:cs="宋体"/>
                <w:b/>
                <w:bCs/>
                <w:snapToGrid w:val="0"/>
                <w:color w:val="FF0000"/>
                <w:kern w:val="0"/>
                <w:szCs w:val="21"/>
                <w:highlight w:val="none"/>
                <w:u w:val="single"/>
              </w:rPr>
            </w:r>
            <w:r>
              <w:rPr>
                <w:rFonts w:hint="eastAsia" w:ascii="宋体" w:hAnsi="宋体" w:cs="宋体"/>
                <w:b/>
                <w:bCs/>
                <w:snapToGrid w:val="0"/>
                <w:color w:val="FF0000"/>
                <w:kern w:val="0"/>
                <w:szCs w:val="21"/>
                <w:highlight w:val="none"/>
                <w:u w:val="single"/>
                <w:lang w:eastAsia="zh-CN"/>
              </w:rPr>
            </w:r>
            <w:r>
              <w:rPr>
                <w:rFonts w:hint="eastAsia" w:ascii="宋体" w:hAnsi="宋体" w:cs="宋体"/>
                <w:b/>
                <w:bCs/>
                <w:snapToGrid w:val="0"/>
                <w:color w:val="FF000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现金流：借款人2025年经营性现金流净流入791.2万元，经营现金流/净利润达1.60，销售收现比为1.04，现金流质量健康，为偿还债务提供了现金基础。公司短期借款4730万元，年经营现金流可覆盖部分到期债务，但需关注滚动偿还压力。</w:t>
            </w:r>
            <w:r>
              <w:rPr>
                <w:rFonts w:hint="eastAsia" w:ascii="宋体" w:hAnsi="宋体" w:eastAsia="宋体" w:cs="宋体"/>
                <w:snapToGrid w:val="0"/>
                <w:color w:val="FF000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杠杆率：借款人资产负债率较年初有所变化，具体幅度以财务附表为准，处于软件信息业30-55%典型区间，主要得益于净利润积累及负债总额下降；流动比率1.82倍（较年初提升0.24倍）、速动比率1.51倍（较年初提升0.06倍），短期偿债能力指标均有所改善，增强了短期还款保障。</w:t>
            </w:r>
            <w:r>
              <w:rPr>
                <w:rFonts w:hint="eastAsia" w:ascii="宋体" w:hAnsi="宋体" w:eastAsia="宋体" w:cs="宋体"/>
                <w:snapToGrid w:val="0"/>
                <w:color w:val="FF000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可持续：借款人主营业务为智慧水利与智慧教育，拥有自主研发平台及多项奖项，与超千家高校及政企客户合作，技术及客户基础较为扎实。2025年营业收入同比增长14.9%至10009.6万元，净利润同比增长50.1%至493.8万元，盈利能力持续改善。但需关注存货周转天数较年初有所变化，具体幅度以财务附表为准，显著高于行业30-90天典型区间，可能存在项目验收延迟或备货积压情况；应收账款周转天数同比缩短270.92天至271天，虽有改善但仍高于行业90-180天区间，主要因项目制及政府客户回款周期较长，对营运资金形成占用。</w:t>
            </w:r>
            <w:r>
              <w:rPr>
                <w:rFonts w:hint="eastAsia" w:ascii="宋体" w:hAnsi="宋体" w:eastAsia="宋体" w:cs="宋体"/>
                <w:snapToGrid w:val="0"/>
                <w:color w:val="FF000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color w:val="FF0000"/>
                <w:kern w:val="0"/>
                <w:szCs w:val="21"/>
                <w:highlight w:val="none"/>
                <w:u w:val="single"/>
                <w:lang w:val="en-US" w:eastAsia="zh-CN"/>
              </w:rPr>
            </w:pPr>
            <w:r>
              <w:rPr>
                <w:rFonts w:hint="eastAsia" w:ascii="宋体" w:hAnsi="宋体" w:cs="宋体"/>
                <w:b/>
                <w:bCs/>
                <w:snapToGrid w:val="0"/>
                <w:color w:val="FF0000"/>
                <w:kern w:val="0"/>
                <w:szCs w:val="21"/>
                <w:highlight w:val="none"/>
                <w:u w:val="single"/>
                <w:lang w:val="en-US" w:eastAsia="zh-CN"/>
              </w:rPr>
              <w:t>垒小户：借款人现有合作银行7家，总授信4640万元，已用4440万元。需补充前五大客户销售占比及账期明细。</w:t>
            </w:r>
            <w:r>
              <w:rPr>
                <w:rFonts w:hint="eastAsia" w:ascii="宋体" w:hAnsi="宋体" w:eastAsia="宋体" w:cs="宋体"/>
                <w:b/>
                <w:bCs/>
                <w:snapToGrid w:val="0"/>
                <w:color w:val="FF0000"/>
                <w:kern w:val="0"/>
                <w:szCs w:val="21"/>
                <w:highlight w:val="none"/>
                <w:u w:val="single"/>
                <w:lang w:val="en-US" w:eastAsia="zh-CN"/>
              </w:rPr>
            </w:r>
            <w:r>
              <w:rPr>
                <w:rFonts w:hint="eastAsia" w:ascii="宋体" w:hAnsi="宋体" w:eastAsia="宋体" w:cs="宋体"/>
                <w:snapToGrid w:val="0"/>
                <w:color w:val="FF000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配结算：需补充借款人在我行开户时间、近一年结算流水及日均存款数据。</w:t>
            </w:r>
            <w:r>
              <w:rPr>
                <w:rFonts w:hint="eastAsia" w:ascii="宋体" w:hAnsi="宋体" w:eastAsia="宋体" w:cs="宋体"/>
                <w:snapToGrid w:val="0"/>
                <w:color w:val="FF000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color w:val="FF0000"/>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t>强担保：需补充本次申请授信的具体担保方式、抵押物清单及价值、保证人信息。</w:t>
            </w:r>
            <w:r>
              <w:rPr>
                <w:rFonts w:hint="eastAsia" w:ascii="宋体" w:hAnsi="宋体" w:eastAsia="宋体" w:cs="宋体"/>
                <w:snapToGrid w:val="0"/>
                <w:color w:val="FF000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color w:val="FF000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pPr>
              <w:widowControl w:val="0"/>
              <w:spacing w:line="240" w:lineRule="auto"/>
              <w:ind w:firstLine="422" w:firstLineChars="200"/>
              <w:jc w:val="both"/>
              <w:rPr>
                <w:rFonts w:hint="eastAsia" w:ascii="宋体" w:hAnsi="宋体" w:eastAsia="宋体" w:cs="宋体"/>
                <w:color w:val="FF0000"/>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color w:val="FF0000"/>
                <w:highlight w:val="none"/>
                <w:u w:val="single"/>
              </w:rPr>
              <w:t>拟申请给予</w:t>
            </w:r>
            <w:r>
              <w:rPr>
                <w:rFonts w:hint="eastAsia" w:ascii="宋体" w:hAnsi="宋体"/>
                <w:color w:val="FF0000"/>
                <w:highlight w:val="none"/>
                <w:u w:val="single"/>
                <w:lang w:val="en-US" w:eastAsia="zh-CN"/>
              </w:rPr>
              <w:t>借款人授信敞口1000万元，XXX     。</w:t>
            </w:r>
            <w:r>
              <w:rPr>
                <w:rFonts w:hint="eastAsia" w:ascii="宋体" w:hAnsi="宋体" w:cs="宋体"/>
                <w:b/>
                <w:color w:val="FF0000"/>
                <w:kern w:val="2"/>
                <w:sz w:val="21"/>
                <w:szCs w:val="21"/>
                <w:highlight w:val="none"/>
                <w:u w:val="single"/>
                <w:lang w:val="en-US" w:eastAsia="zh-CN"/>
              </w:rPr>
              <w:t xml:space="preserve"> </w:t>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6AC425A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p>
          <w:p w14:paraId="2FC82B0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269107E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3096CC3B">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FF0000"/>
                <w:kern w:val="0"/>
                <w:szCs w:val="21"/>
                <w:highlight w:val="none"/>
                <w:lang w:val="en-US" w:eastAsia="zh-CN"/>
              </w:rPr>
              <w:t>可另附</w:t>
            </w:r>
            <w:r>
              <w:rPr>
                <w:rFonts w:hint="eastAsia" w:ascii="宋体" w:hAnsi="宋体" w:cs="宋体"/>
                <w:b/>
                <w:bCs/>
                <w:snapToGrid w:val="0"/>
                <w:color w:val="FF000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