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w:t>
            </w:r>
          </w:p>
          <w:p w14:paraId="54CB5F37">
            <w:pPr>
              <w:spacing w:line="240" w:lineRule="auto"/>
              <w:jc w:val="both"/>
              <w:outlineLvl w:val="0"/>
              <w:rPr>
                <w:rFonts w:hint="eastAsia" w:ascii="宋体" w:hAnsi="宋体" w:eastAsia="宋体" w:cs="宋体"/>
                <w:b/>
                <w:color w:val="FF0000"/>
                <w:sz w:val="21"/>
                <w:szCs w:val="21"/>
                <w:highlight w:val="none"/>
                <w:lang w:val="en-US" w:eastAsia="zh-CN"/>
              </w:rPr>
            </w:pPr>
            <w:r>
              <w:rPr>
                <w:rFonts w:hint="eastAsia" w:ascii="宋体" w:hAnsi="宋体" w:eastAsia="宋体" w:cs="宋体"/>
                <w:b/>
                <w:color w:val="FF0000"/>
                <w:sz w:val="21"/>
                <w:szCs w:val="21"/>
                <w:highlight w:val="none"/>
                <w:lang w:val="en-US" w:eastAsia="zh-CN"/>
              </w:rPr>
              <w:t>集团名称（如涉及）：</w:t>
            </w:r>
          </w:p>
          <w:p w14:paraId="0C2EFAED">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万元；上年度销售额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万元；上年度末员工人数</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人</w:t>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color w:val="FF000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color w:val="FF000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color w:val="FF0000"/>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color w:val="FF0000"/>
                <w:sz w:val="21"/>
                <w:szCs w:val="21"/>
                <w:highlight w:val="none"/>
                <w:lang w:eastAsia="zh-CN"/>
              </w:rPr>
              <w:t>较高（</w:t>
            </w:r>
            <w:r>
              <w:rPr>
                <w:rFonts w:hint="eastAsia" w:ascii="宋体" w:hAnsi="宋体" w:eastAsia="宋体" w:cs="宋体"/>
                <w:b/>
                <w:bCs/>
                <w:strike w:val="0"/>
                <w:dstrike w:val="0"/>
                <w:color w:val="FF0000"/>
                <w:sz w:val="21"/>
                <w:szCs w:val="21"/>
                <w:highlight w:val="none"/>
                <w:lang w:val="en-US" w:eastAsia="zh-CN"/>
              </w:rPr>
              <w:t>须在其他负面信息栏说明</w:t>
            </w:r>
            <w:r>
              <w:rPr>
                <w:rFonts w:hint="eastAsia" w:ascii="宋体" w:hAnsi="宋体" w:eastAsia="宋体" w:cs="宋体"/>
                <w:b/>
                <w:bCs/>
                <w:color w:val="FF0000"/>
                <w:sz w:val="21"/>
                <w:szCs w:val="21"/>
                <w:highlight w:val="none"/>
                <w:lang w:eastAsia="zh-CN"/>
              </w:rPr>
              <w:t>）；</w:t>
            </w:r>
            <w:r>
              <w:rPr>
                <w:rFonts w:hint="eastAsia" w:ascii="宋体" w:hAnsi="宋体" w:cs="宋体"/>
                <w:b/>
                <w:bCs/>
                <w:snapToGrid w:val="0"/>
                <w:color w:val="FF0000"/>
                <w:kern w:val="0"/>
                <w:szCs w:val="21"/>
              </w:rPr>
              <w:t>□</w:t>
            </w:r>
            <w:r>
              <w:rPr>
                <w:rFonts w:hint="eastAsia" w:ascii="宋体" w:hAnsi="宋体" w:eastAsia="宋体" w:cs="宋体"/>
                <w:b/>
                <w:bCs/>
                <w:color w:val="FF0000"/>
                <w:sz w:val="21"/>
                <w:szCs w:val="21"/>
                <w:highlight w:val="none"/>
                <w:lang w:eastAsia="zh-CN"/>
              </w:rPr>
              <w:t>高（</w:t>
            </w:r>
            <w:r>
              <w:rPr>
                <w:rFonts w:hint="eastAsia" w:ascii="宋体" w:hAnsi="宋体" w:eastAsia="宋体" w:cs="宋体"/>
                <w:b/>
                <w:bCs/>
                <w:color w:val="FF0000"/>
                <w:sz w:val="21"/>
                <w:szCs w:val="21"/>
                <w:highlight w:val="none"/>
                <w:lang w:val="en-US" w:eastAsia="zh-CN"/>
              </w:rPr>
              <w:t>不得准入</w:t>
            </w:r>
            <w:r>
              <w:rPr>
                <w:rFonts w:hint="eastAsia" w:ascii="宋体" w:hAnsi="宋体" w:eastAsia="宋体" w:cs="宋体"/>
                <w:b/>
                <w:bCs/>
                <w:color w:val="FF0000"/>
                <w:sz w:val="21"/>
                <w:szCs w:val="21"/>
                <w:highlight w:val="none"/>
                <w:lang w:eastAsia="zh-CN"/>
              </w:rPr>
              <w:t>）</w:t>
            </w:r>
          </w:p>
          <w:p w14:paraId="11732687">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w:t>
            </w:r>
            <w:r>
              <w:rPr>
                <w:rFonts w:hint="eastAsia" w:ascii="宋体" w:hAnsi="宋体" w:cs="宋体"/>
                <w:snapToGrid w:val="0"/>
                <w:color w:val="000000"/>
                <w:kern w:val="0"/>
                <w:szCs w:val="21"/>
                <w:u w:val="single"/>
              </w:rPr>
              <w:t xml:space="preserve"> </w:t>
            </w:r>
            <w:r>
              <w:rPr>
                <w:rFonts w:hint="eastAsia" w:ascii="宋体" w:hAnsi="宋体" w:cs="宋体"/>
                <w:snapToGrid w:val="0"/>
                <w:color w:val="000000"/>
                <w:kern w:val="0"/>
                <w:szCs w:val="21"/>
                <w:highlight w:val="none"/>
                <w:u w:val="single"/>
                <w:lang w:val="en-US" w:eastAsia="zh-CN"/>
              </w:rPr>
              <w:t>1000</w:t>
            </w:r>
            <w:r>
              <w:rPr>
                <w:rFonts w:hint="eastAsia" w:ascii="宋体" w:hAnsi="宋体" w:cs="宋体"/>
                <w:snapToGrid w:val="0"/>
                <w:color w:val="000000"/>
                <w:kern w:val="0"/>
                <w:szCs w:val="21"/>
                <w:u w:val="single"/>
              </w:rPr>
              <w:t xml:space="preserve"> </w:t>
            </w:r>
            <w:r>
              <w:rPr>
                <w:rFonts w:hint="eastAsia" w:ascii="宋体" w:hAnsi="宋体" w:cs="宋体"/>
                <w:snapToGrid w:val="0"/>
                <w:color w:val="000000"/>
                <w:kern w:val="0"/>
                <w:szCs w:val="21"/>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申报</w:t>
            </w:r>
            <w:r>
              <w:rPr>
                <w:rFonts w:hint="eastAsia" w:ascii="宋体" w:hAnsi="宋体" w:cs="宋体"/>
                <w:snapToGrid w:val="0"/>
                <w:color w:val="000000"/>
                <w:kern w:val="0"/>
                <w:szCs w:val="21"/>
                <w:highlight w:val="none"/>
              </w:rPr>
              <w:t>敞口</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val="en-US" w:eastAsia="zh-CN"/>
              </w:rPr>
              <w:t>1000</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上一期授信敞口（若有）：</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val="en-US" w:eastAsia="zh-CN"/>
              </w:rPr>
              <w:t>500</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w:t>
            </w:r>
            <w:r>
              <w:rPr>
                <w:rFonts w:hint="eastAsia" w:ascii="宋体" w:hAnsi="宋体" w:cs="宋体"/>
                <w:snapToGrid w:val="0"/>
                <w:color w:val="000000"/>
                <w:kern w:val="0"/>
                <w:szCs w:val="21"/>
                <w:highlight w:val="none"/>
              </w:rPr>
              <w:t>品种：</w:t>
            </w:r>
            <w:r>
              <w:rPr>
                <w:rFonts w:hint="eastAsia" w:ascii="宋体" w:hAnsi="宋体" w:cs="宋体"/>
                <w:snapToGrid w:val="0"/>
                <w:color w:val="000000"/>
                <w:kern w:val="0"/>
                <w:szCs w:val="21"/>
                <w:highlight w:val="none"/>
                <w:u w:val="single"/>
                <w:lang w:val="en-US" w:eastAsia="zh-CN"/>
              </w:rPr>
              <w:t>一般短期流动资金贷款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业务期限：</w:t>
            </w:r>
            <w:r>
              <w:rPr>
                <w:rFonts w:hint="eastAsia" w:ascii="宋体" w:hAnsi="宋体" w:cs="宋体"/>
                <w:snapToGrid w:val="0"/>
                <w:color w:val="000000"/>
                <w:kern w:val="0"/>
                <w:szCs w:val="21"/>
                <w:highlight w:val="none"/>
                <w:u w:val="single"/>
                <w:lang w:val="en-US" w:eastAsia="zh-CN"/>
              </w:rPr>
              <w:t xml:space="preserve"> 12个</w:t>
            </w:r>
            <w:r>
              <w:rPr>
                <w:rFonts w:hint="eastAsia" w:ascii="宋体" w:hAnsi="宋体" w:cs="宋体"/>
                <w:snapToGrid w:val="0"/>
                <w:color w:val="000000"/>
                <w:kern w:val="0"/>
                <w:szCs w:val="21"/>
                <w:highlight w:val="none"/>
                <w:u w:val="none"/>
                <w:lang w:val="en-US" w:eastAsia="zh-CN"/>
              </w:rPr>
              <w:t>月；授信期限：</w:t>
            </w:r>
            <w:r>
              <w:rPr>
                <w:rFonts w:hint="eastAsia" w:ascii="宋体" w:hAnsi="宋体" w:cs="宋体"/>
                <w:snapToGrid w:val="0"/>
                <w:color w:val="000000"/>
                <w:kern w:val="0"/>
                <w:szCs w:val="21"/>
                <w:highlight w:val="none"/>
                <w:u w:val="single"/>
                <w:lang w:val="en-US" w:eastAsia="zh-CN"/>
              </w:rPr>
              <w:t xml:space="preserve"> 1 </w:t>
            </w:r>
            <w:r>
              <w:rPr>
                <w:rFonts w:hint="eastAsia" w:ascii="宋体" w:hAnsi="宋体" w:cs="宋体"/>
                <w:snapToGrid w:val="0"/>
                <w:color w:val="000000"/>
                <w:kern w:val="0"/>
                <w:szCs w:val="21"/>
                <w:highlight w:val="none"/>
                <w:u w:val="none"/>
                <w:lang w:val="en-US" w:eastAsia="zh-CN"/>
              </w:rPr>
              <w:t>年</w:t>
            </w:r>
            <w:r>
              <w:rPr>
                <w:rFonts w:hint="eastAsia" w:ascii="宋体" w:hAnsi="宋体" w:cs="宋体"/>
                <w:snapToGrid w:val="0"/>
                <w:color w:val="000000"/>
                <w:kern w:val="0"/>
                <w:szCs w:val="21"/>
                <w:highlight w:val="none"/>
              </w:rPr>
              <w:t xml:space="preserve">     </w:t>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大学国家大学科技园8号楼5层。经营地为租用办公楼，租用总面积2523平，年租金115万。注册资本：4100万元、实收资本：4100万元；法定代表人：黄祖海。实际主营业务为网络技术开发与服务。股权结构详见下表。</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color w:val="FF0000"/>
                <w:kern w:val="0"/>
                <w:szCs w:val="21"/>
                <w:highlight w:val="none"/>
              </w:rPr>
            </w:r>
            <w:r>
              <w:rPr>
                <w:rFonts w:hint="eastAsia" w:ascii="宋体" w:hAnsi="宋体" w:cs="宋体"/>
                <w:b/>
                <w:bCs/>
                <w:snapToGrid w:val="0"/>
                <w:color w:val="FF0000"/>
                <w:kern w:val="0"/>
                <w:szCs w:val="21"/>
                <w:highlight w:val="none"/>
                <w:lang w:val="en-US" w:eastAsia="zh-CN"/>
              </w:rPr>
            </w:r>
            <w:r>
              <w:rPr>
                <w:rFonts w:hint="eastAsia" w:ascii="宋体" w:hAnsi="宋体" w:cs="宋体"/>
                <w:b/>
                <w:bCs/>
                <w:snapToGrid w:val="0"/>
                <w:color w:val="FF0000"/>
                <w:kern w:val="0"/>
                <w:szCs w:val="21"/>
                <w:highlight w:val="none"/>
              </w:rPr>
            </w:r>
            <w:r>
              <w:rPr>
                <w:rFonts w:hint="eastAsia" w:ascii="宋体" w:hAnsi="宋体" w:cs="宋体"/>
                <w:b/>
                <w:bCs/>
                <w:snapToGrid w:val="0"/>
                <w:color w:val="FF0000"/>
                <w:kern w:val="0"/>
                <w:szCs w:val="21"/>
                <w:highlight w:val="none"/>
                <w:lang w:val="en-US" w:eastAsia="zh-CN"/>
              </w:rPr>
            </w:r>
            <w:r>
              <w:rPr>
                <w:rFonts w:hint="eastAsia" w:ascii="宋体" w:hAnsi="宋体" w:cs="宋体"/>
                <w:b/>
                <w:bCs/>
                <w:snapToGrid w:val="0"/>
                <w:color w:val="FF000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w:t>
            </w:r>
            <w:r>
              <w:rPr>
                <w:rFonts w:hint="eastAsia" w:ascii="宋体" w:hAnsi="宋体" w:cs="宋体"/>
                <w:snapToGrid w:val="0"/>
                <w:color w:val="000000"/>
                <w:kern w:val="0"/>
                <w:szCs w:val="21"/>
              </w:rPr>
              <w:t>人数</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人；注册资本：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万元、实收资本：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法定代表人：</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FF000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FF0000"/>
                <w:kern w:val="0"/>
                <w:szCs w:val="21"/>
                <w:u w:val="single"/>
              </w:rPr>
            </w:pPr>
            <w:r>
              <w:rPr>
                <w:rFonts w:hint="eastAsia" w:ascii="宋体" w:hAnsi="宋体" w:cs="宋体"/>
                <w:b/>
                <w:snapToGrid w:val="0"/>
                <w:color w:val="000000"/>
                <w:kern w:val="0"/>
                <w:szCs w:val="21"/>
                <w:lang w:val="en-US" w:eastAsia="zh-CN"/>
              </w:rPr>
              <w:t>材料未提供实控人面访记录。</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color w:val="FF0000"/>
                <w:kern w:val="0"/>
                <w:szCs w:val="21"/>
                <w:u w:val="single"/>
                <w:lang w:eastAsia="zh-CN"/>
              </w:rPr>
            </w:r>
            <w:r>
              <w:rPr>
                <w:rFonts w:hint="eastAsia" w:ascii="宋体" w:hAnsi="宋体" w:cs="宋体"/>
                <w:b w:val="0"/>
                <w:bCs w:val="0"/>
                <w:snapToGrid w:val="0"/>
                <w:color w:val="FF0000"/>
                <w:kern w:val="0"/>
                <w:szCs w:val="21"/>
                <w:u w:val="single"/>
                <w:lang w:val="en-US" w:eastAsia="zh-CN"/>
              </w:rPr>
            </w:r>
            <w:r>
              <w:rPr>
                <w:rFonts w:hint="eastAsia" w:ascii="宋体" w:hAnsi="宋体" w:cs="宋体"/>
                <w:snapToGrid w:val="0"/>
                <w:color w:val="FF0000"/>
                <w:kern w:val="0"/>
                <w:szCs w:val="21"/>
                <w:u w:val="single"/>
              </w:rPr>
            </w:r>
            <w:r>
              <w:rPr>
                <w:rFonts w:hint="eastAsia" w:ascii="宋体" w:hAnsi="宋体" w:cs="宋体"/>
                <w:snapToGrid w:val="0"/>
                <w:color w:val="FF0000"/>
                <w:kern w:val="0"/>
                <w:szCs w:val="21"/>
                <w:u w:val="single"/>
                <w:lang w:val="en-US" w:eastAsia="zh-CN"/>
              </w:rPr>
            </w:r>
            <w:r>
              <w:rPr>
                <w:rFonts w:hint="eastAsia" w:ascii="宋体" w:hAnsi="宋体" w:cs="宋体"/>
                <w:snapToGrid w:val="0"/>
                <w:color w:val="FF000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材料未提供实地走访情况说明。</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color w:val="FF0000"/>
                <w:kern w:val="0"/>
                <w:szCs w:val="21"/>
                <w:highlight w:val="none"/>
                <w:u w:val="single"/>
                <w:lang w:val="en-US" w:eastAsia="zh-CN"/>
              </w:rPr>
            </w:r>
            <w:r>
              <w:rPr>
                <w:rFonts w:hint="eastAsia" w:ascii="宋体" w:hAnsi="宋体" w:cs="宋体"/>
                <w:b w:val="0"/>
                <w:bCs w:val="0"/>
                <w:snapToGrid w:val="0"/>
                <w:color w:val="FF000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color w:val="FF0000"/>
                <w:kern w:val="0"/>
                <w:szCs w:val="21"/>
                <w:highlight w:val="none"/>
              </w:rPr>
            </w:pPr>
            <w:r>
              <w:rPr>
                <w:rFonts w:hint="eastAsia" w:ascii="宋体" w:hAnsi="宋体" w:eastAsia="宋体" w:cs="宋体"/>
                <w:b/>
                <w:bCs/>
                <w:color w:val="FF0000"/>
                <w:kern w:val="2"/>
                <w:sz w:val="21"/>
                <w:szCs w:val="21"/>
                <w:highlight w:val="none"/>
                <w:lang w:val="en-US" w:eastAsia="zh-CN"/>
              </w:rPr>
              <w:t>※</w:t>
            </w:r>
            <w:r>
              <w:rPr>
                <w:rFonts w:hint="eastAsia" w:ascii="宋体" w:hAnsi="宋体" w:cs="宋体"/>
                <w:b/>
                <w:bCs/>
                <w:color w:val="FF0000"/>
                <w:kern w:val="2"/>
                <w:sz w:val="21"/>
                <w:szCs w:val="21"/>
                <w:highlight w:val="none"/>
                <w:lang w:val="en-US" w:eastAsia="zh-CN"/>
              </w:rPr>
              <w:t>4.</w:t>
            </w:r>
            <w:r>
              <w:rPr>
                <w:rFonts w:hint="eastAsia" w:ascii="宋体" w:hAnsi="宋体" w:eastAsia="宋体" w:cs="宋体"/>
                <w:b/>
                <w:bCs/>
                <w:color w:val="FF0000"/>
                <w:kern w:val="2"/>
                <w:sz w:val="21"/>
                <w:szCs w:val="21"/>
                <w:highlight w:val="none"/>
                <w:lang w:val="en-US" w:eastAsia="zh-CN"/>
              </w:rPr>
              <w:t>历年</w:t>
            </w:r>
            <w:r>
              <w:rPr>
                <w:rFonts w:hint="eastAsia" w:ascii="宋体" w:hAnsi="宋体" w:cs="宋体"/>
                <w:b/>
                <w:bCs/>
                <w:color w:val="FF0000"/>
                <w:kern w:val="2"/>
                <w:sz w:val="21"/>
                <w:szCs w:val="21"/>
                <w:highlight w:val="none"/>
                <w:lang w:val="en-US" w:eastAsia="zh-CN"/>
              </w:rPr>
              <w:t>股权</w:t>
            </w:r>
            <w:r>
              <w:rPr>
                <w:rFonts w:hint="eastAsia" w:ascii="宋体" w:hAnsi="宋体" w:eastAsia="宋体" w:cs="宋体"/>
                <w:b/>
                <w:bCs/>
                <w:color w:val="FF0000"/>
                <w:kern w:val="2"/>
                <w:sz w:val="21"/>
                <w:szCs w:val="21"/>
                <w:highlight w:val="none"/>
                <w:lang w:val="en-US" w:eastAsia="zh-CN"/>
              </w:rPr>
              <w:t>融资情况</w:t>
            </w:r>
            <w:r>
              <w:rPr>
                <w:rFonts w:hint="eastAsia" w:ascii="宋体" w:hAnsi="宋体" w:eastAsia="宋体" w:cs="宋体"/>
                <w:b/>
                <w:color w:val="FF0000"/>
                <w:sz w:val="21"/>
                <w:szCs w:val="21"/>
                <w:highlight w:val="none"/>
              </w:rPr>
              <w:t>（</w:t>
            </w:r>
            <w:r>
              <w:rPr>
                <w:rFonts w:hint="eastAsia" w:ascii="宋体" w:hAnsi="宋体" w:cs="宋体"/>
                <w:b/>
                <w:color w:val="FF0000"/>
                <w:sz w:val="21"/>
                <w:szCs w:val="21"/>
                <w:highlight w:val="none"/>
                <w:lang w:val="en-US" w:eastAsia="zh-CN"/>
              </w:rPr>
              <w:t>如</w:t>
            </w:r>
            <w:r>
              <w:rPr>
                <w:rFonts w:hint="eastAsia" w:ascii="宋体" w:hAnsi="宋体" w:eastAsia="宋体" w:cs="宋体"/>
                <w:b/>
                <w:color w:val="FF0000"/>
                <w:sz w:val="21"/>
                <w:szCs w:val="21"/>
                <w:highlight w:val="none"/>
                <w:lang w:val="en-US" w:eastAsia="zh-CN"/>
              </w:rPr>
              <w:t>为</w:t>
            </w:r>
            <w:r>
              <w:rPr>
                <w:rFonts w:hint="eastAsia" w:ascii="宋体" w:hAnsi="宋体" w:cs="宋体"/>
                <w:b/>
                <w:color w:val="FF0000"/>
                <w:sz w:val="21"/>
                <w:szCs w:val="21"/>
                <w:highlight w:val="none"/>
                <w:lang w:val="en-US" w:eastAsia="zh-CN"/>
              </w:rPr>
              <w:t>科技型</w:t>
            </w:r>
            <w:r>
              <w:rPr>
                <w:rFonts w:hint="eastAsia" w:ascii="宋体" w:hAnsi="宋体" w:eastAsia="宋体" w:cs="宋体"/>
                <w:b/>
                <w:color w:val="FF0000"/>
                <w:sz w:val="21"/>
                <w:szCs w:val="21"/>
                <w:highlight w:val="none"/>
                <w:lang w:val="en-US" w:eastAsia="zh-CN"/>
              </w:rPr>
              <w:t>企业，请填列下表</w:t>
            </w:r>
            <w:r>
              <w:rPr>
                <w:rFonts w:hint="eastAsia" w:ascii="宋体" w:hAnsi="宋体" w:eastAsia="宋体" w:cs="宋体"/>
                <w:b/>
                <w:color w:val="FF0000"/>
                <w:sz w:val="21"/>
                <w:szCs w:val="21"/>
                <w:highlight w:val="none"/>
              </w:rPr>
              <w:t>）</w:t>
            </w:r>
            <w:r>
              <w:rPr>
                <w:rFonts w:hint="eastAsia" w:ascii="宋体" w:hAnsi="宋体" w:cs="宋体"/>
                <w:b/>
                <w:snapToGrid w:val="0"/>
                <w:color w:val="FF000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FF000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color w:val="FF000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自2017年以来，我行与借款人建立授信合作关系，近三年分别给予其500、400、500万授信敞口。当前授信为交通银行屏东支行1000万流贷，由黄祖海提供担保，业务期限自2024年4月25日至2026年4月24日。</w:t>
            </w:r>
            <w:r>
              <w:rPr>
                <w:rFonts w:hint="eastAsia" w:ascii="宋体" w:hAnsi="宋体" w:eastAsia="宋体" w:cs="宋体"/>
                <w:b/>
                <w:bCs/>
                <w:snapToGrid w:val="0"/>
                <w:color w:val="FF000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color w:val="FF000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黄色预警提示法定代表人目前信用卡存在逾期，经核实，未对借款人造成实质性风险。</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FF0000"/>
                <w:kern w:val="0"/>
                <w:szCs w:val="21"/>
                <w:highlight w:val="none"/>
                <w:u w:val="single"/>
                <w:lang w:val="en-US" w:eastAsia="zh-CN"/>
              </w:rPr>
              <w:t>请如实反馈</w:t>
            </w:r>
            <w:r>
              <w:rPr>
                <w:rFonts w:hint="eastAsia" w:ascii="宋体" w:hAnsi="宋体" w:cs="宋体"/>
                <w:bCs/>
                <w:snapToGrid w:val="0"/>
                <w:color w:val="000000"/>
                <w:kern w:val="0"/>
                <w:szCs w:val="21"/>
                <w:highlight w:val="none"/>
                <w:u w:val="single"/>
                <w:lang w:val="en-US" w:eastAsia="zh-CN"/>
              </w:rPr>
              <w:t xml:space="preserve">                      </w:t>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color w:val="FF000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FF0000"/>
                <w:kern w:val="0"/>
                <w:szCs w:val="21"/>
                <w:lang w:eastAsia="zh-CN"/>
              </w:rPr>
            </w:pPr>
            <w:r>
              <w:rPr>
                <w:rFonts w:hint="eastAsia" w:ascii="宋体" w:hAnsi="宋体" w:cs="宋体"/>
                <w:snapToGrid w:val="0"/>
                <w:color w:val="000000"/>
                <w:kern w:val="0"/>
                <w:szCs w:val="21"/>
              </w:rPr>
              <w:t>法定代表人/实控人：黄祖海，中国国籍，福建闽清人，1977年4月20日出生，湖南大学电子商务专业本科学历。行业工作经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配偶：康恩慧。</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color w:val="FF0000"/>
                <w:kern w:val="0"/>
                <w:szCs w:val="21"/>
                <w:u w:val="single"/>
                <w:lang w:eastAsia="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snapToGrid w:val="0"/>
                <w:color w:val="FF000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color w:val="FF000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color w:val="FF0000"/>
                <w:kern w:val="0"/>
                <w:szCs w:val="21"/>
                <w:lang w:eastAsia="zh-CN"/>
              </w:rPr>
            </w:pPr>
            <w:r>
              <w:rPr>
                <w:rFonts w:hint="eastAsia" w:ascii="宋体" w:hAnsi="宋体" w:eastAsia="宋体" w:cs="宋体"/>
                <w:b/>
                <w:bCs/>
                <w:snapToGrid w:val="0"/>
                <w:kern w:val="0"/>
                <w:szCs w:val="21"/>
                <w:highlight w:val="none"/>
              </w:rPr>
              <w:t>关联企业关系：可附图</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color w:val="FF0000"/>
                <w:kern w:val="0"/>
                <w:szCs w:val="21"/>
                <w:lang w:eastAsia="zh-CN"/>
              </w:rPr>
            </w:r>
          </w:p>
          <w:p w14:paraId="29070FDD">
            <w:pPr>
              <w:ind w:firstLine="422" w:firstLineChars="200"/>
              <w:jc w:val="left"/>
              <w:outlineLvl w:val="0"/>
              <w:rPr>
                <w:rFonts w:hint="eastAsia" w:ascii="宋体" w:hAnsi="宋体" w:cs="宋体"/>
                <w:snapToGrid w:val="0"/>
                <w:color w:val="FF0000"/>
                <w:kern w:val="0"/>
                <w:szCs w:val="21"/>
                <w:highlight w:val="none"/>
                <w:u w:val="single"/>
              </w:rPr>
            </w:pPr>
            <w:r>
              <w:rPr>
                <w:rFonts w:hint="eastAsia" w:ascii="宋体" w:hAnsi="宋体" w:cs="宋体"/>
                <w:b/>
                <w:bCs/>
                <w:snapToGrid w:val="0"/>
                <w:kern w:val="0"/>
                <w:szCs w:val="21"/>
                <w:highlight w:val="none"/>
              </w:rPr>
              <w:t>关联企业情况小结：借款人旗下共有5家全资或控股子公司，均从事智慧水利、智慧教育、产教融合及软硬件销售等业务。其中，福建中锐汉鼎信息技术有限公司与福建中锐教育科技有限公司上年分别亏损682万元与1275万元，经营压力较大；北京中锐青云科技有限公司实现微利16万元，并获得213.4万元外部融资；其余两家公司营收规模极小或为零。关联企业整体经营规模有限，与借款人存在业务协同。</w:t>
            </w:r>
            <w:r>
              <w:rPr>
                <w:rFonts w:hint="eastAsia" w:ascii="宋体" w:hAnsi="宋体" w:cs="宋体"/>
                <w:snapToGrid w:val="0"/>
                <w:color w:val="FF000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集团合并口径财务数据未提供。集团内纳入合并范围的子公司共5家，均为借款人全资或控股，详见下表。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color w:val="FF0000"/>
                <w:kern w:val="0"/>
                <w:szCs w:val="21"/>
                <w:highlight w:val="none"/>
                <w:u w:val="single"/>
                <w:lang w:val="en-US" w:eastAsia="zh-CN"/>
              </w:rPr>
              <w:t>请描述集团或关联授信的最新授信方案及当前授信提用情况</w:t>
            </w:r>
            <w:r>
              <w:rPr>
                <w:rFonts w:hint="eastAsia" w:ascii="宋体" w:hAnsi="宋体" w:cs="宋体"/>
                <w:snapToGrid w:val="0"/>
                <w:color w:val="FF000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主营智慧水利、智慧教育解决方案。智慧水利业务已成功应用于福建省300余座大中小型水库；智慧教育业务与全国超1000所高校及科研院所合作，服务1600多家政企客户。收入结构为水利46%、教育54%。</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主营智慧水利与智慧教育解决方案。智慧水利产品已应用于福建省300余座水库，并获省科技进步二等奖；智慧教育业务与超1000所高校及1600余家政企客户合作。财务方面，2025年营业收入10009.6万元，同比增长14.9%；净利润493.8万元，同比大幅增长50.1%，盈利能力显著改善。企业毛利率为38.0%（同比下降0.8个百分点），净利率为4.9%（同比上升1.2个百分点），均处于软件和信息技术服务业典型区间内，显示其产品具备一定附加值。期末资产负债率为42.5%，较年初下降7.7个百分点，财务结构趋于稳健；流动比率与速动比率分别为1.82倍和1.51倍，较年初均有提升，短期偿债能力增强，有利于保障银行信贷资金的按期偿还。运营效率呈现分化：应收账款周转天数271天，同比显著缩短117天，但依然高于行业90-180天的典型区间，主要系项目制验收周期及政府、大客户回款账期较长所致；存货周转天数129天，同比延长49天且高于行业30-90天区间，主要与硬件集成类业务备货及项目定制化存货增加有关，需关注存货积压风险。整体而言，企业盈利增长、负债率下降、偿债指标改善，第一还款来源能力增强，但需关注应收账款回收效率及存货管理。</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color w:val="FF0000"/>
                <w:kern w:val="0"/>
                <w:szCs w:val="21"/>
                <w:highlight w:val="none"/>
                <w:lang w:eastAsia="zh-CN"/>
              </w:rPr>
              <w:t>可附</w:t>
            </w:r>
            <w:r>
              <w:rPr>
                <w:rFonts w:hint="eastAsia" w:ascii="宋体" w:hAnsi="宋体" w:cs="宋体"/>
                <w:snapToGrid w:val="0"/>
                <w:color w:val="FF000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解决方案，2025年实现营业收入10009.6万元，同比增长14.9%。收入结构上，智慧水利业务占比46%，智慧教育业务占比54%。智慧水利主要提供大坝安全智能监测平台等解决方案，已应用于福建省300余座水库；智慧教育业务与全国超1000所高校有产学研合作，服务1600多家政企客户。需补充近三年分产品线的产量、销量及产销率明细表。</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4.上下游情况：企业上游供应商主要为锐捷网络、北京星链南天科技等信息技术企业，下游客户包括涵江水利局、福建省翔远电子科技等，客户结构分散。</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①主要上游（前五大）：详见下表。</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t>已核实主要银行账户流水中付款对象与提供的上游订单中的企业名称一致。</w:t>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②主要下游（前五大）：详见下表。</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t>已核实主要银行账户流水中收款对象与提供的下游订单中的企业名称一致。</w:t>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③经营账期：需补充上下游结算账期及回款明细。</w:t>
            </w:r>
            <w:r>
              <w:rPr>
                <w:rFonts w:hint="eastAsia" w:ascii="宋体" w:hAnsi="宋体" w:cs="宋体"/>
                <w:b/>
                <w:bCs/>
                <w:snapToGrid w:val="0"/>
                <w:color w:val="000000"/>
                <w:kern w:val="0"/>
                <w:szCs w:val="21"/>
                <w:highlight w:val="none"/>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材料未提供最新在手订单明细。</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autofit"/>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color w:val="FF0000"/>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截至2025年末，借款人福建中锐网络股份有限公司（单体）资产规模有所收缩，但盈利与偿债能力改善，营运效率呈现分化，现金流质量健康。</w:t>
            </w:r>
            <w:r>
              <w:rPr>
                <w:rFonts w:hint="eastAsia" w:ascii="宋体" w:hAnsi="宋体" w:cs="宋体"/>
                <w:snapToGrid w:val="0"/>
                <w:color w:val="FF0000"/>
                <w:kern w:val="0"/>
                <w:szCs w:val="21"/>
                <w:highlight w:val="none"/>
                <w:u w:val="single"/>
                <w:lang w:eastAsia="zh-CN"/>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69"/>
              <w:gridCol w:w="1523"/>
              <w:gridCol w:w="1525"/>
              <w:gridCol w:w="1523"/>
              <w:gridCol w:w="1352"/>
              <w:gridCol w:w="1352"/>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02"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03"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02"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623"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623"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02"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02"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02"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02"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02"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02"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02"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02"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02"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02"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02"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02"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02"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02"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02"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02"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02"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02"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02"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02"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02"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02"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02"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02"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02"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02"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02"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02"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02"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02"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02"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02"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02"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02"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02"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02"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02"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02"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02"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02"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02"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02"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02"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color w:val="FF0000"/>
                <w:kern w:val="0"/>
                <w:szCs w:val="21"/>
                <w:highlight w:val="none"/>
                <w:lang w:val="zh-CN"/>
              </w:rPr>
            </w:pPr>
            <w:r>
              <w:rPr>
                <w:rFonts w:hint="eastAsia" w:ascii="宋体" w:hAnsi="宋体" w:cs="宋体"/>
                <w:bCs/>
                <w:snapToGrid w:val="0"/>
                <w:color w:val="000000"/>
                <w:kern w:val="0"/>
                <w:szCs w:val="21"/>
                <w:highlight w:val="none"/>
                <w:lang w:val="en-US" w:eastAsia="zh-CN"/>
              </w:rPr>
              <w:t>一、 规模与盈利：收入利润双增，盈利效率提升</w:t>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FF000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color w:val="FF0000"/>
                <w:kern w:val="0"/>
                <w:szCs w:val="21"/>
                <w:highlight w:val="none"/>
                <w:lang w:val="zh-CN"/>
              </w:rPr>
              <w:t>（</w:t>
            </w:r>
            <w:r>
              <w:rPr>
                <w:rFonts w:hint="eastAsia" w:ascii="宋体" w:hAnsi="宋体" w:cs="宋体"/>
                <w:b/>
                <w:bCs w:val="0"/>
                <w:snapToGrid w:val="0"/>
                <w:color w:val="FF0000"/>
                <w:kern w:val="0"/>
                <w:szCs w:val="21"/>
                <w:highlight w:val="none"/>
                <w:lang w:val="en-US" w:eastAsia="zh-CN"/>
              </w:rPr>
              <w:t>后续若有大额固定资产投入计划，分析投入及资金安排</w:t>
            </w:r>
            <w:r>
              <w:rPr>
                <w:rFonts w:hint="eastAsia" w:ascii="宋体" w:hAnsi="宋体" w:cs="宋体"/>
                <w:b/>
                <w:bCs w:val="0"/>
                <w:snapToGrid w:val="0"/>
                <w:color w:val="FF0000"/>
                <w:kern w:val="0"/>
                <w:szCs w:val="21"/>
                <w:highlight w:val="none"/>
                <w:lang w:val="zh-CN"/>
              </w:rPr>
              <w:t>）</w:t>
            </w:r>
            <w:r>
              <w:rPr>
                <w:rFonts w:hint="eastAsia" w:ascii="宋体" w:hAnsi="宋体" w:cs="宋体"/>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w:t>
            </w:r>
            <w:r>
              <w:rPr>
                <w:rFonts w:hint="eastAsia" w:ascii="宋体" w:hAnsi="宋体" w:cs="宋体"/>
                <w:bCs/>
                <w:snapToGrid w:val="0"/>
                <w:color w:val="000000"/>
                <w:kern w:val="0"/>
                <w:szCs w:val="21"/>
                <w:highlight w:val="none"/>
                <w:lang w:val="en-US" w:eastAsia="zh-CN"/>
              </w:rPr>
              <w:t>0</w:t>
            </w:r>
            <w:r>
              <w:rPr>
                <w:rFonts w:hint="eastAsia" w:ascii="宋体" w:hAnsi="宋体" w:cs="宋体"/>
                <w:bCs/>
                <w:snapToGrid w:val="0"/>
                <w:color w:val="000000"/>
                <w:kern w:val="0"/>
                <w:szCs w:val="21"/>
                <w:highlight w:val="none"/>
                <w:lang w:val="zh-CN"/>
              </w:rPr>
              <w:t>）其他变动较大的</w:t>
            </w:r>
            <w:r>
              <w:rPr>
                <w:rFonts w:hint="eastAsia" w:ascii="宋体" w:hAnsi="宋体" w:cs="宋体"/>
                <w:bCs/>
                <w:snapToGrid w:val="0"/>
                <w:color w:val="000000"/>
                <w:kern w:val="0"/>
                <w:szCs w:val="21"/>
                <w:highlight w:val="none"/>
                <w:lang w:val="en-US" w:eastAsia="zh-CN"/>
              </w:rPr>
              <w:t>财务</w:t>
            </w:r>
            <w:r>
              <w:rPr>
                <w:rFonts w:hint="eastAsia" w:ascii="宋体" w:hAnsi="宋体" w:cs="宋体"/>
                <w:bCs/>
                <w:snapToGrid w:val="0"/>
                <w:color w:val="000000"/>
                <w:kern w:val="0"/>
                <w:szCs w:val="21"/>
                <w:highlight w:val="none"/>
                <w:lang w:val="zh-CN"/>
              </w:rPr>
              <w:t>指标（</w:t>
            </w:r>
            <w:r>
              <w:rPr>
                <w:rFonts w:hint="eastAsia" w:ascii="宋体" w:hAnsi="宋体" w:cs="宋体"/>
                <w:bCs/>
                <w:snapToGrid w:val="0"/>
                <w:color w:val="000000"/>
                <w:kern w:val="0"/>
                <w:szCs w:val="21"/>
                <w:highlight w:val="none"/>
                <w:lang w:val="en-US" w:eastAsia="zh-CN"/>
              </w:rPr>
              <w:t>包括但不限于预付账款、预收账款等，如有请说明）</w:t>
            </w: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en-US" w:eastAsia="zh-CN"/>
              </w:rPr>
              <w:t xml:space="preserve">                      </w:t>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color w:val="FF0000"/>
                <w:szCs w:val="21"/>
                <w:highlight w:val="none"/>
                <w:u w:val="single"/>
                <w:lang w:val="en-US" w:eastAsia="zh-CN"/>
              </w:rPr>
            </w:pPr>
            <w:r>
              <w:rPr>
                <w:rFonts w:hint="eastAsia" w:ascii="宋体" w:hAnsi="宋体" w:cs="宋体"/>
                <w:b/>
                <w:snapToGrid w:val="0"/>
                <w:color w:val="FF0000"/>
                <w:kern w:val="0"/>
                <w:szCs w:val="21"/>
                <w:highlight w:val="none"/>
                <w:lang w:val="en-US" w:eastAsia="zh-CN"/>
              </w:rPr>
              <w:t>借款人2025年实现营业收入10009.63万元，同比增长14.9%；实现净利润493.8万元，同比大幅增长50.1%。盈利能力的提升主要得益于费用控制和规模效应：净利率为4.9%，同比上升1.2个百分点；营业利润率为4.8%，同比微升0.2个百分点。毛利率为38.0%，同比下降0.8个百分点，但仍处于软件和信息技术服务业（30%-50%）的合理区间，表明其核心业务盈利能力稳定。</w:t>
            </w:r>
            <w:r>
              <w:rPr>
                <w:rFonts w:hint="eastAsia" w:ascii="宋体" w:hAnsi="宋体" w:cs="宋体"/>
                <w:b w:val="0"/>
                <w:bCs/>
                <w:snapToGrid w:val="0"/>
                <w:color w:val="FF0000"/>
                <w:kern w:val="0"/>
                <w:szCs w:val="21"/>
                <w:highlight w:val="none"/>
                <w:lang w:val="en-US" w:eastAsia="zh-CN"/>
              </w:rPr>
            </w:r>
            <w:r>
              <w:rPr>
                <w:rFonts w:hint="eastAsia" w:ascii="宋体" w:hAnsi="宋体" w:eastAsia="宋体" w:cs="宋体"/>
                <w:b w:val="0"/>
                <w:bCs/>
                <w:snapToGrid w:val="0"/>
                <w:color w:val="FF0000"/>
                <w:kern w:val="0"/>
                <w:szCs w:val="21"/>
                <w:highlight w:val="none"/>
                <w:lang w:val="en-US" w:eastAsia="zh-CN"/>
              </w:rPr>
            </w:r>
            <w:r>
              <w:rPr>
                <w:rFonts w:hint="eastAsia" w:ascii="宋体" w:hAnsi="宋体" w:eastAsia="宋体" w:cs="宋体"/>
                <w:b w:val="0"/>
                <w:bCs/>
                <w:snapToGrid w:val="0"/>
                <w:color w:val="FF000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二、 偿债能力：财务结构优化，短期偿债指标改善</w:t>
              <w:br/>
              <w:t>2025年末，借款人资产负债率为42.5%，较年初下降7.7个百分点，负债水平回归行业典型区间（30%-55%）的中低位，财务结构趋于稳健。短期偿债能力同步增强：流动比率1.82倍，速动比率1.51倍，分别较年初提升0.24倍和0.06倍，且均处于或接近行业健康水平（流动比率1.5-1.81倍，速动比率1.2-1.51倍）。结合年经营净现金流791.2万元对净利润1.60倍的覆盖水平，借款人整体偿债风险可控。但需关注，其短期借款余额为4730.0万元，显著高于当期经营现金流，表明短期债务偿还高度依赖再融资或资产变现。</w:t>
              <w:br/>
              <w:t>三、 营运效率：应收账款回收加速，但存货管理压力凸显</w:t>
              <w:br/>
              <w:t>营运效率呈现积极与消极两方面信号。积极方面，应收账款周转天数为271天，同比显著缩短117天，反映公司回款力度加强，尽管该指标仍显著高于软件信息业90-180天的典型区间，主要由于项目制验收周期较长及对大客户/政府客户的账期管理所致。消极方面，存货周转天数为129天，同比延长49天，且大幅高于行业30-90天的典型区间；存货余额达2192.15万元，较年初激增88.0%，增速远超营收增长，存在明显的存货积压信号，可能占用营运资金并增加跌价风险。</w:t>
              <w:br/>
              <w:t>四、 现金流与关键科目变动</w:t>
              <w:br/>
              <w:t>2025年，公司经营活动现金流净额为791.2万元，现金流生成能力良好（销售商品收现/营收为1.04）。投资活动净流出585.8万元，筹资活动净流出426.0万元，整体处于资金净回收状态。关键科目变动方面：应收账款（7429.67万元）和其他应收款（2774.06万元）分别较年初下降19.7%和21.2，有助于改善资产流动性；应付账款（1025.63万元）较年初大幅下降56.0%，可能加速了对供应商的付款。</w:t>
              <w:br/>
              <w:t>五、 需补充的材料与信息</w:t>
              <w:br/>
              <w:t>为全面评估财务真实性及深入分析异常变动，建议客户补充以下材料：</w:t>
              <w:br/>
              <w:t>1.  近三年增值税及企业所得税纳税申报表。</w:t>
              <w:br/>
              <w:t>2.  近一年主要银行账户流水。</w:t>
              <w:br/>
              <w:t>3.  长期投资、其他应付款、预付账款、预收账款等科目的明细构成。</w:t>
              <w:br/>
              <w:t>4.  近三年分产品/业务的收入明细及成本费用明细，以分析盈利变动具体原因。</w:t>
              <w:br/>
              <w:t>5.  2023-2025年完整现金流量表。</w:t>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公司各行贷款余额合计4730万元，其中交通银行屏东支行1000万元、海峡银行金山支行500万元、厦门国际银行台江支行640万元、兴业银行环球支行1000万元、工商银行500万元、中国银行福建省分行600万元、广发银行鼓楼支行400万元，五级分类正常。</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color w:val="FF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信用报告，黄祖海名下有未结清贷款账户1笔，余额1000万元，为中行个人经营贷款，经营主体为XXX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XXX有限公司担保。根据预警规则的后台计算，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color w:val="FF0000"/>
                <w:kern w:val="2"/>
                <w:sz w:val="21"/>
                <w:szCs w:val="21"/>
                <w:highlight w:val="none"/>
                <w:u w:val="single"/>
                <w:lang w:val="en-US" w:eastAsia="zh-CN"/>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需补充实控人配偶国籍、籍贯、出生年份及个人征信报告。</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color w:val="FF0000"/>
                <w:kern w:val="2"/>
                <w:sz w:val="21"/>
                <w:szCs w:val="21"/>
                <w:highlight w:val="none"/>
                <w:lang w:val="en-US" w:eastAsia="zh-CN"/>
              </w:rPr>
            </w:pPr>
            <w:r>
              <w:rPr>
                <w:rFonts w:hint="eastAsia" w:ascii="宋体" w:hAnsi="宋体" w:cs="宋体"/>
                <w:b/>
                <w:bCs/>
                <w:color w:val="FF0000"/>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color w:val="FF000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color w:val="FF0000"/>
                <w:kern w:val="0"/>
                <w:szCs w:val="21"/>
                <w:highlight w:val="none"/>
              </w:rPr>
            </w:pPr>
            <w:r>
              <w:rPr>
                <w:rFonts w:hint="eastAsia" w:ascii="宋体" w:hAnsi="宋体" w:eastAsia="宋体" w:cs="宋体"/>
                <w:b/>
                <w:bCs/>
                <w:color w:val="FF0000"/>
                <w:kern w:val="2"/>
                <w:sz w:val="21"/>
                <w:szCs w:val="21"/>
                <w:highlight w:val="none"/>
                <w:lang w:val="en-US" w:eastAsia="zh-CN"/>
              </w:rPr>
              <w:t>※2.研发投入情况</w:t>
            </w:r>
            <w:r>
              <w:rPr>
                <w:rFonts w:hint="eastAsia" w:ascii="宋体" w:hAnsi="宋体" w:cs="宋体"/>
                <w:b/>
                <w:bCs/>
                <w:snapToGrid w:val="0"/>
                <w:color w:val="FF000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color w:val="FF0000"/>
                <w:kern w:val="2"/>
                <w:sz w:val="21"/>
                <w:szCs w:val="21"/>
                <w:highlight w:val="none"/>
                <w:u w:val="none"/>
                <w:lang w:val="en-US" w:eastAsia="zh-CN" w:bidi="ar-SA"/>
              </w:rPr>
            </w:pPr>
            <w:r>
              <w:rPr>
                <w:rFonts w:hint="eastAsia" w:ascii="宋体" w:hAnsi="宋体" w:eastAsia="宋体" w:cs="宋体"/>
                <w:b/>
                <w:bCs/>
                <w:color w:val="FF0000"/>
                <w:kern w:val="2"/>
                <w:sz w:val="21"/>
                <w:szCs w:val="21"/>
                <w:highlight w:val="none"/>
                <w:lang w:val="en-US" w:eastAsia="zh-CN"/>
              </w:rPr>
              <w:t>高新技术企业；创新型中小企业；“专精特新”中小企业。</w:t>
              <w:br/>
              <w:t>核心研发人员享有股权激励。</w:t>
              <w:br/>
              <w:t>近三年研发投入占比及研发人员占比详见下表。</w:t>
              <w:br/>
              <w:t>企业拥有发明专利24项、实用专利6项，权属清晰，不存在瑕疵及涉诉情况，具体情况如下表所示：</w:t>
            </w:r>
            <w:r>
              <w:rPr>
                <w:rFonts w:hint="eastAsia" w:ascii="宋体" w:hAnsi="宋体" w:cs="宋体"/>
                <w:b/>
                <w:bCs w:val="0"/>
                <w:color w:val="FF0000"/>
                <w:kern w:val="2"/>
                <w:sz w:val="21"/>
                <w:szCs w:val="21"/>
                <w:highlight w:val="none"/>
                <w:lang w:val="en-US" w:eastAsia="zh-CN" w:bidi="ar-SA"/>
              </w:rPr>
            </w:r>
            <w:r>
              <w:rPr>
                <w:rFonts w:hint="eastAsia" w:ascii="宋体" w:hAnsi="宋体" w:eastAsia="宋体" w:cs="宋体"/>
                <w:b/>
                <w:bCs w:val="0"/>
                <w:color w:val="FF0000"/>
                <w:kern w:val="2"/>
                <w:sz w:val="21"/>
                <w:szCs w:val="21"/>
                <w:highlight w:val="none"/>
                <w:lang w:val="en-US" w:eastAsia="zh-CN" w:bidi="ar-SA"/>
              </w:rPr>
            </w:r>
            <w:r>
              <w:rPr>
                <w:rFonts w:hint="eastAsia" w:ascii="宋体" w:hAnsi="宋体" w:cs="宋体"/>
                <w:b/>
                <w:bCs/>
                <w:snapToGrid w:val="0"/>
                <w:color w:val="FF0000"/>
                <w:kern w:val="0"/>
                <w:szCs w:val="21"/>
                <w:highlight w:val="none"/>
              </w:rPr>
            </w:r>
            <w:r>
              <w:rPr>
                <w:rFonts w:hint="eastAsia" w:ascii="宋体" w:hAnsi="宋体" w:cs="宋体"/>
                <w:b w:val="0"/>
                <w:bCs/>
                <w:color w:val="FF0000"/>
                <w:kern w:val="2"/>
                <w:sz w:val="21"/>
                <w:szCs w:val="21"/>
                <w:highlight w:val="none"/>
                <w:u w:val="single"/>
                <w:lang w:val="en-US" w:eastAsia="zh-CN" w:bidi="ar-SA"/>
              </w:rPr>
            </w:r>
            <w:r>
              <w:rPr>
                <w:rFonts w:hint="eastAsia" w:ascii="宋体" w:hAnsi="宋体" w:cs="宋体"/>
                <w:b w:val="0"/>
                <w:bCs/>
                <w:color w:val="FF0000"/>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材料未提供企业在我行日均存款、对公有效户、结算量、代发签约及发薪量数据。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FF000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791.2万元，但账上货币资金为285.6万元。因对上游采购采用预付款和账期款方式，下游销售回款周期较长（应收账款周转天数271天），且存货较年初大幅增长88.0%至2192.2万元，对营运资金需求较大，故需申请部分贷款用于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需补充近三年营业收入、营业成本、应收账款、存货、应付账款、预收账款/合同负债、预付账款等科目明细，以完成营运资金需求测算。</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color w:val="FF0000"/>
                <w:highlight w:val="none"/>
                <w:u w:val="none"/>
                <w:lang w:val="en-US" w:eastAsia="zh-CN"/>
              </w:rPr>
            </w:pPr>
            <w:r>
              <w:rPr>
                <w:rFonts w:hint="eastAsia"/>
                <w:color w:val="FF0000"/>
                <w:highlight w:val="none"/>
                <w:u w:val="none"/>
                <w:lang w:val="en-US" w:eastAsia="zh-CN"/>
              </w:rPr>
              <w:t>如上述测算过程存在数据调整，请补充说明：</w:t>
            </w:r>
            <w:r>
              <w:rPr>
                <w:rFonts w:hint="eastAsia"/>
                <w:color w:val="FF0000"/>
                <w:highlight w:val="none"/>
                <w:u w:val="single"/>
                <w:lang w:val="en-US" w:eastAsia="zh-CN"/>
              </w:rPr>
              <w:t xml:space="preserve">                                         </w:t>
            </w:r>
            <w:r>
              <w:rPr>
                <w:rFonts w:hint="eastAsia"/>
                <w:color w:val="FF0000"/>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FF0000"/>
                <w:kern w:val="0"/>
                <w:sz w:val="21"/>
                <w:szCs w:val="21"/>
                <w:highlight w:val="none"/>
                <w:lang w:eastAsia="zh-CN"/>
              </w:rPr>
            </w:pPr>
            <w:r>
              <w:rPr>
                <w:rFonts w:hint="eastAsia" w:ascii="宋体" w:hAnsi="宋体" w:cs="宋体"/>
                <w:snapToGrid w:val="0"/>
                <w:color w:val="FF0000"/>
                <w:kern w:val="0"/>
                <w:sz w:val="21"/>
                <w:szCs w:val="21"/>
                <w:highlight w:val="none"/>
                <w:lang w:eastAsia="zh-CN"/>
              </w:rPr>
              <w:t>①第一还款来源（经营性现金流分析）：企业2025年实现营业收入10009.6万元，同比增长14.9%；净利润493.8万元，同比增长50.1%，净利率(待补充 净利率 近三年同比明细)，主要得益于费用有效控制及规模效应。当期经营活动净现金流为791.2万元，经营现金流/净利润为1.60，销售商品收现/营收为1.04，现金流质量健康，利润实现质量较高。应收账款周转天数同比缩短117天至271天，回款效率有所改善，但该数值仍显著高于软件信息业90-180天典型区间，主要由于项目制验收周期较长及下游客户分期结算所致。存货周转天数(待补充 存货周转天数 近三年同比明细)，远超行业30-90天区间，存货较年初增长88.0%至2192.2万元，存在积压信号，需关注其变现能力。偿债能力方面，资产负债率降至42.5%，流动比率提升至1.82倍，速动比率提升至1.51倍，短期偿债指标均有所改善，流动性压力缓解。然而，企业短期借款余额为4730.0万元，而年经营现金流为791.2万元，经营现金流对短期债务的覆盖能力有限，主要依赖应收账款回款进行滚动偿还。结合其健康的经营现金流生成能力及改善的短期偿债指标，企业第一还款来源总体稳定，但对本次授信的偿还仍将高度依赖于其营运资金的周转效率及应收账款的回收情况。</w:t>
              <w:br/>
              <w:br/>
              <w:t>②第二还款来源（抵质押物变现能力分析及其他渠道现金流分析）：根据现有材料，未发现可用于本次授信的抵质押物信息。</w:t>
            </w:r>
            <w:r>
              <w:rPr>
                <w:rFonts w:hint="eastAsia" w:ascii="宋体" w:hAnsi="宋体" w:cs="宋体"/>
                <w:snapToGrid w:val="0"/>
                <w:color w:val="FF0000"/>
                <w:kern w:val="0"/>
                <w:sz w:val="21"/>
                <w:szCs w:val="21"/>
                <w:highlight w:val="none"/>
                <w:lang w:val="en-US" w:eastAsia="zh-CN"/>
              </w:rPr>
            </w:r>
            <w:r>
              <w:rPr>
                <w:rFonts w:hint="eastAsia" w:ascii="宋体" w:hAnsi="宋体" w:cs="宋体"/>
                <w:snapToGrid w:val="0"/>
                <w:color w:val="FF0000"/>
                <w:kern w:val="0"/>
                <w:sz w:val="21"/>
                <w:szCs w:val="21"/>
                <w:highlight w:val="none"/>
                <w:lang w:eastAsia="zh-CN"/>
              </w:rPr>
            </w:r>
          </w:p>
          <w:p w14:paraId="5874C0C9">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FF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抵押物为私有房产，坐落于仓山区上渡街道通江路17号江南水都·杰座，所有权人为康恩慧、黄祖海，权属证号榕 房权证 R 字第 0838000 号，建筑面积143.45平方米。需补充该抵押物的评估报告、他项权证以明确评估价值、抵押顺位及已抵押金额。</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①保证人基本信息：福建中锐网络股份有限公司，成立于2012年1月，注册资本及实收资本均为4100万元，法定代表人黄祖海，经营地址位于福州大学国家大学科技园8号楼5层，为租用场地。</w:t>
              <w:br/>
              <w:t>②保证人化型及对公PD X级：该公司为股份有限公司。需补充保证人内部评级（PD等级）认定材料。</w:t>
              <w:br/>
              <w:t>③保证人主要经营情况：该公司主营智慧水利、智慧教育，属其他未列明信息技术服务业。2025年实现营业收入10009.6万元，同比增长14.9%；净利润493.8万元，同比增长50.1%。</w:t>
              <w:br/>
              <w:t>④保证人征信信息：银行授信业务品种为流贷、流贷加担保，授信总额4640万元，敞口提用余额4440万元。需补充对外担保余额明细及征信报告以核实不良记录。</w:t>
              <w:br/>
              <w:t>⑤主要财务指标（请填写下表）。</w:t>
              <w:br/>
              <w:t>⑥其他：需补充保证人风险信息及涉诉情况查询记录。</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color w:val="FF000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color w:val="FF000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需补充我行对福州市融资担保有限公司的审批结论（额度、风险分担比例、放大倍数、单户上限）及该担保公司最新对外担保总额、我行担保余额、净资产和担保倍率数据。</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val="en-US" w:eastAsia="zh-CN"/>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val="en-US" w:eastAsia="zh-CN"/>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val="en-US" w:eastAsia="zh-CN"/>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eastAsia="zh-CN"/>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val="en-US" w:eastAsia="zh-CN"/>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val="en-US" w:eastAsia="zh-CN"/>
              </w:rPr>
            </w:r>
            <w:r>
              <w:rPr>
                <w:rFonts w:hint="eastAsia" w:ascii="宋体" w:hAnsi="宋体" w:eastAsia="宋体" w:cs="宋体"/>
                <w:i w:val="0"/>
                <w:iCs w:val="0"/>
                <w:caps w:val="0"/>
                <w:color w:val="FF000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color w:val="FF000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color w:val="FF000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color w:val="FF0000"/>
                <w:kern w:val="0"/>
                <w:szCs w:val="21"/>
                <w:highlight w:val="none"/>
                <w:u w:val="single"/>
                <w:lang w:val="en-US" w:eastAsia="zh-CN"/>
              </w:rPr>
            </w:pPr>
            <w:r>
              <w:rPr>
                <w:rFonts w:hint="eastAsia" w:ascii="宋体" w:hAnsi="宋体" w:cs="宋体"/>
                <w:b/>
                <w:bCs/>
                <w:snapToGrid w:val="0"/>
                <w:kern w:val="0"/>
                <w:szCs w:val="21"/>
                <w:highlight w:val="none"/>
              </w:rPr>
              <w:t>- 存货较年初+88.0%,远超营收较年初增速+14.9%,存货积压信号</w:t>
              <w:br/>
              <w:t>- 短期借款4730万,年经营现金流仅791万,短贷需滚动偿还</w:t>
              <w:br/>
              <w:br/>
              <w:t>归因模板(LLM 撰写财务段时使用):</w:t>
              <w:br/>
              <w:t xml:space="preserve">  若指标超出行业区间,须在财务分析中明确标注</w:t>
              <w:br/>
              <w:t xml:space="preserve">  例:『应收周转天数271天,显著高于软件信息业90-180天典型区间,主要由于项目验收周期较长+政府客户回款账期较长』</w:t>
              <w:br/>
              <w:br/>
              <w:t>企业为存量客户，主营水利与教育信息化项目，2025年营收同比增长14.9%至10009.6万元，净利润同比增长50.1%至493.8万元，盈利能力改善。现金流方面，当期经营净现金流791.2万元，对净利润覆盖倍数1.60，销售收现比1.04，现金流质量健康。杠杆率方面，资产负债率较年初显著下降（2024末42.50% → 2025末42.5%），流动比率与速动比率分别为1.82倍、1.51倍，偿债能力指标均处行业合理区间，但短期借款4730万元需依赖经营现金流滚动偿还。可持续性方面，企业应收账款周转天数同比缩短117天至271天，但显著高于软件信息业90-180天典型区间，主要由于项目制验收周期长及政府客户回款账期较长；存货周转天数同比延长49天至129天，存货较年初增长88.0%，远超营收增速，存在项目备货或积压信号。企业现有银行授信总额4640万元，已用4440万元，融资机构分散。本次申报方案需结合其项目回款周期，合理设置额度与期限，并落实法定代表人康恩慧、黄祖海名下位于仓山区上渡街道通江路17号江南水都·杰座的私有房产抵押作为强担保措施。贷后需重点监控项目回款进度与存货变动，并补充近三年纳税申报表及主要结算账户银行流水以交叉验证经营真实性。</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color w:val="FF0000"/>
                <w:kern w:val="0"/>
                <w:szCs w:val="21"/>
                <w:highlight w:val="none"/>
                <w:lang w:eastAsia="zh-CN"/>
              </w:rPr>
            </w:r>
            <w:r>
              <w:rPr>
                <w:rFonts w:hint="eastAsia" w:ascii="宋体" w:hAnsi="宋体" w:cs="宋体"/>
                <w:b/>
                <w:bCs/>
                <w:snapToGrid w:val="0"/>
                <w:color w:val="FF0000"/>
                <w:kern w:val="0"/>
                <w:szCs w:val="21"/>
                <w:highlight w:val="none"/>
                <w:u w:val="single"/>
                <w:lang w:val="en-US" w:eastAsia="zh-CN"/>
              </w:rPr>
            </w:r>
            <w:r>
              <w:rPr>
                <w:rFonts w:hint="eastAsia" w:ascii="宋体" w:hAnsi="宋体" w:cs="宋体"/>
                <w:b/>
                <w:bCs/>
                <w:snapToGrid w:val="0"/>
                <w:color w:val="FF0000"/>
                <w:kern w:val="0"/>
                <w:szCs w:val="21"/>
                <w:highlight w:val="none"/>
                <w:u w:val="single"/>
              </w:rPr>
            </w:r>
            <w:r>
              <w:rPr>
                <w:rFonts w:hint="eastAsia" w:ascii="宋体" w:hAnsi="宋体" w:cs="宋体"/>
                <w:b/>
                <w:bCs/>
                <w:snapToGrid w:val="0"/>
                <w:color w:val="FF0000"/>
                <w:kern w:val="0"/>
                <w:szCs w:val="21"/>
                <w:highlight w:val="none"/>
                <w:u w:val="single"/>
                <w:lang w:eastAsia="zh-CN"/>
              </w:rPr>
            </w:r>
            <w:r>
              <w:rPr>
                <w:rFonts w:hint="eastAsia" w:ascii="宋体" w:hAnsi="宋体" w:cs="宋体"/>
                <w:b/>
                <w:bCs/>
                <w:snapToGrid w:val="0"/>
                <w:color w:val="FF000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现金流：借款人2025年经营活动净现金流791.2万元，经营现金流/净利润达1.60，销售商品收现/营收为1.04，现金流质量健康，净利润的现金实现程度高，为第一还款来源提供了较好保障。公司短期借款4730.0万元，年经营现金流可部分缓解偿债压力，但本金偿还仍需依赖再融资或经营积累。</w:t>
            </w:r>
            <w:r>
              <w:rPr>
                <w:rFonts w:hint="eastAsia" w:ascii="宋体" w:hAnsi="宋体" w:eastAsia="宋体" w:cs="宋体"/>
                <w:snapToGrid w:val="0"/>
                <w:color w:val="FF000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杠杆率：借款人资产负债率(待补充 资产负债率 近三年较年初明细)，处于软件信息业30-55%典型区间，主要得益于净利润积累和应付账款大幅减少（较年初下降56.0%）。流动比率1.82倍、速动比率1.51倍，均较年初提升，短期偿债能力结构有所改善。但需关注存货较年初大幅增长88.0%至2192.2万元，导致存货周转天数延长至129天，远超行业30-90天典型区间，存在存货积压风险，可能占用营运资金并影响资产流动性。</w:t>
            </w:r>
            <w:r>
              <w:rPr>
                <w:rFonts w:hint="eastAsia" w:ascii="宋体" w:hAnsi="宋体" w:eastAsia="宋体" w:cs="宋体"/>
                <w:snapToGrid w:val="0"/>
                <w:color w:val="FF000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可持续：借款人主营智慧水利与智慧教育，收入结构均衡（水利46%、教育54%）。拥有自主研发的智慧水利平台，应用于省内300余座水库，并与超1000所高校建立产学研合作，技术储备与客户基础扎实，业务持续性较好。</w:t>
            </w:r>
            <w:r>
              <w:rPr>
                <w:rFonts w:hint="eastAsia" w:ascii="宋体" w:hAnsi="宋体" w:eastAsia="宋体" w:cs="宋体"/>
                <w:snapToGrid w:val="0"/>
                <w:color w:val="FF000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color w:val="FF0000"/>
                <w:kern w:val="0"/>
                <w:szCs w:val="21"/>
                <w:highlight w:val="none"/>
                <w:u w:val="single"/>
                <w:lang w:val="en-US" w:eastAsia="zh-CN"/>
              </w:rPr>
            </w:pPr>
            <w:r>
              <w:rPr>
                <w:rFonts w:hint="eastAsia" w:ascii="宋体" w:hAnsi="宋体" w:cs="宋体"/>
                <w:b/>
                <w:bCs/>
                <w:snapToGrid w:val="0"/>
                <w:color w:val="FF0000"/>
                <w:kern w:val="0"/>
                <w:szCs w:val="21"/>
                <w:highlight w:val="none"/>
                <w:u w:val="single"/>
                <w:lang w:val="en-US" w:eastAsia="zh-CN"/>
              </w:rPr>
              <w:t>垒小户：公司现有银行授信总额4640万元，已用4440万元，涉及交通银行、海峡银行等7家机构，均为短期流贷。我行此次申请敞口额度需补充具体金额及用途说明。配结算：需补充借款人在我行历史结算流水及日均存款数据。</w:t>
            </w:r>
            <w:r>
              <w:rPr>
                <w:rFonts w:hint="eastAsia" w:ascii="宋体" w:hAnsi="宋体" w:eastAsia="宋体" w:cs="宋体"/>
                <w:b/>
                <w:bCs/>
                <w:snapToGrid w:val="0"/>
                <w:color w:val="FF0000"/>
                <w:kern w:val="0"/>
                <w:szCs w:val="21"/>
                <w:highlight w:val="none"/>
                <w:u w:val="single"/>
                <w:lang w:val="en-US" w:eastAsia="zh-CN"/>
              </w:rPr>
            </w:r>
            <w:r>
              <w:rPr>
                <w:rFonts w:hint="eastAsia" w:ascii="宋体" w:hAnsi="宋体" w:eastAsia="宋体" w:cs="宋体"/>
                <w:snapToGrid w:val="0"/>
                <w:color w:val="FF000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强担保：需补充本次申请授信的具体担保方式、抵押物及保证人信息。</w:t>
            </w:r>
            <w:r>
              <w:rPr>
                <w:rFonts w:hint="eastAsia" w:ascii="宋体" w:hAnsi="宋体" w:eastAsia="宋体" w:cs="宋体"/>
                <w:snapToGrid w:val="0"/>
                <w:color w:val="FF000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r>
            <w:r>
              <w:rPr>
                <w:rFonts w:hint="eastAsia" w:ascii="宋体" w:hAnsi="宋体" w:eastAsia="宋体" w:cs="宋体"/>
                <w:snapToGrid w:val="0"/>
                <w:color w:val="FF000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pPr>
              <w:widowControl w:val="0"/>
              <w:spacing w:line="240" w:lineRule="auto"/>
              <w:ind w:firstLine="422" w:firstLineChars="200"/>
              <w:jc w:val="both"/>
              <w:rPr>
                <w:rFonts w:hint="eastAsia" w:ascii="宋体" w:hAnsi="宋体" w:eastAsia="宋体" w:cs="宋体"/>
                <w:color w:val="FF0000"/>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color w:val="FF0000"/>
                <w:highlight w:val="none"/>
                <w:u w:val="single"/>
              </w:rPr>
              <w:t>拟申请给予</w:t>
            </w:r>
            <w:r>
              <w:rPr>
                <w:rFonts w:hint="eastAsia" w:ascii="宋体" w:hAnsi="宋体"/>
                <w:color w:val="FF0000"/>
                <w:highlight w:val="none"/>
                <w:u w:val="single"/>
                <w:lang w:val="en-US" w:eastAsia="zh-CN"/>
              </w:rPr>
              <w:t>借款人授信敞口1000万元，XXX     。</w:t>
            </w:r>
            <w:r>
              <w:rPr>
                <w:rFonts w:hint="eastAsia" w:ascii="宋体" w:hAnsi="宋体" w:cs="宋体"/>
                <w:b/>
                <w:color w:val="FF0000"/>
                <w:kern w:val="2"/>
                <w:sz w:val="21"/>
                <w:szCs w:val="21"/>
                <w:highlight w:val="none"/>
                <w:u w:val="single"/>
                <w:lang w:val="en-US" w:eastAsia="zh-CN"/>
              </w:rPr>
              <w:t xml:space="preserve"> </w:t>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6AC425A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p>
          <w:p w14:paraId="2FC82B07">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269107E9">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3096CC3B">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color w:val="FF0000"/>
                <w:kern w:val="0"/>
                <w:szCs w:val="21"/>
                <w:highlight w:val="none"/>
                <w:lang w:eastAsia="zh-CN"/>
              </w:rPr>
              <w:t>（</w:t>
            </w:r>
            <w:r>
              <w:rPr>
                <w:rFonts w:hint="eastAsia" w:ascii="宋体" w:hAnsi="宋体" w:cs="宋体"/>
                <w:b/>
                <w:bCs/>
                <w:snapToGrid w:val="0"/>
                <w:color w:val="FF0000"/>
                <w:kern w:val="0"/>
                <w:szCs w:val="21"/>
                <w:highlight w:val="none"/>
                <w:lang w:val="en-US" w:eastAsia="zh-CN"/>
              </w:rPr>
              <w:t>可另附</w:t>
            </w:r>
            <w:r>
              <w:rPr>
                <w:rFonts w:hint="eastAsia" w:ascii="宋体" w:hAnsi="宋体" w:cs="宋体"/>
                <w:b/>
                <w:bCs/>
                <w:snapToGrid w:val="0"/>
                <w:color w:val="FF000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