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 16956万元；上年度销售额 10010万元；上年度末员工人数 73 人</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市马尾区罗星东路2号海峡经贸福州保税区综合大楼15层20#。实际主营业务为智慧水利与智慧教育解决方案的研发与销售。上年度末社保人数73人；注册资本：4100万元、实收资本：4100万元；法定代表人：黄祖海。股权穿透后实际控制人为黄祖海，持股比例详见下表。最新股权结构表详见下表。过往两年企业股权结构稳定，未发生变动。</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根据材料，未提供近两年企业股权变动情况及原因。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面访时间、双方会面人员等具体信息。实控人黄祖海先生拥有超过20年的行业经验，自2000年起先后在实达网络、星网锐捷等公司担任技术及管理职务，2012年创立中锐网络并任职至今，行业经验丰富。其配偶为康恩慧。</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实地走访情况材料未提供。</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自2017年以来，我行与借款人建立授信合作关系。</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10 月 2026年01月 日，经531系统查询，借款人 2025 年 12 月   日提贷 300万元，到期日 2026 年 12 月   日，贷款采取自主支付方式发放，通过调取借款人账户流水，1. 300万元向 兴业银行-环球支行 有限公司支付 福建中锐网络股份 货款（已提供发票）；2. 300万元转至工行同户名账户，穿透查看用于向 1 个人支付采购竹刨花原料款 300万元，其余用于支付税款；3.XX万元元转至农行同户名账户(基本户），用于向37个员工支付工资款。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黄色预警提示法定代表人黄祖海目前信用卡存在逾期。综合评判，未对借款人造成实质性风险。</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湖南大学电子商务专业本科学历。行业工作经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家庭主要资产为仓山区上渡街道通江路17号江南水都·杰座房产，面积143.45平方米，所有权人为康恩慧、黄祖海。</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企业关联方主要为5家全资或控股子公司，其中福建中锐汉鼎信息技术有限公司与北京中锐青云科技有限公司有实际经营，其余子公司规模较小或处于亏损状态。福建中锐教育科技有限公司与厦门中锐软件科技有限公司财务数据存疑，待人工核实。</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主营智慧水利与智慧教育两大业务板块，其中智慧水利业务占比46%，智慧教育业务占比54%。智慧水利方面，公司提供涵盖水灾害、水工程、水资源等六大重点应用的解决方案，已应用于福建省300余座水库；智慧教育方面，公司聚焦数字人才培养，与超1000所高校及科研院所合作。</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为高新技术企业，主营智慧水利与智慧教育，产品准入门槛较高。智慧水利方面，拥有大坝安全智能监测平台等解决方案，已应用于福建省300余座水库，曾获省科技进步奖二等奖；智慧教育方面，与全国超1000所高校建立产学研合作，服务1600多家政企客户。企业依托与上下游建立的稳定合作关系经营，近三年持续投入研发，研发费用分别为895万元、1262万元和1049万元，研发人员占比稳定在44%以上。</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智慧水利与智慧教育业务，2025年水利业务销售收入占比46%，教育业务占比54%。营业收入2022/2023/2024/2025年分别为21198.0万、12130.0万、8712.0万、10010.0万，2024年触底后于2025年反弹，同比增长14.9%。外因分析-行业景气待补充（智慧水利/智慧教育行业年度市场报告）。内因分析-业务结构变化待补充（近三年分业务线收入及成本明细表）。</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commentRangeEnd w:id="4"/>
            <w:r>
              <w:rPr>
                <w:rStyle w:val="CommentReference"/>
              </w:rPr>
              <w:commentReference w:id="4"/>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网络设备及技术服务供应商，下游客户以政府水利部门及电子科技公司为主。①主要上游（前五大）：锐捷网络股份有限公司（采购额943万元）、北京星链南天科技有限公司（186万元）、广州浩瀚星图信息技术有限公司（172万元）、新天科技股份有限公司（90万元）、精导信息技术有限公司（89万元），前五大采购额合计1480万元。②主要下游（前五大）：涵江水利局（销售额1116万元）、福建省翔远电子科技有限公司（1122万元）、三明水利水电工程有限公司顺昌分公司（572万元）、福州市福清公路事业发展中心（396万元）、济南展雄电子有限公司（356万元），前五大销售额合计3562万元。③财务表现与还款能力分析：企业2025年营业收入为10010万元，同比增长14.9%；净利润为494万元，同比增长50.1%，盈利能力持续改善。毛利率为38.0%，净利率为4.9%，净利率同比变动幅度需核实(原报告数学异常)，主要得益于费用控制。偿债能力方面，资产负债率下降至42.5%，流动比率提升至1.82倍，财务结构趋于稳健，短期偿债压力有所缓解。营运效率方面，应收账款周转天数(待补充 应收账款周转天数 近三年同比明细)，但仍显著高于软件信息业90-180天典型区间，主要由于智慧水利项目验收周期长及政府客户回款账期较长；存货周转天数(待补充 存货周转天数 近三年同比明细)，高于行业30-90天典型区间，存货较年初增长88.0%，需关注项目成本沉淀及存货积压对流动性的影响。综合来看，企业盈利增长、负债率下降有利于长期还款能力，但较长的应收款账期及快速增长的存货占用了营运资金，对短期现金流形成一定压力。</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材料未提供最新在手订单明细。</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r>
              <w:t>收入下滑趋势在2025年得到扭转并恢复增长，同时毛利率在经历波动后于近两年稳定在较高水平，但整体盈利能力的稳定性有待观察。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企业年报是否审计及审计结论（若涉及审计事务所变动请说明原因），借款人近三年财务数据，其中2023、2024、2025年报均由福建华兴会计师事务所（特殊普通合伙）审计并出具无保留意见。整体财务表现分析：</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2025年，借款人营业收入为10010万元，同比增长14.9%；净利润为494万元，同比增长50.1%，盈利能力显著改善。毛利率为38.0%，同比微降0.8个百分点；净利率为4.9%(同比变动幅度需核实,原报告数学异常)，显示费用控制或收入结构优化取得成效。偿债能力方面，资产负债率降至42.5%（较年初下降7.7个百分点），流动比率提升至1.82倍（较年初提升0.24倍），偿债压力有所缓解，对保障银行信贷资金安全构成正面支撑。营运效率呈现分化：应收账款周转天数同比缩短117天至271天，回款管理加强；但存货周转天数同比延长49天至129天，存货积压需关注。经营活动净现金流为791万元，覆盖净利润倍数达1.60，现金流质量健康。</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9253万元，主要构成及趋势变动情况： 根据2024年审计报告，应收账款为92525439.61元，主要构成应为智慧水利及智慧教育业务形成的应收款项。智慧水利行业应收账款周转天数典型范围为180-360天，公司业务以政府及国企项目为主，结算周期较长，应收账款规模较大符合行业特点。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2774万元，主要构成及趋势变动情况： 2025年末其他应收款为2774万元，较2024年末的3522万元下降21.2%，呈回落趋势。该科目在2023年曾大幅增长至3621万元，目前虽有所压降，但绝对规模仍高于2022年水平。</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（3）存货 3522万元，主要构成及趋势变动情况： 根据2024年审计报告，存货为35222276.59元。主要构成为未验收项目的成本沉淀（如硬件设备、未完工项目成本）。智慧水利项目验收周期长（12-24个月），导致存货周转较慢，符合行业特点。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3123万元，主要构成及趋势变动情况： 企业长期投资呈持续增长趋势，2025年末达3123万元，较2024年末的2518万元增长605万元，增幅为24.0%。该科目自2022年以来累计增长90.0%，显示企业对外投资扩张意愿较强。</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6354万元，主要构成及趋势变动情况： 根据2024年审计报告，应付账款为63535435.07元。主要构成应为向上游供应商（如锐捷网络等）采购硬件设备及技术服务形成的应付款项。公司采购付款采用预付款和账期款方式，主要供应商给予较优越的信用账期。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2025年末其他应付款为168万元，较2024年末的648万元大幅下降480万元，降幅达74.1%。该科目余额已回落至接近2023年水平，显示企业对外部非经营性往来款项的偿付压力显著减轻。</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与智慧教育。根据材料，2025年营收为1010万元。收入变动主要受国家政策驱动：智慧水利方面，受益于'十四五'水安全保障规划及2023年增发国债水利项目（约5000亿投向水利），订单能见度拉长至2-3年；智慧教育方面，受益于教育新基建、'双减'政策及职业教育高质量发展等政策，但校内项目预算趋紧，竞争激烈。企业下游客户包括涵江水利局、福建省翔远电子科技有限公司等，前五大客户合计销售额3562万元，业务结构稳定。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盈利能力受行业特性及子公司经营状况影响。行业层面，智慧水利典型净利率为4-10%，智慧教育为3-12%，但项目回款周期长（智慧水利应收周转180-360天），对现金流和利润实现构成压力。企业层面，主要关联子公司经营不佳：福建中锐汉鼎信息技术有限公司（智慧水利）上年净亏损682万元；福建中锐教育科技有限公司（智慧教育）上年净亏损1275万元（数据需核实）。这些子公司的亏损可能通过合并报表影响整体盈利水平。同时，企业持续保持较高研发投入（2025年研发费用1049万元，占比10.5%），短期内增加成本，长期有助于维持核心竞争力。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其他应收款期末余额为2774万元，较年初的3522万元下降21.2%；存货余额为2192万元，较年初的1166万元大幅增长88.0%。由于材料中未提供2022至2024年相关数据，无法进行更长期的趋势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恶化。尽管流动比率有所改善且资产负债率呈下降趋势，但核心流动性指标的大幅下滑表明企业即期支付能力存在严重隐患。偿债能力由杠杆水平与流动性共同决定，需同步观察资产负债率和短债覆盖能力。</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1）应收账款7430万元，主要构成及趋势变动情况：应收账款2023/2024/2025年分别为7430万元、9253万元、7430万元，呈现先升后降走势。2025年末较年初下降19.7%，主要由于公司加强回款管理，应收账款周转天数同比缩短117天至271天，但仍显著高于软件信息业90-180天典型区间，主要由于智慧水利、智慧教育等政府及大B客户项目验收及回款周期较长(据材料:智慧水利应收账款周转天数_typical_range: 180-360 天)。</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 xml:space="preserve">最近三年现金流量表分析：  材料中未提供完整的近三年现金流量表具体数据。根据行业卡片信息，智慧水利与智慧教育行业普遍存在项目周期长、回款慢的特点，导致经营性现金流/净利润比值通常较低（同业中位数&lt;0.5）。企业2025年现金流量表片段显示'销售商品、提供劳务收到的现金'为103852568.95元。结合其融资情况（8笔授信合计5640万元，已用4440万元），推测企业经营活动可能需依赖外部融资补充现金流。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应收账款周转效率持续恶化，回款能力显著下降。存货管理波动剧烈，存在库存积压风险。运营效率需重点跟踪应收账款周转与收入扩张的匹配程度。</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经营现金流波动剧烈且整体偏弱，呈现间歇性正负交替，表明主营业务造血能力不稳定。公司持续依赖外部融资支持投资活动，但筹资活动净流入呈收缩趋势，2025年转为净流出，显示融资环境趋紧。现金流结构显示企业仍处于投资扩张阶段，但经营现金流的脆弱性可能对长期偿债能力构成压力。</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当前已触发硬阈值预警：应收账款周转天数超过180天，回款风险偏高。</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commentRangeStart w:id="5"/>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截至2025年12月31日，公司各行贷款余额合计4730万元，均为短期流动资金贷款，五级分类情况待补充。无对外担保、无被追偿记录。</w:t>
            </w:r>
            <w:commentRangeEnd w:id="5"/>
            <w:r>
              <w:rPr>
                <w:rStyle w:val="CommentReference"/>
              </w:rPr>
              <w:commentReference w:id="5"/>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根据融资清单，企业现有8笔授信均为流动资金贷款，期限均在1-2年，未发现明确的中长期借款。所有贷款担保方式主要为实际控制人黄祖海及陈其俤个人保证，部分由关联企业（如中锐汉鼎）及担保公司提供担保。还款资金预计主要来源于企业经营回款。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材料中未提及企业存在不良信用记录。 </w:t>
            </w:r>
          </w:p>
          <w:p w14:paraId="0BD0E5B0">
            <w:commentRangeStart w:i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截至2025年7月23日，查询信用报告，黄祖海名下有未结清贷款账户1笔，余额1000万元，为中行个人经营贷款，经营主体为一家有限公司，有未销户信用卡账户1笔，余额0元。全部未结清贷款估算下月应还款额0元，贷记卡最近6个月平均使用额度27元，准贷记卡最近6个月平均透支余额0元；承担担保责任账户有1笔，承担共同还款责任账户有0笔，余额1000万元，为一家有限公司担保。根据预警规则的后台计算，客户近5年贷款累计逾期期数为1期，其中逾期金额小于等于500元的期数为0；客户近5年贷款连续逾期期数为1期，其中连续逾期小于等于500元的期数为0，经反馈，为遗忘导致，现已结清。</w:t>
              <w:br/>
              <w:br/>
              <w:t>财务分析：</w:t>
              <w:br/>
              <w:t>根据借款人单体报表，2025年公司营业收入为10010万元，同比增长14.9%；净利润为494万元，同比增长50.1%，显示业务规模与盈利水平同步提升。盈利能力方面，毛利率为38.0%，同比下降0.8个百分点；净利率为4.9%，同比上升1.2个百分点；营业利润率为4.8%，同比上升0.2个百分点。净利率提升主要得益于费用控制得当及营收增长带来的规模效应。偿债能力指标改善，资产负债率为42.5%，较年初下降7.7个百分点；流动比率为1.82倍，较年初提升0.24倍；速动比率为1.51倍，较年初提升0.06倍，表明公司财务结构趋于稳健，短期偿债压力有所缓解。营运效率呈现分化：应收账款周转天数为271天，同比缩短117天，回款效率显著改善；但存货周转天数为129天，同比延长49天，且显著高于软件信息业30-90天的典型区间，主要由于定制化项目未验收沉淀为存货或硬件集成类业务备货周期较长，存在存货积压信号。现金流方面，当期经营活动净现金流为791万元，经营现金流/净利润为1.60，销售商品收现/营收为1.04，均处于健康或正常水平，主营业务回款质量良好。综合来看，公司盈利增长、偿债能力增强且现金流健康，为还款提供了基础保障，但需关注存货周转效率下降对流动性的潜在影响。</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7"/>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康恩慧，中国国籍，1978年生。</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企业符合科技型企业特征：1. 主营业务为智慧水利与智慧教育，属于信息技术服务业；2. 研发投入持续较高，近三年研发费用占比分别为7.4%、14.5%、10.5%，研发人员占比分别为44%、49%、53%；3. 拥有自主研发的智慧水利平台解决方案并获省级科技奖项。根据我行评分标准，可给予较高评分。 </w:t>
            </w:r>
            <w:r>
              <w:rPr>
                <w:rFonts w:hint="eastAsia" w:ascii="宋体" w:hAnsi="宋体" w:eastAsia="宋体" w:cs="宋体"/>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科技型企业类型：科技型中小企业；高新技术企业；创新型中小企业；“专精特新”中小企业；专精特新“小巨人”企业；制造业单项冠军企业；国家技术创新示范企业，需补充相关资质证书。</w:t>
              <w:br/>
              <w:t>科技型企业评分：需补充科技型企业评分报告。</w:t>
              <w:br/>
              <w:t>核心研发人员享有股权激励。</w:t>
              <w:br/>
              <w:t>近三年研发投入占比及研发人员占比详见下表。</w:t>
              <w:br/>
              <w:t>企业拥有发明专利、实用专利情况，权属清晰，不存在瑕疵及涉诉情况，具体情况如下表所示：</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借款人目前经营性现金流状况整体较好，当期经营活动净现金流791万元，但账上货币资金仅286万元。应收账款周转天数271天，虽同比改善但仍处于智慧水利行业180-360天的典型区间高位，下游回款较慢；存货周转天数129天，同比延长且存货较年初大幅增长88%至2192万元，前端备货占用资金。结合智慧水利行业订单-回款错位放大的趋势，企业对营运资金需求较大，故需申请贷款用于补充流动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材料中未明确提及本次申请中期流动资金贷款。企业现有授信均为短期流贷。若申请中期流贷，原因可能包括：1. 行业项目周期长：智慧水利项目验收周期12-24个月，资金占用时间长；2. 匹配经营周期：企业业务受政策驱动，订单能见度拉长，需要更稳定的中期资金支持项目执行与垫资；3. 优化债务结构：用期限较长的贷款置换部分短期债务，缓解集中到期压力。 </w:t>
            </w:r>
            <w:r>
              <w:rPr>
                <w:rFonts w:hint="eastAsia" w:ascii="宋体" w:hAnsi="宋体" w:cs="宋体"/>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commentRangeStart w:id="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根据流动资金需求测算，企业营运资金需求：         万元（请附（材料未提供）系统测算表截图）</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commentRangeEnd w:id="8"/>
            <w:r>
              <w:rPr>
                <w:rStyle w:val="CommentReference"/>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材料中未提供具体的流动资金贷款需求测算过程及数据调整说明。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第一还款来源为企业经营产生的现金流。优势：1. 行业前景向好，受益于国家水利、教育领域持续投资政策；2. 企业有一定核心技术（智慧水利平台获省级奖项）和客户基础（前五大客户销售额3562万元）。风险：1. 行业回款慢：智慧水利应收周转180-360天，依赖地方财政，存在回款延迟风险；2. 子公司亏损：主要子公司中锐汉鼎、中锐教育科技亏损严重，可能侵蚀母公司利润与现金流；3. 现金流紧张：企业已使用大量银行授信（4440万元），经营性现金流可能不足以覆盖债务本息，对融资依赖度高。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第二还款来源分析：1. 抵质押物：材料中仅列出一项私有房产（仓山区上渡街道通江路17号江南水都·杰座，所有权人康恩慧、黄祖海），但未提供评估价及抵押状态，变现能力取决于市场价值及是否已抵押。2. 保证担保：现有授信主要由实际控制人黄祖海及陈其俤个人提供连带责任保证，并有关联企业（如中锐汉鼎）及福州市融资担保有限公司等机构担保，增强了第二还款来源的保障。但需关注保证人的代偿能力。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9"/>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9"/>
            <w:r>
              <w:rPr>
                <w:rStyle w:val="CommentReference"/>
              </w:rPr>
              <w:commentReference w:id="9"/>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抵押物为个人私有房产，位于仓山区上渡街道通江路17号江南水都·杰座，面积143.45平方米，权属人为康恩慧、黄祖海。</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主要为借款人全资或控股的关联企业，包括福建中锐汉鼎信息技术有限公司、福建中锐教育科技有限公司、北京中锐青云科技有限公司、厦门中锐软件科技有限公司及中锐海沃水利技术(福建)有限公司。各保证人主营业务分别为智慧水利、智慧教育、产教融合创新服务及软硬件销售。其中，福建中锐汉鼎信息技术有限公司上年营收1223万，净亏损682万；北京中锐青云科技有限公司上年营收204万，净利润16万；福建中锐教育科技有限公司与厦门中锐软件科技有限公司财务数据存疑，待人工核实；中锐海沃水利技术(福建)有限公司上年无主营业务收入，净利润规模极小。保证人对公PD等级、银行授信明细、对外担保余额、征信不良记录及涉诉风险信息均未提供，需补充各保证人征信报告及涉诉查询记录。主要财务指标详见下表。</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commentRangeStart w:id="1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本次担保涉及福州市融资担保有限公司。我行对该担保公司的内部审批结论（额度、风险分担比例、放大倍数、单户上限）未提供。截至上报日，该担保公司对外担保总额、在我行担保余额、净资产及担保倍率等关键准入数据均未提供，需补充担保公司最新审计报告及在我行担保台账。本次担保是否符合准入要求待补充材料后复核。</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commentRangeEnd w:id="10"/>
            <w:r>
              <w:rPr>
                <w:rStyle w:val="CommentReference"/>
              </w:rPr>
              <w:commentReference w:id="10"/>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commentRangeStart w:id="11"/>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（十一）经营单位授信申报结论及方案：（围绕“现金流、杠杆率、可持续、垒小户、配结算、强担保”六要素展开 ，基于“六要素”综合评判客户是否准入，如何设置合理授信方案及贷后管控措施）</w:t>
              <w:br/>
              <w:t>现金流方面，企业2025年经营活动净现金流791万元，经营现金流/净利润为1.60，覆盖倍数健康，销售商品收现/营收为1.04，回款质量正常。杠杆率方面，资产负债率（待补充资产负债率近三年较年初明细），处于智慧水利行业40-60%及智慧教育行业35-55%的典型区间内，流动比率1.82倍、速动比率1.51倍，短期偿债能力指标均较年初有所改善。可持续性方面，营业收入2022/2023/2024/2025年分别为21198.0万、12130.0万、8712.0万、10010.0万，2024年触底后于2025年同比增长14.9%至10010.0万；净利润分别为983.0万、393.0万、329.0万、494.0万，2025年同比增长50.1%至494万元，盈利能力改善。但需关注存货较年初增长88.0%至2192万元，周转天数较年初延长49天至129天，存在积压信号。垒小户方面，企业为存量客户，现有授信合计5640万元，已使用4440万元，涉及8家金融机构，融资渠道分散。配结算方面，企业主要下游客户为涵江水利局、福建省翔远电子科技有限公司等，前五大客户合计销售额3562万元，客户结构以政府及企事业单位为主。强担保方面，实际控制人黄祖海及其配偶康恩慧名下拥有仓山区上渡街道通江路17号江南水都·杰座房产，可作为增信资源；但关联企业中锐汉鼎上年净亏损682万，中锐教育及中锐软件财务数据存疑，待人工核实，需关注关联风险传导。</w:t>
              <w:br/>
              <w:t>本次申报授信方案待补充，需补充申报授信金额、品种、期限、用途、担保方式、还款来源、定价方案及贷后管控措施等具体材料。</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commentRangeEnd w:id="11"/>
            <w:r>
              <w:rPr>
                <w:rStyle w:val="CommentReference"/>
              </w:rPr>
              <w:commentReference w:id="11"/>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现金流：借款人2025年经营活动净现金流791万元，经营现金流/净利润1.60，销售商品收现/营收1.04，现金流质量健康。公司短期借款4730万元，年经营现金流791万元，短贷需滚动偿还。</w:t>
            </w:r>
            <w:r>
              <w:rPr>
                <w:rFonts w:hint="eastAsia" w:ascii="宋体" w:hAnsi="宋体" w:eastAsia="宋体" w:cs="宋体"/>
                <w:snapToGrid w:val="0"/>
                <w:kern w:val="0"/>
                <w:szCs w:val="21"/>
                <w:highlight w:val="none"/>
                <w:u w:val="single"/>
                <w:lang w:val="en-US" w:eastAsia="zh-CN"/>
              </w:rPr>
            </w:r>
          </w:p>
          <w:p w14:paraId="4FF78978">
            <w:commentRangeStart w:id="1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杠杆率：借款人资产负债率(待补充 资产负债率 近三年较年初明细)，流动比率(待补充 流动比率 近三年较年初明细)，速动比率(待补充 速动比率 近三年较年初明细)，偿债能力改善，杠杆水平处于智慧水利行业40-60%及智慧教育行业35-55%的典型区间内。</w:t>
            </w:r>
            <w:r>
              <w:rPr>
                <w:rFonts w:hint="eastAsia" w:ascii="宋体" w:hAnsi="宋体" w:eastAsia="宋体" w:cs="宋体"/>
                <w:snapToGrid w:val="0"/>
                <w:kern w:val="0"/>
                <w:szCs w:val="21"/>
                <w:highlight w:val="none"/>
                <w:u w:val="single"/>
                <w:lang w:val="en-US" w:eastAsia="zh-CN"/>
              </w:rPr>
            </w:r>
            <w:commentRangeEnd w:id="12"/>
            <w:r>
              <w:rPr>
                <w:rStyle w:val="CommentReference"/>
              </w:rPr>
              <w:commentReference w:id="12"/>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财务表现：借款人2025年营业收入为10010万元，同比增长14.9%；净利润为494万元，同比增长50.1%，盈利能力显著改善。毛利率为38.0%，同比下降0.8个百分点；净利率为4.9%，同比上升1.2个百分点，成本费用控制能力增强。营运效率方面，应收账款周转天数为271天，同比缩短117天，回款效率大幅提升，但仍显著高于软件信息业90-180天典型区间，主要由于项目验收周期较长及政府客户回款账期较长；存货周转天数为129天，同比延长49天，且存货较年初增长88.0%，远超营收增速，存在积压风险，周转效率低于智慧教育行业30-90天典型区间，主要因定制化项目未验收沉淀为存货。综合来看，公司盈利与偿债指标改善，但营运资金占用（特别是存货）增加，对短期流动性形成一定压力，其还款能力主要依赖于经营现金流的持续生成及应收账款的及时回收。</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t>可持续：借款人营业收入2022/2023/2024/2025年分别为21198.0万、12130.0万、8712.0万、10010.0万，2024触底后反弹；净利润分别为983.0万、393.0万、329.0万、494.0万，同步反弹。公司近三年持续投入研发，2023-2025年研发费用分别为895万、1262万、1049万，技术可持续性较强。</w:t>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垒小户：该公司现有合作银行8家，总授信5640万元，已用4440万元。我行此次申请敞口额度，需补充本次申请敞口额度及用途说明。公司名下无房产，现有固定资产主要为生产设备。主要下游客户为水利局及科技公司，客户结构稳定。</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配结算：借款人为我行存量客户，需补充其在我行近一年结算流水及日均存款数据。</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强担保：该公司名下无房产，他行贷款多由实控人黄祖海及关联方提供保证。我行此次申请授信敞口，需补充本次申请敞口额度及担保方案，其中可抵押资产为实控人配偶康恩慧与黄祖海共有的私有房产一处。</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3"/>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3"/>
            <w:r>
              <w:rPr>
                <w:rStyle w:val="CommentReference"/>
              </w:rPr>
              <w:commentReference w:id="13"/>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6AC425A6">
            <w:commentRangeStart w:id="1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5"/>
            <w:r>
              <w:rPr>
                <w:rStyle w:val="CommentReference"/>
              </w:rPr>
              <w:commentReference w:id="15"/>
            </w:r>
          </w:p>
          <w:p w14:paraId="2FC82B07">
            <w:commentRangeStart w:id="16"/>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269107E9">
            <w:commentRangeStart w:id="17"/>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3096CC3B">
            <w:commentRangeStart w:id="18"/>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0"/>
            <w:r>
              <w:rPr>
                <w:rStyle w:val="CommentReference"/>
              </w:rPr>
              <w:commentReference w:id="20"/>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8:53:06Z" w:initials="Agent">
    <w:p>
      <w:r>
        <w:rPr>
          <w:rStyle w:val="CommentReference"/>
        </w:rPr>
        <w:annotationRef/>
      </w:r>
      <w:r>
        <w:t xml:space="preserve">该处“申报单位”仍为空白，请人工确认。</w:t>
      </w:r>
    </w:p>
  </w:comment>
  <w:comment w:id="1" w:author="信贷报告 Agent" w:date="2026-04-15T18:53:06Z" w:initials="Agent">
    <w:p>
      <w:r>
        <w:rPr>
          <w:rStyle w:val="CommentReference"/>
        </w:rPr>
        <w:annotationRef/>
      </w:r>
      <w:r>
        <w:t xml:space="preserve">该处“小类）”仍为空白，请人工确认。</w:t>
      </w:r>
    </w:p>
  </w:comment>
  <w:comment w:id="2" w:author="信贷报告 Agent" w:date="2026-04-15T18:53:06Z" w:initials="Agent">
    <w:p>
      <w:r>
        <w:rPr>
          <w:rStyle w:val="CommentReference"/>
        </w:rPr>
        <w:annotationRef/>
      </w:r>
      <w:r>
        <w:t xml:space="preserve">该处“绿通标识”仍为空白，请人工确认。</w:t>
      </w:r>
    </w:p>
  </w:comment>
  <w:comment w:id="3" w:author="信贷报告 Agent" w:date="2026-04-15T18:53:06Z" w:initials="Agent">
    <w:p>
      <w:r>
        <w:rPr>
          <w:rStyle w:val="CommentReference"/>
        </w:rPr>
        <w:annotationRef/>
      </w:r>
      <w:r>
        <w:t xml:space="preserve">该处“分析原因”仍为空白，请人工确认。</w:t>
      </w:r>
    </w:p>
  </w:comment>
  <w:comment w:id="4" w:author="信贷报告 Agent" w:date="2026-04-15T18:53:06Z" w:initials="Agent">
    <w:p>
      <w:r>
        <w:rPr>
          <w:rStyle w:val="CommentReference"/>
        </w:rPr>
        <w:annotationRef/>
      </w:r>
      <w:r>
        <w:t xml:space="preserve">该处“公司主营智慧水利与智慧教育业务，2025年水利业务销售收入占”仍为待补充，请人工补充。</w:t>
      </w:r>
    </w:p>
  </w:comment>
  <w:comment w:id="5" w:author="信贷报告 Agent" w:date="2026-04-15T18:53:06Z" w:initials="Agent">
    <w:p>
      <w:r>
        <w:rPr>
          <w:rStyle w:val="CommentReference"/>
        </w:rPr>
        <w:annotationRef/>
      </w:r>
      <w:r>
        <w:t xml:space="preserve">该处“截至2025年12月31日，公司各行贷款余额合计4730万元”仍为待补充，请人工补充。</w:t>
      </w:r>
    </w:p>
  </w:comment>
  <w:comment w:id="6" w:author="信贷报告 Agent" w:date="2026-04-15T18:53:06Z" w:initials="Agent">
    <w:p>
      <w:r>
        <w:rPr>
          <w:rStyle w:val="CommentReference"/>
        </w:rPr>
        <w:annotationRef/>
      </w:r>
      <w:r>
        <w:t xml:space="preserve">该处“（若有）对外担保情况”仍为空白，请人工确认。</w:t>
      </w:r>
    </w:p>
  </w:comment>
  <w:comment w:id="7" w:author="信贷报告 Agent" w:date="2026-04-15T18:53:06Z" w:initials="Agent">
    <w:p>
      <w:r>
        <w:rPr>
          <w:rStyle w:val="CommentReference"/>
        </w:rPr>
        <w:annotationRef/>
      </w:r>
      <w:r>
        <w:t xml:space="preserve">该处“为中行个人经营贷款，经营主体为”仍为模板占位符，请人工核实。</w:t>
      </w:r>
    </w:p>
  </w:comment>
  <w:comment w:id="8" w:author="信贷报告 Agent" w:date="2026-04-15T18:53:06Z" w:initials="Agent">
    <w:p>
      <w:r>
        <w:rPr>
          <w:rStyle w:val="CommentReference"/>
        </w:rPr>
        <w:annotationRef/>
      </w:r>
      <w:r>
        <w:t xml:space="preserve">该处“万元（请附”仍为空白，请人工确认。；该处“企业营运资金需求”仍为空白，请人工确认。</w:t>
      </w:r>
    </w:p>
  </w:comment>
  <w:comment w:id="9" w:author="信贷报告 Agent" w:date="2026-04-15T18:53:06Z" w:initials="Agent">
    <w:p>
      <w:r>
        <w:rPr>
          <w:rStyle w:val="CommentReference"/>
        </w:rPr>
        <w:annotationRef/>
      </w:r>
      <w:r>
        <w:t xml:space="preserve">该处“变动原因”仍为空白，请人工确认。</w:t>
      </w:r>
    </w:p>
  </w:comment>
  <w:comment w:id="10" w:author="信贷报告 Agent" w:date="2026-04-15T18:53:06Z" w:initials="Agent">
    <w:p>
      <w:r>
        <w:rPr>
          <w:rStyle w:val="CommentReference"/>
        </w:rPr>
        <w:annotationRef/>
      </w:r>
      <w:r>
        <w:t xml:space="preserve">该处“本次担保涉及福州市融资担保有限公司。我行对该担保公司的内部审”仍为待补充，请人工补充。</w:t>
      </w:r>
    </w:p>
  </w:comment>
  <w:comment w:id="11" w:author="信贷报告 Agent" w:date="2026-04-15T18:53:06Z" w:initials="Agent">
    <w:p>
      <w:r>
        <w:rPr>
          <w:rStyle w:val="CommentReference"/>
        </w:rPr>
        <w:annotationRef/>
      </w:r>
      <w:r>
        <w:t xml:space="preserve">该处“（十一）经营单位授信申报结论及方案：（围绕“现金流、杠杆率、”仍为待补充，请人工补充。</w:t>
      </w:r>
    </w:p>
  </w:comment>
  <w:comment w:id="12" w:author="信贷报告 Agent" w:date="2026-04-15T18:53:06Z" w:initials="Agent">
    <w:p>
      <w:r>
        <w:rPr>
          <w:rStyle w:val="CommentReference"/>
        </w:rPr>
        <w:annotationRef/>
      </w:r>
      <w:r>
        <w:t xml:space="preserve">该处“杠杆率：借款人资产负债率(待补充 资产负债率 近三年较年初明”仍为待补充，请人工补充。</w:t>
      </w:r>
    </w:p>
  </w:comment>
  <w:comment w:id="13" w:author="信贷报告 Agent" w:date="2026-04-15T18:53:06Z" w:initials="Agent">
    <w:p>
      <w:r>
        <w:rPr>
          <w:rStyle w:val="CommentReference"/>
        </w:rPr>
        <w:annotationRef/>
      </w:r>
      <w:r>
        <w:t xml:space="preserve">该处“予借款人授信敞口1000万元，”仍为模板占位符，请人工核实。</w:t>
      </w:r>
    </w:p>
  </w:comment>
  <w:comment w:id="14" w:author="信贷报告 Agent" w:date="2026-04-15T18:53:06Z" w:initials="Agent">
    <w:p>
      <w:r>
        <w:rPr>
          <w:rStyle w:val="CommentReference"/>
        </w:rPr>
        <w:annotationRef/>
      </w:r>
      <w:r>
        <w:t xml:space="preserve">该处“客户经理”仍为空白，请人工确认。</w:t>
      </w:r>
    </w:p>
  </w:comment>
  <w:comment w:id="15" w:author="信贷报告 Agent" w:date="2026-04-15T18:53:06Z" w:initials="Agent">
    <w:p>
      <w:r>
        <w:rPr>
          <w:rStyle w:val="CommentReference"/>
        </w:rPr>
        <w:annotationRef/>
      </w:r>
      <w:r>
        <w:t xml:space="preserve">该处“共同调查人”仍为空白，请人工确认。</w:t>
      </w:r>
    </w:p>
  </w:comment>
  <w:comment w:id="16" w:author="信贷报告 Agent" w:date="2026-04-15T18:53:06Z" w:initials="Agent">
    <w:p>
      <w:r>
        <w:rPr>
          <w:rStyle w:val="CommentReference"/>
        </w:rPr>
        <w:annotationRef/>
      </w:r>
      <w:r>
        <w:t xml:space="preserve">该处“二级支行行长”仍为空白，请人工确认。</w:t>
      </w:r>
    </w:p>
  </w:comment>
  <w:comment w:id="17" w:author="信贷报告 Agent" w:date="2026-04-15T18:53:06Z" w:initials="Agent">
    <w:p>
      <w:r>
        <w:rPr>
          <w:rStyle w:val="CommentReference"/>
        </w:rPr>
        <w:annotationRef/>
      </w:r>
      <w:r>
        <w:t xml:space="preserve">该处“分管行长”仍为空白，请人工确认。</w:t>
      </w:r>
    </w:p>
  </w:comment>
  <w:comment w:id="18" w:author="信贷报告 Agent" w:date="2026-04-15T18:53:06Z" w:initials="Agent">
    <w:p>
      <w:r>
        <w:rPr>
          <w:rStyle w:val="CommentReference"/>
        </w:rPr>
        <w:annotationRef/>
      </w:r>
      <w:r>
        <w:t xml:space="preserve">该处“行长”仍为空白，请人工确认。</w:t>
      </w:r>
    </w:p>
  </w:comment>
  <w:comment w:id="19" w:author="信贷报告 Agent" w:date="2026-04-15T18:53:06Z" w:initials="Agent">
    <w:p>
      <w:r>
        <w:rPr>
          <w:rStyle w:val="CommentReference"/>
        </w:rPr>
        <w:annotationRef/>
      </w:r>
      <w:r>
        <w:t xml:space="preserve">该处“审查员”仍为空白，请人工确认。</w:t>
      </w:r>
    </w:p>
  </w:comment>
  <w:comment w:id="20" w:author="信贷报告 Agent" w:date="2026-04-15T18:53:06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