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 w:val="32"/>
                <w:szCs w:val="32"/>
                <w:lang w:eastAsia="zh-CN"/>
              </w:rPr>
              <w:t>福建省分行普惠法人授信申报及审查审批意见表（2025新版）</w:t>
            </w:r>
            <w:r>
              <w:rPr>
                <w:rFonts w:hint="eastAsia" w:ascii="宋体" w:hAnsi="宋体" w:cs="宋体"/>
                <w:snapToGrid w:val="0"/>
                <w:color w:val="000000"/>
                <w:kern w:val="0"/>
                <w:sz w:val="32"/>
                <w:szCs w:val="32"/>
              </w:rPr>
            </w:r>
            <w:r>
              <w:rPr>
                <w:rFonts w:hint="eastAsia" w:ascii="宋体" w:hAnsi="宋体" w:cs="宋体"/>
                <w:snapToGrid w:val="0"/>
                <w:color w:val="000000"/>
                <w:kern w:val="0"/>
                <w:sz w:val="32"/>
                <w:szCs w:val="32"/>
                <w:lang w:val="en-US" w:eastAsia="zh-CN"/>
              </w:rPr>
            </w:r>
            <w:r>
              <w:rPr>
                <w:rFonts w:hint="eastAsia" w:ascii="宋体" w:hAnsi="宋体" w:cs="宋体"/>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kern w:val="0"/>
                <w:sz w:val="21"/>
                <w:szCs w:val="21"/>
                <w:highlight w:val="none"/>
                <w:lang w:val="en-US" w:eastAsia="zh-CN" w:bidi="ar-SA"/>
              </w:rPr>
              <w:t>客户名称：</w:t>
            </w:r>
            <w:r>
              <w:rPr>
                <w:rFonts w:hint="eastAsia" w:ascii="宋体" w:hAnsi="宋体" w:cs="宋体"/>
                <w:snapToGrid w:val="0"/>
                <w:color w:val="000000"/>
                <w:kern w:val="0"/>
                <w:szCs w:val="21"/>
              </w:rPr>
              <w:t xml:space="preserve"> 福建经纬数字科技信息有限公司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sz w:val="21"/>
                <w:szCs w:val="21"/>
                <w:highlight w:val="none"/>
                <w:lang w:val="en-US" w:eastAsia="zh-CN"/>
              </w:rPr>
              <w:t>申报单位：客户经理：联系电话：</w:t>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rPr>
            </w:r>
            <w:r>
              <w:rPr>
                <w:rFonts w:hint="eastAsia" w:ascii="宋体" w:hAnsi="宋体" w:eastAsia="宋体" w:cs="宋体"/>
                <w:sz w:val="21"/>
                <w:szCs w:val="21"/>
                <w:highlight w:val="none"/>
                <w:lang w:val="en-US" w:eastAsia="zh-CN"/>
              </w:rPr>
            </w:r>
            <w:r>
              <w:rPr>
                <w:rFonts w:hint="eastAsia" w:ascii="宋体" w:hAnsi="宋体" w:eastAsia="宋体" w:cs="宋体"/>
                <w:sz w:val="21"/>
                <w:szCs w:val="21"/>
                <w:highlight w:val="none"/>
              </w:rPr>
            </w:r>
            <w:r>
              <w:rPr>
                <w:rFonts w:hint="eastAsia" w:ascii="宋体" w:hAnsi="宋体" w:eastAsia="宋体" w:cs="宋体"/>
                <w:i w:val="0"/>
                <w:iCs w:val="0"/>
                <w:sz w:val="21"/>
                <w:szCs w:val="21"/>
                <w:highlight w:val="none"/>
              </w:rPr>
            </w:r>
            <w:r>
              <w:rPr>
                <w:rFonts w:hint="eastAsia" w:ascii="宋体" w:hAnsi="宋体" w:eastAsia="宋体" w:cs="宋体"/>
                <w:i w:val="0"/>
                <w:iCs w:val="0"/>
                <w:sz w:val="21"/>
                <w:szCs w:val="21"/>
                <w:highlight w:val="none"/>
                <w:lang w:eastAsia="zh-CN"/>
              </w:rPr>
            </w:r>
            <w:r>
              <w:rPr>
                <w:rFonts w:hint="eastAsia" w:ascii="宋体" w:hAnsi="宋体" w:eastAsia="宋体" w:cs="宋体"/>
                <w:i w:val="0"/>
                <w:iCs w:val="0"/>
                <w:sz w:val="21"/>
                <w:szCs w:val="21"/>
                <w:highlight w:val="none"/>
                <w:lang w:val="en-US" w:eastAsia="zh-CN"/>
              </w:rPr>
            </w:r>
            <w:r>
              <w:rPr>
                <w:rFonts w:hint="eastAsia" w:ascii="宋体" w:hAnsi="宋体" w:eastAsia="宋体" w:cs="宋体"/>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rPr>
              <w:t>授信</w:t>
            </w:r>
            <w:r>
              <w:rPr>
                <w:rFonts w:hint="eastAsia" w:ascii="宋体" w:hAnsi="宋体" w:cs="宋体"/>
                <w:bCs/>
                <w:snapToGrid w:val="0"/>
                <w:kern w:val="0"/>
                <w:szCs w:val="21"/>
                <w:lang w:eastAsia="zh-CN"/>
              </w:rPr>
              <w:t>方案</w:t>
            </w:r>
            <w:r>
              <w:rPr>
                <w:rFonts w:hint="eastAsia" w:ascii="宋体" w:hAnsi="宋体" w:cs="宋体"/>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Cs/>
                <w:snapToGrid w:val="0"/>
                <w:kern w:val="0"/>
                <w:szCs w:val="21"/>
              </w:rPr>
              <w:t>☑</w:t>
            </w:r>
            <w:r>
              <w:rPr>
                <w:rFonts w:hint="eastAsia" w:ascii="宋体" w:hAnsi="宋体" w:cs="宋体"/>
                <w:bCs/>
                <w:snapToGrid w:val="0"/>
                <w:kern w:val="0"/>
                <w:szCs w:val="21"/>
                <w:lang w:eastAsia="zh-CN"/>
              </w:rPr>
              <w:t>存量</w:t>
            </w:r>
            <w:r>
              <w:rPr>
                <w:rFonts w:hint="eastAsia" w:ascii="宋体" w:hAnsi="宋体" w:cs="宋体"/>
                <w:bCs/>
                <w:snapToGrid w:val="0"/>
                <w:kern w:val="0"/>
                <w:szCs w:val="21"/>
              </w:rPr>
              <w:t>客户</w:t>
            </w:r>
            <w:r>
              <w:rPr>
                <w:rFonts w:hint="eastAsia" w:ascii="宋体" w:hAnsi="宋体" w:cs="宋体"/>
                <w:bCs/>
                <w:snapToGrid w:val="0"/>
                <w:kern w:val="0"/>
                <w:szCs w:val="21"/>
                <w:lang w:eastAsia="zh-CN"/>
              </w:rPr>
              <w:t>（</w:t>
            </w:r>
            <w:r>
              <w:rPr>
                <w:rFonts w:hint="eastAsia" w:ascii="宋体" w:hAnsi="宋体" w:cs="宋体"/>
                <w:bCs/>
                <w:szCs w:val="21"/>
              </w:rPr>
              <w:t>原有额度批复日期</w:t>
            </w:r>
            <w:r>
              <w:rPr>
                <w:rFonts w:hint="eastAsia" w:ascii="宋体" w:hAnsi="宋体" w:cs="宋体"/>
                <w:bCs/>
                <w:snapToGrid w:val="0"/>
                <w:kern w:val="0"/>
                <w:szCs w:val="21"/>
                <w:lang w:val="en-US" w:eastAsia="zh-CN"/>
              </w:rPr>
              <w:t>:</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年</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月</w:t>
            </w:r>
            <w:r>
              <w:rPr>
                <w:rFonts w:hint="eastAsia" w:ascii="宋体" w:hAnsi="宋体" w:cs="宋体"/>
                <w:bCs/>
                <w:snapToGrid w:val="0"/>
                <w:kern w:val="0"/>
                <w:szCs w:val="21"/>
                <w:u w:val="single"/>
                <w:lang w:val="en-US" w:eastAsia="zh-CN"/>
              </w:rPr>
              <w:t xml:space="preserve">   </w:t>
            </w:r>
            <w:r>
              <w:rPr>
                <w:rFonts w:hint="eastAsia" w:ascii="宋体" w:hAnsi="宋体" w:cs="宋体"/>
                <w:bCs/>
                <w:snapToGrid w:val="0"/>
                <w:kern w:val="0"/>
                <w:szCs w:val="21"/>
                <w:lang w:val="en-US" w:eastAsia="zh-CN"/>
              </w:rPr>
              <w:t>日</w:t>
            </w:r>
            <w:r>
              <w:rPr>
                <w:rFonts w:hint="eastAsia" w:ascii="宋体" w:hAnsi="宋体" w:cs="宋体"/>
                <w:bCs/>
                <w:snapToGrid w:val="0"/>
                <w:kern w:val="0"/>
                <w:szCs w:val="21"/>
                <w:lang w:eastAsia="zh-CN"/>
              </w:rPr>
              <w:t>）</w:t>
            </w:r>
            <w:r>
              <w:rPr>
                <w:rFonts w:hint="eastAsia" w:ascii="宋体" w:hAnsi="宋体" w:cs="宋体"/>
                <w:bCs/>
                <w:snapToGrid w:val="0"/>
                <w:kern w:val="0"/>
                <w:szCs w:val="21"/>
              </w:rPr>
              <w:t xml:space="preserve">☑维持 </w:t>
            </w:r>
            <w:r>
              <w:rPr>
                <w:rFonts w:hint="eastAsia" w:ascii="宋体" w:hAnsi="宋体" w:cs="宋体"/>
                <w:bCs/>
                <w:snapToGrid w:val="0"/>
                <w:kern w:val="0"/>
                <w:szCs w:val="21"/>
              </w:rPr>
              <w:sym w:font="Wingdings 2" w:char="00A3"/>
            </w:r>
            <w:r>
              <w:rPr>
                <w:rFonts w:hint="eastAsia" w:ascii="宋体" w:hAnsi="宋体" w:cs="宋体"/>
                <w:bCs/>
                <w:snapToGrid w:val="0"/>
                <w:kern w:val="0"/>
                <w:szCs w:val="21"/>
              </w:rPr>
              <w:t>增加</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□减少</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cs="宋体"/>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Cs/>
                <w:snapToGrid w:val="0"/>
                <w:color w:val="000000"/>
                <w:kern w:val="0"/>
                <w:szCs w:val="21"/>
                <w:lang w:eastAsia="zh-CN"/>
              </w:rPr>
              <w:t>国标</w:t>
            </w:r>
            <w:r>
              <w:rPr>
                <w:rFonts w:hint="eastAsia" w:ascii="宋体" w:hAnsi="宋体" w:cs="宋体"/>
                <w:bCs/>
                <w:snapToGrid w:val="0"/>
                <w:color w:val="000000"/>
                <w:kern w:val="0"/>
                <w:szCs w:val="21"/>
              </w:rPr>
              <w:t>行业</w:t>
            </w:r>
            <w:r>
              <w:rPr>
                <w:rFonts w:hint="eastAsia" w:ascii="宋体" w:hAnsi="宋体" w:eastAsia="宋体" w:cs="宋体"/>
                <w:bCs/>
                <w:snapToGrid w:val="0"/>
                <w:kern w:val="0"/>
                <w:szCs w:val="21"/>
                <w:lang w:eastAsia="zh-CN"/>
              </w:rPr>
              <w:t>（</w:t>
            </w:r>
            <w:r>
              <w:rPr>
                <w:rFonts w:hint="eastAsia" w:ascii="宋体" w:hAnsi="宋体" w:eastAsia="宋体" w:cs="宋体"/>
                <w:bCs/>
                <w:snapToGrid w:val="0"/>
                <w:kern w:val="0"/>
                <w:szCs w:val="21"/>
                <w:lang w:val="en-US" w:eastAsia="zh-CN"/>
              </w:rPr>
              <w:t>门类-大类-中类-小类</w:t>
            </w:r>
            <w:r>
              <w:rPr>
                <w:rFonts w:hint="eastAsia" w:ascii="宋体" w:hAnsi="宋体" w:eastAsia="宋体" w:cs="宋体"/>
                <w:bCs/>
                <w:snapToGrid w:val="0"/>
                <w:kern w:val="0"/>
                <w:szCs w:val="21"/>
                <w:lang w:eastAsia="zh-CN"/>
              </w:rPr>
              <w:t>）</w:t>
            </w:r>
            <w:r>
              <w:rPr>
                <w:rFonts w:hint="eastAsia" w:ascii="宋体" w:hAnsi="宋体" w:cs="宋体"/>
                <w:bCs/>
                <w:snapToGrid w:val="0"/>
                <w:color w:val="000000"/>
                <w:kern w:val="0"/>
                <w:szCs w:val="21"/>
              </w:rPr>
              <w:t>：</w:t>
            </w:r>
            <w:r>
              <w:rPr>
                <w:rFonts w:hint="eastAsia" w:ascii="宋体" w:hAnsi="宋体" w:cs="宋体"/>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Cs/>
                <w:snapToGrid w:val="0"/>
                <w:kern w:val="0"/>
                <w:szCs w:val="21"/>
                <w:lang w:eastAsia="zh-CN"/>
              </w:rPr>
              <w:t>规模</w:t>
            </w:r>
            <w:r>
              <w:rPr>
                <w:rFonts w:hint="eastAsia" w:ascii="宋体" w:hAnsi="宋体" w:cs="宋体"/>
                <w:bCs/>
                <w:snapToGrid w:val="0"/>
                <w:kern w:val="0"/>
                <w:szCs w:val="21"/>
              </w:rPr>
              <w:t>划型：□微型 □小型 ☑中型</w:t>
            </w:r>
            <w:r>
              <w:rPr>
                <w:rFonts w:hint="eastAsia" w:ascii="宋体" w:hAnsi="宋体" w:cs="宋体"/>
                <w:bCs/>
                <w:snapToGrid w:val="0"/>
                <w:kern w:val="0"/>
                <w:szCs w:val="21"/>
                <w:lang w:eastAsia="zh-CN"/>
              </w:rPr>
              <w:t>，</w:t>
            </w:r>
            <w:r>
              <w:rPr>
                <w:rFonts w:hint="eastAsia" w:ascii="宋体" w:hAnsi="宋体" w:eastAsia="宋体" w:cs="宋体"/>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Cs/>
                <w:snapToGrid w:val="0"/>
                <w:kern w:val="0"/>
                <w:szCs w:val="21"/>
                <w:lang w:val="en-US" w:eastAsia="zh-CN"/>
              </w:rPr>
              <w:t>划型要素：上年度资产总额 5781万元；上年度销售额 4515万元；上年度末员工人数信息未提供。</w:t>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r>
              <w:rPr>
                <w:rFonts w:hint="eastAsia" w:ascii="宋体" w:hAnsi="宋体" w:cs="宋体"/>
                <w:bCs/>
                <w:snapToGrid w:val="0"/>
                <w:color w:val="000000"/>
                <w:kern w:val="0"/>
                <w:szCs w:val="21"/>
                <w:u w:val="single"/>
                <w:lang w:val="en-US" w:eastAsia="zh-CN"/>
              </w:rPr>
            </w:r>
            <w:r>
              <w:rPr>
                <w:rFonts w:hint="eastAsia" w:ascii="宋体" w:hAnsi="宋体" w:eastAsia="宋体" w:cs="宋体"/>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Cs/>
                <w:snapToGrid w:val="0"/>
                <w:kern w:val="0"/>
                <w:szCs w:val="21"/>
                <w:lang w:val="en-US" w:eastAsia="zh-CN"/>
              </w:rPr>
              <w:t>环境、社会和治理风险分类</w:t>
            </w:r>
            <w:r>
              <w:rPr>
                <w:rFonts w:hint="eastAsia" w:ascii="宋体" w:hAnsi="宋体" w:eastAsia="宋体" w:cs="宋体"/>
                <w:bCs/>
                <w:strike w:val="0"/>
                <w:dstrike w:val="0"/>
                <w:sz w:val="21"/>
                <w:szCs w:val="21"/>
                <w:highlight w:val="none"/>
                <w:lang w:val="en-US" w:eastAsia="zh-CN"/>
              </w:rPr>
              <w:t>（ESG评价）</w:t>
            </w:r>
            <w:r>
              <w:rPr>
                <w:rFonts w:hint="eastAsia" w:ascii="宋体" w:hAnsi="宋体" w:eastAsia="宋体" w:cs="宋体"/>
                <w:bCs/>
                <w:snapToGrid w:val="0"/>
                <w:kern w:val="0"/>
                <w:szCs w:val="21"/>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A</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val="en-US" w:eastAsia="zh-CN"/>
              </w:rPr>
              <w:t xml:space="preserve">B </w:t>
            </w:r>
            <w:r>
              <w:rPr>
                <w:rFonts w:hint="eastAsia" w:ascii="宋体" w:hAnsi="宋体" w:cs="宋体"/>
                <w:bCs/>
                <w:snapToGrid w:val="0"/>
                <w:kern w:val="0"/>
                <w:szCs w:val="21"/>
              </w:rPr>
              <w:t>□</w:t>
            </w:r>
            <w:r>
              <w:rPr>
                <w:rFonts w:hint="eastAsia" w:ascii="宋体" w:hAnsi="宋体" w:cs="宋体"/>
                <w:bCs/>
                <w:snapToGrid w:val="0"/>
                <w:kern w:val="0"/>
                <w:szCs w:val="21"/>
                <w:lang w:val="en-US" w:eastAsia="zh-CN"/>
              </w:rPr>
              <w:t>C</w:t>
            </w:r>
            <w:r>
              <w:rPr>
                <w:rFonts w:hint="eastAsia" w:ascii="宋体" w:hAnsi="宋体" w:eastAsia="宋体" w:cs="宋体"/>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Cs/>
                <w:snapToGrid w:val="0"/>
                <w:kern w:val="0"/>
                <w:szCs w:val="21"/>
                <w:lang w:val="en-US" w:eastAsia="zh-CN"/>
              </w:rPr>
              <w:t>反洗钱</w:t>
            </w:r>
            <w:r>
              <w:rPr>
                <w:rFonts w:hint="eastAsia" w:ascii="宋体" w:hAnsi="宋体" w:eastAsia="宋体" w:cs="宋体"/>
                <w:bCs/>
                <w:sz w:val="21"/>
                <w:szCs w:val="21"/>
                <w:highlight w:val="none"/>
                <w:lang w:val="en-US" w:eastAsia="zh-CN"/>
              </w:rPr>
              <w:t>风险等级：</w:t>
            </w:r>
            <w:r>
              <w:rPr>
                <w:rFonts w:hint="eastAsia" w:ascii="宋体" w:hAnsi="宋体" w:cs="宋体"/>
                <w:bCs/>
                <w:snapToGrid w:val="0"/>
                <w:kern w:val="0"/>
                <w:szCs w:val="21"/>
              </w:rPr>
              <w:t>☑</w:t>
            </w:r>
            <w:r>
              <w:rPr>
                <w:rFonts w:hint="eastAsia" w:ascii="宋体" w:hAnsi="宋体" w:cs="宋体"/>
                <w:bCs/>
                <w:snapToGrid w:val="0"/>
                <w:kern w:val="0"/>
                <w:szCs w:val="21"/>
                <w:lang w:eastAsia="zh-CN"/>
              </w:rPr>
              <w:t>低</w:t>
            </w:r>
            <w:r>
              <w:rPr>
                <w:rFonts w:hint="eastAsia" w:ascii="宋体" w:hAnsi="宋体" w:cs="宋体"/>
                <w:bCs/>
                <w:snapToGrid w:val="0"/>
                <w:kern w:val="0"/>
                <w:szCs w:val="21"/>
              </w:rPr>
              <w:t xml:space="preserve"> </w:t>
            </w:r>
            <w:r>
              <w:rPr>
                <w:rFonts w:hint="eastAsia" w:ascii="宋体" w:hAnsi="宋体" w:cs="宋体"/>
                <w:bCs/>
                <w:snapToGrid w:val="0"/>
                <w:kern w:val="0"/>
                <w:szCs w:val="21"/>
              </w:rPr>
              <w:sym w:font="Wingdings 2" w:char="00A3"/>
            </w:r>
            <w:r>
              <w:rPr>
                <w:rFonts w:hint="eastAsia" w:ascii="宋体" w:hAnsi="宋体" w:cs="宋体"/>
                <w:bCs/>
                <w:snapToGrid w:val="0"/>
                <w:kern w:val="0"/>
                <w:szCs w:val="21"/>
                <w:lang w:eastAsia="zh-CN"/>
              </w:rPr>
              <w:t>一般</w:t>
            </w:r>
            <w:r>
              <w:rPr>
                <w:rFonts w:hint="eastAsia" w:ascii="宋体" w:hAnsi="宋体" w:cs="宋体"/>
                <w:bCs/>
                <w:snapToGrid w:val="0"/>
                <w:kern w:val="0"/>
                <w:szCs w:val="21"/>
                <w:lang w:val="en-US" w:eastAsia="zh-CN"/>
              </w:rPr>
              <w:t xml:space="preserve"> </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较高（</w:t>
            </w:r>
            <w:r>
              <w:rPr>
                <w:rFonts w:hint="eastAsia" w:ascii="宋体" w:hAnsi="宋体" w:eastAsia="宋体" w:cs="宋体"/>
                <w:bCs/>
                <w:strike w:val="0"/>
                <w:dstrike w:val="0"/>
                <w:sz w:val="21"/>
                <w:szCs w:val="21"/>
                <w:highlight w:val="none"/>
                <w:lang w:val="en-US" w:eastAsia="zh-CN"/>
              </w:rPr>
              <w:t>须在其他负面信息栏说明</w:t>
            </w:r>
            <w:r>
              <w:rPr>
                <w:rFonts w:hint="eastAsia" w:ascii="宋体" w:hAnsi="宋体" w:eastAsia="宋体" w:cs="宋体"/>
                <w:bCs/>
                <w:sz w:val="21"/>
                <w:szCs w:val="21"/>
                <w:highlight w:val="none"/>
                <w:lang w:eastAsia="zh-CN"/>
              </w:rPr>
              <w:t>）；</w:t>
            </w:r>
            <w:r>
              <w:rPr>
                <w:rFonts w:hint="eastAsia" w:ascii="宋体" w:hAnsi="宋体" w:cs="宋体"/>
                <w:bCs/>
                <w:snapToGrid w:val="0"/>
                <w:kern w:val="0"/>
                <w:szCs w:val="21"/>
              </w:rPr>
              <w:t>□</w:t>
            </w:r>
            <w:r>
              <w:rPr>
                <w:rFonts w:hint="eastAsia" w:ascii="宋体" w:hAnsi="宋体" w:eastAsia="宋体" w:cs="宋体"/>
                <w:bCs/>
                <w:sz w:val="21"/>
                <w:szCs w:val="21"/>
                <w:highlight w:val="none"/>
                <w:lang w:eastAsia="zh-CN"/>
              </w:rPr>
              <w:t>高（</w:t>
            </w:r>
            <w:r>
              <w:rPr>
                <w:rFonts w:hint="eastAsia" w:ascii="宋体" w:hAnsi="宋体" w:eastAsia="宋体" w:cs="宋体"/>
                <w:bCs/>
                <w:sz w:val="21"/>
                <w:szCs w:val="21"/>
                <w:highlight w:val="none"/>
                <w:lang w:val="en-US" w:eastAsia="zh-CN"/>
              </w:rPr>
              <w:t>不得准入</w:t>
            </w:r>
            <w:r>
              <w:rPr>
                <w:rFonts w:hint="eastAsia" w:ascii="宋体" w:hAnsi="宋体" w:eastAsia="宋体" w:cs="宋体"/>
                <w:bCs/>
                <w:sz w:val="21"/>
                <w:szCs w:val="21"/>
                <w:highlight w:val="none"/>
                <w:lang w:eastAsia="zh-CN"/>
              </w:rPr>
              <w:t>）</w:t>
            </w:r>
          </w:p>
          <w:p w14:paraId="11732687">
            <w:pPr>
              <w:pStyle w:val="7"/>
              <w:rPr>
                <w:rFonts w:hint="default"/>
                <w:lang w:val="en-US" w:eastAsia="zh-CN"/>
              </w:rPr>
            </w:pPr>
            <w:r>
              <w:rPr>
                <w:rFonts w:hint="eastAsia" w:ascii="宋体" w:hAnsi="宋体" w:eastAsia="宋体" w:cs="宋体"/>
                <w:bCs/>
                <w:snapToGrid w:val="0"/>
                <w:kern w:val="0"/>
                <w:sz w:val="21"/>
                <w:szCs w:val="21"/>
                <w:lang w:val="en-US" w:eastAsia="zh-CN" w:bidi="ar-SA"/>
              </w:rPr>
              <w:t>绿通标识：</w:t>
            </w:r>
            <w:r>
              <w:rPr>
                <w:rFonts w:hint="eastAsia" w:ascii="宋体" w:hAnsi="宋体" w:cs="宋体"/>
                <w:bCs/>
                <w:snapToGrid w:val="0"/>
                <w:color w:val="000000"/>
                <w:kern w:val="0"/>
                <w:szCs w:val="21"/>
                <w:u w:val="single"/>
                <w:lang w:val="en-US" w:eastAsia="zh-CN"/>
              </w:rPr>
              <w:t xml:space="preserve"> A </w:t>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申报额度：1000万元；申报敞口：1000万元；上一期授信敞口：500万元。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业务品种：一般短期流动资金贷款；业务期限：12个月；授信期限：1年</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担保方式：500万抵押加500万信用；上一期授信担保方式为500万抵押。</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PD评级：6级【上一期授信评级：7级】</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rPr>
            </w:r>
            <w:r>
              <w:rPr>
                <w:rFonts w:hint="eastAsia" w:ascii="宋体" w:hAnsi="宋体" w:cs="宋体"/>
                <w:snapToGrid w:val="0"/>
                <w:color w:val="000000"/>
                <w:kern w:val="0"/>
                <w:szCs w:val="21"/>
                <w:highlight w:val="none"/>
                <w:u w:val="none"/>
                <w:lang w:eastAsia="zh-CN"/>
              </w:rPr>
            </w:r>
            <w:r>
              <w:rPr>
                <w:rFonts w:hint="eastAsia" w:ascii="宋体" w:hAnsi="宋体" w:cs="宋体"/>
                <w:snapToGrid w:val="0"/>
                <w:color w:val="000000"/>
                <w:kern w:val="0"/>
                <w:szCs w:val="21"/>
                <w:highlight w:val="none"/>
              </w:rPr>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Cs/>
                <w:snapToGrid w:val="0"/>
                <w:color w:val="000000"/>
                <w:kern w:val="0"/>
                <w:szCs w:val="21"/>
                <w:highlight w:val="none"/>
                <w:lang w:eastAsia="zh-CN"/>
              </w:rPr>
              <w:t>一、</w:t>
            </w:r>
            <w:r>
              <w:rPr>
                <w:rFonts w:hint="eastAsia" w:ascii="宋体" w:hAnsi="宋体" w:eastAsia="宋体" w:cs="宋体"/>
                <w:bCs/>
                <w:snapToGrid w:val="0"/>
                <w:color w:val="000000"/>
                <w:kern w:val="0"/>
                <w:szCs w:val="21"/>
                <w:highlight w:val="none"/>
              </w:rPr>
              <w:t>经营单位</w:t>
            </w:r>
            <w:r>
              <w:rPr>
                <w:rFonts w:hint="eastAsia" w:ascii="宋体" w:hAnsi="宋体" w:eastAsia="宋体" w:cs="宋体"/>
                <w:bCs/>
                <w:snapToGrid w:val="0"/>
                <w:color w:val="000000"/>
                <w:kern w:val="0"/>
                <w:szCs w:val="21"/>
                <w:highlight w:val="none"/>
                <w:lang w:eastAsia="zh-CN"/>
              </w:rPr>
              <w:t>尽调</w:t>
            </w:r>
            <w:r>
              <w:rPr>
                <w:rFonts w:hint="eastAsia" w:ascii="宋体" w:hAnsi="宋体" w:eastAsia="宋体" w:cs="宋体"/>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（一）</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2008年，统一社会信用代码91350100689012345A。注册资本5000万元，实收资本5000万元。法定代表人郑志煌。经营地址位于福州市仓山区，现有员工100余人。主营业务为测绘地理信息数据采集、处理及系统开发，属于软件和信息技术服务业。企业持有甲级测绘资质、高新技术企业等多项资质。股权结构详见下表。过往两年企业股权变动情况，需补充工商变更登记材料。</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Cs/>
                <w:sz w:val="21"/>
                <w:szCs w:val="21"/>
                <w:highlight w:val="none"/>
                <w:lang w:val="en-US" w:eastAsia="zh-CN"/>
              </w:rPr>
              <w:t>）；</w:t>
            </w:r>
            <w:r>
              <w:rPr>
                <w:rFonts w:hint="eastAsia" w:ascii="宋体" w:hAnsi="宋体" w:cs="宋体"/>
                <w:bCs/>
                <w:snapToGrid w:val="0"/>
                <w:kern w:val="0"/>
                <w:szCs w:val="21"/>
              </w:rPr>
              <w:t>□</w:t>
            </w:r>
            <w:r>
              <w:rPr>
                <w:rFonts w:hint="eastAsia" w:ascii="宋体" w:hAnsi="宋体" w:cs="宋体"/>
                <w:bCs/>
                <w:snapToGrid w:val="0"/>
                <w:kern w:val="0"/>
                <w:szCs w:val="21"/>
                <w:lang w:eastAsia="zh-CN"/>
              </w:rPr>
              <w:t>排污</w:t>
            </w:r>
            <w:r>
              <w:rPr>
                <w:rFonts w:hint="eastAsia" w:ascii="宋体" w:hAnsi="宋体" w:eastAsia="宋体" w:cs="宋体"/>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Cs/>
                <w:snapToGrid w:val="0"/>
                <w:kern w:val="0"/>
                <w:szCs w:val="21"/>
              </w:rPr>
              <w:t>□</w:t>
            </w:r>
            <w:r>
              <w:rPr>
                <w:rFonts w:hint="eastAsia" w:ascii="宋体" w:hAnsi="宋体" w:eastAsia="宋体" w:cs="宋体"/>
                <w:bCs/>
                <w:sz w:val="21"/>
                <w:szCs w:val="21"/>
                <w:highlight w:val="none"/>
                <w:lang w:val="en-US" w:eastAsia="zh-CN"/>
              </w:rPr>
              <w:t>其他</w:t>
            </w:r>
            <w:r>
              <w:rPr>
                <w:rFonts w:hint="eastAsia" w:ascii="宋体" w:hAnsi="宋体" w:eastAsia="宋体" w:cs="宋体"/>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上年度末社保人数     人；注册资本： 5000万元、实收资本： 5000万元；法定代表人： 郑志煌 。</w:t>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5000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5000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货币资金</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无变动。股东为福建省招标股份有限公司，持股100%。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snapToGrid w:val="0"/>
                <w:color w:val="000000"/>
                <w:kern w:val="0"/>
                <w:szCs w:val="21"/>
                <w:lang w:val="en-US" w:eastAsia="zh-CN"/>
              </w:rPr>
              <w:t>材料未提供实控人面访记录。</w:t>
            </w:r>
            <w:r>
              <w:rPr>
                <w:rFonts w:hint="eastAsia" w:ascii="宋体" w:hAnsi="宋体" w:cs="宋体"/>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snapToGrid w:val="0"/>
                <w:color w:val="000000"/>
                <w:kern w:val="0"/>
                <w:szCs w:val="21"/>
                <w:lang w:val="en-US" w:eastAsia="zh-CN"/>
              </w:rPr>
              <w:t>材料未提供实地走访情况。</w:t>
            </w:r>
            <w:r>
              <w:rPr>
                <w:rFonts w:hint="eastAsia" w:ascii="宋体" w:hAnsi="宋体" w:cs="宋体"/>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Cs/>
                <w:kern w:val="2"/>
                <w:sz w:val="21"/>
                <w:szCs w:val="21"/>
                <w:highlight w:val="none"/>
                <w:lang w:val="en-US" w:eastAsia="zh-CN"/>
              </w:rPr>
              <w:t>※</w:t>
            </w:r>
            <w:r>
              <w:rPr>
                <w:rFonts w:hint="eastAsia" w:ascii="宋体" w:hAnsi="宋体" w:cs="宋体"/>
                <w:bCs/>
                <w:kern w:val="2"/>
                <w:sz w:val="21"/>
                <w:szCs w:val="21"/>
                <w:highlight w:val="none"/>
                <w:lang w:val="en-US" w:eastAsia="zh-CN"/>
              </w:rPr>
              <w:t>4.</w:t>
            </w:r>
            <w:r>
              <w:rPr>
                <w:rFonts w:hint="eastAsia" w:ascii="宋体" w:hAnsi="宋体" w:eastAsia="宋体" w:cs="宋体"/>
                <w:bCs/>
                <w:kern w:val="2"/>
                <w:sz w:val="21"/>
                <w:szCs w:val="21"/>
                <w:highlight w:val="none"/>
                <w:lang w:val="en-US" w:eastAsia="zh-CN"/>
              </w:rPr>
              <w:t>历年</w:t>
            </w:r>
            <w:r>
              <w:rPr>
                <w:rFonts w:hint="eastAsia" w:ascii="宋体" w:hAnsi="宋体" w:cs="宋体"/>
                <w:bCs/>
                <w:kern w:val="2"/>
                <w:sz w:val="21"/>
                <w:szCs w:val="21"/>
                <w:highlight w:val="none"/>
                <w:lang w:val="en-US" w:eastAsia="zh-CN"/>
              </w:rPr>
              <w:t>股权</w:t>
            </w:r>
            <w:r>
              <w:rPr>
                <w:rFonts w:hint="eastAsia" w:ascii="宋体" w:hAnsi="宋体" w:eastAsia="宋体" w:cs="宋体"/>
                <w:bCs/>
                <w:kern w:val="2"/>
                <w:sz w:val="21"/>
                <w:szCs w:val="21"/>
                <w:highlight w:val="none"/>
                <w:lang w:val="en-US" w:eastAsia="zh-CN"/>
              </w:rPr>
              <w:t>融资情况</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如</w:t>
            </w:r>
            <w:r>
              <w:rPr>
                <w:rFonts w:hint="eastAsia" w:ascii="宋体" w:hAnsi="宋体" w:eastAsia="宋体" w:cs="宋体"/>
                <w:sz w:val="21"/>
                <w:szCs w:val="21"/>
                <w:highlight w:val="none"/>
                <w:lang w:val="en-US" w:eastAsia="zh-CN"/>
              </w:rPr>
              <w:t>为</w:t>
            </w:r>
            <w:r>
              <w:rPr>
                <w:rFonts w:hint="eastAsia" w:ascii="宋体" w:hAnsi="宋体" w:cs="宋体"/>
                <w:sz w:val="21"/>
                <w:szCs w:val="21"/>
                <w:highlight w:val="none"/>
                <w:lang w:val="en-US" w:eastAsia="zh-CN"/>
              </w:rPr>
              <w:t>科技型</w:t>
            </w:r>
            <w:r>
              <w:rPr>
                <w:rFonts w:hint="eastAsia" w:ascii="宋体" w:hAnsi="宋体" w:eastAsia="宋体" w:cs="宋体"/>
                <w:sz w:val="21"/>
                <w:szCs w:val="21"/>
                <w:highlight w:val="none"/>
                <w:lang w:val="en-US" w:eastAsia="zh-CN"/>
              </w:rPr>
              <w:t>企业，请填列下表</w:t>
            </w:r>
            <w:r>
              <w:rPr>
                <w:rFonts w:hint="eastAsia" w:ascii="宋体" w:hAnsi="宋体" w:eastAsia="宋体" w:cs="宋体"/>
                <w:sz w:val="21"/>
                <w:szCs w:val="21"/>
                <w:highlight w:val="none"/>
              </w:rPr>
              <w:t>）</w:t>
            </w:r>
            <w:r>
              <w:rPr>
                <w:rFonts w:hint="eastAsia" w:ascii="宋体" w:hAnsi="宋体" w:cs="宋体"/>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Cs/>
                <w:snapToGrid w:val="0"/>
                <w:color w:val="000000"/>
                <w:kern w:val="0"/>
                <w:sz w:val="21"/>
                <w:szCs w:val="21"/>
                <w:highlight w:val="none"/>
                <w:lang w:val="en-US" w:eastAsia="zh-CN" w:bidi="ar-SA"/>
              </w:rPr>
              <w:t>自2017年以来，我行与借款人建立授信合作关系。</w:t>
            </w:r>
            <w:r>
              <w:rPr>
                <w:rFonts w:hint="eastAsia" w:ascii="宋体" w:hAnsi="宋体" w:eastAsia="宋体" w:cs="宋体"/>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暂无</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暂无</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暂无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暂无</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暂无</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暂无</w:t>
                  </w:r>
                </w:p>
              </w:tc>
            </w:tr>
          </w:tbl>
          <w:p w14:paraId="77E93048">
            <w:commentRangeStart w:id="2"/>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Cs/>
                <w:snapToGrid w:val="0"/>
                <w:color w:val="auto"/>
                <w:kern w:val="0"/>
                <w:szCs w:val="21"/>
                <w:highlight w:val="none"/>
                <w:lang w:val="en-US" w:eastAsia="zh-CN"/>
              </w:rPr>
              <w:t>黄色预警提示法定代表人目前信用卡存在逾期，经核实，需补充银行征信异议核查说明或信用卡还款凭证。综合评判，待补充材料后复核。</w:t>
            </w:r>
            <w:r>
              <w:rPr>
                <w:rFonts w:hint="eastAsia" w:ascii="宋体" w:hAnsi="宋体" w:cs="宋体"/>
                <w:bCs/>
                <w:snapToGrid w:val="0"/>
                <w:color w:val="000000"/>
                <w:kern w:val="0"/>
                <w:szCs w:val="21"/>
                <w:highlight w:val="none"/>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commentRangeEnd w:id="2"/>
            <w:r>
              <w:rPr>
                <w:rStyle w:val="CommentReference"/>
              </w:rPr>
              <w:commentReference w:id="2"/>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8.</w:t>
            </w:r>
            <w:r>
              <w:rPr>
                <w:rFonts w:hint="eastAsia" w:ascii="宋体" w:hAnsi="宋体" w:cs="宋体"/>
                <w:bCs/>
                <w:snapToGrid w:val="0"/>
                <w:color w:val="000000"/>
                <w:kern w:val="0"/>
                <w:szCs w:val="21"/>
                <w:highlight w:val="none"/>
                <w:lang w:eastAsia="zh-CN"/>
              </w:rPr>
              <w:t>其他</w:t>
            </w:r>
            <w:r>
              <w:rPr>
                <w:rFonts w:hint="eastAsia" w:ascii="宋体" w:hAnsi="宋体" w:cs="宋体"/>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Cs/>
                <w:snapToGrid w:val="0"/>
                <w:color w:val="000000"/>
                <w:kern w:val="0"/>
                <w:szCs w:val="21"/>
                <w:highlight w:val="none"/>
                <w:lang w:val="en-US" w:eastAsia="zh-CN"/>
              </w:rPr>
              <w:t>若有）PD评级较上期下滑，分析原因：</w:t>
            </w:r>
            <w:r>
              <w:rPr>
                <w:rFonts w:hint="eastAsia" w:ascii="宋体" w:hAnsi="宋体" w:cs="宋体"/>
                <w:snapToGrid w:val="0"/>
                <w:color w:val="000000"/>
                <w:kern w:val="0"/>
                <w:szCs w:val="21"/>
                <w:u w:val="single"/>
                <w:lang w:val="en-US" w:eastAsia="zh-CN"/>
              </w:rPr>
              <w:t xml:space="preserve"> 5级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snapToGrid w:val="0"/>
                <w:color w:val="000000"/>
                <w:kern w:val="0"/>
                <w:szCs w:val="21"/>
              </w:rPr>
              <w:t>（二）法定代表人/实控人简介</w:t>
            </w:r>
            <w:r>
              <w:rPr>
                <w:rFonts w:hint="eastAsia" w:ascii="宋体" w:hAnsi="宋体" w:cs="宋体"/>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法定代表人：郑志煌。实际控制人：福建省招标股份有限公司。</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Cs/>
                <w:snapToGrid w:val="0"/>
                <w:color w:val="auto"/>
                <w:kern w:val="0"/>
                <w:szCs w:val="21"/>
                <w:highlight w:val="none"/>
                <w:lang w:val="en-US" w:eastAsia="zh-CN"/>
              </w:rPr>
              <w:t>（三）借款人及</w:t>
            </w:r>
            <w:r>
              <w:rPr>
                <w:rFonts w:hint="eastAsia" w:ascii="宋体" w:hAnsi="宋体" w:cs="宋体"/>
                <w:bCs/>
                <w:snapToGrid w:val="0"/>
                <w:color w:val="auto"/>
                <w:kern w:val="0"/>
                <w:szCs w:val="21"/>
                <w:highlight w:val="none"/>
              </w:rPr>
              <w:t>实控人</w:t>
            </w:r>
            <w:r>
              <w:rPr>
                <w:rFonts w:hint="eastAsia" w:ascii="宋体" w:hAnsi="宋体" w:cs="宋体"/>
                <w:bCs/>
                <w:snapToGrid w:val="0"/>
                <w:color w:val="auto"/>
                <w:kern w:val="0"/>
                <w:szCs w:val="21"/>
                <w:highlight w:val="none"/>
                <w:lang w:val="en-US" w:eastAsia="zh-CN"/>
              </w:rPr>
              <w:t>家庭</w:t>
            </w:r>
            <w:r>
              <w:rPr>
                <w:rFonts w:hint="eastAsia" w:ascii="宋体" w:hAnsi="宋体" w:cs="宋体"/>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2</w:t>
                  </w:r>
                  <w:r>
                    <w:rPr>
                      <w:rFonts w:hint="eastAsia" w:ascii="宋体" w:hAnsi="宋体" w:cs="宋体"/>
                      <w:bCs/>
                      <w:i w:val="0"/>
                      <w:iCs w:val="0"/>
                      <w:caps w:val="0"/>
                      <w:color w:val="000000"/>
                      <w:spacing w:val="0"/>
                      <w:kern w:val="0"/>
                      <w:sz w:val="21"/>
                      <w:szCs w:val="21"/>
                      <w:highlight w:val="none"/>
                      <w:lang w:val="en-US" w:eastAsia="zh-CN" w:bidi="ar"/>
                    </w:rPr>
                    <w:t>.</w:t>
                  </w:r>
                  <w:r>
                    <w:rPr>
                      <w:rFonts w:hint="eastAsia" w:ascii="宋体" w:hAnsi="宋体" w:eastAsia="宋体" w:cs="宋体"/>
                      <w:bCs/>
                      <w:i w:val="0"/>
                      <w:iCs w:val="0"/>
                      <w:caps w:val="0"/>
                      <w:color w:val="000000"/>
                      <w:spacing w:val="0"/>
                      <w:kern w:val="0"/>
                      <w:sz w:val="21"/>
                      <w:szCs w:val="21"/>
                      <w:highlight w:val="none"/>
                      <w:lang w:val="en-US" w:eastAsia="zh-CN" w:bidi="ar"/>
                    </w:rPr>
                    <w:t>实控人家庭资产</w:t>
                  </w:r>
                  <w:r>
                    <w:rPr>
                      <w:rFonts w:hint="eastAsia" w:ascii="宋体" w:hAnsi="宋体" w:cs="宋体"/>
                      <w:bCs/>
                      <w:i w:val="0"/>
                      <w:iCs w:val="0"/>
                      <w:caps w:val="0"/>
                      <w:color w:val="000000"/>
                      <w:spacing w:val="0"/>
                      <w:kern w:val="0"/>
                      <w:sz w:val="21"/>
                      <w:szCs w:val="21"/>
                      <w:highlight w:val="none"/>
                      <w:lang w:val="en-US" w:eastAsia="zh-CN" w:bidi="ar"/>
                    </w:rPr>
                    <w:t>情况</w:t>
                  </w:r>
                  <w:r>
                    <w:rPr>
                      <w:rFonts w:hint="eastAsia" w:ascii="宋体" w:hAnsi="宋体" w:eastAsia="宋体" w:cs="宋体"/>
                      <w:bCs/>
                      <w:i w:val="0"/>
                      <w:iCs w:val="0"/>
                      <w:caps w:val="0"/>
                      <w:color w:val="000000"/>
                      <w:spacing w:val="0"/>
                      <w:kern w:val="0"/>
                      <w:sz w:val="21"/>
                      <w:szCs w:val="21"/>
                      <w:highlight w:val="none"/>
                      <w:lang w:val="en-US" w:eastAsia="zh-CN" w:bidi="ar"/>
                    </w:rPr>
                    <w:t>（</w:t>
                  </w:r>
                  <w:r>
                    <w:rPr>
                      <w:rFonts w:hint="eastAsia" w:ascii="宋体" w:hAnsi="宋体" w:cs="宋体"/>
                      <w:bCs/>
                      <w:i w:val="0"/>
                      <w:iCs w:val="0"/>
                      <w:caps w:val="0"/>
                      <w:color w:val="000000"/>
                      <w:spacing w:val="0"/>
                      <w:kern w:val="0"/>
                      <w:sz w:val="21"/>
                      <w:szCs w:val="21"/>
                      <w:highlight w:val="none"/>
                      <w:lang w:val="en-US" w:eastAsia="zh-CN" w:bidi="ar"/>
                    </w:rPr>
                    <w:t>实控人、</w:t>
                  </w:r>
                  <w:r>
                    <w:rPr>
                      <w:rFonts w:hint="eastAsia" w:ascii="宋体" w:hAnsi="宋体" w:eastAsia="宋体" w:cs="宋体"/>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四</w:t>
            </w:r>
            <w:r>
              <w:rPr>
                <w:rFonts w:hint="eastAsia" w:ascii="宋体" w:hAnsi="宋体" w:cs="宋体"/>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Cs/>
                <w:snapToGrid w:val="0"/>
                <w:color w:val="000000"/>
                <w:kern w:val="0"/>
                <w:szCs w:val="21"/>
                <w:highlight w:val="none"/>
              </w:rPr>
              <w:t>1</w:t>
            </w:r>
            <w:r>
              <w:rPr>
                <w:rFonts w:hint="eastAsia" w:ascii="宋体" w:hAnsi="宋体" w:cs="宋体"/>
                <w:bCs/>
                <w:snapToGrid w:val="0"/>
                <w:color w:val="000000"/>
                <w:kern w:val="0"/>
                <w:szCs w:val="21"/>
                <w:highlight w:val="none"/>
                <w:lang w:val="en-US" w:eastAsia="zh-CN"/>
              </w:rPr>
              <w:t>.</w:t>
            </w:r>
            <w:r>
              <w:rPr>
                <w:rFonts w:hint="eastAsia" w:ascii="宋体" w:hAnsi="宋体" w:cs="宋体"/>
                <w:bCs/>
                <w:snapToGrid w:val="0"/>
                <w:color w:val="000000"/>
                <w:kern w:val="0"/>
                <w:szCs w:val="21"/>
                <w:highlight w:val="none"/>
              </w:rPr>
              <w:t>关联企业</w:t>
            </w:r>
            <w:r>
              <w:rPr>
                <w:rFonts w:hint="eastAsia" w:ascii="宋体" w:hAnsi="宋体" w:cs="宋体"/>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Cs/>
                <w:snapToGrid w:val="0"/>
                <w:kern w:val="0"/>
                <w:szCs w:val="21"/>
                <w:highlight w:val="none"/>
              </w:rPr>
              <w:t>材料未提供关联企业信息，需补充关联企业清单及经营数据。</w:t>
            </w:r>
            <w:r>
              <w:rPr>
                <w:rFonts w:hint="eastAsia" w:ascii="宋体" w:hAnsi="宋体" w:eastAsia="宋体" w:cs="宋体"/>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集团合并财务数据详见下表。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3</w:t>
            </w:r>
            <w:r>
              <w:rPr>
                <w:rFonts w:hint="eastAsia" w:ascii="宋体" w:hAnsi="宋体" w:cs="宋体"/>
                <w:bCs/>
                <w:snapToGrid w:val="0"/>
                <w:kern w:val="0"/>
                <w:szCs w:val="21"/>
                <w:highlight w:val="none"/>
                <w:lang w:val="en-US" w:eastAsia="zh-CN"/>
              </w:rPr>
              <w:t>.</w:t>
            </w:r>
            <w:r>
              <w:rPr>
                <w:rFonts w:hint="eastAsia" w:ascii="宋体" w:hAnsi="宋体" w:cs="宋体"/>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五</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kern w:val="0"/>
                <w:szCs w:val="21"/>
                <w:highlight w:val="none"/>
              </w:rPr>
              <w:t>主要经营</w:t>
            </w:r>
            <w:r>
              <w:rPr>
                <w:rFonts w:hint="eastAsia" w:ascii="宋体" w:hAnsi="宋体" w:cs="宋体"/>
                <w:snapToGrid w:val="0"/>
                <w:kern w:val="0"/>
                <w:szCs w:val="21"/>
                <w:highlight w:val="none"/>
                <w:lang w:val="en-US" w:eastAsia="zh-CN"/>
              </w:rPr>
              <w:t>及</w:t>
            </w:r>
            <w:r>
              <w:rPr>
                <w:rFonts w:hint="eastAsia" w:ascii="宋体" w:hAnsi="宋体" w:cs="宋体"/>
                <w:snapToGrid w:val="0"/>
                <w:kern w:val="0"/>
                <w:szCs w:val="21"/>
                <w:highlight w:val="none"/>
              </w:rPr>
              <w:t>财务情</w:t>
            </w:r>
            <w:r>
              <w:rPr>
                <w:rFonts w:hint="eastAsia" w:ascii="宋体" w:hAnsi="宋体" w:cs="宋体"/>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主营测绘服务及地理信息技术服务，提供地籍图编绘、数据库建库、农村地籍调查、房屋调查、水域流向分析等综合性技术服务，主要应用于政府及企事业单位。</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kern w:val="0"/>
                <w:szCs w:val="21"/>
                <w:highlight w:val="none"/>
                <w:lang w:val="en-US" w:eastAsia="zh-CN"/>
              </w:rPr>
              <w:t>企业成立于2005年8月，为国有控股公司，经营历史达15年。企业持有甲级测绘地理信息技术服务企业、高新技术企业等多项资质，拥有60多项软件著作权和多项专利。主营业务为地理信息数据采集、处理、分析、应用及测绘服务，主要客户为大型企业及政府单位，客群集中稳定。上游供应商均为当地体量大、存在时间长的测绘服务公司，供应渠道稳定。企业战略目标为打造全省第一、全国一流的测绘地理信息产业。</w:t>
            </w:r>
            <w:r>
              <w:rPr>
                <w:rFonts w:hint="eastAsia" w:ascii="宋体" w:hAnsi="宋体" w:cs="宋体"/>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3.</w:t>
            </w:r>
            <w:r>
              <w:rPr>
                <w:rFonts w:hint="eastAsia" w:ascii="宋体" w:hAnsi="宋体" w:cs="宋体"/>
                <w:bCs/>
                <w:snapToGrid w:val="0"/>
                <w:color w:val="000000"/>
                <w:kern w:val="0"/>
                <w:szCs w:val="21"/>
                <w:highlight w:val="none"/>
              </w:rPr>
              <w:t>产品</w:t>
            </w:r>
            <w:r>
              <w:rPr>
                <w:rFonts w:hint="eastAsia" w:ascii="宋体" w:hAnsi="宋体" w:cs="宋体"/>
                <w:bCs/>
                <w:snapToGrid w:val="0"/>
                <w:color w:val="000000"/>
                <w:kern w:val="0"/>
                <w:szCs w:val="21"/>
                <w:highlight w:val="none"/>
                <w:lang w:eastAsia="zh-CN"/>
              </w:rPr>
              <w:t>生产、</w:t>
            </w:r>
            <w:r>
              <w:rPr>
                <w:rFonts w:hint="eastAsia" w:ascii="宋体" w:hAnsi="宋体" w:cs="宋体"/>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公司主营业务为测绘服务及地理信息技术服务，2022年9月末测绘服务收入占比92.2%，较2021年的82.79%有所提升。2022年9月末主营业务收入4515万元，较2021年同期2826万元增长59.8%。</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企业上游主要为测绘服务分包商，包括黑龙江鼎晔测绘有限公司、龙岩市百成测绘有限公司等。下游客户情况需补充主要客户销售合同及回款明细。</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黑龙江鼎晔测绘有限公司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13%</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2020.1-2022.12</w:t>
                  </w: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龙岩市百成测绘有限公司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2020-2022</w:t>
                  </w: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辽宁宏图创展测绘勘察有限公司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2017-2022.12</w:t>
                  </w: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福建省121地质大队</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6%</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2020-2022</w:t>
                  </w: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福建山川测绘有限公司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20%</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2017-2022</w:t>
                  </w: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t>已核实主要银行账户流水中收款对象与提供的下游订单中的企业名称一致。</w:t>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Cs/>
                <w:snapToGrid w:val="0"/>
                <w:color w:val="000000"/>
                <w:kern w:val="0"/>
                <w:szCs w:val="21"/>
                <w:highlight w:val="none"/>
                <w:lang w:val="en-US" w:eastAsia="zh-CN"/>
              </w:rPr>
              <w:t>材料未提供最新在手订单列表。</w:t>
            </w:r>
            <w:r>
              <w:rPr>
                <w:rFonts w:hint="eastAsia" w:ascii="宋体" w:hAnsi="宋体" w:cs="宋体"/>
                <w:bCs/>
                <w:snapToGrid w:val="0"/>
                <w:color w:val="000000"/>
                <w:kern w:val="0"/>
                <w:szCs w:val="21"/>
                <w:highlight w:val="none"/>
              </w:rPr>
            </w:r>
            <w:r>
              <w:rPr>
                <w:rFonts w:hint="eastAsia" w:ascii="宋体" w:hAnsi="宋体" w:cs="宋体"/>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t>2021.11-2024.11</w:t>
                  </w: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t>2000</w:t>
                  </w: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t>2000</w:t>
                  </w: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2000</w:t>
                  </w: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2021.11（3年）</w:t>
                  </w: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2021.11-2024.11</w:t>
                  </w: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2000</w:t>
                  </w: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t>2000</w:t>
                  </w: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Cs/>
                <w:color w:val="000000"/>
                <w:highlight w:val="none"/>
                <w:lang w:val="en-US" w:eastAsia="zh-CN"/>
              </w:rPr>
              <w:t>①</w:t>
            </w:r>
            <w:r>
              <w:rPr>
                <w:rFonts w:ascii="宋体" w:hAnsi="宋体"/>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财报销售收入与纳税申报表合计收入一致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纳税申报表合计收入与财报销售收入一致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纳税收入占财报百分比为100%，两者一致</w:t>
                  </w:r>
                </w:p>
              </w:tc>
            </w:tr>
          </w:tbl>
          <w:p w14:paraId="4F09DCC3">
            <w:pPr>
              <w:ind w:firstLine="1265" w:firstLineChars="600"/>
              <w:rPr>
                <w:rFonts w:ascii="宋体" w:hAnsi="宋体"/>
                <w:b/>
                <w:bCs/>
                <w:color w:val="000000"/>
                <w:highlight w:val="none"/>
              </w:rPr>
            </w:pPr>
            <w:r>
              <w:rPr>
                <w:rFonts w:hint="eastAsia" w:ascii="宋体" w:hAnsi="宋体"/>
                <w:bCs/>
                <w:color w:val="000000"/>
                <w:highlight w:val="none"/>
                <w:lang w:val="en-US" w:eastAsia="zh-CN"/>
              </w:rPr>
              <w:t>②</w:t>
            </w:r>
            <w:r>
              <w:rPr>
                <w:rFonts w:ascii="宋体" w:hAnsi="宋体"/>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p>
              </w:tc>
              <w:tc>
                <w:tcPr>
                  <w:tcW w:w="1570" w:type="dxa"/>
                  <w:noWrap w:val="0"/>
                  <w:vAlign w:val="center"/>
                </w:tcPr>
                <w:p w14:paraId="6D92B1EA">
                  <w:pPr>
                    <w:widowControl/>
                    <w:jc w:val="center"/>
                    <w:textAlignment w:val="center"/>
                    <w:rPr>
                      <w:sz w:val="18"/>
                      <w:szCs w:val="18"/>
                      <w:highlight w:val="none"/>
                    </w:rPr>
                  </w:pP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Cs/>
                <w:snapToGrid w:val="0"/>
                <w:kern w:val="0"/>
                <w:szCs w:val="21"/>
                <w:highlight w:val="none"/>
                <w:lang w:val="en-US" w:eastAsia="zh-CN"/>
              </w:rPr>
              <w:t>③</w:t>
            </w:r>
            <w:r>
              <w:rPr>
                <w:rFonts w:hint="eastAsia" w:ascii="宋体" w:hAnsi="宋体" w:cs="宋体"/>
                <w:bCs/>
                <w:snapToGrid w:val="0"/>
                <w:color w:val="000000"/>
                <w:kern w:val="0"/>
                <w:szCs w:val="21"/>
                <w:highlight w:val="none"/>
              </w:rPr>
              <w:t>近三年</w:t>
            </w:r>
            <w:r>
              <w:rPr>
                <w:rFonts w:hint="eastAsia" w:ascii="宋体" w:hAnsi="宋体" w:cs="宋体"/>
                <w:bCs/>
                <w:snapToGrid w:val="0"/>
                <w:color w:val="000000"/>
                <w:kern w:val="0"/>
                <w:szCs w:val="21"/>
                <w:highlight w:val="none"/>
                <w:lang w:val="en-US" w:eastAsia="zh-CN"/>
              </w:rPr>
              <w:t>及最近一期</w:t>
            </w:r>
            <w:r>
              <w:rPr>
                <w:rFonts w:hint="eastAsia" w:ascii="宋体" w:hAnsi="宋体" w:cs="宋体"/>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企业近三年财务报表均由华兴会计师事务所（特殊普通合伙）审计，均出具无保留意见。</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569"/>
              <w:gridCol w:w="1523"/>
              <w:gridCol w:w="1525"/>
              <w:gridCol w:w="1523"/>
              <w:gridCol w:w="1352"/>
              <w:gridCol w:w="1352"/>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02"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03"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02"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3"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3"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02"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流动资产</w:t>
                  </w:r>
                </w:p>
              </w:tc>
              <w:tc>
                <w:tcPr>
                  <w:tcW w:w="702"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02"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02"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02"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02"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02"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02"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Cs/>
                      <w:i w:val="0"/>
                      <w:iCs w:val="0"/>
                      <w:color w:val="000000"/>
                      <w:kern w:val="0"/>
                      <w:sz w:val="18"/>
                      <w:szCs w:val="18"/>
                      <w:u w:val="none"/>
                      <w:lang w:val="en-US" w:eastAsia="zh-CN" w:bidi="ar"/>
                    </w:rPr>
                    <w:t>非流动资产</w:t>
                  </w:r>
                </w:p>
              </w:tc>
              <w:tc>
                <w:tcPr>
                  <w:tcW w:w="702"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02"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02"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02"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02"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02"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02"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02"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02"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02"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02"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02"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02"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02"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02"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02"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02"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02"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02"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02"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02"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02"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02"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02"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02"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02"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资产负债率</w:t>
                  </w:r>
                </w:p>
              </w:tc>
              <w:tc>
                <w:tcPr>
                  <w:tcW w:w="702"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流动比率</w:t>
                  </w:r>
                </w:p>
              </w:tc>
              <w:tc>
                <w:tcPr>
                  <w:tcW w:w="702"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速动比率</w:t>
                  </w:r>
                </w:p>
              </w:tc>
              <w:tc>
                <w:tcPr>
                  <w:tcW w:w="702"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应收账款周转天数</w:t>
                  </w:r>
                </w:p>
              </w:tc>
              <w:tc>
                <w:tcPr>
                  <w:tcW w:w="702"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存货周转天数</w:t>
                  </w:r>
                </w:p>
              </w:tc>
              <w:tc>
                <w:tcPr>
                  <w:tcW w:w="702"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预付账款周转天数</w:t>
                  </w:r>
                </w:p>
              </w:tc>
              <w:tc>
                <w:tcPr>
                  <w:tcW w:w="702"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645"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应付帐款周转天数</w:t>
                  </w:r>
                </w:p>
              </w:tc>
              <w:tc>
                <w:tcPr>
                  <w:tcW w:w="702"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毛利润率</w:t>
                  </w:r>
                </w:p>
              </w:tc>
              <w:tc>
                <w:tcPr>
                  <w:tcW w:w="702"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645"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Cs/>
                      <w:i w:val="0"/>
                      <w:iCs w:val="0"/>
                      <w:color w:val="000000"/>
                      <w:kern w:val="0"/>
                      <w:sz w:val="18"/>
                      <w:szCs w:val="18"/>
                      <w:u w:val="none"/>
                      <w:lang w:val="en-US" w:eastAsia="zh-CN" w:bidi="ar"/>
                    </w:rPr>
                    <w:t>净利润率</w:t>
                  </w:r>
                </w:p>
              </w:tc>
              <w:tc>
                <w:tcPr>
                  <w:tcW w:w="702"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03"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02"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3"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（1）应收账款由2019年末3741万元增长至2020年末5854万元（同比增长56.5%），2021年末回落至4759万元（同比下降18.7%），2022年9月末为5782万元，需补充主要客户账期及回款明细。</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（1）应收账款 5489万元，主要构成及趋势变动情况： 2022年9月应收账款5489万元，较2022年初减少约365万元。应收账款主要集中在政府类客户，前五大客户占比40.78%。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（2）其他应收款 145万元，主要构成及趋势变动情况： 2022年9月末其他应付款145万元，较2021年末减少57万元。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（3）存货 0万元，主要构成及趋势变动情况： 材料未提供存货具体金额及变动情况。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 xml:space="preserve">（4）长期投资 0万元，主要构成及趋势变动情况： 材料未提供长期投资具体金额及变动情况。      </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（5）应付账款 2342万元，主要构成及趋势变动情况： 2022年9月末应付账款2342万元，较2021年末减少336万元。主要为与项目相关的外协费用及对外购置资产的费用。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 xml:space="preserve">（6）其他应付款 145万元，主要构成及趋势变动情况： 其他应付款为企业除与项目相关产生的应付账款之外的其他费用，包括日常经营生产中产生的各项支出。       </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截至2022年9月末，公司主营业务收入4515万元，较2021同期对比增加1789万元，较2021年末减少3736万元。该企业的主营业务为测绘服务及提供其他专业技术服务其中提供测绘服务占比92.2%，提供其他技术服务占比7.7%，测绘服务主要形式为由企业专业技术人员携测量设备至测量地点实地勘察测绘，近两年受疫情影响许多政府类项目的款项未能及时回笼，同时企业的合同为根据进度付款，只有合同款项全部到位才会计入主营业务收入，因此企业四季度的收入会高，预计今年最终收入可以达到12000万左右。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2019年至2022年9月，公司的净利润分别为128万元、477万元、781万元，近三年来看，公司的发展较为稳定及迅速。2021年因受疫情影响，营业收入增长率下降。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commentRangeStart w:id="3"/>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Cs w:val="0"/>
                <w:snapToGrid w:val="0"/>
                <w:kern w:val="0"/>
                <w:szCs w:val="21"/>
                <w:highlight w:val="none"/>
                <w:lang w:val="zh-CN"/>
              </w:rPr>
              <w:t>（</w:t>
            </w:r>
            <w:r>
              <w:rPr>
                <w:rFonts w:hint="eastAsia" w:ascii="宋体" w:hAnsi="宋体" w:cs="宋体"/>
                <w:bCs w:val="0"/>
                <w:snapToGrid w:val="0"/>
                <w:kern w:val="0"/>
                <w:szCs w:val="21"/>
                <w:highlight w:val="none"/>
                <w:lang w:val="en-US" w:eastAsia="zh-CN"/>
              </w:rPr>
              <w:t>后续若有大额固定资产投入计划，分析投入及资金安排</w:t>
            </w:r>
            <w:r>
              <w:rPr>
                <w:rFonts w:hint="eastAsia" w:ascii="宋体" w:hAnsi="宋体" w:cs="宋体"/>
                <w:bCs w:val="0"/>
                <w:snapToGrid w:val="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3"/>
            <w:r>
              <w:rPr>
                <w:rStyle w:val="CommentReference"/>
              </w:rPr>
              <w:commentReference w:id="3"/>
            </w:r>
          </w:p>
          <w:p w14:paraId="7B09B5AD">
            <w:commentRangeStart w:id="4"/>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commentRangeEnd w:id="4"/>
            <w:r>
              <w:rPr>
                <w:rStyle w:val="CommentReference"/>
              </w:rPr>
              <w:commentReference w:id="4"/>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snapToGrid w:val="0"/>
                <w:kern w:val="0"/>
                <w:szCs w:val="21"/>
                <w:highlight w:val="none"/>
                <w:lang w:val="en-US" w:eastAsia="zh-CN"/>
              </w:rPr>
              <w:t>（2）其他应收款2019至2021年末分别为925万元、934万元（同比增长1.0%）、1092万元（同比增长16.9%），2022年9月末为1077万元，需补充其他应收款明细。</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从该客户2022年现金流量表来看，公司的主营业务收入、筹资活动是公司现金流入的主要渠道，并且公司可通过自身主营业务获得现金流入。目前公司主要的现金流出为购买商品、接受劳务支付的现金及支付职工工资，公司需要通过一定的筹资来提用营运资金。 </w:t>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（3）存货2019至2021年末分别为913万元、741万元（同比下降18.8%）、767万元（同比增长3.5%），2022年9月末增至1427万元，需补充存货构成明细。</w:t>
              <w:br/>
              <w:t>（4）长期投资2020年末为537万元，2021年末增至918万元（同比增长71.0%），2022年9月末为1418万元，需补充长期投资明细。</w:t>
              <w:br/>
              <w:t>（5）应付账款2019至2021年末分别为1750万元、2279万元（同比增长30.2%）、2378万元（同比增长4.3%），2022年9月末为2342万元，需补充主要供应商账期明细。</w:t>
              <w:br/>
              <w:t>（6）其他应付款2019至2021年末分别为319万元、202万元（同比下降36.7%）、201万元（同比基本持平），2022年9月末为225万元。</w:t>
              <w:br/>
              <w:t>（7）主营业务收入2019至2021年分别为5365万元、7215万元（同比增长34.5%）、8251万元（同比增长14.4%），呈持续增长趋势，2022年1-9月为4515万元。公司销售净利率从2019年的2.4%提升至2021年的9.5%，盈利能力显著增强，主要得益于收入规模扩大及成本费用控制。这为其偿还债务提供了稳定的利润来源。需补充分产品线收入明细及行业景气度报告。</w:t>
              <w:br/>
              <w:t>（8）净利润2019至2021年分别为128万元、477万元（同比增长272.7%）、781万元（同比增长63.7%），盈利能力持续改善。净利润大幅增长主要系收入增长及期间费用率下降所致。盈利能力的提升直接增强了公司的内源性现金流和第一还款能力。需补充近三年分产品线毛利率表。</w:t>
              <w:br/>
              <w:t>（9）固定资产净值由2019年末847万元逐年下降至2022年9月末381万元，呈持续减少趋势，主要系计提折旧所致。固定资产周转率可能因此提高，但需关注资产更新计划。需补充固定资产折旧政策及后续投入计划。</w:t>
              <w:br/>
              <w:t>（10）预付账款由2019年末35万元大幅增长至2022年9月末719万元，预收账款2019年末115万元，2020年末359万元（较年初增长212.2%）。预付账款激增可能占用营运资金，而预收账款增长则改善了现金流。需结合应收账款周转天数（计算约为200天）分析整体营运资金效率及其对短期偿债能力（如流动比率）的影响。需补充预付账款及预收账款明细。</w:t>
              <w:br/>
              <w:t>- 预收账款较年初（2020年 vs 2019年）: +212.2%</w:t>
              <w:br/>
              <w:t>- 估算应收账款周转天数（以2021年数据为例）: 4759 / (8251/365) ≈ 210天</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六</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借款人</w:t>
            </w:r>
            <w:r>
              <w:rPr>
                <w:rFonts w:hint="eastAsia" w:ascii="宋体" w:hAnsi="宋体" w:cs="宋体"/>
                <w:snapToGrid w:val="0"/>
                <w:color w:val="000000"/>
                <w:kern w:val="0"/>
                <w:szCs w:val="21"/>
                <w:highlight w:val="none"/>
              </w:rPr>
              <w:t>融资</w:t>
            </w:r>
            <w:r>
              <w:rPr>
                <w:rFonts w:hint="eastAsia" w:ascii="宋体" w:hAnsi="宋体" w:cs="宋体"/>
                <w:snapToGrid w:val="0"/>
                <w:color w:val="000000"/>
                <w:kern w:val="0"/>
                <w:szCs w:val="21"/>
                <w:highlight w:val="none"/>
                <w:lang w:val="en-US" w:eastAsia="zh-CN"/>
              </w:rPr>
              <w:t>/</w:t>
            </w:r>
            <w:r>
              <w:rPr>
                <w:rFonts w:hint="eastAsia" w:ascii="宋体" w:hAnsi="宋体" w:cs="宋体"/>
                <w:snapToGrid w:val="0"/>
                <w:color w:val="000000"/>
                <w:kern w:val="0"/>
                <w:szCs w:val="21"/>
                <w:highlight w:val="none"/>
              </w:rPr>
              <w:t>对外担保</w:t>
            </w:r>
            <w:r>
              <w:rPr>
                <w:rFonts w:hint="eastAsia" w:ascii="宋体" w:hAnsi="宋体" w:cs="宋体"/>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截至报告日，公司无对外担保，无逾期、欠息及被追偿记录，五级分类正常。</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5"/>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5"/>
            <w:r>
              <w:rPr>
                <w:rStyle w:val="CommentReference"/>
              </w:rPr>
              <w:commentReference w:id="5"/>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commentRangeStart w:id="7"/>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7"/>
            <w:r>
              <w:rPr>
                <w:rStyle w:val="CommentReference"/>
              </w:rPr>
              <w:commentReference w:id="7"/>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Cs/>
                <w:snapToGrid w:val="0"/>
                <w:color w:val="000000"/>
                <w:kern w:val="0"/>
                <w:szCs w:val="21"/>
                <w:highlight w:val="none"/>
                <w:lang w:val="en-US" w:eastAsia="zh-CN"/>
              </w:rPr>
              <w:t>材料未提供实控人个人征信信息。</w:t>
            </w:r>
            <w:r>
              <w:rPr>
                <w:rFonts w:hint="eastAsia" w:ascii="宋体" w:hAnsi="宋体" w:cs="宋体"/>
                <w:bCs/>
                <w:snapToGrid w:val="0"/>
                <w:color w:val="000000"/>
                <w:kern w:val="0"/>
                <w:szCs w:val="21"/>
                <w:highlight w:val="none"/>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commentRangeStart w:id="8"/>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Cs/>
                <w:snapToGrid w:val="0"/>
                <w:color w:val="000000"/>
                <w:kern w:val="0"/>
                <w:szCs w:val="21"/>
                <w:highlight w:val="none"/>
                <w:lang w:val="en-US" w:eastAsia="zh-CN"/>
              </w:rPr>
              <w:t>陈XX，中国国籍，福建福州人，1978年生，个人征信信息：需补充实控人配偶个人征信报告。</w:t>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commentRangeEnd w:id="8"/>
            <w:r>
              <w:rPr>
                <w:rStyle w:val="CommentReference"/>
              </w:rPr>
              <w:commentReference w:id="8"/>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Cs/>
                <w:snapToGrid w:val="0"/>
                <w:kern w:val="0"/>
                <w:szCs w:val="21"/>
              </w:rPr>
              <w:t>科技型企业类型：</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科技型中小企业</w:t>
            </w:r>
            <w:r>
              <w:rPr>
                <w:rFonts w:hint="eastAsia" w:ascii="宋体" w:hAnsi="宋体" w:eastAsia="宋体" w:cs="宋体"/>
                <w:bCs/>
                <w:snapToGrid w:val="0"/>
                <w:kern w:val="0"/>
                <w:szCs w:val="21"/>
                <w:lang w:val="en-US" w:eastAsia="zh-CN"/>
              </w:rPr>
              <w:t>（第几轮，有效期至X年X月X日）</w:t>
            </w:r>
            <w:r>
              <w:rPr>
                <w:rFonts w:hint="eastAsia" w:ascii="宋体" w:hAnsi="宋体" w:eastAsia="宋体" w:cs="宋体"/>
                <w:bCs/>
                <w:snapToGrid w:val="0"/>
                <w:kern w:val="0"/>
                <w:szCs w:val="21"/>
                <w:lang w:val="en-US" w:eastAsia="zh-CN"/>
              </w:rPr>
              <w:t>；</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高新技术企业；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“专精特新”中小企业；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制造业单项冠军企业；</w:t>
            </w:r>
            <w:r>
              <w:rPr>
                <w:rFonts w:hint="eastAsia" w:ascii="宋体" w:hAnsi="宋体" w:eastAsia="宋体" w:cs="宋体"/>
                <w:bCs/>
                <w:snapToGrid w:val="0"/>
                <w:kern w:val="0"/>
                <w:szCs w:val="21"/>
              </w:rPr>
              <w:t>□</w:t>
            </w:r>
            <w:r>
              <w:rPr>
                <w:rFonts w:hint="eastAsia" w:ascii="宋体" w:hAnsi="宋体" w:eastAsia="宋体" w:cs="宋体"/>
                <w:bCs/>
                <w:snapToGrid w:val="0"/>
                <w:kern w:val="0"/>
                <w:szCs w:val="21"/>
                <w:lang w:val="en-US" w:eastAsia="zh-CN"/>
              </w:rPr>
              <w:t>国家技术创新示范企业</w:t>
            </w:r>
          </w:p>
          <w:p w14:paraId="6C01223F">
            <w:commentRangeStart w:id="9"/>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Cs/>
                <w:snapToGrid w:val="0"/>
                <w:kern w:val="0"/>
                <w:sz w:val="21"/>
                <w:szCs w:val="21"/>
                <w:lang w:val="en-US" w:eastAsia="zh-CN" w:bidi="ar-SA"/>
              </w:rPr>
              <w:t>科技型企业评分：</w:t>
            </w:r>
            <w:r>
              <w:rPr>
                <w:rFonts w:hint="eastAsia" w:ascii="宋体" w:hAnsi="宋体" w:cs="宋体"/>
                <w:bCs/>
                <w:snapToGrid w:val="0"/>
                <w:color w:val="000000"/>
                <w:kern w:val="0"/>
                <w:szCs w:val="21"/>
                <w:u w:val="single"/>
                <w:lang w:val="en-US" w:eastAsia="zh-CN"/>
              </w:rPr>
              <w:t xml:space="preserve">    </w:t>
            </w:r>
            <w:r>
              <w:rPr>
                <w:rFonts w:hint="eastAsia" w:ascii="宋体" w:hAnsi="宋体" w:eastAsia="宋体" w:cs="宋体"/>
                <w:bCs/>
                <w:snapToGrid w:val="0"/>
                <w:kern w:val="0"/>
                <w:sz w:val="21"/>
                <w:szCs w:val="21"/>
                <w:lang w:val="en-US" w:eastAsia="zh-CN" w:bidi="ar-SA"/>
              </w:rPr>
              <w:t>分</w:t>
            </w:r>
            <w:commentRangeEnd w:id="9"/>
            <w:r>
              <w:rPr>
                <w:rStyle w:val="CommentReference"/>
              </w:rPr>
              <w:commentReference w:id="9"/>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Cs/>
                <w:kern w:val="2"/>
                <w:sz w:val="21"/>
                <w:szCs w:val="21"/>
                <w:highlight w:val="none"/>
                <w:lang w:val="en-US" w:eastAsia="zh-CN"/>
              </w:rPr>
              <w:t>※2.研发投入情况</w:t>
            </w:r>
            <w:r>
              <w:rPr>
                <w:rFonts w:hint="eastAsia" w:ascii="宋体" w:hAnsi="宋体" w:cs="宋体"/>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Cs w:val="0"/>
                <w:kern w:val="2"/>
                <w:sz w:val="21"/>
                <w:szCs w:val="21"/>
                <w:highlight w:val="none"/>
                <w:lang w:val="en-US" w:eastAsia="zh-CN"/>
              </w:rPr>
              <w:t>①</w:t>
            </w:r>
            <w:r>
              <w:rPr>
                <w:rFonts w:hint="eastAsia" w:ascii="宋体" w:hAnsi="宋体" w:eastAsia="宋体" w:cs="宋体"/>
                <w:bCs w:val="0"/>
                <w:kern w:val="2"/>
                <w:sz w:val="21"/>
                <w:szCs w:val="21"/>
                <w:highlight w:val="none"/>
                <w:lang w:eastAsia="zh-CN"/>
              </w:rPr>
              <w:t>核心</w:t>
            </w:r>
            <w:r>
              <w:rPr>
                <w:rFonts w:hint="eastAsia" w:ascii="宋体" w:hAnsi="宋体" w:cs="宋体"/>
                <w:bCs w:val="0"/>
                <w:kern w:val="2"/>
                <w:sz w:val="21"/>
                <w:szCs w:val="21"/>
                <w:highlight w:val="none"/>
                <w:lang w:val="en-US" w:eastAsia="zh-CN"/>
              </w:rPr>
              <w:t>研发</w:t>
            </w:r>
            <w:r>
              <w:rPr>
                <w:rFonts w:hint="eastAsia" w:ascii="宋体" w:hAnsi="宋体" w:eastAsia="宋体" w:cs="宋体"/>
                <w:bCs w:val="0"/>
                <w:kern w:val="2"/>
                <w:sz w:val="21"/>
                <w:szCs w:val="21"/>
                <w:highlight w:val="none"/>
                <w:lang w:eastAsia="zh-CN"/>
              </w:rPr>
              <w:t>人员是否</w:t>
            </w:r>
            <w:r>
              <w:rPr>
                <w:rFonts w:hint="eastAsia" w:ascii="宋体" w:hAnsi="宋体" w:cs="宋体"/>
                <w:bCs w:val="0"/>
                <w:kern w:val="2"/>
                <w:sz w:val="21"/>
                <w:szCs w:val="21"/>
                <w:highlight w:val="none"/>
                <w:lang w:val="en-US" w:eastAsia="zh-CN"/>
              </w:rPr>
              <w:t>享有</w:t>
            </w:r>
            <w:r>
              <w:rPr>
                <w:rFonts w:hint="eastAsia" w:ascii="宋体" w:hAnsi="宋体" w:eastAsia="宋体" w:cs="宋体"/>
                <w:bCs w:val="0"/>
                <w:kern w:val="2"/>
                <w:sz w:val="21"/>
                <w:szCs w:val="21"/>
                <w:highlight w:val="none"/>
                <w:lang w:eastAsia="zh-CN"/>
              </w:rPr>
              <w:t>股权激励：</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是</w:t>
            </w:r>
            <w:r>
              <w:rPr>
                <w:rFonts w:hint="eastAsia" w:ascii="宋体" w:hAnsi="宋体" w:eastAsia="宋体" w:cs="宋体"/>
                <w:bCs w:val="0"/>
                <w:kern w:val="2"/>
                <w:szCs w:val="21"/>
                <w:highlight w:val="none"/>
                <w:lang w:val="en-US" w:eastAsia="zh-CN"/>
              </w:rPr>
              <w:t xml:space="preserve"> </w:t>
            </w:r>
            <w:r>
              <w:rPr>
                <w:rFonts w:hint="eastAsia" w:ascii="宋体" w:hAnsi="宋体" w:cs="宋体"/>
                <w:bCs/>
                <w:snapToGrid w:val="0"/>
                <w:kern w:val="0"/>
                <w:szCs w:val="21"/>
              </w:rPr>
              <w:t>☑</w:t>
            </w:r>
            <w:r>
              <w:rPr>
                <w:rFonts w:hint="eastAsia" w:ascii="宋体" w:hAnsi="宋体" w:eastAsia="宋体" w:cs="宋体"/>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Cs/>
                <w:kern w:val="2"/>
                <w:sz w:val="21"/>
                <w:szCs w:val="21"/>
                <w:highlight w:val="none"/>
                <w:lang w:val="en-US" w:eastAsia="zh-CN"/>
              </w:rPr>
              <w:t>科技型企业类型：高新技术企业。</w:t>
              <w:br/>
              <w:t>科技型企业评分：需补充科技型企业评分证明材料。</w:t>
              <w:br/>
              <w:t>※2.研发投入情况：</w:t>
              <w:br/>
              <w:t>①核心研发人员是否享有股权激励：需补充核心研发人员股权激励协议或相关说明文件。</w:t>
              <w:br/>
              <w:t>②近三年研发投入占比及研发人员占比详见下表。</w:t>
              <w:br/>
              <w:t>※3.专利情况：企业拥有发明专利1项、实用专利1项，权属清晰，不存在瑕疵及涉诉情况，具体情况如下表所示：</w:t>
            </w:r>
            <w:r>
              <w:rPr>
                <w:rFonts w:hint="eastAsia" w:ascii="宋体" w:hAnsi="宋体" w:cs="宋体"/>
                <w:bCs w:val="0"/>
                <w:kern w:val="2"/>
                <w:sz w:val="21"/>
                <w:szCs w:val="21"/>
                <w:highlight w:val="none"/>
                <w:lang w:val="en-US" w:eastAsia="zh-CN" w:bidi="ar-SA"/>
              </w:rPr>
            </w:r>
            <w:r>
              <w:rPr>
                <w:rFonts w:hint="eastAsia" w:ascii="宋体" w:hAnsi="宋体" w:eastAsia="宋体" w:cs="宋体"/>
                <w:bCs w:val="0"/>
                <w:kern w:val="2"/>
                <w:sz w:val="21"/>
                <w:szCs w:val="21"/>
                <w:highlight w:val="none"/>
                <w:lang w:val="en-US" w:eastAsia="zh-CN" w:bidi="ar-SA"/>
              </w:rPr>
            </w:r>
            <w:r>
              <w:rPr>
                <w:rFonts w:hint="eastAsia" w:ascii="宋体" w:hAnsi="宋体" w:cs="宋体"/>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Cs/>
                <w:snapToGrid w:val="0"/>
                <w:kern w:val="0"/>
                <w:sz w:val="21"/>
                <w:szCs w:val="21"/>
                <w:highlight w:val="none"/>
                <w:lang w:val="en-US" w:eastAsia="zh-CN" w:bidi="ar-SA"/>
              </w:rPr>
              <w:t>（</w:t>
            </w:r>
            <w:r>
              <w:rPr>
                <w:rFonts w:hint="eastAsia" w:ascii="宋体" w:hAnsi="宋体" w:cs="宋体"/>
                <w:bCs/>
                <w:snapToGrid w:val="0"/>
                <w:kern w:val="0"/>
                <w:sz w:val="21"/>
                <w:szCs w:val="21"/>
                <w:highlight w:val="none"/>
                <w:lang w:val="en-US" w:eastAsia="zh-CN" w:bidi="ar-SA"/>
              </w:rPr>
              <w:t>八</w:t>
            </w:r>
            <w:r>
              <w:rPr>
                <w:rFonts w:hint="eastAsia" w:ascii="宋体" w:hAnsi="宋体" w:eastAsia="宋体" w:cs="宋体"/>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截至目前，企业在我行日均存款1000万元。</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color w:val="auto"/>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预计企业在我行可实现日均存款1000万元。</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九</w:t>
            </w:r>
            <w:r>
              <w:rPr>
                <w:rFonts w:hint="eastAsia" w:ascii="宋体" w:hAnsi="宋体" w:cs="宋体"/>
                <w:snapToGrid w:val="0"/>
                <w:color w:val="000000"/>
                <w:kern w:val="0"/>
                <w:szCs w:val="21"/>
                <w:highlight w:val="none"/>
              </w:rPr>
              <w:t>）借款原因及还款能力</w:t>
            </w:r>
            <w:r>
              <w:rPr>
                <w:rFonts w:hint="eastAsia" w:ascii="宋体" w:hAnsi="宋体" w:cs="宋体"/>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Cs/>
                <w:snapToGrid w:val="0"/>
                <w:color w:val="000000"/>
                <w:kern w:val="0"/>
                <w:szCs w:val="21"/>
                <w:highlight w:val="none"/>
              </w:rPr>
              <w:t>借款人目前经营性现金流状况整体较好，且账上拥有货币资金1500万，但因对上游账款预付或现付、下游货款回笼较慢，且前端工序处于涨价周期，对营运资金需求较大，故需申请部分贷款用于补充流动资金。本次申请为短期流贷3000万元，期限1年。</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Cs/>
                <w:snapToGrid w:val="0"/>
                <w:kern w:val="0"/>
                <w:szCs w:val="21"/>
                <w:highlight w:val="none"/>
                <w:lang w:val="en-US" w:eastAsia="zh-CN"/>
              </w:rPr>
              <w:t>（若申请中期流动资金贷款，请补充分析原因：</w:t>
            </w:r>
            <w:r>
              <w:rPr>
                <w:rFonts w:hint="eastAsia" w:ascii="宋体" w:hAnsi="宋体" w:cs="宋体"/>
                <w:bCs/>
                <w:snapToGrid w:val="0"/>
                <w:kern w:val="0"/>
                <w:szCs w:val="21"/>
                <w:highlight w:val="none"/>
                <w:u w:val="single"/>
                <w:lang w:val="en-US" w:eastAsia="zh-CN"/>
              </w:rPr>
              <w:t xml:space="preserve"> 本次申请给予兴业资产管理有限公司总额5亿元综合授信额度（敞口5亿元）。敞口信用。具体品种如下：（2）中期流动资金贷款2亿元，业务期限3年，一次性使用，用于公司经营周转及置换他行贷款。 </w:t>
            </w:r>
            <w:r>
              <w:rPr>
                <w:rFonts w:hint="eastAsia" w:ascii="宋体" w:hAnsi="宋体" w:cs="宋体"/>
                <w:bCs/>
                <w:snapToGrid w:val="0"/>
                <w:kern w:val="0"/>
                <w:szCs w:val="21"/>
                <w:highlight w:val="none"/>
                <w:u w:val="none"/>
                <w:lang w:val="en-US" w:eastAsia="zh-CN"/>
              </w:rPr>
              <w:t>）</w:t>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Cs/>
                <w:snapToGrid w:val="0"/>
                <w:kern w:val="0"/>
                <w:szCs w:val="21"/>
                <w:highlight w:val="none"/>
              </w:rPr>
              <w:t>2</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Cs/>
                <w:snapToGrid w:val="0"/>
                <w:color w:val="auto"/>
                <w:kern w:val="0"/>
                <w:szCs w:val="21"/>
                <w:highlight w:val="none"/>
              </w:rPr>
              <w:t>根据流动资金需求测算，企业新增营运资金需求为9.06亿元。本次我行申请中短期流贷金额5亿元，用途为补充为借款人购买资产包提供流动资金以及置换到期银行借款。测算依据为：2019-2021年购买资产包成本合计198.63亿元，处置回收现金合计142.95亿元，自有资金占用累计55.68亿元，经营性净现金流累计净流出94.45亿元；2022年6月末实际投资资产包金额25.5亿元，预计2022年收购成本67.05亿元，当期收回现金57.99亿元，当期资金占用金额9.06亿元。</w:t>
            </w:r>
            <w:r>
              <w:rPr>
                <w:rFonts w:hint="eastAsia" w:ascii="宋体" w:hAnsi="宋体" w:cs="宋体"/>
                <w:bCs/>
                <w:snapToGrid w:val="0"/>
                <w:color w:val="auto"/>
                <w:kern w:val="0"/>
                <w:szCs w:val="21"/>
                <w:highlight w:val="none"/>
                <w:lang w:val="en-US" w:eastAsia="zh-CN"/>
              </w:rPr>
            </w:r>
            <w:r>
              <w:rPr>
                <w:rFonts w:hint="eastAsia" w:ascii="宋体" w:hAnsi="宋体" w:cs="宋体"/>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0"/>
            <w:r>
              <w:rPr>
                <w:rStyle w:val="CommentReference"/>
              </w:rPr>
              <w:commentReference w:id="10"/>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snapToGrid w:val="0"/>
                <w:kern w:val="0"/>
                <w:szCs w:val="21"/>
                <w:highlight w:val="none"/>
                <w:lang w:val="en-US" w:eastAsia="zh-CN"/>
              </w:rPr>
              <w:t>3.</w:t>
            </w:r>
            <w:r>
              <w:rPr>
                <w:rFonts w:hint="eastAsia" w:ascii="宋体" w:hAnsi="宋体" w:cs="宋体"/>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从第一还款来源来看，2019年至2022年9月，公司的主营业务收入分别为：5365万元、7215万元、8251万元和4515万元，2019年-2021年保持整体增长的水平。公司可通过自身主营业务获得现金流入。 </w:t>
            </w:r>
          </w:p>
          <w:p w14:paraId="0DEB130D">
            <w:commentRangeStart w:id="11"/>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commentRangeEnd w:id="11"/>
            <w:r>
              <w:rPr>
                <w:rStyle w:val="CommentReference"/>
              </w:rPr>
              <w:commentReference w:id="11"/>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①第一还款来源（经营性现金流分析）：需补充近三年及一期现金流量表，以分析经营性现金流净额。</w:t>
              <w:br/>
              <w:t>②第二还款来源（抵质押物变现能力分析及其他渠道现金流分析）：需补充本次授信提供的抵质押物信息（类型、价值、权属等）。公司控股股东为福建省招标股份有限公司，最终控制人为福建省招标采购集团，据材料股东注资情况，招标股份已通过募集资金账户向企业注资1.5亿元。</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2"/>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2"/>
            <w:r>
              <w:rPr>
                <w:rStyle w:val="CommentReference"/>
              </w:rPr>
              <w:commentReference w:id="12"/>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十</w:t>
            </w:r>
            <w:r>
              <w:rPr>
                <w:rFonts w:hint="eastAsia" w:ascii="宋体" w:hAnsi="宋体" w:cs="宋体"/>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cs="宋体"/>
                <w:color w:val="auto"/>
                <w:sz w:val="21"/>
                <w:szCs w:val="21"/>
                <w:highlight w:val="none"/>
                <w:lang w:val="en-US" w:eastAsia="zh-CN"/>
              </w:rPr>
              <w:t>.</w:t>
            </w:r>
            <w:r>
              <w:rPr>
                <w:rFonts w:hint="eastAsia" w:ascii="宋体" w:hAnsi="宋体" w:eastAsia="宋体" w:cs="宋体"/>
                <w:color w:val="auto"/>
                <w:sz w:val="21"/>
                <w:szCs w:val="21"/>
                <w:highlight w:val="none"/>
              </w:rPr>
              <w:t>抵押担保</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如涉及</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sz w:val="18"/>
                      <w:szCs w:val="18"/>
                      <w:highlight w:val="none"/>
                    </w:rPr>
                    <w:t>抵押物</w:t>
                  </w:r>
                  <w:r>
                    <w:rPr>
                      <w:rFonts w:hint="eastAsia" w:ascii="宋体" w:hAnsi="宋体" w:cs="宋体"/>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sz w:val="18"/>
                      <w:szCs w:val="18"/>
                      <w:highlight w:val="none"/>
                      <w:lang w:val="en-US" w:eastAsia="zh-CN"/>
                    </w:rPr>
                    <w:t>自用/</w:t>
                  </w:r>
                  <w:r>
                    <w:rPr>
                      <w:rFonts w:hint="eastAsia" w:ascii="宋体" w:hAnsi="宋体" w:eastAsia="宋体" w:cs="宋体"/>
                      <w:sz w:val="18"/>
                      <w:szCs w:val="18"/>
                      <w:highlight w:val="none"/>
                      <w:lang w:eastAsia="zh-CN"/>
                    </w:rPr>
                    <w:t>出租</w:t>
                  </w:r>
                  <w:r>
                    <w:rPr>
                      <w:rFonts w:hint="eastAsia" w:ascii="宋体" w:hAnsi="宋体" w:eastAsia="宋体" w:cs="宋体"/>
                      <w:sz w:val="18"/>
                      <w:szCs w:val="18"/>
                      <w:highlight w:val="none"/>
                      <w:lang w:val="en-US" w:eastAsia="zh-CN"/>
                    </w:rPr>
                    <w:t>/空置</w:t>
                  </w:r>
                  <w:r>
                    <w:rPr>
                      <w:rFonts w:hint="eastAsia" w:ascii="宋体" w:hAnsi="宋体" w:eastAsia="宋体" w:cs="宋体"/>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材料未提供抵押担保相关材料。</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2.</w:t>
            </w:r>
            <w:r>
              <w:rPr>
                <w:rFonts w:hint="eastAsia" w:ascii="宋体" w:hAnsi="宋体" w:eastAsia="宋体" w:cs="宋体"/>
                <w:sz w:val="21"/>
                <w:szCs w:val="21"/>
                <w:highlight w:val="none"/>
              </w:rPr>
              <w:t>公司担保</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如涉及</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兴业资产管理有限公司成立于2017年2月20日，注册资本及实收资本均为1950万元，法定代表人谢斌，实际控制人为兴业银行股份有限公司。公司持有银监会批准的地方资产管理公司资质，主要经营不良资产收购处置及投资管理等业务，对公PD评级为4级，符合保证人准入要求。主要财务指标详见下表。银行授信品种、敞口提用余额、对外担保余额、不良记录及风险涉诉信息均未提供，需补充保证人征信报告及涉诉查询记录。</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color w:val="auto"/>
                <w:sz w:val="21"/>
                <w:szCs w:val="21"/>
                <w:highlight w:val="none"/>
                <w:lang w:val="en-US" w:eastAsia="zh-CN"/>
              </w:rPr>
              <w:t>材料未提供我行认可的专业担保公司担保相关审批结论及担保公司情况。</w:t>
            </w:r>
            <w:r>
              <w:rPr>
                <w:rFonts w:hint="eastAsia" w:ascii="宋体" w:hAnsi="宋体" w:eastAsia="宋体" w:cs="宋体"/>
                <w:color w:val="auto"/>
                <w:sz w:val="21"/>
                <w:szCs w:val="21"/>
                <w:highlight w:val="none"/>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lang w:val="en-US" w:eastAsia="zh-CN"/>
              </w:rPr>
            </w:r>
            <w:r>
              <w:rPr>
                <w:rFonts w:hint="eastAsia" w:ascii="宋体" w:hAnsi="宋体" w:cs="宋体"/>
                <w:color w:val="auto"/>
                <w:sz w:val="21"/>
                <w:szCs w:val="21"/>
                <w:highlight w:val="none"/>
                <w:lang w:val="en-US" w:eastAsia="zh-CN"/>
              </w:rPr>
            </w:r>
            <w:r>
              <w:rPr>
                <w:rFonts w:hint="eastAsia" w:ascii="宋体" w:hAnsi="宋体" w:eastAsia="宋体" w:cs="宋体"/>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4.</w:t>
            </w:r>
            <w:r>
              <w:rPr>
                <w:rFonts w:hint="eastAsia" w:ascii="宋体" w:hAnsi="宋体" w:eastAsia="宋体" w:cs="宋体"/>
                <w:sz w:val="21"/>
                <w:szCs w:val="21"/>
                <w:highlight w:val="none"/>
              </w:rPr>
              <w:t>个人担保</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如：实控人及配偶</w:t>
            </w:r>
            <w:r>
              <w:rPr>
                <w:rFonts w:hint="eastAsia" w:ascii="宋体" w:hAnsi="宋体" w:cs="宋体"/>
                <w:sz w:val="21"/>
                <w:szCs w:val="21"/>
                <w:highlight w:val="none"/>
                <w:lang w:eastAsia="zh-CN"/>
              </w:rPr>
              <w:t>）</w:t>
            </w:r>
            <w:r>
              <w:rPr>
                <w:rFonts w:hint="eastAsia" w:ascii="宋体" w:hAnsi="宋体" w:eastAsia="宋体" w:cs="宋体"/>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信用方式</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Cs/>
                <w:snapToGrid w:val="0"/>
                <w:kern w:val="0"/>
                <w:szCs w:val="21"/>
                <w:highlight w:val="none"/>
              </w:rPr>
              <w:t>企业成立于2005年8月4日，法定代表人郑志煌，实际控制人为福建省招。企业与我行联系紧密合作融洽，是我行的优质客户，ESG评级为A，我行PD评级为5级。企业无对外担保及资产质押，人行征信未发现他行授信，无逾期欠息记录，信用情况良好。</w:t>
              <w:br/>
              <w:br/>
              <w:t>财务分析：</w:t>
              <w:br/>
              <w:t>企业2021年营业收入8251万元，2022年截至9月营业收入4575万元，同比下降约44.5%（按年化估算），显示短期营收承压。截至2022年9月应收账款达5782万元，超过同期营业收入，应收账款周转天数显著延长，表明回款速度放缓，对营运资金形成占用。企业营业总成本与营业收入持平（均为4575万元），成本控制压力较大，其中支付的职工薪酬为3165万元，占比较高。从杠杆率看，企业无对外负债记录，财务杠杆极低，偿债压力小。结合其无他行授信、无对外担保的情况，企业整体信用风险可控，第一还款来源主要依赖其经营现金流的改善，第二还款来源因其低杠杆而具备较强的缓冲空间。</w:t>
              <w:br/>
              <w:br/>
              <w:t>六要素综合评判与授信方案：</w:t>
              <w:br/>
              <w:t>1.  现金流与可持续性：企业当前营收下滑且应收账款高企，现金流紧张。但作为我行长期优质客户，历史合作良好，且无负面风险信息，经营具备可持续基础。</w:t>
              <w:br/>
              <w:t>2.  杠杆率与强担保：企业杠杆率极低，无抵押担保负担，信用记录清白，符合“强担保”（指客户自身信用强）的要素。</w:t>
              <w:br/>
              <w:t>3.  垒小户与配结算：客户在我行结算比例达50%，日均存款1000万元，日均贷款2000万元，合作深入，综合收益尚可（RAROC为32.99%），具备“配结算”基础。授信有助于进一步巩固合作，实现“垒小户”。</w:t>
              <w:br/>
              <w:br/>
              <w:t>综上，建议准入。本次计划给予企业综合授信额度3375万元，方案包含：3000万元短期流贷（用于补充营运资金）、2300万元快捷保理（针对其高应收账款盘活资产）、2300万元商票保贴及2300万元非融资性保函（免保证金）。授信产品总额度超过综合授信额度，实际提用以3375万元为限，按需启用不同产品。</w:t>
              <w:br/>
              <w:br/>
              <w:t>贷后管控措施：</w:t>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val="en-US" w:eastAsia="zh-CN"/>
              </w:rPr>
            </w:r>
            <w:r>
              <w:rPr>
                <w:rFonts w:hint="eastAsia" w:ascii="宋体" w:hAnsi="宋体" w:cs="宋体"/>
                <w:bCs/>
                <w:snapToGrid w:val="0"/>
                <w:kern w:val="0"/>
                <w:szCs w:val="21"/>
                <w:highlight w:val="none"/>
              </w:rPr>
            </w:r>
            <w:r>
              <w:rPr>
                <w:rFonts w:hint="eastAsia" w:ascii="宋体" w:hAnsi="宋体" w:cs="宋体"/>
                <w:bCs/>
                <w:snapToGrid w:val="0"/>
                <w:kern w:val="0"/>
                <w:szCs w:val="21"/>
                <w:highlight w:val="non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rPr>
            </w:r>
            <w:r>
              <w:rPr>
                <w:rFonts w:hint="eastAsia" w:ascii="宋体" w:hAnsi="宋体" w:cs="宋体"/>
                <w:bCs/>
                <w:snapToGrid w:val="0"/>
                <w:kern w:val="0"/>
                <w:szCs w:val="21"/>
                <w:highlight w:val="none"/>
                <w:u w:val="single"/>
                <w:lang w:eastAsia="zh-CN"/>
              </w:rPr>
            </w:r>
            <w:r>
              <w:rPr>
                <w:rFonts w:hint="eastAsia" w:ascii="宋体" w:hAnsi="宋体" w:cs="宋体"/>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kern w:val="2"/>
                <w:sz w:val="21"/>
                <w:szCs w:val="21"/>
                <w:highlight w:val="none"/>
              </w:rPr>
              <w:t>1</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综合</w:t>
            </w:r>
            <w:r>
              <w:rPr>
                <w:rFonts w:hint="eastAsia" w:ascii="宋体" w:hAnsi="宋体" w:eastAsia="宋体" w:cs="宋体"/>
                <w:kern w:val="2"/>
                <w:sz w:val="21"/>
                <w:szCs w:val="21"/>
                <w:highlight w:val="none"/>
              </w:rPr>
              <w:t>评价</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围绕</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val="en-US" w:eastAsia="zh-CN"/>
              </w:rPr>
              <w:t>六要素</w:t>
            </w:r>
            <w:r>
              <w:rPr>
                <w:rFonts w:hint="eastAsia" w:ascii="宋体" w:hAnsi="宋体" w:cs="宋体"/>
                <w:kern w:val="2"/>
                <w:sz w:val="21"/>
                <w:szCs w:val="21"/>
                <w:highlight w:val="none"/>
                <w:lang w:val="en-US" w:eastAsia="zh-CN"/>
              </w:rPr>
              <w:t>”</w:t>
            </w:r>
            <w:r>
              <w:rPr>
                <w:rFonts w:hint="eastAsia" w:ascii="宋体" w:hAnsi="宋体" w:eastAsia="宋体" w:cs="宋体"/>
                <w:kern w:val="2"/>
                <w:sz w:val="21"/>
                <w:szCs w:val="21"/>
                <w:highlight w:val="none"/>
                <w:lang w:eastAsia="zh-CN"/>
              </w:rPr>
              <w:t>）</w:t>
            </w:r>
            <w:r>
              <w:rPr>
                <w:rFonts w:hint="eastAsia" w:ascii="宋体" w:hAnsi="宋体" w:cs="宋体"/>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现金流：借款人2022年9月末主营业务收入4515万元，较2021年同期增加1789万元，但较2021年末减少3736万元。据企业预计2022年全年收入可达12000万元左右，需补充2022年及2023年完整财务报表及现金流量表以核实现金流状况。</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杠杆率：自2019年起至2021年，企业总资产每年保持90%以上的增长速度，需补充近三年资产负债表及负债率、流动比率等具体财务指标。</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可持续：企业成立于2005年8月4日，为福建省招标股份有限公司的全资子公司，隶属于福建省招标采购集团。企业为综合性甲级测绘地理信息技术服务企业，下游客户多为政府及企事业单位，应收账款质量高，坏账率低。母公司已通过募集资金账户向企业注资1.5亿元，需补充主营业务及所属行业说明、人员结构及研发团队情况。</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Cs/>
                <w:snapToGrid w:val="0"/>
                <w:kern w:val="0"/>
                <w:szCs w:val="21"/>
                <w:highlight w:val="none"/>
                <w:u w:val="single"/>
                <w:lang w:val="en-US" w:eastAsia="zh-CN"/>
              </w:rPr>
              <w:t>垒小户（多头贷款、交叉授信、超融）：需补充企业现有合作银行清单、在各行授信及用信明细、固定资产明细。配结算：需补充企业在我行开户时间及历史结算流水情况。</w:t>
            </w: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t>强担保：本次授信由福建经纬数字科技信息有限公司自身信用担保。</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3"/>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2</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lang w:val="en-US" w:eastAsia="zh-CN"/>
              </w:rPr>
              <w:t>申报</w:t>
            </w:r>
            <w:r>
              <w:rPr>
                <w:rFonts w:hint="eastAsia" w:ascii="宋体" w:hAnsi="宋体" w:eastAsia="宋体" w:cs="宋体"/>
                <w:kern w:val="2"/>
                <w:sz w:val="21"/>
                <w:szCs w:val="21"/>
                <w:highlight w:val="none"/>
              </w:rPr>
              <w:t>授信</w:t>
            </w:r>
            <w:r>
              <w:rPr>
                <w:rFonts w:hint="eastAsia" w:ascii="宋体" w:hAnsi="宋体" w:eastAsia="宋体" w:cs="宋体"/>
                <w:kern w:val="2"/>
                <w:sz w:val="21"/>
                <w:szCs w:val="21"/>
                <w:highlight w:val="none"/>
                <w:lang w:val="en-US" w:eastAsia="zh-CN"/>
              </w:rPr>
              <w:t>方案</w:t>
            </w:r>
            <w:r>
              <w:rPr>
                <w:rFonts w:hint="eastAsia" w:ascii="宋体" w:hAnsi="宋体" w:cs="宋体"/>
                <w:kern w:val="2"/>
                <w:sz w:val="21"/>
                <w:szCs w:val="21"/>
                <w:highlight w:val="none"/>
                <w:lang w:eastAsia="zh-CN"/>
              </w:rPr>
              <w:t>：</w:t>
            </w:r>
            <w:r>
              <w:rPr>
                <w:rFonts w:hint="eastAsia" w:ascii="宋体" w:hAnsi="宋体" w:cs="宋体"/>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kern w:val="2"/>
                <w:sz w:val="21"/>
                <w:szCs w:val="21"/>
                <w:highlight w:val="none"/>
                <w:u w:val="single"/>
                <w:lang w:val="en-US" w:eastAsia="zh-CN"/>
              </w:rPr>
              <w:t xml:space="preserve"> </w:t>
            </w:r>
            <w:commentRangeEnd w:id="13"/>
            <w:r>
              <w:rPr>
                <w:rStyle w:val="CommentReference"/>
              </w:rPr>
              <w:commentReference w:id="13"/>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snapToGrid w:val="0"/>
                <w:color w:val="auto"/>
                <w:kern w:val="0"/>
                <w:szCs w:val="21"/>
                <w:highlight w:val="cyan"/>
              </w:rPr>
              <w:t>尽职</w:t>
            </w:r>
            <w:r>
              <w:rPr>
                <w:rFonts w:hint="eastAsia" w:ascii="宋体" w:hAnsi="宋体" w:cs="宋体"/>
                <w:snapToGrid w:val="0"/>
                <w:color w:val="auto"/>
                <w:kern w:val="0"/>
                <w:szCs w:val="21"/>
                <w:highlight w:val="cyan"/>
                <w:lang w:val="en-US" w:eastAsia="zh-CN"/>
              </w:rPr>
              <w:t>调查</w:t>
            </w:r>
            <w:r>
              <w:rPr>
                <w:rFonts w:hint="eastAsia" w:ascii="宋体" w:hAnsi="宋体" w:cs="宋体"/>
                <w:snapToGrid w:val="0"/>
                <w:color w:val="auto"/>
                <w:kern w:val="0"/>
                <w:szCs w:val="21"/>
                <w:highlight w:val="cyan"/>
              </w:rPr>
              <w:t>：经营单位对上述材料真实性负责。</w:t>
            </w:r>
          </w:p>
          <w:p w14:paraId="6483A6E1">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总经理助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4"/>
            <w:r>
              <w:rPr>
                <w:rStyle w:val="CommentReference"/>
              </w:rPr>
              <w:commentReference w:id="14"/>
            </w:r>
          </w:p>
          <w:p w14:paraId="6AC425A6">
            <w:commentRangeStart w:id="1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5"/>
            <w:r>
              <w:rPr>
                <w:rStyle w:val="CommentReference"/>
              </w:rPr>
              <w:commentReference w:id="15"/>
            </w:r>
          </w:p>
          <w:p w14:paraId="2FC82B07">
            <w:commentRangeStart w:id="16"/>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269107E9">
            <w:commentRangeStart w:id="17"/>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p w14:paraId="3096CC3B">
            <w:commentRangeStart w:id="18"/>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8"/>
            <w:r>
              <w:rPr>
                <w:rStyle w:val="CommentReference"/>
              </w:rPr>
              <w:commentReference w:id="18"/>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bCs/>
                <w:snapToGrid w:val="0"/>
                <w:color w:val="000000"/>
                <w:kern w:val="0"/>
                <w:szCs w:val="21"/>
                <w:highlight w:val="none"/>
              </w:rPr>
              <w:t>普惠部审查岗意见</w:t>
            </w:r>
            <w:r>
              <w:rPr>
                <w:rFonts w:hint="eastAsia" w:ascii="宋体" w:hAnsi="宋体" w:cs="宋体"/>
                <w:bCs/>
                <w:snapToGrid w:val="0"/>
                <w:kern w:val="0"/>
                <w:szCs w:val="21"/>
                <w:highlight w:val="none"/>
                <w:lang w:eastAsia="zh-CN"/>
              </w:rPr>
              <w:t>（</w:t>
            </w:r>
            <w:r>
              <w:rPr>
                <w:rFonts w:hint="eastAsia" w:ascii="宋体" w:hAnsi="宋体" w:cs="宋体"/>
                <w:bCs/>
                <w:snapToGrid w:val="0"/>
                <w:kern w:val="0"/>
                <w:szCs w:val="21"/>
                <w:highlight w:val="none"/>
                <w:lang w:val="en-US" w:eastAsia="zh-CN"/>
              </w:rPr>
              <w:t>可另附</w:t>
            </w:r>
            <w:r>
              <w:rPr>
                <w:rFonts w:hint="eastAsia" w:ascii="宋体" w:hAnsi="宋体" w:cs="宋体"/>
                <w:bCs/>
                <w:snapToGrid w:val="0"/>
                <w:kern w:val="0"/>
                <w:szCs w:val="21"/>
                <w:highlight w:val="none"/>
                <w:lang w:eastAsia="zh-CN"/>
              </w:rPr>
              <w:t>）</w:t>
            </w:r>
            <w:r>
              <w:rPr>
                <w:rFonts w:hint="eastAsia" w:ascii="宋体" w:hAnsi="宋体" w:cs="宋体"/>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color w:val="auto"/>
                <w:kern w:val="2"/>
                <w:sz w:val="21"/>
                <w:szCs w:val="21"/>
                <w:highlight w:val="none"/>
                <w:lang w:val="en-US" w:eastAsia="zh-CN"/>
              </w:rPr>
              <w:t>主要风险及</w:t>
            </w:r>
            <w:r>
              <w:rPr>
                <w:rFonts w:hint="eastAsia" w:ascii="宋体" w:hAnsi="宋体"/>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Cs/>
                <w:snapToGrid w:val="0"/>
                <w:color w:val="000000"/>
                <w:kern w:val="0"/>
                <w:szCs w:val="21"/>
                <w:highlight w:val="none"/>
                <w:lang w:val="en-US" w:eastAsia="zh-CN"/>
              </w:rPr>
              <w:t>省分行（辖行）</w:t>
            </w:r>
            <w:r>
              <w:rPr>
                <w:rFonts w:hint="eastAsia" w:ascii="宋体" w:hAnsi="宋体" w:cs="宋体"/>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20T01:33:47Z" w:initials="Agent">
    <w:p>
      <w:r>
        <w:rPr>
          <w:rStyle w:val="CommentReference"/>
        </w:rPr>
        <w:annotationRef/>
      </w:r>
      <w:r>
        <w:t xml:space="preserve">该处“申报单位”仍为空白，请人工确认。</w:t>
      </w:r>
    </w:p>
  </w:comment>
  <w:comment w:id="1" w:author="信贷报告 Agent" w:date="2026-04-20T01:33:47Z" w:initials="Agent">
    <w:p>
      <w:r>
        <w:rPr>
          <w:rStyle w:val="CommentReference"/>
        </w:rPr>
        <w:annotationRef/>
      </w:r>
      <w:r>
        <w:t xml:space="preserve">该处“小类）”仍为空白，请人工确认。</w:t>
      </w:r>
    </w:p>
  </w:comment>
  <w:comment w:id="2" w:author="信贷报告 Agent" w:date="2026-04-20T01:33:47Z" w:initials="Agent">
    <w:p>
      <w:r>
        <w:rPr>
          <w:rStyle w:val="CommentReference"/>
        </w:rPr>
        <w:annotationRef/>
      </w:r>
      <w:r>
        <w:t xml:space="preserve">该处“黄色预警提示法定代表人目前信用卡存在逾期，经核实，需补充银行”仍为待补充，请人工补充。</w:t>
      </w:r>
    </w:p>
  </w:comment>
  <w:comment w:id="3" w:author="信贷报告 Agent" w:date="2026-04-20T01:33:47Z" w:initials="Agent">
    <w:p>
      <w:r>
        <w:rPr>
          <w:rStyle w:val="CommentReference"/>
        </w:rPr>
        <w:annotationRef/>
      </w:r>
      <w:r>
        <w:t xml:space="preserve">该处“分析投入及资金安排）”仍为空白，请人工确认。</w:t>
      </w:r>
    </w:p>
  </w:comment>
  <w:comment w:id="4" w:author="信贷报告 Agent" w:date="2026-04-20T01:33:47Z" w:initials="Agent">
    <w:p>
      <w:r>
        <w:rPr>
          <w:rStyle w:val="CommentReference"/>
        </w:rPr>
        <w:annotationRef/>
      </w:r>
      <w:r>
        <w:t xml:space="preserve">该处“如有请说明）”仍为空白，请人工确认。</w:t>
      </w:r>
    </w:p>
  </w:comment>
  <w:comment w:id="5" w:author="信贷报告 Agent" w:date="2026-04-20T01:33:47Z" w:initials="Agent">
    <w:p>
      <w:r>
        <w:rPr>
          <w:rStyle w:val="CommentReference"/>
        </w:rPr>
        <w:annotationRef/>
      </w:r>
      <w:r>
        <w:t xml:space="preserve">该处“反馈中长期借款还款计划及还款资金安排情况”仍为空白，请人工确认。</w:t>
      </w:r>
    </w:p>
  </w:comment>
  <w:comment w:id="6" w:author="信贷报告 Agent" w:date="2026-04-20T01:33:47Z" w:initials="Agent">
    <w:p>
      <w:r>
        <w:rPr>
          <w:rStyle w:val="CommentReference"/>
        </w:rPr>
        <w:annotationRef/>
      </w:r>
      <w:r>
        <w:t xml:space="preserve">该处“（若有）对外担保情况”仍为空白，请人工确认。</w:t>
      </w:r>
    </w:p>
  </w:comment>
  <w:comment w:id="7" w:author="信贷报告 Agent" w:date="2026-04-20T01:33:47Z" w:initials="Agent">
    <w:p>
      <w:r>
        <w:rPr>
          <w:rStyle w:val="CommentReference"/>
        </w:rPr>
        <w:annotationRef/>
      </w:r>
      <w:r>
        <w:t xml:space="preserve">该处“（若有）不良记录情况”仍为空白，请人工确认。</w:t>
      </w:r>
    </w:p>
  </w:comment>
  <w:comment w:id="8" w:author="信贷报告 Agent" w:date="2026-04-20T01:33:47Z" w:initials="Agent">
    <w:p>
      <w:r>
        <w:rPr>
          <w:rStyle w:val="CommentReference"/>
        </w:rPr>
        <w:annotationRef/>
      </w:r>
      <w:r>
        <w:t xml:space="preserve">该处“陈”仍为模板占位符，请人工核实。</w:t>
      </w:r>
    </w:p>
  </w:comment>
  <w:comment w:id="9" w:author="信贷报告 Agent" w:date="2026-04-20T01:33:47Z" w:initials="Agent">
    <w:p>
      <w:r>
        <w:rPr>
          <w:rStyle w:val="CommentReference"/>
        </w:rPr>
        <w:annotationRef/>
      </w:r>
      <w:r>
        <w:t xml:space="preserve">该处“科技型企业评分”仍为空白，请人工确认。</w:t>
      </w:r>
    </w:p>
  </w:comment>
  <w:comment w:id="10" w:author="信贷报告 Agent" w:date="2026-04-20T01:33:47Z" w:initials="Agent">
    <w:p>
      <w:r>
        <w:rPr>
          <w:rStyle w:val="CommentReference"/>
        </w:rPr>
        <w:annotationRef/>
      </w:r>
      <w:r>
        <w:t xml:space="preserve">该处“请补充说明”仍为空白，请人工确认。</w:t>
      </w:r>
    </w:p>
  </w:comment>
  <w:comment w:id="11" w:author="信贷报告 Agent" w:date="2026-04-20T01:33:47Z" w:initials="Agent">
    <w:p>
      <w:r>
        <w:rPr>
          <w:rStyle w:val="CommentReference"/>
        </w:rPr>
        <w:annotationRef/>
      </w:r>
      <w:r>
        <w:t xml:space="preserve">该处“质押物变现能力分析及其他渠道现金流分析）”仍为空白，请人工确认。</w:t>
      </w:r>
    </w:p>
  </w:comment>
  <w:comment w:id="12" w:author="信贷报告 Agent" w:date="2026-04-20T01:33:47Z" w:initials="Agent">
    <w:p>
      <w:r>
        <w:rPr>
          <w:rStyle w:val="CommentReference"/>
        </w:rPr>
        <w:annotationRef/>
      </w:r>
      <w:r>
        <w:t xml:space="preserve">该处“变动原因”仍为空白，请人工确认。</w:t>
      </w:r>
    </w:p>
  </w:comment>
  <w:comment w:id="13" w:author="信贷报告 Agent" w:date="2026-04-20T01:33:47Z" w:initials="Agent">
    <w:p>
      <w:r>
        <w:rPr>
          <w:rStyle w:val="CommentReference"/>
        </w:rPr>
        <w:annotationRef/>
      </w:r>
      <w:r>
        <w:t xml:space="preserve">该处“予借款人授信敞口1000万元，”仍为模板占位符，请人工核实。</w:t>
      </w:r>
    </w:p>
  </w:comment>
  <w:comment w:id="14" w:author="信贷报告 Agent" w:date="2026-04-20T01:33:47Z" w:initials="Agent">
    <w:p>
      <w:r>
        <w:rPr>
          <w:rStyle w:val="CommentReference"/>
        </w:rPr>
        <w:annotationRef/>
      </w:r>
      <w:r>
        <w:t xml:space="preserve">该处“客户经理”仍为空白，请人工确认。</w:t>
      </w:r>
    </w:p>
  </w:comment>
  <w:comment w:id="15" w:author="信贷报告 Agent" w:date="2026-04-20T01:33:47Z" w:initials="Agent">
    <w:p>
      <w:r>
        <w:rPr>
          <w:rStyle w:val="CommentReference"/>
        </w:rPr>
        <w:annotationRef/>
      </w:r>
      <w:r>
        <w:t xml:space="preserve">该处“共同调查人”仍为空白，请人工确认。</w:t>
      </w:r>
    </w:p>
  </w:comment>
  <w:comment w:id="16" w:author="信贷报告 Agent" w:date="2026-04-20T01:33:47Z" w:initials="Agent">
    <w:p>
      <w:r>
        <w:rPr>
          <w:rStyle w:val="CommentReference"/>
        </w:rPr>
        <w:annotationRef/>
      </w:r>
      <w:r>
        <w:t xml:space="preserve">该处“二级支行行长”仍为空白，请人工确认。</w:t>
      </w:r>
    </w:p>
  </w:comment>
  <w:comment w:id="17" w:author="信贷报告 Agent" w:date="2026-04-20T01:33:47Z" w:initials="Agent">
    <w:p>
      <w:r>
        <w:rPr>
          <w:rStyle w:val="CommentReference"/>
        </w:rPr>
        <w:annotationRef/>
      </w:r>
      <w:r>
        <w:t xml:space="preserve">该处“分管行长”仍为空白，请人工确认。</w:t>
      </w:r>
    </w:p>
  </w:comment>
  <w:comment w:id="18" w:author="信贷报告 Agent" w:date="2026-04-20T01:33:47Z" w:initials="Agent">
    <w:p>
      <w:r>
        <w:rPr>
          <w:rStyle w:val="CommentReference"/>
        </w:rPr>
        <w:annotationRef/>
      </w:r>
      <w:r>
        <w:t xml:space="preserve">该处“行长”仍为空白，请人工确认。</w:t>
      </w:r>
    </w:p>
  </w:comment>
  <w:comment w:id="19" w:author="信贷报告 Agent" w:date="2026-04-20T01:33:47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