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320" w:after="0"/>
        <w:rPr>
          <w:rFonts w:ascii="Proxima Nova" w:hAnsi="Proxima Nova" w:eastAsia="Proxima Nova" w:cs="Proxima Nova"/>
          <w:b/>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itle"/>
        <w:keepNext w:val="false"/>
        <w:keepLines w:val="false"/>
        <w:spacing w:lineRule="auto" w:line="240" w:before="0" w:after="0"/>
        <w:rPr>
          <w:rFonts w:ascii="Google Sans" w:hAnsi="Google Sans" w:eastAsia="Google Sans" w:cs="Google Sans"/>
          <w:b/>
          <w:b/>
          <w:sz w:val="28"/>
          <w:szCs w:val="28"/>
        </w:rPr>
      </w:pPr>
      <w:bookmarkStart w:id="1" w:name="_af80tl7prv5v"/>
      <w:bookmarkEnd w:id="1"/>
      <w:r>
        <w:rPr>
          <w:rFonts w:eastAsia="Google Sans" w:cs="Google Sans" w:ascii="Google Sans" w:hAnsi="Google Sans"/>
          <w:b/>
          <w:sz w:val="28"/>
          <w:szCs w:val="28"/>
        </w:rPr>
        <w:t>1</w:t>
      </w:r>
      <w:r>
        <w:rPr>
          <w:rFonts w:eastAsia="Google Sans" w:cs="Google Sans" w:ascii="Google Sans" w:hAnsi="Google Sans"/>
          <w:b/>
          <w:sz w:val="28"/>
          <w:szCs w:val="28"/>
          <w:vertAlign w:val="superscript"/>
        </w:rPr>
        <w:t>st</w:t>
      </w:r>
      <w:r>
        <w:rPr>
          <w:rFonts w:eastAsia="Google Sans" w:cs="Google Sans" w:ascii="Google Sans" w:hAnsi="Google Sans"/>
          <w:b/>
          <w:sz w:val="28"/>
          <w:szCs w:val="28"/>
        </w:rPr>
        <w:t xml:space="preserve"> January 20XX</w:t>
      </w:r>
    </w:p>
    <w:p>
      <w:pPr>
        <w:pStyle w:val="Subtitle"/>
        <w:keepNext w:val="false"/>
        <w:keepLines w:val="false"/>
        <w:spacing w:lineRule="auto" w:line="240" w:before="0" w:after="0"/>
        <w:rPr>
          <w:rFonts w:ascii="Google Sans" w:hAnsi="Google Sans" w:eastAsia="Google Sans" w:cs="Google Sans"/>
          <w:b/>
          <w:b/>
          <w:sz w:val="28"/>
          <w:szCs w:val="28"/>
        </w:rPr>
      </w:pPr>
      <w:bookmarkStart w:id="2" w:name="_nhcy8rpxthcf"/>
      <w:bookmarkEnd w:id="2"/>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LO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LO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 xml:space="preserve">The scope of this vulnerability assessment relates to the current access controls of the system. The assessment will cover a period of three months, from June 20XX to August 20XX. </w:t>
      </w:r>
      <w:r>
        <w:fldChar w:fldCharType="begin"/>
      </w:r>
      <w:r>
        <w:rPr>
          <w:u w:val="single"/>
          <w:rFonts w:eastAsia="Google Sans" w:cs="Google Sans" w:ascii="Google Sans" w:hAnsi="Google Sans"/>
          <w:color w:val="1155CC"/>
        </w:rPr>
        <w:instrText xml:space="preserve"> HYPERLINK "https://docs.google.com/document/d/1Fc4L2azQlnUM-8r43PU9mYlT30BnxTwdjAMqpT7JeZk/edit?resourcekey=0-Q-XglnC3Li7JPK2hIvMkVg" \l "heading=h.hvbcmqwzo9do"</w:instrText>
      </w:r>
      <w:r>
        <w:rPr>
          <w:u w:val="single"/>
          <w:rFonts w:eastAsia="Google Sans" w:cs="Google Sans" w:ascii="Google Sans" w:hAnsi="Google Sans"/>
          <w:color w:val="1155CC"/>
        </w:rPr>
        <w:fldChar w:fldCharType="separate"/>
      </w:r>
      <w:r>
        <w:rPr>
          <w:rFonts w:eastAsia="Google Sans" w:cs="Google Sans" w:ascii="Google Sans" w:hAnsi="Google Sans"/>
          <w:color w:val="1155CC"/>
          <w:u w:val="single"/>
        </w:rPr>
        <w:t>NIST SP 800-30 Rev. 1</w:t>
      </w:r>
      <w:r>
        <w:rPr>
          <w:u w:val="single"/>
          <w:rFonts w:eastAsia="Google Sans" w:cs="Google Sans" w:ascii="Google Sans" w:hAnsi="Google Sans"/>
          <w:color w:val="1155CC"/>
        </w:rPr>
        <w:fldChar w:fldCharType="end"/>
      </w:r>
      <w:r>
        <w:rPr>
          <w:rFonts w:eastAsia="Google Sans" w:cs="Google Sans" w:ascii="Google Sans" w:hAnsi="Google Sans"/>
          <w:color w:val="353744"/>
        </w:rPr>
        <w:t xml:space="preserve"> is used to guide the risk analysis of the information system.</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LOnormal"/>
        <w:spacing w:lineRule="auto" w:line="240" w:before="200" w:after="200"/>
        <w:rPr>
          <w:i w:val="false"/>
          <w:i w:val="false"/>
          <w:iCs w:val="false"/>
        </w:rPr>
      </w:pPr>
      <w:r>
        <w:rPr>
          <w:rFonts w:eastAsia="Google Sans" w:cs="Google Sans" w:ascii="Google Sans" w:hAnsi="Google Sans"/>
          <w:i w:val="false"/>
          <w:iCs w:val="false"/>
          <w:color w:val="353744"/>
        </w:rPr>
        <w:t>The database server is used frequently by employees located all over the world to find potential customers, so it is an important asset. The data on the server is PII which is protected by law and must be secure from unauthorized access. If this server was disabled this would negatively affect business operations.</w:t>
      </w:r>
      <w:r>
        <w:rPr>
          <w:rFonts w:eastAsia="Google Sans" w:cs="Google Sans" w:ascii="Google Sans" w:hAnsi="Google Sans"/>
          <w:i w:val="false"/>
          <w:iCs w:val="false"/>
          <w:color w:val="353744"/>
        </w:rPr>
        <w:t xml:space="preserve"> This database is open to the public which represents a security problem.</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LOnormal"/>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0" w:type="dxa"/>
        <w:tblLayout w:type="fixed"/>
        <w:tblCellMar>
          <w:top w:w="100" w:type="dxa"/>
          <w:left w:w="100" w:type="dxa"/>
          <w:bottom w:w="100" w:type="dxa"/>
          <w:right w:w="100" w:type="dxa"/>
        </w:tblCellMar>
        <w:tblLook w:val="0600"/>
      </w:tblPr>
      <w:tblGrid>
        <w:gridCol w:w="1860"/>
        <w:gridCol w:w="3613"/>
        <w:gridCol w:w="1395"/>
        <w:gridCol w:w="1320"/>
        <w:gridCol w:w="1112"/>
      </w:tblGrid>
      <w:tr>
        <w:trPr/>
        <w:tc>
          <w:tcPr>
            <w:tcW w:w="1860" w:type="dxa"/>
            <w:tcBorders>
              <w:top w:val="single" w:sz="8" w:space="0" w:color="000000"/>
              <w:left w:val="single" w:sz="8" w:space="0" w:color="000000"/>
              <w:bottom w:val="single" w:sz="8" w:space="0" w:color="000000"/>
              <w:right w:val="single" w:sz="8" w:space="0" w:color="000000"/>
            </w:tcBorders>
            <w:shd w:fill="C9DAF8" w:val="clear"/>
          </w:tcPr>
          <w:p>
            <w:pPr>
              <w:pStyle w:val="LO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source</w:t>
            </w:r>
          </w:p>
        </w:tc>
        <w:tc>
          <w:tcPr>
            <w:tcW w:w="3613" w:type="dxa"/>
            <w:tcBorders>
              <w:top w:val="single" w:sz="8" w:space="0" w:color="000000"/>
              <w:left w:val="single" w:sz="8" w:space="0" w:color="000000"/>
              <w:bottom w:val="single" w:sz="8" w:space="0" w:color="000000"/>
              <w:right w:val="single" w:sz="8" w:space="0" w:color="000000"/>
            </w:tcBorders>
            <w:shd w:fill="C9DAF8" w:val="clear"/>
          </w:tcPr>
          <w:p>
            <w:pPr>
              <w:pStyle w:val="LO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event</w:t>
            </w:r>
          </w:p>
        </w:tc>
        <w:tc>
          <w:tcPr>
            <w:tcW w:w="1395" w:type="dxa"/>
            <w:tcBorders>
              <w:top w:val="single" w:sz="8" w:space="0" w:color="000000"/>
              <w:left w:val="single" w:sz="8" w:space="0" w:color="000000"/>
              <w:bottom w:val="single" w:sz="8" w:space="0" w:color="000000"/>
              <w:right w:val="single" w:sz="8" w:space="0" w:color="000000"/>
            </w:tcBorders>
            <w:shd w:fill="C9DAF8" w:val="clear"/>
          </w:tcPr>
          <w:p>
            <w:pPr>
              <w:pStyle w:val="LO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Likelihood</w:t>
            </w:r>
          </w:p>
        </w:tc>
        <w:tc>
          <w:tcPr>
            <w:tcW w:w="1320" w:type="dxa"/>
            <w:tcBorders>
              <w:top w:val="single" w:sz="8" w:space="0" w:color="000000"/>
              <w:left w:val="single" w:sz="8" w:space="0" w:color="000000"/>
              <w:bottom w:val="single" w:sz="8" w:space="0" w:color="000000"/>
              <w:right w:val="single" w:sz="8" w:space="0" w:color="000000"/>
            </w:tcBorders>
            <w:shd w:fill="C9DAF8" w:val="clear"/>
          </w:tcPr>
          <w:p>
            <w:pPr>
              <w:pStyle w:val="LO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Severity</w:t>
            </w:r>
          </w:p>
        </w:tc>
        <w:tc>
          <w:tcPr>
            <w:tcW w:w="1112" w:type="dxa"/>
            <w:tcBorders>
              <w:top w:val="single" w:sz="8" w:space="0" w:color="000000"/>
              <w:left w:val="single" w:sz="8" w:space="0" w:color="000000"/>
              <w:bottom w:val="single" w:sz="8" w:space="0" w:color="000000"/>
              <w:right w:val="single" w:sz="8" w:space="0" w:color="000000"/>
            </w:tcBorders>
            <w:shd w:fill="C9DAF8" w:val="clear"/>
          </w:tcPr>
          <w:p>
            <w:pPr>
              <w:pStyle w:val="LOnormal"/>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Risk</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Outside Hacker</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Accessing PII for malicious purposes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Competitor</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Accessing PII for business purposes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9</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Employee</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Accessing PII for malicious purposes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1</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r>
    </w:tbl>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7" w:name="_a9ivkvfuz16w"/>
      <w:bookmarkEnd w:id="7"/>
      <w:r>
        <w:rPr>
          <w:rFonts w:eastAsia="Proxima Nova" w:cs="Proxima Nova" w:ascii="Proxima Nova" w:hAnsi="Proxima Nova"/>
          <w:b/>
          <w:color w:val="353744"/>
          <w:sz w:val="28"/>
          <w:szCs w:val="28"/>
        </w:rPr>
        <w:t>Approach</w:t>
      </w:r>
    </w:p>
    <w:p>
      <w:pPr>
        <w:pStyle w:val="LOnormal"/>
        <w:spacing w:lineRule="auto" w:line="312" w:before="200" w:after="0"/>
        <w:rPr>
          <w:rFonts w:ascii="Google Sans" w:hAnsi="Google Sans" w:eastAsia="Google Sans" w:cs="Google Sans"/>
          <w:color w:val="353744"/>
        </w:rPr>
      </w:pPr>
      <w:r>
        <w:rPr/>
      </w:r>
    </w:p>
    <w:p>
      <w:pPr>
        <w:pStyle w:val="LOnormal"/>
        <w:spacing w:lineRule="auto" w:line="312" w:before="200" w:after="0"/>
        <w:rPr>
          <w:rFonts w:ascii="Google Sans" w:hAnsi="Google Sans" w:eastAsia="Google Sans" w:cs="Google Sans"/>
          <w:color w:val="353744"/>
        </w:rPr>
      </w:pPr>
      <w:r>
        <w:rPr>
          <w:rFonts w:eastAsia="Google Sans" w:cs="Google Sans" w:ascii="Google Sans" w:hAnsi="Google Sans"/>
          <w:color w:val="353744"/>
        </w:rPr>
        <w:t>I selected these risks because they seem to be the most likely sources of misuse of PII. I estimated that the likelihood of an outside hacker or competitor accessing and using the PII in the database to be high because there is nothing stopping them from doing so and there would be a financial benefit. I think it is possible that an employee could also use this information for malicious purposes, but  employees should be more trustworthy than people outside the company. It is possible that there are other risks I have not considered due to the database being publicly accessible by anyone.</w:t>
      </w:r>
    </w:p>
    <w:p>
      <w:pPr>
        <w:pStyle w:val="LOnormal"/>
        <w:spacing w:lineRule="auto" w:line="312" w:before="200" w:after="0"/>
        <w:rPr>
          <w:rFonts w:ascii="Google Sans" w:hAnsi="Google Sans" w:eastAsia="Google Sans" w:cs="Google Sans"/>
          <w:color w:val="353744"/>
        </w:rPr>
      </w:pPr>
      <w:bookmarkStart w:id="8" w:name="_vf6vykh0xvv7"/>
      <w:bookmarkEnd w:id="8"/>
      <w:r>
        <w:rPr>
          <w:rFonts w:eastAsia="Proxima Nova" w:cs="Proxima Nova" w:ascii="Proxima Nova" w:hAnsi="Proxima Nova"/>
          <w:b/>
          <w:color w:val="353744"/>
          <w:sz w:val="28"/>
          <w:szCs w:val="28"/>
        </w:rPr>
        <w:t>Remediation Strategy</w:t>
      </w:r>
    </w:p>
    <w:p>
      <w:pPr>
        <w:pStyle w:val="LOnormal"/>
        <w:spacing w:lineRule="auto" w:line="312" w:before="200" w:after="0"/>
        <w:rPr>
          <w:i w:val="false"/>
          <w:i w:val="false"/>
          <w:iCs w:val="false"/>
        </w:rPr>
      </w:pPr>
      <w:r>
        <w:rPr>
          <w:rFonts w:eastAsia="Google Sans" w:cs="Google Sans" w:ascii="Google Sans" w:hAnsi="Google Sans"/>
          <w:i w:val="false"/>
          <w:iCs w:val="false"/>
          <w:color w:val="353744"/>
        </w:rPr>
        <w:t>An Identity and Access Management system should be implemented so that only employees can access the database. This should include strong passwords an multi-factor authentication. Furthermore, only employees that need to access the database should be allowed to access it, based on their role in the company. The data in the database contains PII, so it should be encrypted with a strong encryption standard to ensure compliance with data protection laws, and prevent the data from being leaked.</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oogle Sans">
    <w:charset w:val="00"/>
    <w:family w:val="roman"/>
    <w:pitch w:val="variable"/>
  </w:font>
  <w:font w:name="Proxima Nova">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LibreOffice/7.4.3.2$Windows_X86_64 LibreOffice_project/1048a8393ae2eeec98dff31b5c133c5f1d08b890</Application>
  <AppVersion>15.0000</AppVersion>
  <Pages>2</Pages>
  <Words>397</Words>
  <Characters>2047</Characters>
  <CharactersWithSpaces>2412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2024-08-21T09:33:56Z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