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Calibri" w:hAnsi="Calibri"/>
          <w:b/>
          <w:color w:val="000000"/>
          <w:sz w:val="44"/>
        </w:rPr>
        <w:t>Content Management in Health Care</w:t>
      </w:r>
    </w:p>
    <w:p>
      <w:pPr>
        <w:spacing w:after="180"/>
      </w:pPr>
      <w:r>
        <w:rPr>
          <w:rFonts w:ascii="Calibri" w:hAnsi="Calibri"/>
          <w:color w:val="5D6879"/>
          <w:sz w:val="25"/>
        </w:rPr>
        <w:t>From policy text to computable payment operations</w:t>
      </w:r>
    </w:p>
    <w:tbl>
      <w:tblPr>
        <w:tblW w:type="auto" w:w="0"/>
        <w:tblLayout w:type="fixed"/>
        <w:tblLook w:firstColumn="1" w:firstRow="1" w:lastColumn="0" w:lastRow="0" w:noHBand="0" w:noVBand="1" w:val="04A0"/>
      </w:tblPr>
      <w:tblGrid>
        <w:gridCol w:w="4896"/>
        <w:gridCol w:w="4896"/>
      </w:tblGrid>
      <w:tr>
        <w:tc>
          <w:tcPr>
            <w:tcW w:type="dxa" w:w="1584"/>
            <w:shd w:fill="F2F4F7"/>
          </w:tcPr>
          <w:p>
            <w:pPr>
              <w:spacing w:after="20"/>
            </w:pPr>
            <w:r>
              <w:rPr>
                <w:rFonts w:ascii="Calibri" w:hAnsi="Calibri"/>
                <w:b/>
                <w:color w:val="1F4D78"/>
                <w:sz w:val="19"/>
              </w:rPr>
              <w:t>Topic</w:t>
            </w:r>
          </w:p>
        </w:tc>
        <w:tc>
          <w:tcPr>
            <w:tcW w:type="dxa" w:w="7920"/>
          </w:tcPr>
          <w:p>
            <w:pPr>
              <w:spacing w:after="20"/>
            </w:pPr>
            <w:r>
              <w:rPr>
                <w:rFonts w:ascii="Calibri" w:hAnsi="Calibri"/>
                <w:color w:val="172033"/>
                <w:sz w:val="19"/>
              </w:rPr>
              <w:t>Billing/coding policies, clinical practice guidelines, payer-provider contracts, summarization, comparison, and conversion of policy into rules or models</w:t>
            </w:r>
          </w:p>
        </w:tc>
      </w:tr>
      <w:tr>
        <w:tc>
          <w:tcPr>
            <w:tcW w:type="dxa" w:w="1584"/>
            <w:shd w:fill="F2F4F7"/>
          </w:tcPr>
          <w:p>
            <w:pPr>
              <w:spacing w:after="20"/>
            </w:pPr>
            <w:r>
              <w:rPr>
                <w:rFonts w:ascii="Calibri" w:hAnsi="Calibri"/>
                <w:b/>
                <w:color w:val="1F4D78"/>
                <w:sz w:val="19"/>
              </w:rPr>
              <w:t>Audience</w:t>
            </w:r>
          </w:p>
        </w:tc>
        <w:tc>
          <w:tcPr>
            <w:tcW w:type="dxa" w:w="7920"/>
          </w:tcPr>
          <w:p>
            <w:pPr>
              <w:spacing w:after="20"/>
            </w:pPr>
            <w:r>
              <w:rPr>
                <w:rFonts w:ascii="Calibri" w:hAnsi="Calibri"/>
                <w:color w:val="172033"/>
                <w:sz w:val="19"/>
              </w:rPr>
              <w:t>Cotiviti assessment reviewers</w:t>
            </w:r>
          </w:p>
        </w:tc>
      </w:tr>
      <w:tr>
        <w:tc>
          <w:tcPr>
            <w:tcW w:type="dxa" w:w="1584"/>
            <w:shd w:fill="F2F4F7"/>
          </w:tcPr>
          <w:p>
            <w:pPr>
              <w:spacing w:after="20"/>
            </w:pPr>
            <w:r>
              <w:rPr>
                <w:rFonts w:ascii="Calibri" w:hAnsi="Calibri"/>
                <w:b/>
                <w:color w:val="1F4D78"/>
                <w:sz w:val="19"/>
              </w:rPr>
              <w:t>Method</w:t>
            </w:r>
          </w:p>
        </w:tc>
        <w:tc>
          <w:tcPr>
            <w:tcW w:type="dxa" w:w="7920"/>
          </w:tcPr>
          <w:p>
            <w:pPr>
              <w:spacing w:after="20"/>
            </w:pPr>
            <w:r>
              <w:rPr>
                <w:rFonts w:ascii="Calibri" w:hAnsi="Calibri"/>
                <w:color w:val="172033"/>
                <w:sz w:val="19"/>
              </w:rPr>
              <w:t>Brief literature scan plus a hands-on deterministic proof of concept for policy comparison and sample-claim evaluation</w:t>
            </w:r>
          </w:p>
        </w:tc>
      </w:tr>
    </w:tbl>
    <w:p>
      <w:pPr>
        <w:spacing w:before="0" w:after="40" w:line="264" w:lineRule="auto"/>
      </w:pPr>
    </w:p>
    <w:p>
      <w:pPr>
        <w:pStyle w:val="Heading1"/>
        <w:spacing w:before="240" w:after="100"/>
      </w:pPr>
      <w:r>
        <w:rPr>
          <w:rFonts w:ascii="Calibri" w:hAnsi="Calibri"/>
          <w:b/>
          <w:color w:val="2E74B5"/>
          <w:sz w:val="30"/>
        </w:rPr>
        <w:t>Concept and relevance</w:t>
      </w:r>
    </w:p>
    <w:p>
      <w:pPr>
        <w:spacing w:before="0" w:after="120" w:line="264" w:lineRule="auto"/>
      </w:pPr>
      <w:r>
        <w:rPr>
          <w:rFonts w:ascii="Calibri" w:hAnsi="Calibri"/>
          <w:color w:val="172033"/>
          <w:sz w:val="22"/>
        </w:rPr>
        <w:t>Content management in health care is the discipline of creating, versioning, interpreting, and operationalizing the written materials that guide treatment, payment, and operations: medical policies, coding rules, clinical guidelines, contracts, prior authorization criteria, and appeal language. For a company such as Cotiviti, this is not back-office paperwork. It is the knowledge layer that determines whether claims are routed correctly, whether reviews are consistent, and whether payer and provider decisions can be defended with evidence.</w:t>
      </w:r>
    </w:p>
    <w:p>
      <w:pPr>
        <w:spacing w:before="0" w:after="120" w:line="264" w:lineRule="auto"/>
      </w:pPr>
      <w:r>
        <w:rPr>
          <w:rFonts w:ascii="Calibri" w:hAnsi="Calibri"/>
          <w:color w:val="172033"/>
          <w:sz w:val="22"/>
        </w:rPr>
        <w:t>The strategic shift is that content can no longer live only as static PDFs, spreadsheets, and expert memory. Health care organizations need policy content that is searchable, comparable across versions, linked to source clauses, and convertible into rules, features, or model inputs. In practical terms, the problem is to connect unstructured policy language with structured operations while preserving traceability and human oversight.</w:t>
      </w:r>
    </w:p>
    <w:p>
      <w:pPr>
        <w:pStyle w:val="Heading1"/>
        <w:spacing w:before="240" w:after="100"/>
      </w:pPr>
      <w:r>
        <w:rPr>
          <w:rFonts w:ascii="Calibri" w:hAnsi="Calibri"/>
          <w:b/>
          <w:color w:val="2E74B5"/>
          <w:sz w:val="30"/>
        </w:rPr>
        <w:t>Relevant trends</w:t>
      </w:r>
    </w:p>
    <w:p>
      <w:pPr>
        <w:spacing w:before="0" w:after="120" w:line="264" w:lineRule="auto"/>
      </w:pPr>
      <w:r>
        <w:rPr>
          <w:rFonts w:ascii="Calibri" w:hAnsi="Calibri"/>
          <w:color w:val="172033"/>
          <w:sz w:val="22"/>
        </w:rPr>
        <w:t>Several trends make this topic urgent. First, interoperability and administrative simplification are pushing payers toward API-enabled prior authorization, faster status communication, and more transparent rules (Centers for Medicare &amp; Medicaid Services [CMS], 2024). Second, coding and payment policies continue to change frequently, and edit systems such as the National Correct Coding Initiative illustrate how much operational value depends on maintaining consistent, current logic (CMS, 2025). Third, FHIR-based clinical reasoning artifacts create a path for representing knowledge as executable, testable assets rather than prose alone (HL7 International, 2025). Finally, generative AI and large language models make summarization, comparison, and drafting faster, but they also increase the need for governance, evaluation, and risk controls (National Institute of Standards and Technology [NIST], 2023).</w:t>
      </w:r>
    </w:p>
    <w:p>
      <w:pPr>
        <w:spacing w:before="0" w:after="120" w:line="264" w:lineRule="auto"/>
      </w:pPr>
      <w:r>
        <w:rPr>
          <w:rFonts w:ascii="Calibri" w:hAnsi="Calibri"/>
          <w:color w:val="172033"/>
          <w:sz w:val="22"/>
        </w:rPr>
        <w:t>The opportunity is not to replace clinical and coding experts. It is to give them better instruments: version diffs that show what changed, extraction tools that identify affected CPT/HCPCS/ICD concepts, test harnesses that simulate sample claims, and audit trails that attach every automated decision to source text. The best systems will combine deterministic rules, language models, review queues, and regression testing so that speed does not outrun accountability.</w:t>
      </w:r>
    </w:p>
    <w:p>
      <w:r>
        <w:br w:type="page"/>
      </w:r>
    </w:p>
    <w:p>
      <w:pPr>
        <w:pStyle w:val="Heading1"/>
        <w:spacing w:before="240" w:after="100"/>
      </w:pPr>
      <w:r>
        <w:rPr>
          <w:rFonts w:ascii="Calibri" w:hAnsi="Calibri"/>
          <w:b/>
          <w:color w:val="2E74B5"/>
          <w:sz w:val="30"/>
        </w:rPr>
        <w:t>Opportunities and threats</w:t>
      </w:r>
    </w:p>
    <w:p>
      <w:pPr>
        <w:spacing w:before="0" w:after="120" w:line="264" w:lineRule="auto"/>
      </w:pPr>
      <w:r>
        <w:rPr>
          <w:rFonts w:ascii="Calibri" w:hAnsi="Calibri"/>
          <w:color w:val="172033"/>
          <w:sz w:val="22"/>
        </w:rPr>
        <w:t>Cotiviti could create value by treating policy content as a managed product. A content intelligence platform could ingest policy updates, highlight operationally meaningful changes, suggest computable rules, and generate test cases for claim scenarios. This would shorten the cycle from policy publication to production readiness, reduce inconsistent interpretation, and improve reviewer confidence because every rule would preserve links back to its source clause.</w:t>
      </w:r>
    </w:p>
    <w:p>
      <w:pPr>
        <w:spacing w:before="0" w:after="120" w:line="264" w:lineRule="auto"/>
      </w:pPr>
      <w:r>
        <w:rPr>
          <w:rFonts w:ascii="Calibri" w:hAnsi="Calibri"/>
          <w:color w:val="172033"/>
          <w:sz w:val="22"/>
        </w:rPr>
        <w:t>The same trend introduces threats. If policy extraction is opaque, incorrect, or poorly governed, it can amplify denial errors, create compliance risk, and damage trust with providers and members. LLM outputs can sound confident while missing exceptions, effective dates, or contract-specific language. A strong investment position should therefore pair automation with controls: source citation, human approval, rule-version history, bias and performance monitoring, privacy safeguards under HIPAA treatment/payment/operations use cases, and clear model-risk documentation.</w:t>
      </w:r>
    </w:p>
    <w:p>
      <w:pPr>
        <w:pStyle w:val="Heading1"/>
        <w:spacing w:before="240" w:after="100"/>
      </w:pPr>
      <w:r>
        <w:rPr>
          <w:rFonts w:ascii="Calibri" w:hAnsi="Calibri"/>
          <w:b/>
          <w:color w:val="2E74B5"/>
          <w:sz w:val="30"/>
        </w:rPr>
        <w:t>Recommended investment options for Cotiviti</w:t>
      </w:r>
    </w:p>
    <w:p>
      <w:pPr>
        <w:pStyle w:val="ListBullet"/>
        <w:spacing w:after="80" w:line="264" w:lineRule="auto"/>
        <w:ind w:left="360" w:hanging="144"/>
      </w:pPr>
      <w:r>
        <w:rPr>
          <w:rFonts w:ascii="Calibri" w:hAnsi="Calibri"/>
          <w:color w:val="172033"/>
          <w:sz w:val="21"/>
        </w:rPr>
        <w:t>Build a policy-to-rule workbench that compares old and new policy versions, extracts billing and clinical concepts, and routes high-impact changes for expert approval.</w:t>
      </w:r>
    </w:p>
    <w:p>
      <w:pPr>
        <w:pStyle w:val="ListBullet"/>
        <w:spacing w:after="80" w:line="264" w:lineRule="auto"/>
        <w:ind w:left="360" w:hanging="144"/>
      </w:pPr>
      <w:r>
        <w:rPr>
          <w:rFonts w:ascii="Calibri" w:hAnsi="Calibri"/>
          <w:color w:val="172033"/>
          <w:sz w:val="21"/>
        </w:rPr>
        <w:t>Create a regression-test library of synthetic claim examples for each policy so every content change can be tested before release.</w:t>
      </w:r>
    </w:p>
    <w:p>
      <w:pPr>
        <w:pStyle w:val="ListBullet"/>
        <w:spacing w:after="80" w:line="264" w:lineRule="auto"/>
        <w:ind w:left="360" w:hanging="144"/>
      </w:pPr>
      <w:r>
        <w:rPr>
          <w:rFonts w:ascii="Calibri" w:hAnsi="Calibri"/>
          <w:color w:val="172033"/>
          <w:sz w:val="21"/>
        </w:rPr>
        <w:t>Adopt a traceability standard: every generated summary, rule, and claim decision should point back to a source clause, date, and approved policy version.</w:t>
      </w:r>
    </w:p>
    <w:p>
      <w:pPr>
        <w:pStyle w:val="ListBullet"/>
        <w:spacing w:after="80" w:line="264" w:lineRule="auto"/>
        <w:ind w:left="360" w:hanging="144"/>
      </w:pPr>
      <w:r>
        <w:rPr>
          <w:rFonts w:ascii="Calibri" w:hAnsi="Calibri"/>
          <w:color w:val="172033"/>
          <w:sz w:val="21"/>
        </w:rPr>
        <w:t>Use generative AI selectively for summarization, clause comparison, and draft rule suggestions, while keeping final rule activation under human review.</w:t>
      </w:r>
    </w:p>
    <w:p>
      <w:pPr>
        <w:pStyle w:val="Heading1"/>
        <w:spacing w:before="240" w:after="100"/>
      </w:pPr>
      <w:r>
        <w:rPr>
          <w:rFonts w:ascii="Calibri" w:hAnsi="Calibri"/>
          <w:b/>
          <w:color w:val="2E74B5"/>
          <w:sz w:val="30"/>
        </w:rPr>
        <w:t>Proof of concept</w:t>
      </w:r>
    </w:p>
    <w:p>
      <w:pPr>
        <w:spacing w:before="0" w:after="120" w:line="264" w:lineRule="auto"/>
      </w:pPr>
      <w:r>
        <w:rPr>
          <w:rFonts w:ascii="Calibri" w:hAnsi="Calibri"/>
          <w:color w:val="172033"/>
          <w:sz w:val="22"/>
        </w:rPr>
        <w:t>The accompanying POC demonstrates the core workflow using a simple web app. It compares a current and proposed colonoscopy anesthesia policy, detects changes such as diagnosis expansion and prior authorization shifts, extracts codes and thresholds, then evaluates a sample claim against the proposed criteria. The implementation intentionally uses deterministic JavaScript rather than a large model so that the evaluator can inspect the engineering logic quickly. In production, the same interface could be backed by NLP/LLM extraction, FHIR/clinical reasoning artifacts, automated tests, and expert approval workflows.</w:t>
      </w:r>
    </w:p>
    <w:p>
      <w:pPr>
        <w:spacing w:before="0" w:after="120" w:line="264" w:lineRule="auto"/>
      </w:pPr>
      <w:r>
        <w:rPr>
          <w:rFonts w:ascii="Calibri" w:hAnsi="Calibri"/>
          <w:color w:val="172033"/>
          <w:sz w:val="22"/>
        </w:rPr>
        <w:t>My recommended position is for Cotiviti to invest in content intelligence as a decision-support layer between policy authors and operational systems. This is a high-leverage area because it improves speed to value while supporting auditability, transparency, and consistency across treatment, payment, and operations.</w:t>
      </w:r>
    </w:p>
    <w:p>
      <w:r>
        <w:br w:type="page"/>
      </w:r>
    </w:p>
    <w:p>
      <w:pPr>
        <w:pStyle w:val="Heading1"/>
        <w:spacing w:before="240" w:after="100"/>
      </w:pPr>
      <w:r>
        <w:rPr>
          <w:rFonts w:ascii="Calibri" w:hAnsi="Calibri"/>
          <w:b/>
          <w:color w:val="2E74B5"/>
          <w:sz w:val="30"/>
        </w:rPr>
        <w:t>References</w:t>
      </w:r>
    </w:p>
    <w:p>
      <w:pPr>
        <w:spacing w:before="0" w:after="140" w:line="252" w:lineRule="auto"/>
        <w:ind w:left="504" w:hanging="504"/>
      </w:pPr>
      <w:r>
        <w:rPr>
          <w:rFonts w:ascii="Calibri" w:hAnsi="Calibri"/>
          <w:color w:val="172033"/>
          <w:sz w:val="22"/>
        </w:rPr>
        <w:t>Centers for Medicare &amp; Medicaid Services. (2024). CMS interoperability and prior authorization final rule (CMS-0057-F). https://www.cms.gov/priorities/key-initiatives/burden-reduction/policies-and-regulations/cms-interoperability-and-prior-authorization-final-rule-cms-0057-f</w:t>
      </w:r>
    </w:p>
    <w:p>
      <w:pPr>
        <w:spacing w:before="0" w:after="140" w:line="252" w:lineRule="auto"/>
        <w:ind w:left="504" w:hanging="504"/>
      </w:pPr>
      <w:r>
        <w:rPr>
          <w:rFonts w:ascii="Calibri" w:hAnsi="Calibri"/>
          <w:color w:val="172033"/>
          <w:sz w:val="22"/>
        </w:rPr>
        <w:t>Centers for Medicare &amp; Medicaid Services. (2025). National Correct Coding Initiative edits. https://www.cms.gov/medicare/coding-billing/national-correct-coding-initiative-ncci-edits</w:t>
      </w:r>
    </w:p>
    <w:p>
      <w:pPr>
        <w:spacing w:before="0" w:after="140" w:line="252" w:lineRule="auto"/>
        <w:ind w:left="504" w:hanging="504"/>
      </w:pPr>
      <w:r>
        <w:rPr>
          <w:rFonts w:ascii="Calibri" w:hAnsi="Calibri"/>
          <w:color w:val="172033"/>
          <w:sz w:val="22"/>
        </w:rPr>
        <w:t>Health Level Seven International. (2025). FHIR clinical reasoning module. https://hl7.org/fhir/clinicalreasoning-module.html</w:t>
      </w:r>
    </w:p>
    <w:p>
      <w:pPr>
        <w:spacing w:before="0" w:after="140" w:line="252" w:lineRule="auto"/>
        <w:ind w:left="504" w:hanging="504"/>
      </w:pPr>
      <w:r>
        <w:rPr>
          <w:rFonts w:ascii="Calibri" w:hAnsi="Calibri"/>
          <w:color w:val="172033"/>
          <w:sz w:val="22"/>
        </w:rPr>
        <w:t>National Institute of Standards and Technology. (2023). Artificial Intelligence Risk Management Framework (AI RMF 1.0). https://www.nist.gov/itl/ai-risk-management-framework</w:t>
      </w:r>
    </w:p>
    <w:p>
      <w:pPr>
        <w:spacing w:before="0" w:after="140" w:line="252" w:lineRule="auto"/>
        <w:ind w:left="504" w:hanging="504"/>
      </w:pPr>
      <w:r>
        <w:rPr>
          <w:rFonts w:ascii="Calibri" w:hAnsi="Calibri"/>
          <w:color w:val="172033"/>
          <w:sz w:val="22"/>
        </w:rPr>
        <w:t>Office for Civil Rights, U.S. Department of Health and Human Services. (2024). Summary of the HIPAA Privacy Rule. https://www.hhs.gov/hipaa/for-professionals/privacy/laws-regulations/index.html</w:t>
      </w:r>
    </w:p>
    <w:p>
      <w:pPr>
        <w:spacing w:before="0" w:after="140" w:line="252" w:lineRule="auto"/>
        <w:ind w:left="504" w:hanging="504"/>
      </w:pPr>
      <w:r>
        <w:rPr>
          <w:rFonts w:ascii="Calibri" w:hAnsi="Calibri"/>
          <w:color w:val="172033"/>
          <w:sz w:val="22"/>
        </w:rPr>
        <w:t>Office of the National Coordinator for Health Information Technology. (2024). Health Data, Technology, and Interoperability: Certification Program Updates, Algorithm Transparency, and Information Sharing. https://www.federalregister.gov/documents/2024/01/09/2023-28857/</w:t>
      </w:r>
    </w:p>
    <w:sectPr w:rsidR="00FC693F" w:rsidRPr="0006063C" w:rsidSect="00034616">
      <w:headerReference w:type="default" r:id="rId9"/>
      <w:footerReference w:type="default" r:id="rId10"/>
      <w:pgSz w:w="12240" w:h="15840"/>
      <w:pgMar w:top="1008"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D6879"/>
        <w:sz w:val="18"/>
      </w:rPr>
      <w:t>Content Management in Health Care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D6879"/>
        <w:sz w:val="18"/>
      </w:rPr>
      <w:t>Cotiviti Intern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