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M&amp;A Syndicate 1 Assignment - Summary and Potential Improvements/Flaws</w:t>
      </w:r>
    </w:p>
    <w:p>
      <w:r>
        <w:t>Summary</w:t>
      </w:r>
    </w:p>
    <w:p>
      <w:r>
        <w:t>The proposal recommends Coles acquire Ingham's as a vertical integration move in poultry rather than a horizontal supermarket merger. The strategic case is improved supply control, quality consistency, price competitiveness, private-label expansion, and resilience in a high-frequency staple category.</w:t>
      </w:r>
    </w:p>
    <w:p>
      <w:r>
        <w:t>The report screens multiple targets (Ingham's, Cobram Estate Olives, Bega), values Ingham's via comparables and DCF, assesses operational/financial synergies, outlines due diligence priorities, and proposes a post-merger integration framework with governance, timeline, and risk controls.</w:t>
      </w:r>
    </w:p>
    <w:p>
      <w:r>
        <w:t>Potential Improvements and Flaws</w:t>
      </w:r>
    </w:p>
    <w:p>
      <w:r>
        <w:t>1) Offer price recommendation is incomplete (marked TBD), leaving a critical decision point unresolved.</w:t>
      </w:r>
    </w:p>
    <w:p>
      <w:r>
        <w:t>2) Some valuation and synergy bridge arithmetic appears inconsistent and should be fully reconciled.</w:t>
      </w:r>
    </w:p>
    <w:p>
      <w:r>
        <w:t>3) Multiples approach may be distorted by outliers (especially P/E), with limited robustness checks such as median/trimmed peers.</w:t>
      </w:r>
    </w:p>
    <w:p>
      <w:r>
        <w:t>4) Comparable set quality is mixed, with some peers not tightly aligned to poultry processing economics.</w:t>
      </w:r>
    </w:p>
    <w:p>
      <w:r>
        <w:t>5) Large gap between multiples value and DCF value is not fully reconciled with a clear anchor valuation logic.</w:t>
      </w:r>
    </w:p>
    <w:p>
      <w:r>
        <w:t>6) DCF assumptions are relatively simplified and need stronger scenario/sensitivity analysis across growth, margins, CapEx, working capital, and WACC.</w:t>
      </w:r>
    </w:p>
    <w:p>
      <w:r>
        <w:t>7) Synergy assumptions need tighter evidence, timing, and implementation confidence levels.</w:t>
      </w:r>
    </w:p>
    <w:p>
      <w:r>
        <w:t>8) ACCC/regulatory strategy is acknowledged but needs deeper analysis of remedies and approval pathways.</w:t>
      </w:r>
    </w:p>
    <w:p>
      <w:r>
        <w:t>9) Integration and execution risks are identified but not yet quantified in downside financial terms.</w:t>
      </w:r>
    </w:p>
    <w:p>
      <w:r>
        <w:t>10) Draft quality needs cleanup (leftover instruction text, formatting inconsistencies, and minor language edits).</w:t>
      </w:r>
    </w:p>
    <w:sectPr>
      <w:pgSz w:w="12240" w:h="15840"/>
      <w:pgMar w:top="1440" w:right="1440" w:bottom="1440" w:left="1440" w:header="720" w:footer="720" w:gutter="0"/>
    </w:sectPr>
  </w:body>
</w:document>
</file>