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8D4"/>
          <w:sz w:val="52"/>
        </w:rPr>
        <w:t>Sovereign Banking Rate-Forecast Demo</w:t>
      </w:r>
    </w:p>
    <w:p>
      <w:pPr>
        <w:jc w:val="center"/>
      </w:pPr>
      <w:r>
        <w:rPr>
          <w:color w:val="606060"/>
          <w:sz w:val="30"/>
        </w:rPr>
        <w:t>Cloud → Edge Model Lifecycle on Foundry Local (Azure Local / AKS Arc)</w:t>
      </w:r>
    </w:p>
    <w:p>
      <w:pPr>
        <w:jc w:val="center"/>
      </w:pPr>
      <w:r>
        <w:t>Technical Specification — v0.2 (as-built / verified) — 11 June 2026</w:t>
      </w:r>
    </w:p>
    <w:p>
      <w:pPr>
        <w:jc w:val="center"/>
      </w:pPr>
      <w:r>
        <w:rPr>
          <w:color w:val="606060"/>
          <w:sz w:val="20"/>
        </w:rPr>
        <w:t>Cluster: fl-banking-portland  •  Resource group: sovereign-ai-daz</w:t>
      </w:r>
    </w:p>
    <w:p/>
    <w:p>
      <w:pPr>
        <w:jc w:val="center"/>
      </w:pPr>
      <w:r>
        <w:rPr>
          <w:i/>
          <w:color w:val="202020"/>
          <w:sz w:val="22"/>
        </w:rPr>
        <w:t>Goal: prove the operational lifecycle of taking a predictive model that runs in Azure today and migrating it — together with its UI — to run entirely at the edge on Azure Local, then augmenting it with an open-source catalog model.</w:t>
      </w:r>
    </w:p>
    <w:p>
      <w:r>
        <w:br w:type="page"/>
      </w:r>
    </w:p>
    <w:p>
      <w:pPr>
        <w:pStyle w:val="Heading1"/>
      </w:pPr>
      <w:r>
        <w:t>1. Purpose &amp; Narrative</w:t>
      </w:r>
    </w:p>
    <w:p>
      <w:pPr>
        <w:spacing w:after="120"/>
      </w:pPr>
      <w:r>
        <w:rPr>
          <w:i w:val="0"/>
          <w:sz w:val="22"/>
        </w:rPr>
        <w:t>This demo proves the operational lifecycle of taking a predictive model that “runs in Azure today” and bringing it to Azure Local at the edge via Foundry Local — for a regulated bank that needs data sovereignty, low latency, and no cloud egress. The emphasis is on the lifecycle realities (convert → package → push → deploy → manage → repoint), not on raw inference performance.</w:t>
      </w:r>
    </w:p>
    <w:p>
      <w:pPr>
        <w:spacing w:after="120"/>
      </w:pPr>
      <w:r>
        <w:rPr>
          <w:i w:val="0"/>
          <w:sz w:val="22"/>
        </w:rPr>
        <w:t>It mirrors the customer scenario: they run models in Azure and want to take the same model, convert it to ONNX, containerize it, and deploy it to Azure Local at the edge — then add an open-source model from the catalog for additional intelligence. The demo deliberately begins at the ONNX handoff contract: converting a model to ONNX is the customer’s responsibility, and the platform value is the paved road from a validated ONNX model onward (see Section 5). Crucially, once the workload is migrated, EVERYTHING runs at the edge — the model and the user interface — with no cloud dependency in the running state.</w:t>
      </w:r>
    </w:p>
    <w:p>
      <w:pPr>
        <w:pStyle w:val="Heading1"/>
      </w:pPr>
      <w:r>
        <w:t>2. The Predictive Model (the BYO Hero)</w:t>
      </w:r>
    </w:p>
    <w:tbl>
      <w:tblPr>
        <w:tblStyle w:val="LightGrid-Accent1"/>
        <w:tblW w:type="auto" w:w="0"/>
        <w:jc w:val="left"/>
        <w:tblLook w:firstColumn="1" w:firstRow="1" w:lastColumn="0" w:lastRow="0" w:noHBand="0" w:noVBand="1" w:val="04A0"/>
      </w:tblPr>
      <w:tblGrid>
        <w:gridCol w:w="4320"/>
        <w:gridCol w:w="4320"/>
      </w:tblGrid>
      <w:tr>
        <w:tc>
          <w:tcPr>
            <w:tcW w:type="dxa" w:w="2304"/>
            <w:shd w:val="clear" w:color="auto" w:fill="0078D4"/>
          </w:tcPr>
          <w:p>
            <w:r/>
            <w:r>
              <w:rPr>
                <w:b/>
                <w:color w:val="FFFFFF"/>
                <w:sz w:val="20"/>
              </w:rPr>
              <w:t>Property</w:t>
            </w:r>
          </w:p>
        </w:tc>
        <w:tc>
          <w:tcPr>
            <w:tcW w:type="dxa" w:w="7056"/>
            <w:shd w:val="clear" w:color="auto" w:fill="0078D4"/>
          </w:tcPr>
          <w:p>
            <w:r/>
            <w:r>
              <w:rPr>
                <w:b/>
                <w:color w:val="FFFFFF"/>
                <w:sz w:val="20"/>
              </w:rPr>
              <w:t>Detail</w:t>
            </w:r>
          </w:p>
        </w:tc>
      </w:tr>
      <w:tr>
        <w:tc>
          <w:tcPr>
            <w:tcW w:type="dxa" w:w="2304"/>
          </w:tcPr>
          <w:p>
            <w:r/>
            <w:r>
              <w:rPr>
                <w:b w:val="0"/>
                <w:sz w:val="20"/>
              </w:rPr>
              <w:t>Type</w:t>
            </w:r>
          </w:p>
        </w:tc>
        <w:tc>
          <w:tcPr>
            <w:tcW w:type="dxa" w:w="7056"/>
          </w:tcPr>
          <w:p>
            <w:r/>
            <w:r>
              <w:rPr>
                <w:b w:val="0"/>
                <w:sz w:val="20"/>
              </w:rPr>
              <w:t>Multi-output regression — HistGradientBoostingRegressor (scikit-learn)</w:t>
            </w:r>
          </w:p>
        </w:tc>
      </w:tr>
      <w:tr>
        <w:tc>
          <w:tcPr>
            <w:tcW w:type="dxa" w:w="2304"/>
          </w:tcPr>
          <w:p>
            <w:r/>
            <w:r>
              <w:rPr>
                <w:b w:val="0"/>
                <w:sz w:val="20"/>
              </w:rPr>
              <w:t>Task</w:t>
            </w:r>
          </w:p>
        </w:tc>
        <w:tc>
          <w:tcPr>
            <w:tcW w:type="dxa" w:w="7056"/>
          </w:tcPr>
          <w:p>
            <w:r/>
            <w:r>
              <w:rPr>
                <w:b w:val="0"/>
                <w:sz w:val="20"/>
              </w:rPr>
              <w:t>Forecast a 9-tenor yield curve (1M, 3M, 6M, 1Y, 2Y, 3Y, 5Y, 7Y, 10Y) from a 10-day lookback (90 features)</w:t>
            </w:r>
          </w:p>
        </w:tc>
      </w:tr>
      <w:tr>
        <w:tc>
          <w:tcPr>
            <w:tcW w:type="dxa" w:w="2304"/>
          </w:tcPr>
          <w:p>
            <w:r/>
            <w:r>
              <w:rPr>
                <w:b w:val="0"/>
                <w:sz w:val="20"/>
              </w:rPr>
              <w:t>Data source</w:t>
            </w:r>
          </w:p>
        </w:tc>
        <w:tc>
          <w:tcPr>
            <w:tcW w:type="dxa" w:w="7056"/>
          </w:tcPr>
          <w:p>
            <w:r/>
            <w:r>
              <w:rPr>
                <w:b w:val="0"/>
                <w:sz w:val="20"/>
              </w:rPr>
              <w:t>Synthetic — Vasicek short-rate + Nelson-Siegel curve (generate_data.py → rates.csv, 2,520 rows). Regulator-safe; no real customer data</w:t>
            </w:r>
          </w:p>
        </w:tc>
      </w:tr>
      <w:tr>
        <w:tc>
          <w:tcPr>
            <w:tcW w:type="dxa" w:w="2304"/>
          </w:tcPr>
          <w:p>
            <w:r/>
            <w:r>
              <w:rPr>
                <w:b w:val="0"/>
                <w:sz w:val="20"/>
              </w:rPr>
              <w:t>Export</w:t>
            </w:r>
          </w:p>
        </w:tc>
        <w:tc>
          <w:tcPr>
            <w:tcW w:type="dxa" w:w="7056"/>
          </w:tcPr>
          <w:p>
            <w:r/>
            <w:r>
              <w:rPr>
                <w:b w:val="0"/>
                <w:sz w:val="20"/>
              </w:rPr>
              <w:t>scikit-learn → ONNX opset 17 via skl2onnx (train_export.py); validated by validate_onnx.py; test MAE 9.62 bps</w:t>
            </w:r>
          </w:p>
        </w:tc>
      </w:tr>
      <w:tr>
        <w:tc>
          <w:tcPr>
            <w:tcW w:type="dxa" w:w="2304"/>
          </w:tcPr>
          <w:p>
            <w:r/>
            <w:r>
              <w:rPr>
                <w:b w:val="0"/>
                <w:sz w:val="20"/>
              </w:rPr>
              <w:t>Artifact</w:t>
            </w:r>
          </w:p>
        </w:tc>
        <w:tc>
          <w:tcPr>
            <w:tcW w:type="dxa" w:w="7056"/>
          </w:tcPr>
          <w:p>
            <w:r/>
            <w:r>
              <w:rPr>
                <w:b w:val="0"/>
                <w:sz w:val="20"/>
              </w:rPr>
              <w:t>model/artifacts/rate_forecast.onnx (1.4 MB)</w:t>
            </w:r>
          </w:p>
        </w:tc>
      </w:tr>
    </w:tbl>
    <w:p>
      <w:pPr>
        <w:spacing w:after="120"/>
      </w:pPr>
      <w:r>
        <w:rPr>
          <w:i/>
          <w:color w:val="606060"/>
          <w:sz w:val="22"/>
        </w:rPr>
        <w:t>This model stands in for the bank’s existing in-Azure model. Real customers export their Azure ML or trained model to ONNX the same way (skl2onnx / torch.onnx / optimum / Olive).</w:t>
      </w:r>
    </w:p>
    <w:p>
      <w:pPr>
        <w:pStyle w:val="Heading1"/>
      </w:pPr>
      <w:r>
        <w:t>3. ONNX vs vLLM — Why ONNX is the Spine</w:t>
      </w:r>
    </w:p>
    <w:p>
      <w:pPr>
        <w:spacing w:after="120"/>
      </w:pPr>
      <w:r>
        <w:rPr>
          <w:i w:val="0"/>
          <w:sz w:val="22"/>
        </w:rPr>
        <w:t>A common question for BYO-at-scale is whether to standardize on vLLM. The two engines serve different purposes:</w:t>
      </w:r>
    </w:p>
    <w:tbl>
      <w:tblPr>
        <w:tblStyle w:val="LightGrid-Accent1"/>
        <w:tblW w:type="auto" w:w="0"/>
        <w:jc w:val="left"/>
        <w:tblLook w:firstColumn="1" w:firstRow="1" w:lastColumn="0" w:lastRow="0" w:noHBand="0" w:noVBand="1" w:val="04A0"/>
      </w:tblPr>
      <w:tblGrid>
        <w:gridCol w:w="2880"/>
        <w:gridCol w:w="2880"/>
        <w:gridCol w:w="2880"/>
      </w:tblGrid>
      <w:tr>
        <w:tc>
          <w:tcPr>
            <w:tcW w:type="dxa" w:w="2160"/>
            <w:shd w:val="clear" w:color="auto" w:fill="0078D4"/>
          </w:tcPr>
          <w:p>
            <w:r/>
            <w:r>
              <w:rPr>
                <w:b/>
                <w:color w:val="FFFFFF"/>
                <w:sz w:val="20"/>
              </w:rPr>
              <w:t>Dimension</w:t>
            </w:r>
          </w:p>
        </w:tc>
        <w:tc>
          <w:tcPr>
            <w:tcW w:type="dxa" w:w="3888"/>
            <w:shd w:val="clear" w:color="auto" w:fill="0078D4"/>
          </w:tcPr>
          <w:p>
            <w:r/>
            <w:r>
              <w:rPr>
                <w:b/>
                <w:color w:val="FFFFFF"/>
                <w:sz w:val="20"/>
              </w:rPr>
              <w:t>ONNX Runtime (onnx / onnx-genai)</w:t>
            </w:r>
          </w:p>
        </w:tc>
        <w:tc>
          <w:tcPr>
            <w:tcW w:type="dxa" w:w="3312"/>
            <w:shd w:val="clear" w:color="auto" w:fill="0078D4"/>
          </w:tcPr>
          <w:p>
            <w:r/>
            <w:r>
              <w:rPr>
                <w:b/>
                <w:color w:val="FFFFFF"/>
                <w:sz w:val="20"/>
              </w:rPr>
              <w:t>vLLM (vllm)</w:t>
            </w:r>
          </w:p>
        </w:tc>
      </w:tr>
      <w:tr>
        <w:tc>
          <w:tcPr>
            <w:tcW w:type="dxa" w:w="2160"/>
          </w:tcPr>
          <w:p>
            <w:r/>
            <w:r>
              <w:rPr>
                <w:b w:val="0"/>
                <w:sz w:val="20"/>
              </w:rPr>
              <w:t>Model types</w:t>
            </w:r>
          </w:p>
        </w:tc>
        <w:tc>
          <w:tcPr>
            <w:tcW w:type="dxa" w:w="3888"/>
          </w:tcPr>
          <w:p>
            <w:r/>
            <w:r>
              <w:rPr>
                <w:b w:val="0"/>
                <w:sz w:val="20"/>
              </w:rPr>
              <w:t>Predictive ML, embeddings, transformers, and generative LLMs</w:t>
            </w:r>
          </w:p>
        </w:tc>
        <w:tc>
          <w:tcPr>
            <w:tcW w:type="dxa" w:w="3312"/>
          </w:tcPr>
          <w:p>
            <w:r/>
            <w:r>
              <w:rPr>
                <w:b w:val="0"/>
                <w:sz w:val="20"/>
              </w:rPr>
              <w:t>Generative transformer LLMs only — cannot serve predictive models</w:t>
            </w:r>
          </w:p>
        </w:tc>
      </w:tr>
      <w:tr>
        <w:tc>
          <w:tcPr>
            <w:tcW w:type="dxa" w:w="2160"/>
          </w:tcPr>
          <w:p>
            <w:r/>
            <w:r>
              <w:rPr>
                <w:b w:val="0"/>
                <w:sz w:val="20"/>
              </w:rPr>
              <w:t>Hardware</w:t>
            </w:r>
          </w:p>
        </w:tc>
        <w:tc>
          <w:tcPr>
            <w:tcW w:type="dxa" w:w="3888"/>
          </w:tcPr>
          <w:p>
            <w:r/>
            <w:r>
              <w:rPr>
                <w:b w:val="0"/>
                <w:sz w:val="20"/>
              </w:rPr>
              <w:t>CPU, GPU, NPU, ARM, web — runs anywhere</w:t>
            </w:r>
          </w:p>
        </w:tc>
        <w:tc>
          <w:tcPr>
            <w:tcW w:type="dxa" w:w="3312"/>
          </w:tcPr>
          <w:p>
            <w:r/>
            <w:r>
              <w:rPr>
                <w:b w:val="0"/>
                <w:sz w:val="20"/>
              </w:rPr>
              <w:t>GPU-first (CUDA/ROCm); CPU backend exists but is not the target</w:t>
            </w:r>
          </w:p>
        </w:tc>
      </w:tr>
      <w:tr>
        <w:tc>
          <w:tcPr>
            <w:tcW w:type="dxa" w:w="2160"/>
          </w:tcPr>
          <w:p>
            <w:r/>
            <w:r>
              <w:rPr>
                <w:b w:val="0"/>
                <w:sz w:val="20"/>
              </w:rPr>
              <w:t>Edge / CPU-only</w:t>
            </w:r>
          </w:p>
        </w:tc>
        <w:tc>
          <w:tcPr>
            <w:tcW w:type="dxa" w:w="3888"/>
          </w:tcPr>
          <w:p>
            <w:r/>
            <w:r>
              <w:rPr>
                <w:b w:val="0"/>
                <w:sz w:val="20"/>
              </w:rPr>
              <w:t>Ideal — lightweight, no GPU required</w:t>
            </w:r>
          </w:p>
        </w:tc>
        <w:tc>
          <w:tcPr>
            <w:tcW w:type="dxa" w:w="3312"/>
          </w:tcPr>
          <w:p>
            <w:r/>
            <w:r>
              <w:rPr>
                <w:b w:val="0"/>
                <w:sz w:val="20"/>
              </w:rPr>
              <w:t>Poor fit — designed for GPU servers</w:t>
            </w:r>
          </w:p>
        </w:tc>
      </w:tr>
      <w:tr>
        <w:tc>
          <w:tcPr>
            <w:tcW w:type="dxa" w:w="2160"/>
          </w:tcPr>
          <w:p>
            <w:r/>
            <w:r>
              <w:rPr>
                <w:b w:val="0"/>
                <w:sz w:val="20"/>
              </w:rPr>
              <w:t>LLM throughput at scale</w:t>
            </w:r>
          </w:p>
        </w:tc>
        <w:tc>
          <w:tcPr>
            <w:tcW w:type="dxa" w:w="3888"/>
          </w:tcPr>
          <w:p>
            <w:r/>
            <w:r>
              <w:rPr>
                <w:b w:val="0"/>
                <w:sz w:val="20"/>
              </w:rPr>
              <w:t>Good single/low concurrency</w:t>
            </w:r>
          </w:p>
        </w:tc>
        <w:tc>
          <w:tcPr>
            <w:tcW w:type="dxa" w:w="3312"/>
          </w:tcPr>
          <w:p>
            <w:r/>
            <w:r>
              <w:rPr>
                <w:b w:val="0"/>
                <w:sz w:val="20"/>
              </w:rPr>
              <w:t>Best-in-class — PagedAttention + continuous batching</w:t>
            </w:r>
          </w:p>
        </w:tc>
      </w:tr>
      <w:tr>
        <w:tc>
          <w:tcPr>
            <w:tcW w:type="dxa" w:w="2160"/>
          </w:tcPr>
          <w:p>
            <w:r/>
            <w:r>
              <w:rPr>
                <w:b w:val="0"/>
                <w:sz w:val="20"/>
              </w:rPr>
              <w:t>Best for</w:t>
            </w:r>
          </w:p>
        </w:tc>
        <w:tc>
          <w:tcPr>
            <w:tcW w:type="dxa" w:w="3888"/>
          </w:tcPr>
          <w:p>
            <w:r/>
            <w:r>
              <w:rPr>
                <w:b w:val="0"/>
                <w:sz w:val="20"/>
              </w:rPr>
              <w:t>Predictive ML, edge, CPU, portability, small models</w:t>
            </w:r>
          </w:p>
        </w:tc>
        <w:tc>
          <w:tcPr>
            <w:tcW w:type="dxa" w:w="3312"/>
          </w:tcPr>
          <w:p>
            <w:r/>
            <w:r>
              <w:rPr>
                <w:b w:val="0"/>
                <w:sz w:val="20"/>
              </w:rPr>
              <w:t>High-concurrency LLM serving on GPU</w:t>
            </w:r>
          </w:p>
        </w:tc>
      </w:tr>
    </w:tbl>
    <w:p>
      <w:pPr>
        <w:spacing w:after="120"/>
      </w:pPr>
      <w:r>
        <w:rPr>
          <w:i w:val="0"/>
          <w:color w:val="2E7D32"/>
          <w:sz w:val="22"/>
        </w:rPr>
        <w:t>Decision: the demo’s hero spine is the predictive ONNX rate model (Acts 1–2). vLLM is the right tool for LLMs at scale on GPU and is presented as the documented production path — an authored manifest with a one-line runtime swap — but not run live, because the target cluster is CPU-only. The generative model in Act 3 is the catalog Phi-4 model, run live on CPU using the onnx-genai runtime.</w:t>
      </w:r>
    </w:p>
    <w:p>
      <w:pPr>
        <w:pStyle w:val="Heading1"/>
      </w:pPr>
      <w:r>
        <w:t>4. Azure (Cloud) Side — Act 1 “Model in Azure Today”</w:t>
      </w:r>
    </w:p>
    <w:p>
      <w:pPr>
        <w:spacing w:after="120"/>
      </w:pPr>
      <w:r>
        <w:rPr>
          <w:i w:val="0"/>
          <w:sz w:val="22"/>
        </w:rPr>
        <w:t>Act 1 establishes the “before” baseline that we subsequently migrate away from.</w:t>
      </w:r>
    </w:p>
    <w:p>
      <w:pPr>
        <w:pStyle w:val="ListBullet"/>
      </w:pPr>
      <w:r>
        <w:rPr>
          <w:b/>
        </w:rPr>
        <w:t xml:space="preserve">Azure Container Apps </w:t>
      </w:r>
      <w:r>
        <w:t>hosts a small FastAPI + onnxruntime service exposing /v1/predict (the dashboard contract).</w:t>
      </w:r>
    </w:p>
    <w:p>
      <w:pPr>
        <w:pStyle w:val="ListBullet"/>
      </w:pPr>
      <w:r>
        <w:rPr>
          <w:b/>
        </w:rPr>
        <w:t xml:space="preserve">Azure Container Registry </w:t>
      </w:r>
      <w:r>
        <w:t>(flbankingacr, Standard) stores the inference image and, later, the model OCI artifact.</w:t>
      </w:r>
    </w:p>
    <w:p>
      <w:pPr>
        <w:pStyle w:val="ListBullet"/>
      </w:pPr>
      <w:r>
        <w:rPr>
          <w:b/>
        </w:rPr>
        <w:t xml:space="preserve">Dashboard UI </w:t>
      </w:r>
      <w:r>
        <w:t>(“Sovereign Rate Forecast”, Next.js) calls the Container Apps endpoint.</w:t>
      </w:r>
    </w:p>
    <w:p>
      <w:pPr>
        <w:pStyle w:val="ListBullet"/>
      </w:pPr>
      <w:r>
        <w:rPr>
          <w:b/>
        </w:rPr>
        <w:t xml:space="preserve">Microsoft Entra ID </w:t>
      </w:r>
      <w:r>
        <w:t>(SPN fl-banking-foundry-auth) for registry pull; optional Log Analytics / App Insights.</w:t>
      </w:r>
    </w:p>
    <w:p>
      <w:pPr>
        <w:spacing w:after="120"/>
      </w:pPr>
      <w:r>
        <w:rPr>
          <w:i/>
          <w:color w:val="606060"/>
          <w:sz w:val="22"/>
        </w:rPr>
        <w:t>Note: this is Azure Container Apps in the PUBLIC CLOUD (managed, serverless) — distinct from “Container Apps on Arc.” See Section 7.</w:t>
      </w:r>
    </w:p>
    <w:p>
      <w:pPr>
        <w:pStyle w:val="Heading1"/>
      </w:pPr>
      <w:r>
        <w:t>5. Scope Boundary, Containerize &amp; Push (the Lifecycle Mechanics)</w:t>
      </w:r>
    </w:p>
    <w:p>
      <w:pPr>
        <w:spacing w:after="120"/>
      </w:pPr>
      <w:r>
        <w:rPr>
          <w:i w:val="0"/>
          <w:color w:val="2E7D32"/>
          <w:sz w:val="22"/>
        </w:rPr>
        <w:t>The demo deliberately STARTS from a validated ONNX model. Converting a model to ONNX is the customer’s responsibility: it is model-specific and involves customer-owned decisions (opset, quantization, accuracy validation, tokenizer handling). It is not Microsoft’s role to convert customers’ models for them — they research, test, and plan that against their own models. Microsoft’s value is everything downstream of ONNX: the paved road from a validated ONNX model to a managed, sovereign edge deployment. “When you get to ONNX, here is what to do.”</w:t>
      </w:r>
    </w:p>
    <w:p>
      <w:pPr>
        <w:spacing w:after="40"/>
      </w:pPr>
      <w:r>
        <w:rPr>
          <w:i w:val="0"/>
          <w:sz w:val="22"/>
        </w:rPr>
        <w:t>Responsibility boundary (RACI):</w:t>
      </w:r>
    </w:p>
    <w:tbl>
      <w:tblPr>
        <w:tblStyle w:val="LightGrid-Accent1"/>
        <w:tblW w:type="auto" w:w="0"/>
        <w:jc w:val="left"/>
        <w:tblLook w:firstColumn="1" w:firstRow="1" w:lastColumn="0" w:lastRow="0" w:noHBand="0" w:noVBand="1" w:val="04A0"/>
      </w:tblPr>
      <w:tblGrid>
        <w:gridCol w:w="4320"/>
        <w:gridCol w:w="4320"/>
      </w:tblGrid>
      <w:tr>
        <w:tc>
          <w:tcPr>
            <w:tcW w:type="dxa" w:w="6624"/>
            <w:shd w:val="clear" w:color="auto" w:fill="0078D4"/>
          </w:tcPr>
          <w:p>
            <w:r/>
            <w:r>
              <w:rPr>
                <w:b/>
                <w:color w:val="FFFFFF"/>
                <w:sz w:val="20"/>
              </w:rPr>
              <w:t>Stage</w:t>
            </w:r>
          </w:p>
        </w:tc>
        <w:tc>
          <w:tcPr>
            <w:tcW w:type="dxa" w:w="2736"/>
            <w:shd w:val="clear" w:color="auto" w:fill="0078D4"/>
          </w:tcPr>
          <w:p>
            <w:r/>
            <w:r>
              <w:rPr>
                <w:b/>
                <w:color w:val="FFFFFF"/>
                <w:sz w:val="20"/>
              </w:rPr>
              <w:t>Owner</w:t>
            </w:r>
          </w:p>
        </w:tc>
      </w:tr>
      <w:tr>
        <w:tc>
          <w:tcPr>
            <w:tcW w:type="dxa" w:w="6624"/>
          </w:tcPr>
          <w:p>
            <w:r/>
            <w:r>
              <w:rPr>
                <w:b w:val="0"/>
                <w:sz w:val="20"/>
              </w:rPr>
              <w:t>Model selection, training, conversion to ONNX, accuracy validation</w:t>
            </w:r>
          </w:p>
        </w:tc>
        <w:tc>
          <w:tcPr>
            <w:tcW w:type="dxa" w:w="2736"/>
          </w:tcPr>
          <w:p>
            <w:r/>
            <w:r>
              <w:rPr>
                <w:b w:val="0"/>
                <w:sz w:val="20"/>
              </w:rPr>
              <w:t>Customer</w:t>
            </w:r>
          </w:p>
        </w:tc>
      </w:tr>
      <w:tr>
        <w:tc>
          <w:tcPr>
            <w:tcW w:type="dxa" w:w="6624"/>
          </w:tcPr>
          <w:p>
            <w:r/>
            <w:r>
              <w:rPr>
                <w:b w:val="0"/>
                <w:sz w:val="20"/>
              </w:rPr>
              <w:t>ONNX → package → ACR → deploy → serve → manage at the edge</w:t>
            </w:r>
          </w:p>
        </w:tc>
        <w:tc>
          <w:tcPr>
            <w:tcW w:type="dxa" w:w="2736"/>
          </w:tcPr>
          <w:p>
            <w:r/>
            <w:r>
              <w:rPr>
                <w:b w:val="0"/>
                <w:sz w:val="20"/>
              </w:rPr>
              <w:t>Microsoft platform (Foundry Local)</w:t>
            </w:r>
          </w:p>
        </w:tc>
      </w:tr>
    </w:tbl>
    <w:p>
      <w:pPr>
        <w:spacing w:after="40"/>
      </w:pPr>
      <w:r>
        <w:rPr>
          <w:i w:val="0"/>
          <w:sz w:val="22"/>
        </w:rPr>
        <w:t>Lifecycle steps shown in the demo (all downstream of ONNX):</w:t>
      </w:r>
    </w:p>
    <w:p>
      <w:pPr>
        <w:pStyle w:val="ListBullet"/>
      </w:pPr>
      <w:r>
        <w:t>Start from a validated ONNX model (the BYO handoff contract).</w:t>
      </w:r>
    </w:p>
    <w:p>
      <w:pPr>
        <w:pStyle w:val="ListBullet"/>
      </w:pPr>
      <w:r>
        <w:t>Packaging for Foundry Local: tar.gz the ONNX + metadata, then push to ACR as an OCI artifact via ORAS (media-type application/vnd.foundrylocal.model.v1+tar) using package_and_push.sh. This is the “containerize the model” step.</w:t>
      </w:r>
    </w:p>
    <w:p>
      <w:pPr>
        <w:pStyle w:val="ListBullet"/>
      </w:pPr>
      <w:r>
        <w:t>Deploy to Foundry Local on the edge cluster, serve, and manage.</w:t>
      </w:r>
    </w:p>
    <w:p>
      <w:pPr>
        <w:spacing w:after="160"/>
        <w:ind w:left="432"/>
      </w:pPr>
      <w:r>
        <w:rPr>
          <w:rFonts w:ascii="Consolas" w:hAnsi="Consolas"/>
          <w:sz w:val="18"/>
          <w:rFonts w:ascii="Consolas" w:hAnsi="Consolas"/>
        </w:rPr>
        <w:t>./model/package_and_push.sh ./artifacts flbankingacr models/rate-forecast v1</w:t>
      </w:r>
    </w:p>
    <w:p>
      <w:pPr>
        <w:spacing w:after="120"/>
      </w:pPr>
      <w:r>
        <w:rPr>
          <w:i/>
          <w:color w:val="606060"/>
          <w:sz w:val="22"/>
        </w:rPr>
        <w:t>Getting to ONNX (guidance only — not in the live demo path): customers convert their own models using the appropriate path — skl2onnx (scikit-learn), torch.onnx (PyTorch), optimum or Olive (transformers / LLMs) — followed by accuracy validation against the source model. The convert_hf_to_onnx.sh script is kept in the repository as an illustrative, pre-baked example (“customers do this for their own models”); it is not executed during the demo.</w:t>
      </w:r>
    </w:p>
    <w:p>
      <w:pPr>
        <w:pStyle w:val="Heading1"/>
      </w:pPr>
      <w:r>
        <w:t>6. Azure Local (Edge) Side — Acts 2/3 “Everything at the Edge”</w:t>
      </w:r>
    </w:p>
    <w:p>
      <w:pPr>
        <w:spacing w:after="120"/>
      </w:pPr>
      <w:r>
        <w:rPr>
          <w:i w:val="0"/>
          <w:sz w:val="22"/>
        </w:rPr>
        <w:t>Target cluster (deployed and verified):</w:t>
      </w:r>
    </w:p>
    <w:tbl>
      <w:tblPr>
        <w:tblStyle w:val="LightGrid-Accent1"/>
        <w:tblW w:type="auto" w:w="0"/>
        <w:jc w:val="left"/>
        <w:tblLook w:firstColumn="1" w:firstRow="1" w:lastColumn="0" w:lastRow="0" w:noHBand="0" w:noVBand="1" w:val="04A0"/>
      </w:tblPr>
      <w:tblGrid>
        <w:gridCol w:w="4320"/>
        <w:gridCol w:w="4320"/>
      </w:tblGrid>
      <w:tr>
        <w:tc>
          <w:tcPr>
            <w:tcW w:type="dxa" w:w="2448"/>
            <w:shd w:val="clear" w:color="auto" w:fill="2E7D32"/>
          </w:tcPr>
          <w:p>
            <w:r/>
            <w:r>
              <w:rPr>
                <w:b/>
                <w:color w:val="FFFFFF"/>
                <w:sz w:val="20"/>
              </w:rPr>
              <w:t>Component</w:t>
            </w:r>
          </w:p>
        </w:tc>
        <w:tc>
          <w:tcPr>
            <w:tcW w:type="dxa" w:w="6912"/>
            <w:shd w:val="clear" w:color="auto" w:fill="2E7D32"/>
          </w:tcPr>
          <w:p>
            <w:r/>
            <w:r>
              <w:rPr>
                <w:b/>
                <w:color w:val="FFFFFF"/>
                <w:sz w:val="20"/>
              </w:rPr>
              <w:t>Detail</w:t>
            </w:r>
          </w:p>
        </w:tc>
      </w:tr>
      <w:tr>
        <w:tc>
          <w:tcPr>
            <w:tcW w:type="dxa" w:w="2448"/>
          </w:tcPr>
          <w:p>
            <w:r/>
            <w:r>
              <w:rPr>
                <w:b w:val="0"/>
                <w:sz w:val="20"/>
              </w:rPr>
              <w:t>Cluster</w:t>
            </w:r>
          </w:p>
        </w:tc>
        <w:tc>
          <w:tcPr>
            <w:tcW w:type="dxa" w:w="6912"/>
          </w:tcPr>
          <w:p>
            <w:r/>
            <w:r>
              <w:rPr>
                <w:b w:val="0"/>
                <w:sz w:val="20"/>
              </w:rPr>
              <w:t>fl-banking-portland (AKS Arc on Azure Local)</w:t>
            </w:r>
          </w:p>
        </w:tc>
      </w:tr>
      <w:tr>
        <w:tc>
          <w:tcPr>
            <w:tcW w:type="dxa" w:w="2448"/>
          </w:tcPr>
          <w:p>
            <w:r/>
            <w:r>
              <w:rPr>
                <w:b w:val="0"/>
                <w:sz w:val="20"/>
              </w:rPr>
              <w:t>Nodes</w:t>
            </w:r>
          </w:p>
        </w:tc>
        <w:tc>
          <w:tcPr>
            <w:tcW w:type="dxa" w:w="6912"/>
          </w:tcPr>
          <w:p>
            <w:r>
              <w:t>Standard_D8s_v3 (8 vCPU / 32 GB), CPU-only. nodepool1 scaled 1 -&gt; 3 (1 control-plane, tainted + 2 workers) to co-schedule the Phi-4 generative pod and the model-cache job.</w:t>
            </w:r>
          </w:p>
        </w:tc>
      </w:tr>
      <w:tr>
        <w:tc>
          <w:tcPr>
            <w:tcW w:type="dxa" w:w="2448"/>
          </w:tcPr>
          <w:p>
            <w:r/>
            <w:r>
              <w:rPr>
                <w:b w:val="0"/>
                <w:sz w:val="20"/>
              </w:rPr>
              <w:t>Platform</w:t>
            </w:r>
          </w:p>
        </w:tc>
        <w:tc>
          <w:tcPr>
            <w:tcW w:type="dxa" w:w="6912"/>
          </w:tcPr>
          <w:p>
            <w:r/>
            <w:r>
              <w:rPr>
                <w:b w:val="0"/>
                <w:sz w:val="20"/>
              </w:rPr>
              <w:t>Kubernetes 1.33.5, Azure Linux 3.0, calico; custom location Portland; LNET pdx-lnet-vlan32</w:t>
            </w:r>
          </w:p>
        </w:tc>
      </w:tr>
      <w:tr>
        <w:tc>
          <w:tcPr>
            <w:tcW w:type="dxa" w:w="2448"/>
          </w:tcPr>
          <w:p>
            <w:r/>
            <w:r>
              <w:rPr>
                <w:b w:val="0"/>
                <w:sz w:val="20"/>
              </w:rPr>
              <w:t>Foundry Local</w:t>
            </w:r>
          </w:p>
        </w:tc>
        <w:tc>
          <w:tcPr>
            <w:tcW w:type="dxa" w:w="6912"/>
          </w:tcPr>
          <w:p>
            <w:r/>
            <w:r>
              <w:rPr>
                <w:b w:val="0"/>
                <w:sz w:val="20"/>
              </w:rPr>
              <w:t>Arc Kubernetes extension Microsoft.Foundry (the “inference operator”)</w:t>
            </w:r>
          </w:p>
        </w:tc>
      </w:tr>
      <w:tr>
        <w:tc>
          <w:tcPr>
            <w:tcW w:type="dxa" w:w="2448"/>
          </w:tcPr>
          <w:p>
            <w:r/>
            <w:r>
              <w:rPr>
                <w:b w:val="0"/>
                <w:sz w:val="20"/>
              </w:rPr>
              <w:t>Operator pods</w:t>
            </w:r>
          </w:p>
        </w:tc>
        <w:tc>
          <w:tcPr>
            <w:tcW w:type="dxa" w:w="6912"/>
          </w:tcPr>
          <w:p>
            <w:r/>
            <w:r>
              <w:rPr>
                <w:b w:val="0"/>
                <w:sz w:val="20"/>
              </w:rPr>
              <w:t>api, inference-operator, model-store, telemetry-collector (ns foundry-local-operator)</w:t>
            </w:r>
          </w:p>
        </w:tc>
      </w:tr>
      <w:tr>
        <w:tc>
          <w:tcPr>
            <w:tcW w:type="dxa" w:w="2448"/>
          </w:tcPr>
          <w:p>
            <w:r/>
            <w:r>
              <w:rPr>
                <w:b w:val="0"/>
                <w:sz w:val="20"/>
              </w:rPr>
              <w:t>CRDs</w:t>
            </w:r>
          </w:p>
        </w:tc>
        <w:tc>
          <w:tcPr>
            <w:tcW w:type="dxa" w:w="6912"/>
          </w:tcPr>
          <w:p>
            <w:r/>
            <w:r>
              <w:rPr>
                <w:b w:val="0"/>
                <w:sz w:val="20"/>
              </w:rPr>
              <w:t>modeldeployments, inferenceservices, models, storemodels (.foundrylocal.azure.com)</w:t>
            </w:r>
          </w:p>
        </w:tc>
      </w:tr>
      <w:tr>
        <w:tc>
          <w:tcPr>
            <w:tcW w:type="dxa" w:w="2448"/>
          </w:tcPr>
          <w:p>
            <w:r/>
            <w:r>
              <w:rPr>
                <w:b w:val="0"/>
                <w:sz w:val="20"/>
              </w:rPr>
              <w:t>Runtimes</w:t>
            </w:r>
          </w:p>
        </w:tc>
        <w:tc>
          <w:tcPr>
            <w:tcW w:type="dxa" w:w="6912"/>
          </w:tcPr>
          <w:p>
            <w:r/>
            <w:r>
              <w:rPr>
                <w:b w:val="0"/>
                <w:sz w:val="20"/>
              </w:rPr>
              <w:t>onnx (predictive), onnx-genai (generative CPU), vllm (generative GPU)</w:t>
            </w:r>
          </w:p>
        </w:tc>
      </w:tr>
      <w:tr>
        <w:tc>
          <w:tcPr>
            <w:tcW w:type="dxa" w:w="2448"/>
          </w:tcPr>
          <w:p>
            <w:r/>
            <w:r>
              <w:rPr>
                <w:b w:val="0"/>
                <w:sz w:val="20"/>
              </w:rPr>
              <w:t>Catalog</w:t>
            </w:r>
          </w:p>
        </w:tc>
        <w:tc>
          <w:tcPr>
            <w:tcW w:type="dxa" w:w="6912"/>
          </w:tcPr>
          <w:p>
            <w:r/>
            <w:r>
              <w:rPr>
                <w:b w:val="0"/>
                <w:sz w:val="20"/>
              </w:rPr>
              <w:t>~179 curated open-source models (e.g. Phi-4-generic-cpu)</w:t>
            </w:r>
          </w:p>
        </w:tc>
      </w:tr>
      <w:tr>
        <w:tc>
          <w:tcPr>
            <w:tcW w:type="dxa" w:w="2448"/>
          </w:tcPr>
          <w:p>
            <w:r/>
            <w:r>
              <w:rPr>
                <w:b w:val="0"/>
                <w:sz w:val="20"/>
              </w:rPr>
              <w:t>Prereqs installed</w:t>
            </w:r>
          </w:p>
        </w:tc>
        <w:tc>
          <w:tcPr>
            <w:tcW w:type="dxa" w:w="6912"/>
          </w:tcPr>
          <w:p>
            <w:r/>
            <w:r>
              <w:rPr>
                <w:b w:val="0"/>
                <w:sz w:val="20"/>
              </w:rPr>
              <w:t>cert-manager (azure-cert-manager), ingress-nginx (Helm, LoadBalancer)</w:t>
            </w:r>
          </w:p>
        </w:tc>
      </w:tr>
    </w:tbl>
    <w:p>
      <w:pPr>
        <w:spacing w:after="120"/>
      </w:pPr>
      <w:r>
        <w:rPr>
          <w:i w:val="0"/>
          <w:sz w:val="22"/>
        </w:rPr>
        <w:t>Deployments on the cluster:</w:t>
      </w:r>
    </w:p>
    <w:p>
      <w:pPr>
        <w:pStyle w:val="ListBullet"/>
      </w:pPr>
      <w:r>
        <w:t>BYO predictive — modeldeployment-rate-forecast.yaml: model.custom (ACR registry/repo/tag + credentials.secretRef=registry-credentials), workloadType predictive, runtime onnx, compute cpu.</w:t>
      </w:r>
    </w:p>
    <w:p>
      <w:pPr>
        <w:pStyle w:val="ListBullet"/>
      </w:pPr>
      <w:r>
        <w:t>Catalog LLM — modeldeployment-catalog-smoke.yaml: model.catalog.name Phi-4-generic-cpu, runtime onnx-genai, workloadType generative, compute cpu.</w:t>
      </w:r>
    </w:p>
    <w:p>
      <w:pPr>
        <w:pStyle w:val="ListBullet"/>
      </w:pPr>
      <w:r>
        <w:t>Dashboard UI — a plain Kubernetes Deployment + Service + Ingress on the SAME cluster, with FOUNDRY_ENDPOINT pointing at the in-cluster model service.</w:t>
      </w:r>
    </w:p>
    <w:p>
      <w:pPr>
        <w:spacing w:after="120"/>
      </w:pPr>
      <w:r>
        <w:rPr>
          <w:i w:val="0"/>
          <w:sz w:val="22"/>
        </w:rPr>
        <w:t>Endpoints via ingress: predictive /v1/predict; generative /v1/chat/completions. API key in the &lt;deployment&gt;-api-keys secret. Operator access from the laptop is via az connectedk8s proxy.</w:t>
      </w:r>
    </w:p>
    <w:p>
      <w:pPr>
        <w:pStyle w:val="Heading1"/>
      </w:pPr>
      <w:r>
        <w:t>7. Do We Need Container Apps on Arc? — No</w:t>
      </w:r>
    </w:p>
    <w:p>
      <w:pPr>
        <w:spacing w:after="120"/>
      </w:pPr>
      <w:r>
        <w:rPr>
          <w:i w:val="0"/>
          <w:color w:val="2E7D32"/>
          <w:sz w:val="22"/>
        </w:rPr>
        <w:t>Directive: once migrated to the edge, everything runs at the edge on fl-banking-portland, including the UI, with no cloud dependency in the running state.</w:t>
      </w:r>
    </w:p>
    <w:p>
      <w:pPr>
        <w:pStyle w:val="ListBullet"/>
      </w:pPr>
      <w:r>
        <w:t>The edge needs only: Foundry Local (model serving) + cert-manager + ingress-nginx. The dashboard UI runs as a plain Kubernetes Deployment + Service + Ingress on the same AKS Arc cluster — no additional extension.</w:t>
      </w:r>
    </w:p>
    <w:p>
      <w:pPr>
        <w:pStyle w:val="ListBullet"/>
      </w:pPr>
      <w:r>
        <w:t>Container Apps on Arc is rejected for this demo: it adds a second extension and, on AKS Arc, is Linux-only and requires a LoadBalancer plus custom CoreDNS and HAProxy, has no managed identities (an app service principal must be used to pull from ACR), is region-restricted, and sends logs to a per-cluster Log Analytics workspace. It is mentioned in the talk track only.</w:t>
      </w:r>
    </w:p>
    <w:p>
      <w:pPr>
        <w:pStyle w:val="ListBullet"/>
      </w:pPr>
      <w:r>
        <w:t>On-stage distinction: Act 1 uses Azure Container Apps in the PUBLIC CLOUD (the “before” baseline). After migration, the model AND the UI are 100% on Azure Local — fully sovereign and able to run air-gapped. ACR is the one cloud touchpoint during deployment (artifact + image pull); once cached, the running state is sovereign.</w:t>
      </w:r>
    </w:p>
    <w:p>
      <w:pPr>
        <w:pStyle w:val="Heading1"/>
      </w:pPr>
      <w:r>
        <w:t>8. End-to-End Flow (per Act)</w:t>
      </w:r>
    </w:p>
    <w:tbl>
      <w:tblPr>
        <w:tblStyle w:val="LightGrid-Accent1"/>
        <w:tblW w:type="auto" w:w="0"/>
        <w:jc w:val="left"/>
        <w:tblLook w:firstColumn="1" w:firstRow="1" w:lastColumn="0" w:lastRow="0" w:noHBand="0" w:noVBand="1" w:val="04A0"/>
      </w:tblPr>
      <w:tblGrid>
        <w:gridCol w:w="2880"/>
        <w:gridCol w:w="2880"/>
        <w:gridCol w:w="2880"/>
      </w:tblGrid>
      <w:tr>
        <w:tc>
          <w:tcPr>
            <w:tcW w:type="dxa" w:w="2448"/>
            <w:shd w:val="clear" w:color="auto" w:fill="0078D4"/>
          </w:tcPr>
          <w:p>
            <w:r/>
            <w:r>
              <w:rPr>
                <w:b/>
                <w:color w:val="FFFFFF"/>
                <w:sz w:val="20"/>
              </w:rPr>
              <w:t>Act</w:t>
            </w:r>
          </w:p>
        </w:tc>
        <w:tc>
          <w:tcPr>
            <w:tcW w:type="dxa" w:w="5184"/>
            <w:shd w:val="clear" w:color="auto" w:fill="0078D4"/>
          </w:tcPr>
          <w:p>
            <w:r/>
            <w:r>
              <w:rPr>
                <w:b/>
                <w:color w:val="FFFFFF"/>
                <w:sz w:val="20"/>
              </w:rPr>
              <w:t>What happens</w:t>
            </w:r>
          </w:p>
        </w:tc>
        <w:tc>
          <w:tcPr>
            <w:tcW w:type="dxa" w:w="1728"/>
            <w:shd w:val="clear" w:color="auto" w:fill="0078D4"/>
          </w:tcPr>
          <w:p>
            <w:r/>
            <w:r>
              <w:rPr>
                <w:b/>
                <w:color w:val="FFFFFF"/>
                <w:sz w:val="20"/>
              </w:rPr>
              <w:t>Where</w:t>
            </w:r>
          </w:p>
        </w:tc>
      </w:tr>
      <w:tr>
        <w:tc>
          <w:tcPr>
            <w:tcW w:type="dxa" w:w="2448"/>
          </w:tcPr>
          <w:p>
            <w:r/>
            <w:r>
              <w:rPr>
                <w:b w:val="0"/>
                <w:sz w:val="20"/>
              </w:rPr>
              <w:t>Act 1 — Cloud baseline</w:t>
            </w:r>
          </w:p>
        </w:tc>
        <w:tc>
          <w:tcPr>
            <w:tcW w:type="dxa" w:w="5184"/>
          </w:tcPr>
          <w:p>
            <w:r/>
            <w:r>
              <w:rPr>
                <w:b w:val="0"/>
                <w:sz w:val="20"/>
              </w:rPr>
              <w:t>Synthetic data → ONNX model → FastAPI inference → dashboard live</w:t>
            </w:r>
          </w:p>
        </w:tc>
        <w:tc>
          <w:tcPr>
            <w:tcW w:type="dxa" w:w="1728"/>
          </w:tcPr>
          <w:p>
            <w:r/>
            <w:r>
              <w:rPr>
                <w:b w:val="0"/>
                <w:sz w:val="20"/>
              </w:rPr>
              <w:t>Azure Container Apps (public cloud)</w:t>
            </w:r>
          </w:p>
        </w:tc>
      </w:tr>
      <w:tr>
        <w:tc>
          <w:tcPr>
            <w:tcW w:type="dxa" w:w="2448"/>
          </w:tcPr>
          <w:p>
            <w:r/>
            <w:r>
              <w:rPr>
                <w:b w:val="0"/>
                <w:sz w:val="20"/>
              </w:rPr>
              <w:t>Act 2 — Edge migration (HERO)</w:t>
            </w:r>
          </w:p>
        </w:tc>
        <w:tc>
          <w:tcPr>
            <w:tcW w:type="dxa" w:w="5184"/>
          </w:tcPr>
          <w:p>
            <w:r/>
            <w:r>
              <w:rPr>
                <w:b w:val="0"/>
                <w:sz w:val="20"/>
              </w:rPr>
              <w:t>Same rate_forecast.onnx → ORAS package → ACR → ModelDeployment (onnx, cpu) on Foundry Local; UI redeployed to the cluster → identical curve, now sovereign</w:t>
            </w:r>
          </w:p>
        </w:tc>
        <w:tc>
          <w:tcPr>
            <w:tcW w:type="dxa" w:w="1728"/>
          </w:tcPr>
          <w:p>
            <w:r/>
            <w:r>
              <w:rPr>
                <w:b w:val="0"/>
                <w:sz w:val="20"/>
              </w:rPr>
              <w:t>Azure Local — fl-banking-portland</w:t>
            </w:r>
          </w:p>
        </w:tc>
      </w:tr>
      <w:tr>
        <w:tc>
          <w:tcPr>
            <w:tcW w:type="dxa" w:w="2448"/>
          </w:tcPr>
          <w:p>
            <w:r/>
            <w:r>
              <w:rPr>
                <w:b w:val="0"/>
                <w:sz w:val="20"/>
              </w:rPr>
              <w:t>Act 3 — Add intelligence</w:t>
            </w:r>
          </w:p>
        </w:tc>
        <w:tc>
          <w:tcPr>
            <w:tcW w:type="dxa" w:w="5184"/>
          </w:tcPr>
          <w:p>
            <w:r/>
            <w:r>
              <w:rPr>
                <w:b w:val="0"/>
                <w:sz w:val="20"/>
              </w:rPr>
              <w:t>Catalog Phi-4 (onnx-genai) → dashboard “AI Analyst” panel; authored vLLM GPU manifest (documented, not run). Conversion shown only as an illustrative artifact</w:t>
            </w:r>
          </w:p>
        </w:tc>
        <w:tc>
          <w:tcPr>
            <w:tcW w:type="dxa" w:w="1728"/>
          </w:tcPr>
          <w:p>
            <w:r/>
            <w:r>
              <w:rPr>
                <w:b w:val="0"/>
                <w:sz w:val="20"/>
              </w:rPr>
              <w:t>Azure Local — fl-banking-portland</w:t>
            </w:r>
          </w:p>
        </w:tc>
      </w:tr>
    </w:tbl>
    <w:p>
      <w:pPr>
        <w:pStyle w:val="Heading1"/>
      </w:pPr>
      <w:r>
        <w:t>9. Azure Services Summary</w:t>
      </w:r>
    </w:p>
    <w:p>
      <w:pPr>
        <w:spacing w:after="40"/>
      </w:pPr>
      <w:r>
        <w:rPr>
          <w:i w:val="0"/>
          <w:sz w:val="22"/>
        </w:rPr>
        <w:t>Cloud (Act 1 baseline):</w:t>
      </w:r>
    </w:p>
    <w:p>
      <w:pPr>
        <w:pStyle w:val="ListBullet"/>
      </w:pPr>
      <w:r>
        <w:t>Azure Container Apps — Act 1 inference host</w:t>
      </w:r>
    </w:p>
    <w:p>
      <w:pPr>
        <w:pStyle w:val="ListBullet"/>
      </w:pPr>
      <w:r>
        <w:t>Azure Container Registry (flbankingacr) — images and model OCI artifacts</w:t>
      </w:r>
    </w:p>
    <w:p>
      <w:pPr>
        <w:pStyle w:val="ListBullet"/>
      </w:pPr>
      <w:r>
        <w:t>Microsoft Entra ID — app registration / SPN for ACR pull</w:t>
      </w:r>
    </w:p>
    <w:p>
      <w:pPr>
        <w:pStyle w:val="ListBullet"/>
      </w:pPr>
      <w:r>
        <w:t>Optional: Log Analytics / Application Insights</w:t>
      </w:r>
    </w:p>
    <w:p>
      <w:pPr>
        <w:spacing w:after="40"/>
      </w:pPr>
      <w:r>
        <w:rPr>
          <w:i w:val="0"/>
          <w:sz w:val="22"/>
        </w:rPr>
        <w:t>Edge (Azure Local):</w:t>
      </w:r>
    </w:p>
    <w:p>
      <w:pPr>
        <w:pStyle w:val="ListBullet"/>
      </w:pPr>
      <w:r>
        <w:t>Azure Local + AKS Arc (Arc-enabled Kubernetes)</w:t>
      </w:r>
    </w:p>
    <w:p>
      <w:pPr>
        <w:pStyle w:val="ListBullet"/>
      </w:pPr>
      <w:r>
        <w:t>Arc Resource Bridge, Custom Location</w:t>
      </w:r>
    </w:p>
    <w:p>
      <w:pPr>
        <w:pStyle w:val="ListBullet"/>
      </w:pPr>
      <w:r>
        <w:t>Foundry Local extension (Microsoft.Foundry)</w:t>
      </w:r>
    </w:p>
    <w:p>
      <w:pPr>
        <w:pStyle w:val="ListBullet"/>
      </w:pPr>
      <w:r>
        <w:t>cert-manager extension, ingress-nginx</w:t>
      </w:r>
    </w:p>
    <w:p>
      <w:pPr>
        <w:spacing w:after="120"/>
      </w:pPr>
      <w:r>
        <w:rPr>
          <w:i/>
          <w:color w:val="606060"/>
          <w:sz w:val="22"/>
        </w:rPr>
        <w:t>All edge resources are managed centrally from Azure via Arc.</w:t>
      </w:r>
    </w:p>
    <w:p>
      <w:pPr>
        <w:pStyle w:val="Heading1"/>
      </w:pPr>
      <w:r>
        <w:t>10. Build Deliverables</w:t>
      </w:r>
    </w:p>
    <w:tbl>
      <w:tblPr>
        <w:tblStyle w:val="LightGrid-Accent1"/>
        <w:tblW w:type="auto" w:w="0"/>
        <w:jc w:val="left"/>
        <w:tblLook w:firstColumn="1" w:firstRow="1" w:lastColumn="0" w:lastRow="0" w:noHBand="0" w:noVBand="1" w:val="04A0"/>
      </w:tblPr>
      <w:tblGrid>
        <w:gridCol w:w="4320"/>
        <w:gridCol w:w="4320"/>
      </w:tblGrid>
      <w:tr>
        <w:tc>
          <w:tcPr>
            <w:tcW w:type="dxa" w:w="5184"/>
            <w:shd w:val="clear" w:color="auto" w:fill="0078D4"/>
          </w:tcPr>
          <w:p>
            <w:r/>
            <w:r>
              <w:rPr>
                <w:b/>
                <w:color w:val="FFFFFF"/>
                <w:sz w:val="20"/>
              </w:rPr>
              <w:t>Deliverable</w:t>
            </w:r>
          </w:p>
        </w:tc>
        <w:tc>
          <w:tcPr>
            <w:tcW w:type="dxa" w:w="4176"/>
            <w:shd w:val="clear" w:color="auto" w:fill="0078D4"/>
          </w:tcPr>
          <w:p>
            <w:r/>
            <w:r>
              <w:rPr>
                <w:b/>
                <w:color w:val="FFFFFF"/>
                <w:sz w:val="20"/>
              </w:rPr>
              <w:t>Purpose / Act</w:t>
            </w:r>
          </w:p>
        </w:tc>
      </w:tr>
      <w:tr>
        <w:tc>
          <w:tcPr>
            <w:tcW w:type="dxa" w:w="5184"/>
          </w:tcPr>
          <w:p>
            <w:r/>
            <w:r>
              <w:rPr>
                <w:b w:val="0"/>
                <w:sz w:val="20"/>
              </w:rPr>
              <w:t>azure-api/ (FastAPI + onnxruntime + Dockerfile)</w:t>
            </w:r>
          </w:p>
        </w:tc>
        <w:tc>
          <w:tcPr>
            <w:tcW w:type="dxa" w:w="4176"/>
          </w:tcPr>
          <w:p>
            <w:r/>
            <w:r>
              <w:rPr>
                <w:b w:val="0"/>
                <w:sz w:val="20"/>
              </w:rPr>
              <w:t>Act 1 cloud inference service</w:t>
            </w:r>
          </w:p>
        </w:tc>
      </w:tr>
      <w:tr>
        <w:tc>
          <w:tcPr>
            <w:tcW w:type="dxa" w:w="5184"/>
          </w:tcPr>
          <w:p>
            <w:r/>
            <w:r>
              <w:rPr>
                <w:b w:val="0"/>
                <w:sz w:val="20"/>
              </w:rPr>
              <w:t>infra/20-deploy-aca.ps1</w:t>
            </w:r>
          </w:p>
        </w:tc>
        <w:tc>
          <w:tcPr>
            <w:tcW w:type="dxa" w:w="4176"/>
          </w:tcPr>
          <w:p>
            <w:r/>
            <w:r>
              <w:rPr>
                <w:b w:val="0"/>
                <w:sz w:val="20"/>
              </w:rPr>
              <w:t>Act 1 — build + deploy to Azure Container Apps</w:t>
            </w:r>
          </w:p>
        </w:tc>
      </w:tr>
      <w:tr>
        <w:tc>
          <w:tcPr>
            <w:tcW w:type="dxa" w:w="5184"/>
          </w:tcPr>
          <w:p>
            <w:r/>
            <w:r>
              <w:rPr>
                <w:b w:val="0"/>
                <w:sz w:val="20"/>
              </w:rPr>
              <w:t>k8s/modeldeployment-rate-forecast.yaml (filled) + registry secret</w:t>
            </w:r>
          </w:p>
        </w:tc>
        <w:tc>
          <w:tcPr>
            <w:tcW w:type="dxa" w:w="4176"/>
          </w:tcPr>
          <w:p>
            <w:r/>
            <w:r>
              <w:rPr>
                <w:b w:val="0"/>
                <w:sz w:val="20"/>
              </w:rPr>
              <w:t>Act 2 — BYO predictive model on the edge</w:t>
            </w:r>
          </w:p>
        </w:tc>
      </w:tr>
      <w:tr>
        <w:tc>
          <w:tcPr>
            <w:tcW w:type="dxa" w:w="5184"/>
          </w:tcPr>
          <w:p>
            <w:r/>
            <w:r>
              <w:rPr>
                <w:b w:val="0"/>
                <w:sz w:val="20"/>
              </w:rPr>
              <w:t>k8s/dashboard-deployment.yaml (Deployment + Service + Ingress)</w:t>
            </w:r>
          </w:p>
        </w:tc>
        <w:tc>
          <w:tcPr>
            <w:tcW w:type="dxa" w:w="4176"/>
          </w:tcPr>
          <w:p>
            <w:r/>
            <w:r>
              <w:rPr>
                <w:b w:val="0"/>
                <w:sz w:val="20"/>
              </w:rPr>
              <w:t>Act 2 — UI running entirely at the edge</w:t>
            </w:r>
          </w:p>
        </w:tc>
      </w:tr>
      <w:tr>
        <w:tc>
          <w:tcPr>
            <w:tcW w:type="dxa" w:w="5184"/>
          </w:tcPr>
          <w:p>
            <w:r>
              <w:t>app/app/api/chat/route.ts + analyst chat panel (app/app/page.tsx)</w:t>
            </w:r>
          </w:p>
        </w:tc>
        <w:tc>
          <w:tcPr>
            <w:tcW w:type="dxa" w:w="4176"/>
          </w:tcPr>
          <w:p>
            <w:r/>
            <w:r>
              <w:rPr>
                <w:b w:val="0"/>
                <w:sz w:val="20"/>
              </w:rPr>
              <w:t>Act 3 — LLM “AI Analyst” layer (catalog Phi-4)</w:t>
            </w:r>
          </w:p>
        </w:tc>
      </w:tr>
      <w:tr>
        <w:tc>
          <w:tcPr>
            <w:tcW w:type="dxa" w:w="5184"/>
          </w:tcPr>
          <w:p>
            <w:r/>
            <w:r>
              <w:rPr>
                <w:b w:val="0"/>
                <w:sz w:val="20"/>
              </w:rPr>
              <w:t>k8s/modeldeployment-llm-vllm.yaml</w:t>
            </w:r>
          </w:p>
        </w:tc>
        <w:tc>
          <w:tcPr>
            <w:tcW w:type="dxa" w:w="4176"/>
          </w:tcPr>
          <w:p>
            <w:r/>
            <w:r>
              <w:rPr>
                <w:b w:val="0"/>
                <w:sz w:val="20"/>
              </w:rPr>
              <w:t>Act 3 — documented GPU production path (not run)</w:t>
            </w:r>
          </w:p>
        </w:tc>
      </w:tr>
      <w:tr>
        <w:tc>
          <w:tcPr>
            <w:tcW w:type="dxa" w:w="5184"/>
          </w:tcPr>
          <w:p>
            <w:r/>
            <w:r>
              <w:rPr>
                <w:b w:val="0"/>
                <w:sz w:val="20"/>
              </w:rPr>
              <w:t>model/convert_hf_to_onnx.sh (illustrative)</w:t>
            </w:r>
          </w:p>
        </w:tc>
        <w:tc>
          <w:tcPr>
            <w:tcW w:type="dxa" w:w="4176"/>
          </w:tcPr>
          <w:p>
            <w:r/>
            <w:r>
              <w:rPr>
                <w:b w:val="0"/>
                <w:sz w:val="20"/>
              </w:rPr>
              <w:t>Reference only — “getting to ONNX” example, not run in demo</w:t>
            </w:r>
          </w:p>
        </w:tc>
      </w:tr>
      <w:tr>
        <w:tc>
          <w:tcPr>
            <w:tcW w:type="dxa" w:w="5184"/>
          </w:tcPr>
          <w:p>
            <w:r/>
            <w:r>
              <w:rPr>
                <w:b w:val="0"/>
                <w:sz w:val="20"/>
              </w:rPr>
              <w:t>docs/DEMO.md</w:t>
            </w:r>
          </w:p>
        </w:tc>
        <w:tc>
          <w:tcPr>
            <w:tcW w:type="dxa" w:w="4176"/>
          </w:tcPr>
          <w:p>
            <w:r/>
            <w:r>
              <w:rPr>
                <w:b w:val="0"/>
                <w:sz w:val="20"/>
              </w:rPr>
              <w:t>Workshop runbook</w:t>
            </w:r>
          </w:p>
        </w:tc>
      </w:tr>
    </w:tbl>
    <w:p>
      <w:pPr>
        <w:pStyle w:val="Heading1"/>
      </w:pPr>
      <w:r>
        <w:t>11. Risks &amp; Safety</w:t>
      </w:r>
    </w:p>
    <w:p>
      <w:pPr>
        <w:pStyle w:val="ListBullet"/>
      </w:pPr>
      <w:r>
        <w:t>CPU-only → slow generative latency. Mitigation: small models + “process not performance” framing.</w:t>
      </w:r>
    </w:p>
    <w:p>
      <w:pPr>
        <w:pStyle w:val="ListBullet"/>
      </w:pPr>
      <w:r>
        <w:t>Network drop at the workshop. Mitigation: dashboard mock fallbacks per act.</w:t>
      </w:r>
    </w:p>
    <w:p>
      <w:pPr>
        <w:pStyle w:val="ListBullet"/>
      </w:pPr>
      <w:r>
        <w:t>vLLM cannot run (no GPU). Mitigation: manifest authored and validated with kubectl --dry-run=server only.</w:t>
      </w:r>
    </w:p>
    <w:p>
      <w:pPr>
        <w:pStyle w:val="ListBullet"/>
      </w:pPr>
      <w:r>
        <w:t>Edge access only via az connectedk8s proxy. Mitigation: keep the proxy alive during the demo.</w:t>
      </w:r>
    </w:p>
    <w:p>
      <w:pPr>
        <w:pStyle w:val="ListBullet"/>
      </w:pPr>
      <w:r>
        <w:t>Operational guardrail: stay in resource group sovereign-ai-daz; only create/edit/delete fl-banking-* resources; everything else is read-only.</w:t>
      </w:r>
    </w:p>
    <w:p>
      <w:pPr>
        <w:pStyle w:val="Heading1"/>
      </w:pPr>
      <w:r>
        <w:t>12. Open Decisions</w:t>
      </w:r>
    </w:p>
    <w:tbl>
      <w:tblPr>
        <w:tblStyle w:val="LightGrid-Accent1"/>
        <w:tblW w:type="auto" w:w="0"/>
        <w:jc w:val="left"/>
        <w:tblLook w:firstColumn="1" w:firstRow="1" w:lastColumn="0" w:lastRow="0" w:noHBand="0" w:noVBand="1" w:val="04A0"/>
      </w:tblPr>
      <w:tblGrid>
        <w:gridCol w:w="2880"/>
        <w:gridCol w:w="2880"/>
        <w:gridCol w:w="2880"/>
      </w:tblGrid>
      <w:tr>
        <w:tc>
          <w:tcPr>
            <w:tcW w:type="dxa" w:w="576"/>
            <w:shd w:val="clear" w:color="auto" w:fill="0078D4"/>
          </w:tcPr>
          <w:p>
            <w:r/>
            <w:r>
              <w:rPr>
                <w:b/>
                <w:color w:val="FFFFFF"/>
                <w:sz w:val="20"/>
              </w:rPr>
              <w:t>#</w:t>
            </w:r>
          </w:p>
        </w:tc>
        <w:tc>
          <w:tcPr>
            <w:tcW w:type="dxa" w:w="7056"/>
            <w:shd w:val="clear" w:color="auto" w:fill="0078D4"/>
          </w:tcPr>
          <w:p>
            <w:r/>
            <w:r>
              <w:rPr>
                <w:b/>
                <w:color w:val="FFFFFF"/>
                <w:sz w:val="20"/>
              </w:rPr>
              <w:t>Decision</w:t>
            </w:r>
          </w:p>
        </w:tc>
        <w:tc>
          <w:tcPr>
            <w:tcW w:type="dxa" w:w="1728"/>
            <w:shd w:val="clear" w:color="auto" w:fill="0078D4"/>
          </w:tcPr>
          <w:p>
            <w:r/>
            <w:r>
              <w:rPr>
                <w:b/>
                <w:color w:val="FFFFFF"/>
                <w:sz w:val="20"/>
              </w:rPr>
              <w:t>Status</w:t>
            </w:r>
          </w:p>
        </w:tc>
      </w:tr>
      <w:tr>
        <w:tc>
          <w:tcPr>
            <w:tcW w:type="dxa" w:w="576"/>
          </w:tcPr>
          <w:p>
            <w:r/>
            <w:r>
              <w:rPr>
                <w:b w:val="0"/>
                <w:sz w:val="20"/>
              </w:rPr>
              <w:t>1</w:t>
            </w:r>
          </w:p>
        </w:tc>
        <w:tc>
          <w:tcPr>
            <w:tcW w:type="dxa" w:w="7056"/>
          </w:tcPr>
          <w:p>
            <w:r/>
            <w:r>
              <w:rPr>
                <w:b w:val="0"/>
                <w:sz w:val="20"/>
              </w:rPr>
              <w:t>Edge UI host = plain Kubernetes Deployment on fl-banking-portland; everything at the edge after migration</w:t>
            </w:r>
          </w:p>
        </w:tc>
        <w:tc>
          <w:tcPr>
            <w:tcW w:type="dxa" w:w="1728"/>
          </w:tcPr>
          <w:p>
            <w:r/>
            <w:r>
              <w:rPr>
                <w:b w:val="0"/>
                <w:sz w:val="20"/>
              </w:rPr>
              <w:t>Resolved</w:t>
            </w:r>
          </w:p>
        </w:tc>
      </w:tr>
      <w:tr>
        <w:tc>
          <w:tcPr>
            <w:tcW w:type="dxa" w:w="576"/>
          </w:tcPr>
          <w:p>
            <w:r/>
            <w:r>
              <w:rPr>
                <w:b w:val="0"/>
                <w:sz w:val="20"/>
              </w:rPr>
              <w:t>2</w:t>
            </w:r>
          </w:p>
        </w:tc>
        <w:tc>
          <w:tcPr>
            <w:tcW w:type="dxa" w:w="7056"/>
          </w:tcPr>
          <w:p>
            <w:r/>
            <w:r>
              <w:rPr>
                <w:b w:val="0"/>
                <w:sz w:val="20"/>
              </w:rPr>
              <w:t>Act 3 uses the catalog Phi-4 model only; no live conversion. Conversion to ONNX is the customer’s responsibility, shown via an illustrative script only</w:t>
            </w:r>
          </w:p>
        </w:tc>
        <w:tc>
          <w:tcPr>
            <w:tcW w:type="dxa" w:w="1728"/>
          </w:tcPr>
          <w:p>
            <w:r/>
            <w:r>
              <w:rPr>
                <w:b w:val="0"/>
                <w:sz w:val="20"/>
              </w:rPr>
              <w:t>Resolved</w:t>
            </w:r>
          </w:p>
        </w:tc>
      </w:tr>
      <w:tr>
        <w:tc>
          <w:tcPr>
            <w:tcW w:type="dxa" w:w="576"/>
          </w:tcPr>
          <w:p>
            <w:r/>
            <w:r>
              <w:rPr>
                <w:b w:val="0"/>
                <w:sz w:val="20"/>
              </w:rPr>
              <w:t>3</w:t>
            </w:r>
          </w:p>
        </w:tc>
        <w:tc>
          <w:tcPr>
            <w:tcW w:type="dxa" w:w="7056"/>
          </w:tcPr>
          <w:p>
            <w:r/>
            <w:r>
              <w:rPr>
                <w:b w:val="0"/>
                <w:sz w:val="20"/>
              </w:rPr>
              <w:t>Spec output format = real Word .docx (docs/SPEC.docx)</w:t>
            </w:r>
          </w:p>
        </w:tc>
        <w:tc>
          <w:tcPr>
            <w:tcW w:type="dxa" w:w="1728"/>
          </w:tcPr>
          <w:p>
            <w:r/>
            <w:r>
              <w:rPr>
                <w:b w:val="0"/>
                <w:sz w:val="20"/>
              </w:rPr>
              <w:t>Resolved</w:t>
            </w:r>
          </w:p>
        </w:tc>
      </w:tr>
    </w:tbl>
    <w:p>
      <w:r>
        <w:br w:type="page"/>
      </w:r>
    </w:p>
    <w:p>
      <w:pPr>
        <w:pStyle w:val="Heading1"/>
      </w:pPr>
      <w:r>
        <w:t>13. As-Built Verification &amp; Lessons (verified 11 June 2026)</w:t>
      </w:r>
    </w:p>
    <w:p>
      <w:r>
        <w:rPr>
          <w:b w:val="0"/>
        </w:rPr>
        <w:t>All three acts were built and verified end-to-end against the live environment. The same model, same synthetic data and same Next.js UI run first in Azure (Act 1) and then entirely on Azure Local (Acts 2-3). The predictive forecast numbers are byte-identical cloud vs. edge, proving a faithful migration rather than a re-implementation.</w:t>
      </w:r>
    </w:p>
    <w:p>
      <w:r>
        <w:rPr>
          <w:b/>
        </w:rPr>
        <w:t>Verified results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Act</w:t>
            </w:r>
          </w:p>
        </w:tc>
        <w:tc>
          <w:tcPr>
            <w:tcW w:type="dxa" w:w="2880"/>
          </w:tcPr>
          <w:p>
            <w:r>
              <w:t>Location / latency</w:t>
            </w:r>
          </w:p>
        </w:tc>
        <w:tc>
          <w:tcPr>
            <w:tcW w:type="dxa" w:w="2880"/>
          </w:tcPr>
          <w:p>
            <w:r>
              <w:t>Proof</w:t>
            </w:r>
          </w:p>
        </w:tc>
      </w:tr>
      <w:tr>
        <w:tc>
          <w:tcPr>
            <w:tcW w:type="dxa" w:w="2880"/>
          </w:tcPr>
          <w:p>
            <w:r>
              <w:t>Act 1 — Cloud baseline</w:t>
            </w:r>
          </w:p>
        </w:tc>
        <w:tc>
          <w:tcPr>
            <w:tcW w:type="dxa" w:w="2880"/>
          </w:tcPr>
          <w:p>
            <w:r>
              <w:t>location=cloud, ~37 ms</w:t>
            </w:r>
          </w:p>
        </w:tc>
        <w:tc>
          <w:tcPr>
            <w:tcW w:type="dxa" w:w="2880"/>
          </w:tcPr>
          <w:p>
            <w:r>
              <w:t>Public dashboard https://fl-banking-dashboard.thankfuldesert-f6da2e7a.southcentralus.azurecontainerapps.io; internal API fl-banking-rate-api (ACA internal ingress :8000).</w:t>
            </w:r>
          </w:p>
        </w:tc>
      </w:tr>
      <w:tr>
        <w:tc>
          <w:tcPr>
            <w:tcW w:type="dxa" w:w="2880"/>
          </w:tcPr>
          <w:p>
            <w:r>
              <w:t>Act 2 — Edge migration (HERO)</w:t>
            </w:r>
          </w:p>
        </w:tc>
        <w:tc>
          <w:tcPr>
            <w:tcW w:type="dxa" w:w="2880"/>
          </w:tcPr>
          <w:p>
            <w:r>
              <w:t>location=edge, ~42-62 ms</w:t>
            </w:r>
          </w:p>
        </w:tc>
        <w:tc>
          <w:tcPr>
            <w:tcW w:type="dxa" w:w="2880"/>
          </w:tcPr>
          <w:p>
            <w:r>
              <w:t>Same rate_forecast.onnx on Foundry Local. Curve identical to cloud: 1Y 4.42-&gt;4.90, 2Y 4.15-&gt;4.63, 5Y 3.95-&gt;4.43, 10Y 4.12-&gt;4.53 (at +50 bps).</w:t>
            </w:r>
          </w:p>
        </w:tc>
      </w:tr>
      <w:tr>
        <w:tc>
          <w:tcPr>
            <w:tcW w:type="dxa" w:w="2880"/>
          </w:tcPr>
          <w:p>
            <w:r>
              <w:t>Act 3 — Edge generative</w:t>
            </w:r>
          </w:p>
        </w:tc>
        <w:tc>
          <w:tcPr>
            <w:tcW w:type="dxa" w:w="2880"/>
          </w:tcPr>
          <w:p>
            <w:r>
              <w:t>location=edge; first call ~44 s cold, then faster</w:t>
            </w:r>
          </w:p>
        </w:tc>
        <w:tc>
          <w:tcPr>
            <w:tcW w:type="dxa" w:w="2880"/>
          </w:tcPr>
          <w:p>
            <w:r>
              <w:t>Phi-4 (Phi-4-generic-cpu, onnx-genai) answering the dashboard 'Ask the AI analyst' panel via /api/chat. Real natural-language reply returned from the in-cluster model.</w:t>
            </w:r>
          </w:p>
        </w:tc>
      </w:tr>
    </w:tbl>
    <w:p>
      <w:r>
        <w:rPr>
          <w:b/>
        </w:rPr>
        <w:t>Engineering lessons / gotchas (worth showing the technical audience)</w:t>
      </w:r>
    </w:p>
    <w:p>
      <w:pPr>
        <w:pStyle w:val="ListBullet"/>
      </w:pPr>
      <w:r>
        <w:t>ONNX dynamic axes must be NAMED. The original export left the batch dimension unnamed (dim_value 0); the Foundry Local serving sidecar's /readyz validation then failed and the pod never became Ready. Fix: name the batch axis 'batch' on input and output (model/fix_dynamic_axes.py), repush as v2.</w:t>
      </w:r>
    </w:p>
    <w:p>
      <w:pPr>
        <w:pStyle w:val="ListBullet"/>
      </w:pPr>
      <w:r>
        <w:t>Operator auth contract: the Foundry Local serving sidecar accepts 'api-key:' or 'Authorization: Bearer', NOT 'X-API-KEY' (which the cloud FastAPI used). The dashboard now sends all three header styles so one image works in both cloud and edge.</w:t>
      </w:r>
    </w:p>
    <w:p>
      <w:pPr>
        <w:pStyle w:val="ListBullet"/>
      </w:pPr>
      <w:r>
        <w:t>Next.js standalone binds to $HOSTNAME (the pod name) by default, which refuses port-forward / ingress traffic. Fix: set HOSTNAME=0.0.0.0 in the deployment so it binds all interfaces.</w:t>
      </w:r>
    </w:p>
    <w:p>
      <w:pPr>
        <w:pStyle w:val="ListBullet"/>
      </w:pPr>
      <w:r>
        <w:t>CPU capacity: one 8-vCPU worker could not co-schedule the Phi-4 pod (2 vCPU, min 1 replica, cannot scale to 0) and the model-cache job. The nodepool was scaled 1 -&gt; 3 so the generative model could land.</w:t>
      </w:r>
    </w:p>
    <w:p>
      <w:pPr>
        <w:pStyle w:val="ListBullet"/>
      </w:pPr>
      <w:r>
        <w:t>ACR build (Windows): az.cmd runs Python isolated, so the Next.js build's Unicode glyphs crashed the cp1252 log writer mid-build. Fix (in app/Dockerfile): redirect 'npm run build' to a log file so Unicode never streams on success.</w:t>
      </w:r>
    </w:p>
    <w:p>
      <w:pPr>
        <w:pStyle w:val="ListBullet"/>
      </w:pPr>
      <w:r>
        <w:t>One shared dashboard image serves both cloud and edge; only DEPLOYMENT_TARGET, FOUNDRY_ENDPOINT and the FOUNDRY_CHAT_* env vars differ.</w:t>
      </w:r>
    </w:p>
    <w:p>
      <w:r>
        <w:rPr>
          <w:b/>
        </w:rPr>
        <w:t>Testing the edge deployment (no public URL — sovereign by design)</w:t>
      </w:r>
    </w:p>
    <w:p>
      <w:pPr>
        <w:pStyle w:val="ListBullet"/>
      </w:pPr>
      <w:r>
        <w:t>Open the Arc proxy: az connectedk8s proxy --resource-group sovereign-ai-daz --name fl-banking-portland --file &lt;kubeconfig&gt;.</w:t>
      </w:r>
    </w:p>
    <w:p>
      <w:pPr>
        <w:pStyle w:val="ListBullet"/>
      </w:pPr>
      <w:r>
        <w:t>Port-forward the in-cluster UI: kubectl port-forward -n fl-banking svc/rate-dashboard 8080:80</w:t>
      </w:r>
    </w:p>
    <w:p>
      <w:pPr>
        <w:pStyle w:val="ListBullet"/>
      </w:pPr>
      <w:r>
        <w:t>Browse to http://localhost:8080 — the edge dashboard. The port-forward is re-established after any pod rollout. The edge is intentionally NOT exposed publicly; access is brokered through the Azure Arc proxy.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20202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