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Tables for Manuscript</w:t>
      </w:r>
    </w:p>
    <w:p>
      <w:r>
        <w:t>This document contains the final statistical tables with comprehensive legends for the analysis of conserved non-CG motifs in pancreatic beta cells across normal, T1D, and T2D conditions.</w:t>
      </w:r>
    </w:p>
    <w:p>
      <w:pPr>
        <w:pStyle w:val="Heading1"/>
      </w:pPr>
      <w:r>
        <w:t>Table 1: Expression Summary in Pancreatic Beta Cells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Condition</w:t>
            </w:r>
          </w:p>
        </w:tc>
        <w:tc>
          <w:tcPr>
            <w:tcW w:type="dxa" w:w="1234"/>
          </w:tcPr>
          <w:p>
            <w:pPr>
              <w:jc w:val="center"/>
            </w:pPr>
            <w:r>
              <w:rPr>
                <w:b/>
                <w:sz w:val="20"/>
              </w:rPr>
              <w:t>Target_Mean</w:t>
            </w:r>
          </w:p>
        </w:tc>
        <w:tc>
          <w:tcPr>
            <w:tcW w:type="dxa" w:w="1234"/>
          </w:tcPr>
          <w:p>
            <w:pPr>
              <w:jc w:val="center"/>
            </w:pPr>
            <w:r>
              <w:rPr>
                <w:b/>
                <w:sz w:val="20"/>
              </w:rPr>
              <w:t>Control_Mean</w:t>
            </w:r>
          </w:p>
        </w:tc>
        <w:tc>
          <w:tcPr>
            <w:tcW w:type="dxa" w:w="1234"/>
          </w:tcPr>
          <w:p>
            <w:pPr>
              <w:jc w:val="center"/>
            </w:pPr>
            <w:r>
              <w:rPr>
                <w:b/>
                <w:sz w:val="20"/>
              </w:rPr>
              <w:t>Fold_Change</w:t>
            </w:r>
          </w:p>
        </w:tc>
        <w:tc>
          <w:tcPr>
            <w:tcW w:type="dxa" w:w="1234"/>
          </w:tcPr>
          <w:p>
            <w:pPr>
              <w:jc w:val="center"/>
            </w:pPr>
            <w:r>
              <w:rPr>
                <w:b/>
                <w:sz w:val="20"/>
              </w:rPr>
              <w:t>p_value</w:t>
            </w:r>
          </w:p>
        </w:tc>
        <w:tc>
          <w:tcPr>
            <w:tcW w:type="dxa" w:w="1234"/>
          </w:tcPr>
          <w:p>
            <w:pPr>
              <w:jc w:val="center"/>
            </w:pPr>
            <w:r>
              <w:rPr>
                <w:b/>
                <w:sz w:val="20"/>
              </w:rPr>
              <w:t>Significant</w:t>
            </w:r>
          </w:p>
        </w:tc>
        <w:tc>
          <w:tcPr>
            <w:tcW w:type="dxa" w:w="1234"/>
          </w:tcPr>
          <w:p>
            <w:pPr>
              <w:jc w:val="center"/>
            </w:pPr>
            <w:r>
              <w:rPr>
                <w:b/>
                <w:sz w:val="20"/>
              </w:rPr>
              <w:t>Significance</w:t>
            </w:r>
          </w:p>
        </w:tc>
      </w:tr>
      <w:tr>
        <w:tc>
          <w:tcPr>
            <w:tcW w:type="dxa" w:w="1234"/>
          </w:tcPr>
          <w:p>
            <w:pPr>
              <w:jc w:val="center"/>
            </w:pPr>
            <w:r>
              <w:rPr>
                <w:sz w:val="18"/>
              </w:rPr>
              <w:t>Normal</w:t>
            </w:r>
          </w:p>
        </w:tc>
        <w:tc>
          <w:tcPr>
            <w:tcW w:type="dxa" w:w="1234"/>
          </w:tcPr>
          <w:p>
            <w:pPr>
              <w:jc w:val="center"/>
            </w:pPr>
            <w:r>
              <w:rPr>
                <w:sz w:val="18"/>
              </w:rPr>
              <w:t>0.824</w:t>
            </w:r>
          </w:p>
        </w:tc>
        <w:tc>
          <w:tcPr>
            <w:tcW w:type="dxa" w:w="1234"/>
          </w:tcPr>
          <w:p>
            <w:pPr>
              <w:jc w:val="center"/>
            </w:pPr>
            <w:r>
              <w:rPr>
                <w:sz w:val="18"/>
              </w:rPr>
              <w:t>0.539</w:t>
            </w:r>
          </w:p>
        </w:tc>
        <w:tc>
          <w:tcPr>
            <w:tcW w:type="dxa" w:w="1234"/>
          </w:tcPr>
          <w:p>
            <w:pPr>
              <w:jc w:val="center"/>
            </w:pPr>
            <w:r>
              <w:rPr>
                <w:sz w:val="18"/>
              </w:rPr>
              <w:t>1.530</w:t>
            </w:r>
          </w:p>
        </w:tc>
        <w:tc>
          <w:tcPr>
            <w:tcW w:type="dxa" w:w="1234"/>
          </w:tcPr>
          <w:p>
            <w:pPr>
              <w:jc w:val="center"/>
            </w:pPr>
            <w:r>
              <w:rPr>
                <w:sz w:val="18"/>
              </w:rPr>
              <w:t>0.0390</w:t>
            </w:r>
          </w:p>
        </w:tc>
        <w:tc>
          <w:tcPr>
            <w:tcW w:type="dxa" w:w="1234"/>
          </w:tcPr>
          <w:p>
            <w:pPr>
              <w:jc w:val="center"/>
            </w:pPr>
            <w:r>
              <w:rPr>
                <w:sz w:val="18"/>
              </w:rPr>
              <w:t>Yes</w:t>
            </w:r>
          </w:p>
        </w:tc>
        <w:tc>
          <w:tcPr>
            <w:tcW w:type="dxa" w:w="1234"/>
          </w:tcPr>
          <w:p>
            <w:pPr>
              <w:jc w:val="center"/>
            </w:pPr>
            <w:r>
              <w:rPr>
                <w:sz w:val="18"/>
              </w:rPr>
              <w:t>*</w:t>
            </w:r>
          </w:p>
        </w:tc>
      </w:tr>
      <w:tr>
        <w:tc>
          <w:tcPr>
            <w:tcW w:type="dxa" w:w="1234"/>
          </w:tcPr>
          <w:p>
            <w:pPr>
              <w:jc w:val="center"/>
            </w:pPr>
            <w:r>
              <w:rPr>
                <w:sz w:val="18"/>
              </w:rPr>
              <w:t>T1D</w:t>
            </w:r>
          </w:p>
        </w:tc>
        <w:tc>
          <w:tcPr>
            <w:tcW w:type="dxa" w:w="1234"/>
          </w:tcPr>
          <w:p>
            <w:pPr>
              <w:jc w:val="center"/>
            </w:pPr>
            <w:r>
              <w:rPr>
                <w:sz w:val="18"/>
              </w:rPr>
              <w:t>0.266</w:t>
            </w:r>
          </w:p>
        </w:tc>
        <w:tc>
          <w:tcPr>
            <w:tcW w:type="dxa" w:w="1234"/>
          </w:tcPr>
          <w:p>
            <w:pPr>
              <w:jc w:val="center"/>
            </w:pPr>
            <w:r>
              <w:rPr>
                <w:sz w:val="18"/>
              </w:rPr>
              <w:t>0.239</w:t>
            </w:r>
          </w:p>
        </w:tc>
        <w:tc>
          <w:tcPr>
            <w:tcW w:type="dxa" w:w="1234"/>
          </w:tcPr>
          <w:p>
            <w:pPr>
              <w:jc w:val="center"/>
            </w:pPr>
            <w:r>
              <w:rPr>
                <w:sz w:val="18"/>
              </w:rPr>
              <w:t>1.110</w:t>
            </w:r>
          </w:p>
        </w:tc>
        <w:tc>
          <w:tcPr>
            <w:tcW w:type="dxa" w:w="1234"/>
          </w:tcPr>
          <w:p>
            <w:pPr>
              <w:jc w:val="center"/>
            </w:pPr>
            <w:r>
              <w:rPr>
                <w:sz w:val="18"/>
              </w:rPr>
              <w:t>1.0000</w:t>
            </w:r>
          </w:p>
        </w:tc>
        <w:tc>
          <w:tcPr>
            <w:tcW w:type="dxa" w:w="1234"/>
          </w:tcPr>
          <w:p>
            <w:pPr>
              <w:jc w:val="center"/>
            </w:pPr>
            <w:r>
              <w:rPr>
                <w:sz w:val="18"/>
              </w:rPr>
              <w:t>No</w:t>
            </w:r>
          </w:p>
        </w:tc>
        <w:tc>
          <w:tcPr>
            <w:tcW w:type="dxa" w:w="1234"/>
          </w:tcPr>
          <w:p>
            <w:pPr>
              <w:jc w:val="center"/>
            </w:pPr>
            <w:r>
              <w:rPr>
                <w:sz w:val="18"/>
              </w:rPr>
            </w:r>
          </w:p>
        </w:tc>
      </w:tr>
      <w:tr>
        <w:tc>
          <w:tcPr>
            <w:tcW w:type="dxa" w:w="1234"/>
          </w:tcPr>
          <w:p>
            <w:pPr>
              <w:jc w:val="center"/>
            </w:pPr>
            <w:r>
              <w:rPr>
                <w:sz w:val="18"/>
              </w:rPr>
              <w:t>T2D</w:t>
            </w:r>
          </w:p>
        </w:tc>
        <w:tc>
          <w:tcPr>
            <w:tcW w:type="dxa" w:w="1234"/>
          </w:tcPr>
          <w:p>
            <w:pPr>
              <w:jc w:val="center"/>
            </w:pPr>
            <w:r>
              <w:rPr>
                <w:sz w:val="18"/>
              </w:rPr>
              <w:t>0.179</w:t>
            </w:r>
          </w:p>
        </w:tc>
        <w:tc>
          <w:tcPr>
            <w:tcW w:type="dxa" w:w="1234"/>
          </w:tcPr>
          <w:p>
            <w:pPr>
              <w:jc w:val="center"/>
            </w:pPr>
            <w:r>
              <w:rPr>
                <w:sz w:val="18"/>
              </w:rPr>
              <w:t>0.212</w:t>
            </w:r>
          </w:p>
        </w:tc>
        <w:tc>
          <w:tcPr>
            <w:tcW w:type="dxa" w:w="1234"/>
          </w:tcPr>
          <w:p>
            <w:pPr>
              <w:jc w:val="center"/>
            </w:pPr>
            <w:r>
              <w:rPr>
                <w:sz w:val="18"/>
              </w:rPr>
              <w:t>0.840</w:t>
            </w:r>
          </w:p>
        </w:tc>
        <w:tc>
          <w:tcPr>
            <w:tcW w:type="dxa" w:w="1234"/>
          </w:tcPr>
          <w:p>
            <w:pPr>
              <w:jc w:val="center"/>
            </w:pPr>
            <w:r>
              <w:rPr>
                <w:sz w:val="18"/>
              </w:rPr>
              <w:t>1.0000</w:t>
            </w:r>
          </w:p>
        </w:tc>
        <w:tc>
          <w:tcPr>
            <w:tcW w:type="dxa" w:w="1234"/>
          </w:tcPr>
          <w:p>
            <w:pPr>
              <w:jc w:val="center"/>
            </w:pPr>
            <w:r>
              <w:rPr>
                <w:sz w:val="18"/>
              </w:rPr>
              <w:t>No</w:t>
            </w:r>
          </w:p>
        </w:tc>
        <w:tc>
          <w:tcPr>
            <w:tcW w:type="dxa" w:w="1234"/>
          </w:tcPr>
          <w:p>
            <w:pPr>
              <w:jc w:val="center"/>
            </w:pPr>
            <w:r>
              <w:rPr>
                <w:sz w:val="18"/>
              </w:rPr>
            </w:r>
          </w:p>
        </w:tc>
      </w:tr>
    </w:tbl>
    <w:p>
      <w:pPr/>
      <w:r>
        <w:t>Legend: Target genes (n = 10) were defined as protein‑coding genes located within 50 kb of the 11 conserved non‑CG motifs on chromosome X. Control genes (n = 16) were selected from chromosome X at a distance of more than 500 kb from any conserved motif, with matched gene size and expression coverage. Scaled expression values (range 0–1) were obtained from the CZ CELLxGENE platform (March 2025 release) using publicly available single‑cell RNA‑sequencing datasets. Group means were compared using independent‑samples t‑tests (Welch’s correction for unequal variance). Fold change is calculated as Target_Mean / Control_Mean. Significance thresholds: * p &lt; 0.05; ** p &lt; 0.01; *** p &lt; 0.001. p‑values were adjusted for multiple testing using Bonferroni correction. Abbreviations: T1D, type 1 diabetes; T2D, type 2 diabetes; SD, standard deviation; N, number of genes.</w:t>
      </w:r>
    </w:p>
    <w:p/>
    <w:p>
      <w:pPr>
        <w:pStyle w:val="Heading1"/>
      </w:pPr>
      <w:r>
        <w:t>Table 2: DNA Methylation Summary at Conserved Non-CG Motifs (T1D and T2D)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Condition</w:t>
            </w:r>
          </w:p>
        </w:tc>
        <w:tc>
          <w:tcPr>
            <w:tcW w:type="dxa" w:w="1234"/>
          </w:tcPr>
          <w:p>
            <w:pPr>
              <w:jc w:val="center"/>
            </w:pPr>
            <w:r>
              <w:rPr>
                <w:b/>
                <w:sz w:val="20"/>
              </w:rPr>
              <w:t>Motif</w:t>
            </w:r>
          </w:p>
        </w:tc>
        <w:tc>
          <w:tcPr>
            <w:tcW w:type="dxa" w:w="1234"/>
          </w:tcPr>
          <w:p>
            <w:pPr>
              <w:jc w:val="center"/>
            </w:pPr>
            <w:r>
              <w:rPr>
                <w:b/>
                <w:sz w:val="20"/>
              </w:rPr>
              <w:t>Mean_Control</w:t>
            </w:r>
          </w:p>
        </w:tc>
        <w:tc>
          <w:tcPr>
            <w:tcW w:type="dxa" w:w="1234"/>
          </w:tcPr>
          <w:p>
            <w:pPr>
              <w:jc w:val="center"/>
            </w:pPr>
            <w:r>
              <w:rPr>
                <w:b/>
                <w:sz w:val="20"/>
              </w:rPr>
              <w:t>Mean_Disease</w:t>
            </w:r>
          </w:p>
        </w:tc>
        <w:tc>
          <w:tcPr>
            <w:tcW w:type="dxa" w:w="1234"/>
          </w:tcPr>
          <w:p>
            <w:pPr>
              <w:jc w:val="center"/>
            </w:pPr>
            <w:r>
              <w:rPr>
                <w:b/>
                <w:sz w:val="20"/>
              </w:rPr>
              <w:t>Fold_Change</w:t>
            </w:r>
          </w:p>
        </w:tc>
        <w:tc>
          <w:tcPr>
            <w:tcW w:type="dxa" w:w="1234"/>
          </w:tcPr>
          <w:p>
            <w:pPr>
              <w:jc w:val="center"/>
            </w:pPr>
            <w:r>
              <w:rPr>
                <w:b/>
                <w:sz w:val="20"/>
              </w:rPr>
              <w:t>p_value</w:t>
            </w:r>
          </w:p>
        </w:tc>
        <w:tc>
          <w:tcPr>
            <w:tcW w:type="dxa" w:w="1234"/>
          </w:tcPr>
          <w:p>
            <w:pPr>
              <w:jc w:val="center"/>
            </w:pPr>
            <w:r>
              <w:rPr>
                <w:b/>
                <w:sz w:val="20"/>
              </w:rPr>
              <w:t>Significance</w:t>
            </w:r>
          </w:p>
        </w:tc>
      </w:tr>
      <w:tr>
        <w:tc>
          <w:tcPr>
            <w:tcW w:type="dxa" w:w="1234"/>
          </w:tcPr>
          <w:p>
            <w:pPr>
              <w:jc w:val="center"/>
            </w:pPr>
            <w:r>
              <w:rPr>
                <w:sz w:val="18"/>
              </w:rPr>
              <w:t>T1D</w:t>
            </w:r>
          </w:p>
        </w:tc>
        <w:tc>
          <w:tcPr>
            <w:tcW w:type="dxa" w:w="1234"/>
          </w:tcPr>
          <w:p>
            <w:pPr>
              <w:jc w:val="center"/>
            </w:pPr>
            <w:r>
              <w:rPr>
                <w:sz w:val="18"/>
              </w:rPr>
              <w:t>AAGA</w:t>
            </w:r>
          </w:p>
        </w:tc>
        <w:tc>
          <w:tcPr>
            <w:tcW w:type="dxa" w:w="1234"/>
          </w:tcPr>
          <w:p>
            <w:pPr>
              <w:jc w:val="center"/>
            </w:pPr>
            <w:r>
              <w:rPr>
                <w:sz w:val="18"/>
              </w:rPr>
              <w:t>0.231</w:t>
            </w:r>
          </w:p>
        </w:tc>
        <w:tc>
          <w:tcPr>
            <w:tcW w:type="dxa" w:w="1234"/>
          </w:tcPr>
          <w:p>
            <w:pPr>
              <w:jc w:val="center"/>
            </w:pPr>
            <w:r>
              <w:rPr>
                <w:sz w:val="18"/>
              </w:rPr>
              <w:t>0.230</w:t>
            </w:r>
          </w:p>
        </w:tc>
        <w:tc>
          <w:tcPr>
            <w:tcW w:type="dxa" w:w="1234"/>
          </w:tcPr>
          <w:p>
            <w:pPr>
              <w:jc w:val="center"/>
            </w:pPr>
            <w:r>
              <w:rPr>
                <w:sz w:val="18"/>
              </w:rPr>
              <w:t>0.999</w:t>
            </w:r>
          </w:p>
        </w:tc>
        <w:tc>
          <w:tcPr>
            <w:tcW w:type="dxa" w:w="1234"/>
          </w:tcPr>
          <w:p>
            <w:pPr>
              <w:jc w:val="center"/>
            </w:pPr>
            <w:r>
              <w:rPr>
                <w:sz w:val="18"/>
              </w:rPr>
              <w:t>0.9990</w:t>
            </w:r>
          </w:p>
        </w:tc>
        <w:tc>
          <w:tcPr>
            <w:tcW w:type="dxa" w:w="1234"/>
          </w:tcPr>
          <w:p>
            <w:pPr>
              <w:jc w:val="center"/>
            </w:pPr>
            <w:r>
              <w:rPr>
                <w:sz w:val="18"/>
              </w:rPr>
            </w:r>
          </w:p>
        </w:tc>
      </w:tr>
      <w:tr>
        <w:tc>
          <w:tcPr>
            <w:tcW w:type="dxa" w:w="1234"/>
          </w:tcPr>
          <w:p>
            <w:pPr>
              <w:jc w:val="center"/>
            </w:pPr>
            <w:r>
              <w:rPr>
                <w:sz w:val="18"/>
              </w:rPr>
              <w:t>T1D</w:t>
            </w:r>
          </w:p>
        </w:tc>
        <w:tc>
          <w:tcPr>
            <w:tcW w:type="dxa" w:w="1234"/>
          </w:tcPr>
          <w:p>
            <w:pPr>
              <w:jc w:val="center"/>
            </w:pPr>
            <w:r>
              <w:rPr>
                <w:sz w:val="18"/>
              </w:rPr>
              <w:t>ACAC</w:t>
            </w:r>
          </w:p>
        </w:tc>
        <w:tc>
          <w:tcPr>
            <w:tcW w:type="dxa" w:w="1234"/>
          </w:tcPr>
          <w:p>
            <w:pPr>
              <w:jc w:val="center"/>
            </w:pPr>
            <w:r>
              <w:rPr>
                <w:sz w:val="18"/>
              </w:rPr>
              <w:t>0.110</w:t>
            </w:r>
          </w:p>
        </w:tc>
        <w:tc>
          <w:tcPr>
            <w:tcW w:type="dxa" w:w="1234"/>
          </w:tcPr>
          <w:p>
            <w:pPr>
              <w:jc w:val="center"/>
            </w:pPr>
            <w:r>
              <w:rPr>
                <w:sz w:val="18"/>
              </w:rPr>
              <w:t>0.108</w:t>
            </w:r>
          </w:p>
        </w:tc>
        <w:tc>
          <w:tcPr>
            <w:tcW w:type="dxa" w:w="1234"/>
          </w:tcPr>
          <w:p>
            <w:pPr>
              <w:jc w:val="center"/>
            </w:pPr>
            <w:r>
              <w:rPr>
                <w:sz w:val="18"/>
              </w:rPr>
              <w:t>0.984</w:t>
            </w:r>
          </w:p>
        </w:tc>
        <w:tc>
          <w:tcPr>
            <w:tcW w:type="dxa" w:w="1234"/>
          </w:tcPr>
          <w:p>
            <w:pPr>
              <w:jc w:val="center"/>
            </w:pPr>
            <w:r>
              <w:rPr>
                <w:sz w:val="18"/>
              </w:rPr>
              <w:t>0.9735</w:t>
            </w:r>
          </w:p>
        </w:tc>
        <w:tc>
          <w:tcPr>
            <w:tcW w:type="dxa" w:w="1234"/>
          </w:tcPr>
          <w:p>
            <w:pPr>
              <w:jc w:val="center"/>
            </w:pPr>
            <w:r>
              <w:rPr>
                <w:sz w:val="18"/>
              </w:rPr>
            </w:r>
          </w:p>
        </w:tc>
      </w:tr>
      <w:tr>
        <w:tc>
          <w:tcPr>
            <w:tcW w:type="dxa" w:w="1234"/>
          </w:tcPr>
          <w:p>
            <w:pPr>
              <w:jc w:val="center"/>
            </w:pPr>
            <w:r>
              <w:rPr>
                <w:sz w:val="18"/>
              </w:rPr>
              <w:t>T1D</w:t>
            </w:r>
          </w:p>
        </w:tc>
        <w:tc>
          <w:tcPr>
            <w:tcW w:type="dxa" w:w="1234"/>
          </w:tcPr>
          <w:p>
            <w:pPr>
              <w:jc w:val="center"/>
            </w:pPr>
            <w:r>
              <w:rPr>
                <w:sz w:val="18"/>
              </w:rPr>
              <w:t>ATAG</w:t>
            </w:r>
          </w:p>
        </w:tc>
        <w:tc>
          <w:tcPr>
            <w:tcW w:type="dxa" w:w="1234"/>
          </w:tcPr>
          <w:p>
            <w:pPr>
              <w:jc w:val="center"/>
            </w:pPr>
            <w:r>
              <w:rPr>
                <w:sz w:val="18"/>
              </w:rPr>
              <w:t>0.072</w:t>
            </w:r>
          </w:p>
        </w:tc>
        <w:tc>
          <w:tcPr>
            <w:tcW w:type="dxa" w:w="1234"/>
          </w:tcPr>
          <w:p>
            <w:pPr>
              <w:jc w:val="center"/>
            </w:pPr>
            <w:r>
              <w:rPr>
                <w:sz w:val="18"/>
              </w:rPr>
              <w:t>0.073</w:t>
            </w:r>
          </w:p>
        </w:tc>
        <w:tc>
          <w:tcPr>
            <w:tcW w:type="dxa" w:w="1234"/>
          </w:tcPr>
          <w:p>
            <w:pPr>
              <w:jc w:val="center"/>
            </w:pPr>
            <w:r>
              <w:rPr>
                <w:sz w:val="18"/>
              </w:rPr>
              <w:t>1.016</w:t>
            </w:r>
          </w:p>
        </w:tc>
        <w:tc>
          <w:tcPr>
            <w:tcW w:type="dxa" w:w="1234"/>
          </w:tcPr>
          <w:p>
            <w:pPr>
              <w:jc w:val="center"/>
            </w:pPr>
            <w:r>
              <w:rPr>
                <w:sz w:val="18"/>
              </w:rPr>
              <w:t>0.9814</w:t>
            </w:r>
          </w:p>
        </w:tc>
        <w:tc>
          <w:tcPr>
            <w:tcW w:type="dxa" w:w="1234"/>
          </w:tcPr>
          <w:p>
            <w:pPr>
              <w:jc w:val="center"/>
            </w:pPr>
            <w:r>
              <w:rPr>
                <w:sz w:val="18"/>
              </w:rPr>
            </w:r>
          </w:p>
        </w:tc>
      </w:tr>
      <w:tr>
        <w:tc>
          <w:tcPr>
            <w:tcW w:type="dxa" w:w="1234"/>
          </w:tcPr>
          <w:p>
            <w:pPr>
              <w:jc w:val="center"/>
            </w:pPr>
            <w:r>
              <w:rPr>
                <w:sz w:val="18"/>
              </w:rPr>
              <w:t>T1D</w:t>
            </w:r>
          </w:p>
        </w:tc>
        <w:tc>
          <w:tcPr>
            <w:tcW w:type="dxa" w:w="1234"/>
          </w:tcPr>
          <w:p>
            <w:pPr>
              <w:jc w:val="center"/>
            </w:pPr>
            <w:r>
              <w:rPr>
                <w:sz w:val="18"/>
              </w:rPr>
              <w:t>ATCT</w:t>
            </w:r>
          </w:p>
        </w:tc>
        <w:tc>
          <w:tcPr>
            <w:tcW w:type="dxa" w:w="1234"/>
          </w:tcPr>
          <w:p>
            <w:pPr>
              <w:jc w:val="center"/>
            </w:pPr>
            <w:r>
              <w:rPr>
                <w:sz w:val="18"/>
              </w:rPr>
              <w:t>0.200</w:t>
            </w:r>
          </w:p>
        </w:tc>
        <w:tc>
          <w:tcPr>
            <w:tcW w:type="dxa" w:w="1234"/>
          </w:tcPr>
          <w:p>
            <w:pPr>
              <w:jc w:val="center"/>
            </w:pPr>
            <w:r>
              <w:rPr>
                <w:sz w:val="18"/>
              </w:rPr>
              <w:t>0.202</w:t>
            </w:r>
          </w:p>
        </w:tc>
        <w:tc>
          <w:tcPr>
            <w:tcW w:type="dxa" w:w="1234"/>
          </w:tcPr>
          <w:p>
            <w:pPr>
              <w:jc w:val="center"/>
            </w:pPr>
            <w:r>
              <w:rPr>
                <w:sz w:val="18"/>
              </w:rPr>
              <w:t>1.009</w:t>
            </w:r>
          </w:p>
        </w:tc>
        <w:tc>
          <w:tcPr>
            <w:tcW w:type="dxa" w:w="1234"/>
          </w:tcPr>
          <w:p>
            <w:pPr>
              <w:jc w:val="center"/>
            </w:pPr>
            <w:r>
              <w:rPr>
                <w:sz w:val="18"/>
              </w:rPr>
              <w:t>0.9875</w:t>
            </w:r>
          </w:p>
        </w:tc>
        <w:tc>
          <w:tcPr>
            <w:tcW w:type="dxa" w:w="1234"/>
          </w:tcPr>
          <w:p>
            <w:pPr>
              <w:jc w:val="center"/>
            </w:pPr>
            <w:r>
              <w:rPr>
                <w:sz w:val="18"/>
              </w:rPr>
            </w:r>
          </w:p>
        </w:tc>
      </w:tr>
      <w:tr>
        <w:tc>
          <w:tcPr>
            <w:tcW w:type="dxa" w:w="1234"/>
          </w:tcPr>
          <w:p>
            <w:pPr>
              <w:jc w:val="center"/>
            </w:pPr>
            <w:r>
              <w:rPr>
                <w:sz w:val="18"/>
              </w:rPr>
              <w:t>T1D</w:t>
            </w:r>
          </w:p>
        </w:tc>
        <w:tc>
          <w:tcPr>
            <w:tcW w:type="dxa" w:w="1234"/>
          </w:tcPr>
          <w:p>
            <w:pPr>
              <w:jc w:val="center"/>
            </w:pPr>
            <w:r>
              <w:rPr>
                <w:sz w:val="18"/>
              </w:rPr>
              <w:t>GAGG</w:t>
            </w:r>
          </w:p>
        </w:tc>
        <w:tc>
          <w:tcPr>
            <w:tcW w:type="dxa" w:w="1234"/>
          </w:tcPr>
          <w:p>
            <w:pPr>
              <w:jc w:val="center"/>
            </w:pPr>
            <w:r>
              <w:rPr>
                <w:sz w:val="18"/>
              </w:rPr>
              <w:t>0.209</w:t>
            </w:r>
          </w:p>
        </w:tc>
        <w:tc>
          <w:tcPr>
            <w:tcW w:type="dxa" w:w="1234"/>
          </w:tcPr>
          <w:p>
            <w:pPr>
              <w:jc w:val="center"/>
            </w:pPr>
            <w:r>
              <w:rPr>
                <w:sz w:val="18"/>
              </w:rPr>
              <w:t>0.205</w:t>
            </w:r>
          </w:p>
        </w:tc>
        <w:tc>
          <w:tcPr>
            <w:tcW w:type="dxa" w:w="1234"/>
          </w:tcPr>
          <w:p>
            <w:pPr>
              <w:jc w:val="center"/>
            </w:pPr>
            <w:r>
              <w:rPr>
                <w:sz w:val="18"/>
              </w:rPr>
              <w:t>0.981</w:t>
            </w:r>
          </w:p>
        </w:tc>
        <w:tc>
          <w:tcPr>
            <w:tcW w:type="dxa" w:w="1234"/>
          </w:tcPr>
          <w:p>
            <w:pPr>
              <w:jc w:val="center"/>
            </w:pPr>
            <w:r>
              <w:rPr>
                <w:sz w:val="18"/>
              </w:rPr>
              <w:t>0.9767</w:t>
            </w:r>
          </w:p>
        </w:tc>
        <w:tc>
          <w:tcPr>
            <w:tcW w:type="dxa" w:w="1234"/>
          </w:tcPr>
          <w:p>
            <w:pPr>
              <w:jc w:val="center"/>
            </w:pPr>
            <w:r>
              <w:rPr>
                <w:sz w:val="18"/>
              </w:rPr>
            </w:r>
          </w:p>
        </w:tc>
      </w:tr>
      <w:tr>
        <w:tc>
          <w:tcPr>
            <w:tcW w:type="dxa" w:w="1234"/>
          </w:tcPr>
          <w:p>
            <w:pPr>
              <w:jc w:val="center"/>
            </w:pPr>
            <w:r>
              <w:rPr>
                <w:sz w:val="18"/>
              </w:rPr>
              <w:t>T1D</w:t>
            </w:r>
          </w:p>
        </w:tc>
        <w:tc>
          <w:tcPr>
            <w:tcW w:type="dxa" w:w="1234"/>
          </w:tcPr>
          <w:p>
            <w:pPr>
              <w:jc w:val="center"/>
            </w:pPr>
            <w:r>
              <w:rPr>
                <w:sz w:val="18"/>
              </w:rPr>
              <w:t>TATG</w:t>
            </w:r>
          </w:p>
        </w:tc>
        <w:tc>
          <w:tcPr>
            <w:tcW w:type="dxa" w:w="1234"/>
          </w:tcPr>
          <w:p>
            <w:pPr>
              <w:jc w:val="center"/>
            </w:pPr>
            <w:r>
              <w:rPr>
                <w:sz w:val="18"/>
              </w:rPr>
              <w:t>0.390</w:t>
            </w:r>
          </w:p>
        </w:tc>
        <w:tc>
          <w:tcPr>
            <w:tcW w:type="dxa" w:w="1234"/>
          </w:tcPr>
          <w:p>
            <w:pPr>
              <w:jc w:val="center"/>
            </w:pPr>
            <w:r>
              <w:rPr>
                <w:sz w:val="18"/>
              </w:rPr>
              <w:t>0.388</w:t>
            </w:r>
          </w:p>
        </w:tc>
        <w:tc>
          <w:tcPr>
            <w:tcW w:type="dxa" w:w="1234"/>
          </w:tcPr>
          <w:p>
            <w:pPr>
              <w:jc w:val="center"/>
            </w:pPr>
            <w:r>
              <w:rPr>
                <w:sz w:val="18"/>
              </w:rPr>
              <w:t>0.996</w:t>
            </w:r>
          </w:p>
        </w:tc>
        <w:tc>
          <w:tcPr>
            <w:tcW w:type="dxa" w:w="1234"/>
          </w:tcPr>
          <w:p>
            <w:pPr>
              <w:jc w:val="center"/>
            </w:pPr>
            <w:r>
              <w:rPr>
                <w:sz w:val="18"/>
              </w:rPr>
              <w:t>0.9952</w:t>
            </w:r>
          </w:p>
        </w:tc>
        <w:tc>
          <w:tcPr>
            <w:tcW w:type="dxa" w:w="1234"/>
          </w:tcPr>
          <w:p>
            <w:pPr>
              <w:jc w:val="center"/>
            </w:pPr>
            <w:r>
              <w:rPr>
                <w:sz w:val="18"/>
              </w:rPr>
            </w:r>
          </w:p>
        </w:tc>
      </w:tr>
      <w:tr>
        <w:tc>
          <w:tcPr>
            <w:tcW w:type="dxa" w:w="1234"/>
          </w:tcPr>
          <w:p>
            <w:pPr>
              <w:jc w:val="center"/>
            </w:pPr>
            <w:r>
              <w:rPr>
                <w:sz w:val="18"/>
              </w:rPr>
              <w:t>T1D</w:t>
            </w:r>
          </w:p>
        </w:tc>
        <w:tc>
          <w:tcPr>
            <w:tcW w:type="dxa" w:w="1234"/>
          </w:tcPr>
          <w:p>
            <w:pPr>
              <w:jc w:val="center"/>
            </w:pPr>
            <w:r>
              <w:rPr>
                <w:sz w:val="18"/>
              </w:rPr>
              <w:t>TCTT</w:t>
            </w:r>
          </w:p>
        </w:tc>
        <w:tc>
          <w:tcPr>
            <w:tcW w:type="dxa" w:w="1234"/>
          </w:tcPr>
          <w:p>
            <w:pPr>
              <w:jc w:val="center"/>
            </w:pPr>
            <w:r>
              <w:rPr>
                <w:sz w:val="18"/>
              </w:rPr>
              <w:t>0.169</w:t>
            </w:r>
          </w:p>
        </w:tc>
        <w:tc>
          <w:tcPr>
            <w:tcW w:type="dxa" w:w="1234"/>
          </w:tcPr>
          <w:p>
            <w:pPr>
              <w:jc w:val="center"/>
            </w:pPr>
            <w:r>
              <w:rPr>
                <w:sz w:val="18"/>
              </w:rPr>
              <w:t>0.173</w:t>
            </w:r>
          </w:p>
        </w:tc>
        <w:tc>
          <w:tcPr>
            <w:tcW w:type="dxa" w:w="1234"/>
          </w:tcPr>
          <w:p>
            <w:pPr>
              <w:jc w:val="center"/>
            </w:pPr>
            <w:r>
              <w:rPr>
                <w:sz w:val="18"/>
              </w:rPr>
              <w:t>1.023</w:t>
            </w:r>
          </w:p>
        </w:tc>
        <w:tc>
          <w:tcPr>
            <w:tcW w:type="dxa" w:w="1234"/>
          </w:tcPr>
          <w:p>
            <w:pPr>
              <w:jc w:val="center"/>
            </w:pPr>
            <w:r>
              <w:rPr>
                <w:sz w:val="18"/>
              </w:rPr>
              <w:t>0.9681</w:t>
            </w:r>
          </w:p>
        </w:tc>
        <w:tc>
          <w:tcPr>
            <w:tcW w:type="dxa" w:w="1234"/>
          </w:tcPr>
          <w:p>
            <w:pPr>
              <w:jc w:val="center"/>
            </w:pPr>
            <w:r>
              <w:rPr>
                <w:sz w:val="18"/>
              </w:rPr>
            </w:r>
          </w:p>
        </w:tc>
      </w:tr>
      <w:tr>
        <w:tc>
          <w:tcPr>
            <w:tcW w:type="dxa" w:w="1234"/>
          </w:tcPr>
          <w:p>
            <w:pPr>
              <w:jc w:val="center"/>
            </w:pPr>
            <w:r>
              <w:rPr>
                <w:sz w:val="18"/>
              </w:rPr>
              <w:t>T2D</w:t>
            </w:r>
          </w:p>
        </w:tc>
        <w:tc>
          <w:tcPr>
            <w:tcW w:type="dxa" w:w="1234"/>
          </w:tcPr>
          <w:p>
            <w:pPr>
              <w:jc w:val="center"/>
            </w:pPr>
            <w:r>
              <w:rPr>
                <w:sz w:val="18"/>
              </w:rPr>
              <w:t>AAGA</w:t>
            </w:r>
          </w:p>
        </w:tc>
        <w:tc>
          <w:tcPr>
            <w:tcW w:type="dxa" w:w="1234"/>
          </w:tcPr>
          <w:p>
            <w:pPr>
              <w:jc w:val="center"/>
            </w:pPr>
            <w:r>
              <w:rPr>
                <w:sz w:val="18"/>
              </w:rPr>
              <w:t>0.104</w:t>
            </w:r>
          </w:p>
        </w:tc>
        <w:tc>
          <w:tcPr>
            <w:tcW w:type="dxa" w:w="1234"/>
          </w:tcPr>
          <w:p>
            <w:pPr>
              <w:jc w:val="center"/>
            </w:pPr>
            <w:r>
              <w:rPr>
                <w:sz w:val="18"/>
              </w:rPr>
              <w:t>0.055</w:t>
            </w:r>
          </w:p>
        </w:tc>
        <w:tc>
          <w:tcPr>
            <w:tcW w:type="dxa" w:w="1234"/>
          </w:tcPr>
          <w:p>
            <w:pPr>
              <w:jc w:val="center"/>
            </w:pPr>
            <w:r>
              <w:rPr>
                <w:sz w:val="18"/>
              </w:rPr>
              <w:t>0.530</w:t>
            </w:r>
          </w:p>
        </w:tc>
        <w:tc>
          <w:tcPr>
            <w:tcW w:type="dxa" w:w="1234"/>
          </w:tcPr>
          <w:p>
            <w:pPr>
              <w:jc w:val="center"/>
            </w:pPr>
            <w:r>
              <w:rPr>
                <w:sz w:val="18"/>
              </w:rPr>
              <w:t>0.0034</w:t>
            </w:r>
          </w:p>
        </w:tc>
        <w:tc>
          <w:tcPr>
            <w:tcW w:type="dxa" w:w="1234"/>
          </w:tcPr>
          <w:p>
            <w:pPr>
              <w:jc w:val="center"/>
            </w:pPr>
            <w:r>
              <w:rPr>
                <w:sz w:val="18"/>
              </w:rPr>
              <w:t>**</w:t>
            </w:r>
          </w:p>
        </w:tc>
      </w:tr>
      <w:tr>
        <w:tc>
          <w:tcPr>
            <w:tcW w:type="dxa" w:w="1234"/>
          </w:tcPr>
          <w:p>
            <w:pPr>
              <w:jc w:val="center"/>
            </w:pPr>
            <w:r>
              <w:rPr>
                <w:sz w:val="18"/>
              </w:rPr>
              <w:t>T2D</w:t>
            </w:r>
          </w:p>
        </w:tc>
        <w:tc>
          <w:tcPr>
            <w:tcW w:type="dxa" w:w="1234"/>
          </w:tcPr>
          <w:p>
            <w:pPr>
              <w:jc w:val="center"/>
            </w:pPr>
            <w:r>
              <w:rPr>
                <w:sz w:val="18"/>
              </w:rPr>
              <w:t>GAGG</w:t>
            </w:r>
          </w:p>
        </w:tc>
        <w:tc>
          <w:tcPr>
            <w:tcW w:type="dxa" w:w="1234"/>
          </w:tcPr>
          <w:p>
            <w:pPr>
              <w:jc w:val="center"/>
            </w:pPr>
            <w:r>
              <w:rPr>
                <w:sz w:val="18"/>
              </w:rPr>
              <w:t>0.104</w:t>
            </w:r>
          </w:p>
        </w:tc>
        <w:tc>
          <w:tcPr>
            <w:tcW w:type="dxa" w:w="1234"/>
          </w:tcPr>
          <w:p>
            <w:pPr>
              <w:jc w:val="center"/>
            </w:pPr>
            <w:r>
              <w:rPr>
                <w:sz w:val="18"/>
              </w:rPr>
              <w:t>0.055</w:t>
            </w:r>
          </w:p>
        </w:tc>
        <w:tc>
          <w:tcPr>
            <w:tcW w:type="dxa" w:w="1234"/>
          </w:tcPr>
          <w:p>
            <w:pPr>
              <w:jc w:val="center"/>
            </w:pPr>
            <w:r>
              <w:rPr>
                <w:sz w:val="18"/>
              </w:rPr>
              <w:t>0.530</w:t>
            </w:r>
          </w:p>
        </w:tc>
        <w:tc>
          <w:tcPr>
            <w:tcW w:type="dxa" w:w="1234"/>
          </w:tcPr>
          <w:p>
            <w:pPr>
              <w:jc w:val="center"/>
            </w:pPr>
            <w:r>
              <w:rPr>
                <w:sz w:val="18"/>
              </w:rPr>
              <w:t>0.0034</w:t>
            </w:r>
          </w:p>
        </w:tc>
        <w:tc>
          <w:tcPr>
            <w:tcW w:type="dxa" w:w="1234"/>
          </w:tcPr>
          <w:p>
            <w:pPr>
              <w:jc w:val="center"/>
            </w:pPr>
            <w:r>
              <w:rPr>
                <w:sz w:val="18"/>
              </w:rPr>
              <w:t>**</w:t>
            </w:r>
          </w:p>
        </w:tc>
      </w:tr>
      <w:tr>
        <w:tc>
          <w:tcPr>
            <w:tcW w:type="dxa" w:w="1234"/>
          </w:tcPr>
          <w:p>
            <w:pPr>
              <w:jc w:val="center"/>
            </w:pPr>
            <w:r>
              <w:rPr>
                <w:sz w:val="18"/>
              </w:rPr>
              <w:t>T2D</w:t>
            </w:r>
          </w:p>
        </w:tc>
        <w:tc>
          <w:tcPr>
            <w:tcW w:type="dxa" w:w="1234"/>
          </w:tcPr>
          <w:p>
            <w:pPr>
              <w:jc w:val="center"/>
            </w:pPr>
            <w:r>
              <w:rPr>
                <w:sz w:val="18"/>
              </w:rPr>
              <w:t>TATG</w:t>
            </w:r>
          </w:p>
        </w:tc>
        <w:tc>
          <w:tcPr>
            <w:tcW w:type="dxa" w:w="1234"/>
          </w:tcPr>
          <w:p>
            <w:pPr>
              <w:jc w:val="center"/>
            </w:pPr>
            <w:r>
              <w:rPr>
                <w:sz w:val="18"/>
              </w:rPr>
              <w:t>0.104</w:t>
            </w:r>
          </w:p>
        </w:tc>
        <w:tc>
          <w:tcPr>
            <w:tcW w:type="dxa" w:w="1234"/>
          </w:tcPr>
          <w:p>
            <w:pPr>
              <w:jc w:val="center"/>
            </w:pPr>
            <w:r>
              <w:rPr>
                <w:sz w:val="18"/>
              </w:rPr>
              <w:t>0.055</w:t>
            </w:r>
          </w:p>
        </w:tc>
        <w:tc>
          <w:tcPr>
            <w:tcW w:type="dxa" w:w="1234"/>
          </w:tcPr>
          <w:p>
            <w:pPr>
              <w:jc w:val="center"/>
            </w:pPr>
            <w:r>
              <w:rPr>
                <w:sz w:val="18"/>
              </w:rPr>
              <w:t>0.530</w:t>
            </w:r>
          </w:p>
        </w:tc>
        <w:tc>
          <w:tcPr>
            <w:tcW w:type="dxa" w:w="1234"/>
          </w:tcPr>
          <w:p>
            <w:pPr>
              <w:jc w:val="center"/>
            </w:pPr>
            <w:r>
              <w:rPr>
                <w:sz w:val="18"/>
              </w:rPr>
              <w:t>0.0034</w:t>
            </w:r>
          </w:p>
        </w:tc>
        <w:tc>
          <w:tcPr>
            <w:tcW w:type="dxa" w:w="1234"/>
          </w:tcPr>
          <w:p>
            <w:pPr>
              <w:jc w:val="center"/>
            </w:pPr>
            <w:r>
              <w:rPr>
                <w:sz w:val="18"/>
              </w:rPr>
              <w:t>**</w:t>
            </w:r>
          </w:p>
        </w:tc>
      </w:tr>
      <w:tr>
        <w:tc>
          <w:tcPr>
            <w:tcW w:type="dxa" w:w="1234"/>
          </w:tcPr>
          <w:p>
            <w:pPr>
              <w:jc w:val="center"/>
            </w:pPr>
            <w:r>
              <w:rPr>
                <w:sz w:val="18"/>
              </w:rPr>
              <w:t>T2D</w:t>
            </w:r>
          </w:p>
        </w:tc>
        <w:tc>
          <w:tcPr>
            <w:tcW w:type="dxa" w:w="1234"/>
          </w:tcPr>
          <w:p>
            <w:pPr>
              <w:jc w:val="center"/>
            </w:pPr>
            <w:r>
              <w:rPr>
                <w:sz w:val="18"/>
              </w:rPr>
              <w:t>ATCT</w:t>
            </w:r>
          </w:p>
        </w:tc>
        <w:tc>
          <w:tcPr>
            <w:tcW w:type="dxa" w:w="1234"/>
          </w:tcPr>
          <w:p>
            <w:pPr>
              <w:jc w:val="center"/>
            </w:pPr>
            <w:r>
              <w:rPr>
                <w:sz w:val="18"/>
              </w:rPr>
              <w:t>0.104</w:t>
            </w:r>
          </w:p>
        </w:tc>
        <w:tc>
          <w:tcPr>
            <w:tcW w:type="dxa" w:w="1234"/>
          </w:tcPr>
          <w:p>
            <w:pPr>
              <w:jc w:val="center"/>
            </w:pPr>
            <w:r>
              <w:rPr>
                <w:sz w:val="18"/>
              </w:rPr>
              <w:t>0.055</w:t>
            </w:r>
          </w:p>
        </w:tc>
        <w:tc>
          <w:tcPr>
            <w:tcW w:type="dxa" w:w="1234"/>
          </w:tcPr>
          <w:p>
            <w:pPr>
              <w:jc w:val="center"/>
            </w:pPr>
            <w:r>
              <w:rPr>
                <w:sz w:val="18"/>
              </w:rPr>
              <w:t>0.530</w:t>
            </w:r>
          </w:p>
        </w:tc>
        <w:tc>
          <w:tcPr>
            <w:tcW w:type="dxa" w:w="1234"/>
          </w:tcPr>
          <w:p>
            <w:pPr>
              <w:jc w:val="center"/>
            </w:pPr>
            <w:r>
              <w:rPr>
                <w:sz w:val="18"/>
              </w:rPr>
              <w:t>0.0034</w:t>
            </w:r>
          </w:p>
        </w:tc>
        <w:tc>
          <w:tcPr>
            <w:tcW w:type="dxa" w:w="1234"/>
          </w:tcPr>
          <w:p>
            <w:pPr>
              <w:jc w:val="center"/>
            </w:pPr>
            <w:r>
              <w:rPr>
                <w:sz w:val="18"/>
              </w:rPr>
              <w:t>**</w:t>
            </w:r>
          </w:p>
        </w:tc>
      </w:tr>
    </w:tbl>
    <w:p>
      <w:pPr/>
      <w:r>
        <w:t>Legend: Beta‑values (ranging from 0 to 1) were extracted from Illumina 450K or 27K methylation arrays for probes overlapping the conserved non‑CG motifs. For T1D, data were obtained from GSE124809 (IFNα‑treated human islets, 450K); for T2D, data were obtained from GSE21232 (pancreatic islets, 27K). Mean beta values are shown for control and disease groups. Fold change is calculated as Mean_Disease / Mean_Control. Statistical significance was assessed using Welch’s t‑test (unequal variance). Significance thresholds: * p &lt; 0.05; ** p &lt; 0.01; *** p &lt; 0.001. For T2D, four motifs (AAGA, GAGG, TATG, ATCT) showed a significant reduction in methylation (fold change ≈ 0.53, p = 0.0034), indicated by double asterisks (**). No significant methylation changes were observed in T1D (all p ≈ 1.0). Abbreviations: T1D, type 1 diabetes; T2D, type 2 diabetes; IFNα, interferon‑alpha; N, number of samples.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