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300"/>
        <w:jc w:val="center"/>
      </w:pPr>
      <w:r>
        <w:rPr>
          <w:b/>
          <w:bCs/>
          <w:color w:val="1F4E79"/>
          <w:sz w:val="44"/>
          <w:szCs w:val="44"/>
        </w:rPr>
        <w:t xml:space="preserve">PROJECT REPORT</w:t>
      </w:r>
    </w:p>
    <w:p>
      <w:pPr>
        <w:spacing w:after="100"/>
        <w:jc w:val="center"/>
      </w:pPr>
      <w:r>
        <w:rPr>
          <w:b/>
          <w:bCs/>
          <w:sz w:val="32"/>
          <w:szCs w:val="32"/>
        </w:rPr>
        <w:t xml:space="preserve">HR Employee Attrition Analysis</w:t>
      </w:r>
    </w:p>
    <w:p>
      <w:pPr>
        <w:spacing w:after="600"/>
        <w:jc w:val="center"/>
      </w:pPr>
      <w:r>
        <w:rPr>
          <w:i/>
          <w:iCs/>
          <w:sz w:val="24"/>
          <w:szCs w:val="24"/>
        </w:rPr>
        <w:t xml:space="preserve">Data Analysis with AI — Exploratory Analysis &amp; Predictive Modeling</w:t>
      </w:r>
    </w:p>
    <w:p>
      <w:pPr>
        <w:spacing w:after="80"/>
        <w:jc w:val="center"/>
      </w:pPr>
      <w:r>
        <w:rPr>
          <w:b/>
          <w:bCs/>
          <w:sz w:val="24"/>
          <w:szCs w:val="24"/>
        </w:rPr>
        <w:t xml:space="preserve">AICTE | IBM SkillsBuild Data Analytics with AI Internship 2026</w:t>
      </w:r>
    </w:p>
    <w:p>
      <w:pPr>
        <w:spacing w:after="600"/>
        <w:jc w:val="center"/>
      </w:pPr>
      <w:r>
        <w:rPr>
          <w:sz w:val="22"/>
          <w:szCs w:val="22"/>
        </w:rPr>
        <w:t xml:space="preserve">Conducted by BharatCares, in association with AICTE</w:t>
      </w:r>
    </w:p>
    <w:p>
      <w:pPr>
        <w:spacing w:after="60"/>
        <w:jc w:val="center"/>
      </w:pPr>
      <w:r>
        <w:rPr>
          <w:sz w:val="22"/>
          <w:szCs w:val="22"/>
        </w:rPr>
        <w:t xml:space="preserve">Submitted by: [Your Full Name]</w:t>
      </w:r>
    </w:p>
    <w:p>
      <w:pPr>
        <w:spacing w:after="60"/>
        <w:jc w:val="center"/>
      </w:pPr>
      <w:r>
        <w:rPr>
          <w:sz w:val="22"/>
          <w:szCs w:val="22"/>
        </w:rPr>
        <w:t xml:space="preserve">Institution: [Your Institution Name]</w:t>
      </w:r>
    </w:p>
    <w:p>
      <w:pPr>
        <w:spacing w:after="60"/>
        <w:jc w:val="center"/>
      </w:pPr>
      <w:r>
        <w:rPr>
          <w:sz w:val="22"/>
          <w:szCs w:val="22"/>
        </w:rPr>
        <w:t xml:space="preserve">Branch / Specialization: [Your Branch]</w:t>
      </w:r>
    </w:p>
    <w:p>
      <w:pPr>
        <w:jc w:val="center"/>
      </w:pPr>
      <w:r>
        <w:rPr>
          <w:sz w:val="22"/>
          <w:szCs w:val="22"/>
        </w:rPr>
        <w:t xml:space="preserve">Date: September 2026</w:t>
      </w:r>
    </w:p>
    <w:p>
      <w:r>
        <w:br w:type="page"/>
      </w:r>
    </w:p>
    <w:p>
      <w:pPr>
        <w:pStyle w:val="Heading1"/>
        <w:spacing w:after="150" w:before="300"/>
      </w:pPr>
      <w:r>
        <w:t xml:space="preserve">Abstract</w:t>
      </w:r>
    </w:p>
    <w:p>
      <w:pPr>
        <w:spacing w:after="150"/>
      </w:pPr>
      <w:r>
        <w:t xml:space="preserve">Employee attrition — the voluntary or involuntary departure of employees — is one of the most pressing challenges faced by human resources departments, as it directly affects productivity, morale, and recruitment costs. This project applies data analytics and machine learning techniques to IBM's HR Employee Attrition dataset, sourced from Kaggle, to identify the key factors that drive employee attrition and to build predictive models capable of flagging employees at risk of leaving. The workflow covers data cleaning, exploratory data analysis (EDA), feature engineering, and the training and evaluation of Logistic Regression and Random Forest classifiers. The analysis reveals that overtime, job satisfaction, monthly income, and tenure are among the strongest predictors of attrition, and the resulting models and insights can support HR teams in designing targeted, proactive retention strategies.</w:t>
      </w:r>
    </w:p>
    <w:p>
      <w:pPr>
        <w:pStyle w:val="Heading1"/>
        <w:spacing w:after="150" w:before="300"/>
      </w:pPr>
      <w:r>
        <w:t xml:space="preserve">Table of Contents</w:t>
      </w:r>
    </w:p>
    <w:p>
      <w:pPr>
        <w:spacing w:after="150"/>
      </w:pPr>
      <w:r>
        <w:t xml:space="preserve">1. Introduction</w:t>
      </w:r>
    </w:p>
    <w:p>
      <w:pPr>
        <w:spacing w:after="150"/>
      </w:pPr>
      <w:r>
        <w:t xml:space="preserve">2. Objectives</w:t>
      </w:r>
    </w:p>
    <w:p>
      <w:pPr>
        <w:spacing w:after="150"/>
      </w:pPr>
      <w:r>
        <w:t xml:space="preserve">3. Dataset Description</w:t>
      </w:r>
    </w:p>
    <w:p>
      <w:pPr>
        <w:spacing w:after="150"/>
      </w:pPr>
      <w:r>
        <w:t xml:space="preserve">4. Tools and Technologies</w:t>
      </w:r>
    </w:p>
    <w:p>
      <w:pPr>
        <w:spacing w:after="150"/>
      </w:pPr>
      <w:r>
        <w:t xml:space="preserve">5. Methodology</w:t>
      </w:r>
    </w:p>
    <w:p>
      <w:pPr>
        <w:spacing w:after="150"/>
      </w:pPr>
      <w:r>
        <w:t xml:space="preserve">6. Exploratory Data Analysis — Key Observations</w:t>
      </w:r>
    </w:p>
    <w:p>
      <w:pPr>
        <w:spacing w:after="150"/>
      </w:pPr>
      <w:r>
        <w:t xml:space="preserve">7. Model Building and Evaluation</w:t>
      </w:r>
    </w:p>
    <w:p>
      <w:pPr>
        <w:spacing w:after="150"/>
      </w:pPr>
      <w:r>
        <w:t xml:space="preserve">8. Results</w:t>
      </w:r>
    </w:p>
    <w:p>
      <w:pPr>
        <w:spacing w:after="150"/>
      </w:pPr>
      <w:r>
        <w:t xml:space="preserve">9. Key Insights</w:t>
      </w:r>
    </w:p>
    <w:p>
      <w:pPr>
        <w:spacing w:after="150"/>
      </w:pPr>
      <w:r>
        <w:t xml:space="preserve">10. Recommendations</w:t>
      </w:r>
    </w:p>
    <w:p>
      <w:pPr>
        <w:spacing w:after="150"/>
      </w:pPr>
      <w:r>
        <w:t xml:space="preserve">11. Conclusion</w:t>
      </w:r>
    </w:p>
    <w:p>
      <w:pPr>
        <w:spacing w:after="150"/>
      </w:pPr>
      <w:r>
        <w:t xml:space="preserve">12. References</w:t>
      </w:r>
    </w:p>
    <w:p>
      <w:r>
        <w:br w:type="page"/>
      </w:r>
    </w:p>
    <w:p>
      <w:pPr>
        <w:pStyle w:val="Heading1"/>
        <w:spacing w:after="150" w:before="300"/>
      </w:pPr>
      <w:r>
        <w:t xml:space="preserve">1. Introduction</w:t>
      </w:r>
    </w:p>
    <w:p>
      <w:pPr>
        <w:spacing w:after="150"/>
      </w:pPr>
      <w:r>
        <w:t xml:space="preserve">Organizations invest significant time and resources in hiring and training employees. When an employee leaves — a phenomenon known as attrition — that investment is lost, and the organization incurs further costs in recruiting and onboarding a replacement. Understanding the drivers of attrition allows HR departments to move from a reactive approach (responding after an employee resigns) to a proactive one (identifying at-risk employees and intervening early).</w:t>
      </w:r>
    </w:p>
    <w:p>
      <w:pPr>
        <w:spacing w:after="150"/>
      </w:pPr>
      <w:r>
        <w:t xml:space="preserve">This project uses IBM's publicly available HR Analytics Employee Attrition &amp; Performance dataset to explore patterns in employee data and to build a machine learning model that predicts the likelihood of attrition for a given employee, based on demographic, job-related, and satisfaction-related attributes.</w:t>
      </w:r>
    </w:p>
    <w:p>
      <w:pPr>
        <w:pStyle w:val="Heading1"/>
        <w:spacing w:after="150" w:before="300"/>
      </w:pPr>
      <w:r>
        <w:t xml:space="preserve">2. Objectives</w:t>
      </w:r>
    </w:p>
    <w:p>
      <w:pPr>
        <w:pStyle w:val="ListParagraph"/>
        <w:numPr>
          <w:ilvl w:val="0"/>
          <w:numId w:val="1"/>
        </w:numPr>
        <w:spacing w:after="80"/>
      </w:pPr>
      <w:r>
        <w:t xml:space="preserve">To perform data cleaning and preprocessing on the HR employee dataset.</w:t>
      </w:r>
    </w:p>
    <w:p>
      <w:pPr>
        <w:pStyle w:val="ListParagraph"/>
        <w:numPr>
          <w:ilvl w:val="0"/>
          <w:numId w:val="1"/>
        </w:numPr>
        <w:spacing w:after="80"/>
      </w:pPr>
      <w:r>
        <w:t xml:space="preserve">To conduct exploratory data analysis (EDA) and visualize relationships between employee attributes and attrition.</w:t>
      </w:r>
    </w:p>
    <w:p>
      <w:pPr>
        <w:pStyle w:val="ListParagraph"/>
        <w:numPr>
          <w:ilvl w:val="0"/>
          <w:numId w:val="1"/>
        </w:numPr>
        <w:spacing w:after="80"/>
      </w:pPr>
      <w:r>
        <w:t xml:space="preserve">To identify the key factors most strongly associated with employee attrition.</w:t>
      </w:r>
    </w:p>
    <w:p>
      <w:pPr>
        <w:pStyle w:val="ListParagraph"/>
        <w:numPr>
          <w:ilvl w:val="0"/>
          <w:numId w:val="1"/>
        </w:numPr>
        <w:spacing w:after="80"/>
      </w:pPr>
      <w:r>
        <w:t xml:space="preserve">To build, train, and evaluate machine learning classification models that predict attrition.</w:t>
      </w:r>
    </w:p>
    <w:p>
      <w:pPr>
        <w:pStyle w:val="ListParagraph"/>
        <w:numPr>
          <w:ilvl w:val="0"/>
          <w:numId w:val="1"/>
        </w:numPr>
        <w:spacing w:after="80"/>
      </w:pPr>
      <w:r>
        <w:t xml:space="preserve">To derive actionable recommendations for HR teams based on the findings.</w:t>
      </w:r>
    </w:p>
    <w:p>
      <w:pPr>
        <w:pStyle w:val="Heading1"/>
        <w:spacing w:after="150" w:before="300"/>
      </w:pPr>
      <w:r>
        <w:t xml:space="preserve">3. Dataset Description</w:t>
      </w:r>
    </w:p>
    <w:p>
      <w:pPr>
        <w:spacing w:after="150"/>
      </w:pPr>
      <w:r>
        <w:t xml:space="preserve">Dataset name: IBM HR Analytics Employee Attrition &amp; Performance</w:t>
      </w:r>
    </w:p>
    <w:p>
      <w:pPr>
        <w:spacing w:after="150"/>
      </w:pPr>
      <w:r>
        <w:t xml:space="preserve">Source: Kaggle — https://www.kaggle.com/datasets/itssuru/hr-employee-attrition</w:t>
      </w:r>
    </w:p>
    <w:p>
      <w:pPr>
        <w:spacing w:after="150"/>
      </w:pPr>
      <w:r>
        <w:t xml:space="preserve">Size: 1,470 employee records with 35 attributes.</w:t>
      </w:r>
    </w:p>
    <w:p>
      <w:pPr>
        <w:spacing w:after="150"/>
      </w:pPr>
      <w:r>
        <w:t xml:space="preserve">Target variable: Attrition (Yes / No)</w:t>
      </w:r>
    </w:p>
    <w:p>
      <w:pPr>
        <w:spacing w:after="150"/>
      </w:pPr>
      <w:r>
        <w:t xml:space="preserve">Key feature categories:</w:t>
      </w:r>
    </w:p>
    <w:p>
      <w:pPr>
        <w:pStyle w:val="ListParagraph"/>
        <w:numPr>
          <w:ilvl w:val="0"/>
          <w:numId w:val="1"/>
        </w:numPr>
        <w:spacing w:after="80"/>
      </w:pPr>
      <w:r>
        <w:t xml:space="preserve">Demographics: Age, Gender, Marital Status, Education, Education Field</w:t>
      </w:r>
    </w:p>
    <w:p>
      <w:pPr>
        <w:pStyle w:val="ListParagraph"/>
        <w:numPr>
          <w:ilvl w:val="0"/>
          <w:numId w:val="1"/>
        </w:numPr>
        <w:spacing w:after="80"/>
      </w:pPr>
      <w:r>
        <w:t xml:space="preserve">Job details: Department, Job Role, Job Level, Monthly Income, Business Travel, OverTime</w:t>
      </w:r>
    </w:p>
    <w:p>
      <w:pPr>
        <w:pStyle w:val="ListParagraph"/>
        <w:numPr>
          <w:ilvl w:val="0"/>
          <w:numId w:val="1"/>
        </w:numPr>
        <w:spacing w:after="80"/>
      </w:pPr>
      <w:r>
        <w:t xml:space="preserve">Satisfaction metrics: Job Satisfaction, Environment Satisfaction, Work-Life Balance, Job Involvement, Relationship Satisfaction</w:t>
      </w:r>
    </w:p>
    <w:p>
      <w:pPr>
        <w:pStyle w:val="ListParagraph"/>
        <w:numPr>
          <w:ilvl w:val="0"/>
          <w:numId w:val="1"/>
        </w:numPr>
        <w:spacing w:after="80"/>
      </w:pPr>
      <w:r>
        <w:t xml:space="preserve">Tenure information: Years at Company, Total Working Years, Years in Current Role, Years Since Last Promotion, Years With Current Manager</w:t>
      </w:r>
    </w:p>
    <w:p>
      <w:pPr>
        <w:pStyle w:val="Heading1"/>
        <w:spacing w:after="150" w:before="300"/>
      </w:pPr>
      <w:r>
        <w:t xml:space="preserve">4. Tools and Technologies</w:t>
      </w:r>
    </w:p>
    <w:p>
      <w:pPr>
        <w:pStyle w:val="ListParagraph"/>
        <w:numPr>
          <w:ilvl w:val="0"/>
          <w:numId w:val="1"/>
        </w:numPr>
        <w:spacing w:after="80"/>
      </w:pPr>
      <w:r>
        <w:t xml:space="preserve">Python 3 — programming language</w:t>
      </w:r>
    </w:p>
    <w:p>
      <w:pPr>
        <w:pStyle w:val="ListParagraph"/>
        <w:numPr>
          <w:ilvl w:val="0"/>
          <w:numId w:val="1"/>
        </w:numPr>
        <w:spacing w:after="80"/>
      </w:pPr>
      <w:r>
        <w:t xml:space="preserve">Pandas, NumPy — data manipulation and analysis</w:t>
      </w:r>
    </w:p>
    <w:p>
      <w:pPr>
        <w:pStyle w:val="ListParagraph"/>
        <w:numPr>
          <w:ilvl w:val="0"/>
          <w:numId w:val="1"/>
        </w:numPr>
        <w:spacing w:after="80"/>
      </w:pPr>
      <w:r>
        <w:t xml:space="preserve">Matplotlib, Seaborn — data visualization</w:t>
      </w:r>
    </w:p>
    <w:p>
      <w:pPr>
        <w:pStyle w:val="ListParagraph"/>
        <w:numPr>
          <w:ilvl w:val="0"/>
          <w:numId w:val="1"/>
        </w:numPr>
        <w:spacing w:after="80"/>
      </w:pPr>
      <w:r>
        <w:t xml:space="preserve">Scikit-learn — machine learning model building and evaluation</w:t>
      </w:r>
    </w:p>
    <w:p>
      <w:pPr>
        <w:pStyle w:val="ListParagraph"/>
        <w:numPr>
          <w:ilvl w:val="0"/>
          <w:numId w:val="1"/>
        </w:numPr>
        <w:spacing w:after="80"/>
      </w:pPr>
      <w:r>
        <w:t xml:space="preserve">Jupyter Notebook — interactive development environment</w:t>
      </w:r>
    </w:p>
    <w:p>
      <w:pPr>
        <w:pStyle w:val="Heading1"/>
        <w:spacing w:after="150" w:before="300"/>
      </w:pPr>
      <w:r>
        <w:t xml:space="preserve">5. Methodology</w:t>
      </w:r>
    </w:p>
    <w:p>
      <w:pPr>
        <w:pStyle w:val="Heading2"/>
        <w:spacing w:after="100" w:before="200"/>
      </w:pPr>
      <w:r>
        <w:t xml:space="preserve">5.1 Data Cleaning</w:t>
      </w:r>
    </w:p>
    <w:p>
      <w:pPr>
        <w:spacing w:after="150"/>
      </w:pPr>
      <w:r>
        <w:t xml:space="preserve">The dataset was checked for missing values and duplicate records. Columns with constant values across all rows (such as EmployeeCount, StandardHours, and Over18) were dropped, as they carry no analytical value.</w:t>
      </w:r>
    </w:p>
    <w:p>
      <w:pPr>
        <w:pStyle w:val="Heading2"/>
        <w:spacing w:after="100" w:before="200"/>
      </w:pPr>
      <w:r>
        <w:t xml:space="preserve">5.2 Exploratory Data Analysis</w:t>
      </w:r>
    </w:p>
    <w:p>
      <w:pPr>
        <w:spacing w:after="150"/>
      </w:pPr>
      <w:r>
        <w:t xml:space="preserve">Univariate and bivariate analyses were performed to understand the distribution of the target variable and its relationship with other features. Visualizations included bar charts, box plots, histograms, and a correlation heatmap.</w:t>
      </w:r>
    </w:p>
    <w:p>
      <w:pPr>
        <w:pStyle w:val="Heading2"/>
        <w:spacing w:after="100" w:before="200"/>
      </w:pPr>
      <w:r>
        <w:t xml:space="preserve">5.3 Feature Engineering</w:t>
      </w:r>
    </w:p>
    <w:p>
      <w:pPr>
        <w:spacing w:after="150"/>
      </w:pPr>
      <w:r>
        <w:t xml:space="preserve">Categorical variables (e.g., Department, Job Role, Gender, OverTime) were label-encoded into numeric form so they could be used by machine learning algorithms.</w:t>
      </w:r>
    </w:p>
    <w:p>
      <w:pPr>
        <w:pStyle w:val="Heading2"/>
        <w:spacing w:after="100" w:before="200"/>
      </w:pPr>
      <w:r>
        <w:t xml:space="preserve">5.4 Model Building</w:t>
      </w:r>
    </w:p>
    <w:p>
      <w:pPr>
        <w:spacing w:after="150"/>
      </w:pPr>
      <w:r>
        <w:t xml:space="preserve">The dataset was split into training (80%) and testing (20%) sets, stratified by the target variable to preserve class balance. Two classification models were trained: Logistic Regression (an interpretable linear baseline) and Random Forest (an ensemble method capable of capturing non-linear relationships). Both models were configured with class balancing to account for the fact that attrition is a minority class in the dataset.</w:t>
      </w:r>
    </w:p>
    <w:p>
      <w:r>
        <w:br w:type="page"/>
      </w:r>
    </w:p>
    <w:p>
      <w:pPr>
        <w:pStyle w:val="Heading1"/>
        <w:spacing w:after="150" w:before="300"/>
      </w:pPr>
      <w:r>
        <w:t xml:space="preserve">6. Exploratory Data Analysis — Key Observations</w:t>
      </w:r>
    </w:p>
    <w:p>
      <w:pPr>
        <w:pStyle w:val="ListParagraph"/>
        <w:numPr>
          <w:ilvl w:val="0"/>
          <w:numId w:val="1"/>
        </w:numPr>
        <w:spacing w:after="80"/>
      </w:pPr>
      <w:r>
        <w:t xml:space="preserve">The dataset is imbalanced: roughly 80% of employees stayed ("No") versus about 20% who left ("Yes").</w:t>
      </w:r>
    </w:p>
    <w:p>
      <w:pPr>
        <w:pStyle w:val="ListParagraph"/>
        <w:numPr>
          <w:ilvl w:val="0"/>
          <w:numId w:val="1"/>
        </w:numPr>
        <w:spacing w:after="80"/>
      </w:pPr>
      <w:r>
        <w:t xml:space="preserve">Employees who work overtime show a markedly higher attrition rate than those who do not.</w:t>
      </w:r>
    </w:p>
    <w:p>
      <w:pPr>
        <w:pStyle w:val="ListParagraph"/>
        <w:numPr>
          <w:ilvl w:val="0"/>
          <w:numId w:val="1"/>
        </w:numPr>
        <w:spacing w:after="80"/>
      </w:pPr>
      <w:r>
        <w:t xml:space="preserve">Employees with low Job Satisfaction, low Environment Satisfaction, or poor Work-Life Balance scores leave at higher rates.</w:t>
      </w:r>
    </w:p>
    <w:p>
      <w:pPr>
        <w:pStyle w:val="ListParagraph"/>
        <w:numPr>
          <w:ilvl w:val="0"/>
          <w:numId w:val="1"/>
        </w:numPr>
        <w:spacing w:after="80"/>
      </w:pPr>
      <w:r>
        <w:t xml:space="preserve">Attrition is higher among employees with lower Monthly Income and fewer Years at Company — newer, lower-paid employees are the highest flight risk.</w:t>
      </w:r>
    </w:p>
    <w:p>
      <w:pPr>
        <w:pStyle w:val="ListParagraph"/>
        <w:numPr>
          <w:ilvl w:val="0"/>
          <w:numId w:val="1"/>
        </w:numPr>
        <w:spacing w:after="80"/>
      </w:pPr>
      <w:r>
        <w:t xml:space="preserve">Sales Representatives and Laboratory Technicians show higher attrition rates compared to other job roles.</w:t>
      </w:r>
    </w:p>
    <w:p>
      <w:pPr>
        <w:pStyle w:val="ListParagraph"/>
        <w:numPr>
          <w:ilvl w:val="0"/>
          <w:numId w:val="1"/>
        </w:numPr>
        <w:spacing w:after="80"/>
      </w:pPr>
      <w:r>
        <w:t xml:space="preserve">Frequent business travel and longer commute distance are mildly associated with higher attrition.</w:t>
      </w:r>
    </w:p>
    <w:p>
      <w:pPr>
        <w:pStyle w:val="ListParagraph"/>
        <w:numPr>
          <w:ilvl w:val="0"/>
          <w:numId w:val="1"/>
        </w:numPr>
        <w:spacing w:after="80"/>
      </w:pPr>
      <w:r>
        <w:t xml:space="preserve">Younger employees (typically under 30) show a higher tendency to leave than older, more tenured employees.</w:t>
      </w:r>
    </w:p>
    <w:p>
      <w:pPr>
        <w:pStyle w:val="Heading1"/>
        <w:spacing w:after="150" w:before="300"/>
      </w:pPr>
      <w:r>
        <w:t xml:space="preserve">7. Model Building and Evaluation</w:t>
      </w:r>
    </w:p>
    <w:p>
      <w:pPr>
        <w:spacing w:after="150"/>
      </w:pPr>
      <w:r>
        <w:t xml:space="preserve">Model performance was evaluated using Accuracy, Precision, Recall, F1-score, and ROC-AUC — metrics appropriate for an imbalanced classification problem, where overall accuracy alone can be misleading.</w:t>
      </w:r>
    </w:p>
    <w:p>
      <w:pPr>
        <w:pStyle w:val="Heading1"/>
        <w:spacing w:after="150" w:before="300"/>
      </w:pPr>
      <w:r>
        <w:t xml:space="preserve">8. Results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gridCol w:w="1300"/>
      </w:tblGrid>
      <w:tr>
        <w:tc>
          <w:tcPr>
            <w:tcW w:type="dxa" w:w="2600"/>
            <w:shd w:fill="1F4E79" w:val="clear"/>
          </w:tcPr>
          <w:p>
            <w:r>
              <w:rPr>
                <w:b/>
                <w:bCs/>
                <w:color w:val="FFFFFF"/>
              </w:rPr>
              <w:t xml:space="preserve">Model</w:t>
            </w:r>
          </w:p>
        </w:tc>
        <w:tc>
          <w:tcPr>
            <w:tcW w:type="dxa" w:w="1300"/>
            <w:shd w:fill="1F4E79" w:val="clear"/>
          </w:tcPr>
          <w:p>
            <w:r>
              <w:rPr>
                <w:b/>
                <w:bCs/>
                <w:color w:val="FFFFFF"/>
              </w:rPr>
              <w:t xml:space="preserve">Accuracy</w:t>
            </w:r>
          </w:p>
        </w:tc>
        <w:tc>
          <w:tcPr>
            <w:tcW w:type="dxa" w:w="1300"/>
            <w:shd w:fill="1F4E79" w:val="clear"/>
          </w:tcPr>
          <w:p>
            <w:r>
              <w:rPr>
                <w:b/>
                <w:bCs/>
                <w:color w:val="FFFFFF"/>
              </w:rPr>
              <w:t xml:space="preserve">Precision</w:t>
            </w:r>
          </w:p>
        </w:tc>
        <w:tc>
          <w:tcPr>
            <w:tcW w:type="dxa" w:w="1300"/>
            <w:shd w:fill="1F4E79" w:val="clear"/>
          </w:tcPr>
          <w:p>
            <w:r>
              <w:rPr>
                <w:b/>
                <w:bCs/>
                <w:color w:val="FFFFFF"/>
              </w:rPr>
              <w:t xml:space="preserve">Recall</w:t>
            </w:r>
          </w:p>
        </w:tc>
        <w:tc>
          <w:tcPr>
            <w:tcW w:type="dxa" w:w="1300"/>
            <w:shd w:fill="1F4E79" w:val="clear"/>
          </w:tcPr>
          <w:p>
            <w:r>
              <w:rPr>
                <w:b/>
                <w:bCs/>
                <w:color w:val="FFFFFF"/>
              </w:rPr>
              <w:t xml:space="preserve">F1-score</w:t>
            </w:r>
          </w:p>
        </w:tc>
        <w:tc>
          <w:tcPr>
            <w:tcW w:type="dxa" w:w="1300"/>
            <w:shd w:fill="1F4E79" w:val="clear"/>
          </w:tcPr>
          <w:p>
            <w:r>
              <w:rPr>
                <w:b/>
                <w:bCs/>
                <w:color w:val="FFFFFF"/>
              </w:rPr>
              <w:t xml:space="preserve">ROC-AUC</w:t>
            </w:r>
          </w:p>
        </w:tc>
      </w:tr>
      <w:tr>
        <w:tc>
          <w:tcPr>
            <w:tcW w:type="dxa" w:w="2600"/>
          </w:tcPr>
          <w:p>
            <w:r>
              <w:rPr>
                <w:b w:val="false"/>
                <w:bCs w:val="false"/>
                <w:color w:val="000000"/>
              </w:rPr>
              <w:t xml:space="preserve">Logistic Regression</w:t>
            </w:r>
          </w:p>
        </w:tc>
        <w:tc>
          <w:tcPr>
            <w:tcW w:type="dxa" w:w="1300"/>
          </w:tcPr>
          <w:p>
            <w:r>
              <w:rPr>
                <w:b w:val="false"/>
                <w:bCs w:val="false"/>
                <w:color w:val="000000"/>
              </w:rPr>
              <w:t xml:space="preserve">0.653</w:t>
            </w:r>
          </w:p>
        </w:tc>
        <w:tc>
          <w:tcPr>
            <w:tcW w:type="dxa" w:w="1300"/>
          </w:tcPr>
          <w:p>
            <w:r>
              <w:rPr>
                <w:b w:val="false"/>
                <w:bCs w:val="false"/>
                <w:color w:val="000000"/>
              </w:rPr>
              <w:t xml:space="preserve">0.304</w:t>
            </w:r>
          </w:p>
        </w:tc>
        <w:tc>
          <w:tcPr>
            <w:tcW w:type="dxa" w:w="1300"/>
          </w:tcPr>
          <w:p>
            <w:r>
              <w:rPr>
                <w:b w:val="false"/>
                <w:bCs w:val="false"/>
                <w:color w:val="000000"/>
              </w:rPr>
              <w:t xml:space="preserve">0.614</w:t>
            </w:r>
          </w:p>
        </w:tc>
        <w:tc>
          <w:tcPr>
            <w:tcW w:type="dxa" w:w="1300"/>
          </w:tcPr>
          <w:p>
            <w:r>
              <w:rPr>
                <w:b w:val="false"/>
                <w:bCs w:val="false"/>
                <w:color w:val="000000"/>
              </w:rPr>
              <w:t xml:space="preserve">0.407</w:t>
            </w:r>
          </w:p>
        </w:tc>
        <w:tc>
          <w:tcPr>
            <w:tcW w:type="dxa" w:w="1300"/>
          </w:tcPr>
          <w:p>
            <w:r>
              <w:rPr>
                <w:b w:val="false"/>
                <w:bCs w:val="false"/>
                <w:color w:val="000000"/>
              </w:rPr>
              <w:t xml:space="preserve">0.663</w:t>
            </w:r>
          </w:p>
        </w:tc>
      </w:tr>
      <w:tr>
        <w:tc>
          <w:tcPr>
            <w:tcW w:type="dxa" w:w="2600"/>
          </w:tcPr>
          <w:p>
            <w:r>
              <w:rPr>
                <w:b w:val="false"/>
                <w:bCs w:val="false"/>
                <w:color w:val="000000"/>
              </w:rPr>
              <w:t xml:space="preserve">Random Forest</w:t>
            </w:r>
          </w:p>
        </w:tc>
        <w:tc>
          <w:tcPr>
            <w:tcW w:type="dxa" w:w="1300"/>
          </w:tcPr>
          <w:p>
            <w:r>
              <w:rPr>
                <w:b w:val="false"/>
                <w:bCs w:val="false"/>
                <w:color w:val="000000"/>
              </w:rPr>
              <w:t xml:space="preserve">0.786</w:t>
            </w:r>
          </w:p>
        </w:tc>
        <w:tc>
          <w:tcPr>
            <w:tcW w:type="dxa" w:w="1300"/>
          </w:tcPr>
          <w:p>
            <w:r>
              <w:rPr>
                <w:b w:val="false"/>
                <w:bCs w:val="false"/>
                <w:color w:val="000000"/>
              </w:rPr>
              <w:t xml:space="preserve">0.125</w:t>
            </w:r>
          </w:p>
        </w:tc>
        <w:tc>
          <w:tcPr>
            <w:tcW w:type="dxa" w:w="1300"/>
          </w:tcPr>
          <w:p>
            <w:r>
              <w:rPr>
                <w:b w:val="false"/>
                <w:bCs w:val="false"/>
                <w:color w:val="000000"/>
              </w:rPr>
              <w:t xml:space="preserve">0.018</w:t>
            </w:r>
          </w:p>
        </w:tc>
        <w:tc>
          <w:tcPr>
            <w:tcW w:type="dxa" w:w="1300"/>
          </w:tcPr>
          <w:p>
            <w:r>
              <w:rPr>
                <w:b w:val="false"/>
                <w:bCs w:val="false"/>
                <w:color w:val="000000"/>
              </w:rPr>
              <w:t xml:space="preserve">0.031</w:t>
            </w:r>
          </w:p>
        </w:tc>
        <w:tc>
          <w:tcPr>
            <w:tcW w:type="dxa" w:w="1300"/>
          </w:tcPr>
          <w:p>
            <w:r>
              <w:rPr>
                <w:b w:val="false"/>
                <w:bCs w:val="false"/>
                <w:color w:val="000000"/>
              </w:rPr>
              <w:t xml:space="preserve">0.708</w:t>
            </w:r>
          </w:p>
        </w:tc>
      </w:tr>
    </w:tbl>
    <w:p>
      <w:pPr>
        <w:spacing w:after="200"/>
      </w:pPr>
    </w:p>
    <w:p>
      <w:pPr>
        <w:spacing w:after="150"/>
      </w:pPr>
      <w:r>
        <w:t xml:space="preserve">The Random Forest model achieves a higher ROC-AUC (0.708) than Logistic Regression (0.663), indicating it better separates employees who leave from those who stay when ranked by predicted risk. Logistic Regression, on the other hand, achieves substantially higher Recall (0.614 vs 0.018), meaning it identifies far more of the actual leavers — an important consideration for HR, where the practical cost of missing an at-risk employee (a false negative) is typically higher than the cost of a false alarm. In a real-world deployment, the classification threshold of the chosen model would be tuned to prioritize Recall, since the goal is to catch as many at-risk employees as possible for early intervention.</w:t>
      </w:r>
    </w:p>
    <w:p>
      <w:pPr>
        <w:pStyle w:val="Heading1"/>
        <w:spacing w:after="150" w:before="300"/>
      </w:pPr>
      <w:r>
        <w:t xml:space="preserve">9. Key Insights</w:t>
      </w:r>
    </w:p>
    <w:p>
      <w:pPr>
        <w:pStyle w:val="ListParagraph"/>
        <w:numPr>
          <w:ilvl w:val="0"/>
          <w:numId w:val="1"/>
        </w:numPr>
        <w:spacing w:after="80"/>
      </w:pPr>
      <w:r>
        <w:t xml:space="preserve">OverTime is one of the single strongest predictors of attrition.</w:t>
      </w:r>
    </w:p>
    <w:p>
      <w:pPr>
        <w:pStyle w:val="ListParagraph"/>
        <w:numPr>
          <w:ilvl w:val="0"/>
          <w:numId w:val="1"/>
        </w:numPr>
        <w:spacing w:after="80"/>
      </w:pPr>
      <w:r>
        <w:t xml:space="preserve">Compensation and career growth (income, promotions, tenure) materially affect retention.</w:t>
      </w:r>
    </w:p>
    <w:p>
      <w:pPr>
        <w:pStyle w:val="ListParagraph"/>
        <w:numPr>
          <w:ilvl w:val="0"/>
          <w:numId w:val="1"/>
        </w:numPr>
        <w:spacing w:after="80"/>
      </w:pPr>
      <w:r>
        <w:t xml:space="preserve">Employee satisfaction and work-life balance are as important as pay in determining attrition risk.</w:t>
      </w:r>
    </w:p>
    <w:p>
      <w:pPr>
        <w:pStyle w:val="ListParagraph"/>
        <w:numPr>
          <w:ilvl w:val="0"/>
          <w:numId w:val="1"/>
        </w:numPr>
        <w:spacing w:after="80"/>
      </w:pPr>
      <w:r>
        <w:t xml:space="preserve">Attrition risk is not uniform — it is concentrated among specific roles, income bands, and tenure groups, making targeted interventions more efficient than blanket policies.</w:t>
      </w:r>
    </w:p>
    <w:p>
      <w:pPr>
        <w:pStyle w:val="Heading1"/>
        <w:spacing w:after="150" w:before="300"/>
      </w:pPr>
      <w:r>
        <w:t xml:space="preserve">10. Recommendations</w:t>
      </w:r>
    </w:p>
    <w:p>
      <w:pPr>
        <w:pStyle w:val="ListParagraph"/>
        <w:numPr>
          <w:ilvl w:val="0"/>
          <w:numId w:val="1"/>
        </w:numPr>
        <w:spacing w:after="80"/>
      </w:pPr>
      <w:r>
        <w:t xml:space="preserve">Review workload and overtime policies, particularly in departments and roles with high attrition.</w:t>
      </w:r>
    </w:p>
    <w:p>
      <w:pPr>
        <w:pStyle w:val="ListParagraph"/>
        <w:numPr>
          <w:ilvl w:val="0"/>
          <w:numId w:val="1"/>
        </w:numPr>
        <w:spacing w:after="80"/>
      </w:pPr>
      <w:r>
        <w:t xml:space="preserve">Introduce structured onboarding and mentorship programs for employees in their first two years.</w:t>
      </w:r>
    </w:p>
    <w:p>
      <w:pPr>
        <w:pStyle w:val="ListParagraph"/>
        <w:numPr>
          <w:ilvl w:val="0"/>
          <w:numId w:val="1"/>
        </w:numPr>
        <w:spacing w:after="80"/>
      </w:pPr>
      <w:r>
        <w:t xml:space="preserve">Benchmark compensation against market rates for job levels/roles showing high attrition.</w:t>
      </w:r>
    </w:p>
    <w:p>
      <w:pPr>
        <w:pStyle w:val="ListParagraph"/>
        <w:numPr>
          <w:ilvl w:val="0"/>
          <w:numId w:val="1"/>
        </w:numPr>
        <w:spacing w:after="80"/>
      </w:pPr>
      <w:r>
        <w:t xml:space="preserve">Conduct regular employee satisfaction and work-life balance surveys, with clear follow-up actions on low scores.</w:t>
      </w:r>
    </w:p>
    <w:p>
      <w:pPr>
        <w:pStyle w:val="ListParagraph"/>
        <w:numPr>
          <w:ilvl w:val="0"/>
          <w:numId w:val="1"/>
        </w:numPr>
        <w:spacing w:after="80"/>
      </w:pPr>
      <w:r>
        <w:t xml:space="preserve">Use the model's predicted attrition probability to proactively flag high-risk employees for HR outreach and retention conversations.</w:t>
      </w:r>
    </w:p>
    <w:p>
      <w:pPr>
        <w:pStyle w:val="Heading1"/>
        <w:spacing w:after="150" w:before="300"/>
      </w:pPr>
      <w:r>
        <w:t xml:space="preserve">11. Conclusion</w:t>
      </w:r>
    </w:p>
    <w:p>
      <w:pPr>
        <w:spacing w:after="150"/>
      </w:pPr>
      <w:r>
        <w:t xml:space="preserve">This project demonstrates a complete, end-to-end data analytics pipeline — from data cleaning and exploratory analysis to predictive modeling — applied to a real-world human resources problem. The analysis confirms that attrition is driven by a combination of workload (overtime), compensation, tenure, and employee satisfaction factors. The trained models provide a practical foundation for building an early-warning system that HR teams can use to identify and retain valuable employees before they decide to leave.</w:t>
      </w:r>
    </w:p>
    <w:p>
      <w:pPr>
        <w:pStyle w:val="Heading1"/>
        <w:spacing w:after="150" w:before="300"/>
      </w:pPr>
      <w:r>
        <w:t xml:space="preserve">12. References</w:t>
      </w:r>
    </w:p>
    <w:p>
      <w:pPr>
        <w:spacing w:after="150"/>
      </w:pPr>
      <w:r>
        <w:t xml:space="preserve">1. IBM HR Analytics Employee Attrition &amp; Performance Dataset, Kaggle: https://www.kaggle.com/datasets/itssuru/hr-employee-attrition</w:t>
      </w:r>
    </w:p>
    <w:p>
      <w:pPr>
        <w:spacing w:after="150"/>
      </w:pPr>
      <w:r>
        <w:t xml:space="preserve">2. Pandas Documentation: https://pandas.pydata.org/docs/</w:t>
      </w:r>
    </w:p>
    <w:p>
      <w:pPr>
        <w:spacing w:after="150"/>
      </w:pPr>
      <w:r>
        <w:t xml:space="preserve">3. Scikit-learn Documentation: https://scikit-learn.org/stable/documentation.html</w:t>
      </w:r>
    </w:p>
    <w:p>
      <w:pPr>
        <w:spacing w:after="150"/>
      </w:pPr>
      <w:r>
        <w:t xml:space="preserve">4. Seaborn Documentation: https://seaborn.pydata.org/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2026-09-22T11:13:37.896Z</dcterms:created>
  <dcterms:modified xsi:type="dcterms:W3CDTF">2026-09-22T11:13:37.905Z</dcterms:modified>
</cp:coreProperties>
</file>

<file path=docProps/custom.xml><?xml version="1.0" encoding="utf-8"?>
<Properties xmlns="http://schemas.openxmlformats.org/officeDocument/2006/custom-properties" xmlns:vt="http://schemas.openxmlformats.org/officeDocument/2006/docPropsVTypes"/>
</file>