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II期合成冒烟方案（词汇中立）</w:t>
      </w:r>
    </w:p>
    <w:p>
      <w:pPr>
        <w:pStyle w:val="Heading1"/>
      </w:pPr>
      <w:r>
        <w:t>II期方案信息</w:t>
      </w:r>
    </w:p>
    <w:p>
      <w:r>
        <w:t>方案编号：SYN-SMOKE-001</w:t>
      </w:r>
    </w:p>
    <w:p>
      <w:r>
        <w:t>方案版本：v1.0</w:t>
      </w:r>
    </w:p>
    <w:p>
      <w:r>
        <w:t>方案版本日期：2026年1月1日</w:t>
      </w:r>
    </w:p>
    <w:p>
      <w:r>
        <w:t>本文件为本地冒烟验证专用的合成示例，不代表任何真实研究。</w:t>
      </w:r>
    </w:p>
    <w:p>
      <w:r>
        <w:t>本方案内容适用于II期阶段。</w:t>
      </w:r>
    </w:p>
    <w:p>
      <w:pPr>
        <w:pStyle w:val="Heading1"/>
      </w:pPr>
      <w:r>
        <w:t>II期研究设计</w:t>
      </w:r>
    </w:p>
    <w:p>
      <w:r>
        <w:t>本研究为II期探索性研究，仅覆盖II期阶段。</w:t>
      </w:r>
    </w:p>
    <w:p>
      <w:r>
        <w:t>研究设计只用于验证通用生产链路，不描述任何真实医学内容。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操作项目</w:t>
            </w:r>
          </w:p>
        </w:tc>
        <w:tc>
          <w:tcPr>
            <w:tcW w:type="dxa" w:w="2160"/>
          </w:tcPr>
          <w:p>
            <w:r>
              <w:t>筛选期</w:t>
            </w:r>
          </w:p>
        </w:tc>
        <w:tc>
          <w:tcPr>
            <w:tcW w:type="dxa" w:w="2160"/>
          </w:tcPr>
          <w:p>
            <w:r>
              <w:t>基线期</w:t>
            </w:r>
          </w:p>
        </w:tc>
        <w:tc>
          <w:tcPr>
            <w:tcW w:type="dxa" w:w="2160"/>
          </w:tcPr>
          <w:p>
            <w:r>
              <w:t>治疗期</w:t>
            </w:r>
          </w:p>
        </w:tc>
      </w:tr>
      <w:tr>
        <w:tc>
          <w:tcPr>
            <w:tcW w:type="dxa" w:w="2160"/>
          </w:tcPr>
          <w:p>
            <w:r>
              <w:t>登记与评估</w:t>
            </w:r>
          </w:p>
        </w:tc>
        <w:tc>
          <w:tcPr>
            <w:tcW w:type="dxa" w:w="2160"/>
          </w:tcPr>
          <w:p>
            <w:r>
              <w:t>X</w:t>
            </w:r>
          </w:p>
        </w:tc>
        <w:tc>
          <w:tcPr>
            <w:tcW w:type="dxa" w:w="2160"/>
          </w:tcPr>
          <w:p>
            <w:r/>
          </w:p>
        </w:tc>
        <w:tc>
          <w:tcPr>
            <w:tcW w:type="dxa" w:w="2160"/>
          </w:tcPr>
          <w:p>
            <w:r/>
          </w:p>
        </w:tc>
      </w:tr>
      <w:tr>
        <w:tc>
          <w:tcPr>
            <w:tcW w:type="dxa" w:w="2160"/>
          </w:tcPr>
          <w:p>
            <w:r>
              <w:t>研究培训</w:t>
            </w:r>
          </w:p>
        </w:tc>
        <w:tc>
          <w:tcPr>
            <w:tcW w:type="dxa" w:w="2160"/>
          </w:tcPr>
          <w:p>
            <w:r/>
          </w:p>
        </w:tc>
        <w:tc>
          <w:tcPr>
            <w:tcW w:type="dxa" w:w="2160"/>
          </w:tcPr>
          <w:p>
            <w:r>
              <w:t>X</w:t>
            </w:r>
          </w:p>
        </w:tc>
        <w:tc>
          <w:tcPr>
            <w:tcW w:type="dxa" w:w="2160"/>
          </w:tcPr>
          <w:p>
            <w:r/>
          </w:p>
        </w:tc>
      </w:tr>
      <w:tr>
        <w:tc>
          <w:tcPr>
            <w:tcW w:type="dxa" w:w="2160"/>
          </w:tcPr>
          <w:p>
            <w:r>
              <w:t>状态记录</w:t>
            </w:r>
          </w:p>
        </w:tc>
        <w:tc>
          <w:tcPr>
            <w:tcW w:type="dxa" w:w="2160"/>
          </w:tcPr>
          <w:p>
            <w:r/>
          </w:p>
        </w:tc>
        <w:tc>
          <w:tcPr>
            <w:tcW w:type="dxa" w:w="2160"/>
          </w:tcPr>
          <w:p>
            <w:r/>
          </w:p>
        </w:tc>
        <w:tc>
          <w:tcPr>
            <w:tcW w:type="dxa" w:w="2160"/>
          </w:tcPr>
          <w:p>
            <w:r>
              <w:t>X</w:t>
            </w:r>
          </w:p>
        </w:tc>
      </w:tr>
    </w:tbl>
    <w:p>
      <w:pPr>
        <w:pStyle w:val="Heading1"/>
      </w:pPr>
      <w:r>
        <w:t>II期入选标准</w:t>
      </w:r>
    </w:p>
    <w:p>
      <w:pPr>
        <w:pStyle w:val="ListNumber"/>
      </w:pPr>
      <w:r>
        <w:t>受试者已完成规定的登记流程。</w:t>
      </w:r>
    </w:p>
    <w:p>
      <w:pPr>
        <w:pStyle w:val="ListNumber"/>
      </w:pPr>
      <w:r>
        <w:t>受试者能够按照研究计划参加研究相关活动。</w:t>
      </w:r>
    </w:p>
    <w:p>
      <w:pPr>
        <w:pStyle w:val="Heading1"/>
      </w:pPr>
      <w:r>
        <w:t>II期排除标准</w:t>
      </w:r>
    </w:p>
    <w:p>
      <w:pPr>
        <w:pStyle w:val="ListNumber"/>
      </w:pPr>
      <w:r>
        <w:t>受试者未完成规定的登记流程。</w:t>
      </w:r>
    </w:p>
    <w:p>
      <w:pPr>
        <w:pStyle w:val="ListNumber"/>
      </w:pPr>
      <w:r>
        <w:t>根据研究者的判断，受试者不适合参加本研究。</w:t>
      </w:r>
    </w:p>
    <w:p>
      <w:pPr>
        <w:pStyle w:val="Heading1"/>
      </w:pPr>
      <w:r>
        <w:t>II期研究流程</w:t>
      </w:r>
    </w:p>
    <w:p>
      <w:r>
        <w:t>本部分流程适用于II期阶段。</w:t>
      </w:r>
    </w:p>
    <w:p>
      <w:r>
        <w:t>筛选期内完成统一的登记与评估流程。</w:t>
      </w:r>
    </w:p>
    <w:p>
      <w:r>
        <w:t>基线前完成必需的研究培训并记录完成情况。</w:t>
      </w:r>
    </w:p>
    <w:p>
      <w:r>
        <w:t>研究过程中按计划记录研究执行状态。</w:t>
      </w:r>
    </w:p>
    <w:p>
      <w:pPr>
        <w:pStyle w:val="Heading1"/>
      </w:pPr>
      <w:r>
        <w:t>II期研究管理要求</w:t>
      </w:r>
    </w:p>
    <w:p>
      <w:r>
        <w:t>本部分管理要求适用于II期阶段。</w:t>
      </w:r>
    </w:p>
    <w:p>
      <w:r>
        <w:t>该受试者进入基线节点前，与其相关的上一阶段全部待确认事项必须同时满足已完成处理且处理依据已记录；任一项未满足，该受试者不得进入基线节点。</w:t>
      </w:r>
    </w:p>
    <w:p>
      <w:r>
        <w:t>研究者在启动任何研究操作前必须完成方案培训并记录培训完成情况。</w:t>
      </w:r>
    </w:p>
    <w:p>
      <w:r>
        <w:t>所有研究文件应当保存在受控的文档系统中，并在研究结束前保持可查阅。</w:t>
      </w:r>
    </w:p>
    <w:p>
      <w:r>
        <w:t>研究结束后，研究资料按计划归档保存。</w:t>
      </w:r>
    </w:p>
    <w:p>
      <w:pPr>
        <w:pStyle w:val="Heading1"/>
      </w:pPr>
      <w:r>
        <w:t>II期背景说明</w:t>
      </w:r>
    </w:p>
    <w:p>
      <w:r>
        <w:t>本章背景说明适用于II期阶段。</w:t>
      </w:r>
    </w:p>
    <w:p>
      <w:r>
        <w:t>本章为背景描述，不包含可执行的研究管理要求。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