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AE525">
      <w:pPr>
        <w:pStyle w:val="4"/>
        <w:jc w:val="both"/>
        <w:rPr>
          <w:rFonts w:ascii="Times New Roman" w:hAnsi="Times New Roman" w:cs="Times New Roman"/>
          <w:i w:val="0"/>
          <w:sz w:val="20"/>
        </w:rPr>
      </w:pPr>
    </w:p>
    <w:p w14:paraId="6030F676">
      <w:pPr>
        <w:pStyle w:val="85"/>
        <w:ind w:left="0"/>
        <w:rPr>
          <w:rFonts w:ascii="Times New Roman" w:hAnsi="Times New Roman" w:eastAsia="宋体" w:cs="Times New Roman"/>
          <w:sz w:val="28"/>
          <w:szCs w:val="28"/>
        </w:rPr>
      </w:pPr>
      <w:bookmarkStart w:id="0" w:name="_Hlk217389977"/>
      <w:r>
        <w:rPr>
          <w:rStyle w:val="99"/>
          <w:rFonts w:hint="eastAsia" w:ascii="Times New Roman" w:hAnsi="Times New Roman" w:eastAsia="宋体" w:cs="Times New Roman"/>
          <w:sz w:val="28"/>
          <w:szCs w:val="28"/>
        </w:rPr>
        <w:t>评价</w:t>
      </w:r>
      <w:r>
        <w:rPr>
          <w:rStyle w:val="99"/>
          <w:rFonts w:ascii="Times New Roman" w:hAnsi="Times New Roman" w:eastAsia="宋体" w:cs="Times New Roman"/>
          <w:sz w:val="28"/>
          <w:szCs w:val="28"/>
        </w:rPr>
        <w:t>CMS-D001</w:t>
      </w:r>
      <w:r>
        <w:rPr>
          <w:rStyle w:val="99"/>
          <w:rFonts w:hint="eastAsia" w:ascii="Times New Roman" w:hAnsi="Times New Roman" w:eastAsia="宋体" w:cs="Times New Roman"/>
          <w:sz w:val="28"/>
          <w:szCs w:val="28"/>
        </w:rPr>
        <w:t>片治疗中度至重度斑块状银屑病成人患者的有效性和安全性的多中心、随机、双盲、安慰剂对照Ⅱ</w:t>
      </w:r>
      <w:r>
        <w:rPr>
          <w:rStyle w:val="99"/>
          <w:rFonts w:ascii="Times New Roman" w:hAnsi="Times New Roman" w:eastAsia="宋体" w:cs="Times New Roman"/>
          <w:sz w:val="28"/>
          <w:szCs w:val="28"/>
        </w:rPr>
        <w:t>/</w:t>
      </w:r>
      <w:r>
        <w:rPr>
          <w:rStyle w:val="99"/>
          <w:rFonts w:hint="eastAsia" w:ascii="Times New Roman" w:hAnsi="Times New Roman" w:eastAsia="宋体" w:cs="Times New Roman"/>
          <w:sz w:val="28"/>
          <w:szCs w:val="28"/>
        </w:rPr>
        <w:t>Ⅲ期临床研究</w:t>
      </w:r>
      <w:bookmarkEnd w:id="0"/>
    </w:p>
    <w:p w14:paraId="50FF9CDD">
      <w:pPr>
        <w:rPr>
          <w:rStyle w:val="99"/>
          <w:rFonts w:ascii="Times New Roman" w:hAnsi="Times New Roman" w:cs="Times New Roman"/>
        </w:rPr>
      </w:pPr>
    </w:p>
    <w:p w14:paraId="2C71C2EC">
      <w:pPr>
        <w:rPr>
          <w:rStyle w:val="99"/>
          <w:rFonts w:ascii="Times New Roman" w:hAnsi="Times New Roman" w:cs="Times New Roman"/>
        </w:rPr>
      </w:pPr>
    </w:p>
    <w:p w14:paraId="59D4ECF1">
      <w:pPr>
        <w:rPr>
          <w:rFonts w:ascii="Times New Roman" w:hAnsi="Times New Roman" w:cs="Times New Roman"/>
        </w:rPr>
      </w:pPr>
    </w:p>
    <w:tbl>
      <w:tblPr>
        <w:tblStyle w:val="90"/>
        <w:tblW w:w="40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3"/>
        <w:gridCol w:w="5394"/>
      </w:tblGrid>
      <w:tr w14:paraId="1D4F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294" w:type="pct"/>
          </w:tcPr>
          <w:p w14:paraId="1EE3B01E">
            <w:pPr>
              <w:pStyle w:val="60"/>
              <w:spacing w:line="240" w:lineRule="auto"/>
              <w:ind w:firstLine="0" w:firstLineChars="0"/>
              <w:jc w:val="left"/>
              <w:rPr>
                <w:rStyle w:val="99"/>
                <w:rFonts w:cs="Times New Roman"/>
                <w:sz w:val="24"/>
                <w:szCs w:val="24"/>
              </w:rPr>
            </w:pPr>
            <w:r>
              <w:rPr>
                <w:rStyle w:val="99"/>
                <w:rFonts w:hint="eastAsia" w:cs="Times New Roman"/>
                <w:sz w:val="24"/>
                <w:szCs w:val="24"/>
              </w:rPr>
              <w:t>研究药物：</w:t>
            </w:r>
          </w:p>
        </w:tc>
        <w:tc>
          <w:tcPr>
            <w:tcW w:w="3705" w:type="pct"/>
          </w:tcPr>
          <w:p w14:paraId="73DBBD93">
            <w:pPr>
              <w:pStyle w:val="60"/>
              <w:spacing w:line="240" w:lineRule="auto"/>
              <w:ind w:firstLine="0" w:firstLineChars="0"/>
              <w:jc w:val="left"/>
              <w:rPr>
                <w:rStyle w:val="99"/>
                <w:rFonts w:cs="Times New Roman"/>
                <w:sz w:val="24"/>
                <w:szCs w:val="24"/>
              </w:rPr>
            </w:pPr>
            <w:r>
              <w:rPr>
                <w:rStyle w:val="99"/>
                <w:rFonts w:cs="Times New Roman"/>
                <w:sz w:val="24"/>
                <w:szCs w:val="24"/>
              </w:rPr>
              <w:t>CMS-D001</w:t>
            </w:r>
            <w:r>
              <w:rPr>
                <w:rStyle w:val="99"/>
                <w:rFonts w:hint="eastAsia" w:cs="Times New Roman"/>
                <w:sz w:val="24"/>
                <w:szCs w:val="24"/>
              </w:rPr>
              <w:t>片</w:t>
            </w:r>
          </w:p>
        </w:tc>
      </w:tr>
      <w:tr w14:paraId="54BD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294" w:type="pct"/>
          </w:tcPr>
          <w:p w14:paraId="4F2E284A">
            <w:pPr>
              <w:pStyle w:val="60"/>
              <w:spacing w:line="240" w:lineRule="auto"/>
              <w:ind w:firstLine="0" w:firstLineChars="0"/>
              <w:jc w:val="left"/>
              <w:rPr>
                <w:rStyle w:val="99"/>
                <w:rFonts w:cs="Times New Roman"/>
                <w:sz w:val="24"/>
                <w:szCs w:val="24"/>
              </w:rPr>
            </w:pPr>
            <w:r>
              <w:rPr>
                <w:rStyle w:val="99"/>
                <w:rFonts w:hint="eastAsia" w:cs="Times New Roman"/>
                <w:sz w:val="24"/>
                <w:szCs w:val="24"/>
              </w:rPr>
              <w:t>研究适应症：</w:t>
            </w:r>
          </w:p>
        </w:tc>
        <w:tc>
          <w:tcPr>
            <w:tcW w:w="3705" w:type="pct"/>
          </w:tcPr>
          <w:p w14:paraId="12A57239">
            <w:pPr>
              <w:pStyle w:val="60"/>
              <w:spacing w:line="240" w:lineRule="auto"/>
              <w:ind w:firstLine="0" w:firstLineChars="0"/>
              <w:jc w:val="left"/>
              <w:rPr>
                <w:rStyle w:val="99"/>
                <w:rFonts w:cs="Times New Roman"/>
                <w:sz w:val="24"/>
                <w:szCs w:val="24"/>
              </w:rPr>
            </w:pPr>
            <w:r>
              <w:rPr>
                <w:rStyle w:val="99"/>
                <w:rFonts w:hint="eastAsia" w:cs="Times New Roman"/>
                <w:sz w:val="24"/>
                <w:szCs w:val="24"/>
              </w:rPr>
              <w:t>斑块状银屑病</w:t>
            </w:r>
          </w:p>
        </w:tc>
      </w:tr>
      <w:tr w14:paraId="1F53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294" w:type="pct"/>
          </w:tcPr>
          <w:p w14:paraId="3F9E5A77">
            <w:pPr>
              <w:pStyle w:val="60"/>
              <w:spacing w:line="240" w:lineRule="auto"/>
              <w:ind w:firstLine="0" w:firstLineChars="0"/>
              <w:jc w:val="left"/>
              <w:rPr>
                <w:rStyle w:val="99"/>
                <w:rFonts w:cs="Times New Roman"/>
                <w:sz w:val="24"/>
                <w:szCs w:val="24"/>
              </w:rPr>
            </w:pPr>
            <w:r>
              <w:rPr>
                <w:rStyle w:val="99"/>
                <w:rFonts w:hint="eastAsia" w:cs="Times New Roman"/>
                <w:sz w:val="24"/>
                <w:szCs w:val="24"/>
              </w:rPr>
              <w:t>研究阶段：</w:t>
            </w:r>
          </w:p>
        </w:tc>
        <w:tc>
          <w:tcPr>
            <w:tcW w:w="3705" w:type="pct"/>
          </w:tcPr>
          <w:p w14:paraId="5DF2443B">
            <w:pPr>
              <w:spacing w:line="360" w:lineRule="auto"/>
              <w:rPr>
                <w:rStyle w:val="99"/>
                <w:rFonts w:ascii="Times New Roman" w:hAnsi="Times New Roman" w:cs="Times New Roman"/>
                <w:b/>
                <w:bCs/>
                <w:sz w:val="28"/>
                <w:szCs w:val="28"/>
              </w:rPr>
            </w:pPr>
            <w:r>
              <w:rPr>
                <w:rStyle w:val="99"/>
                <w:rFonts w:ascii="Times New Roman" w:hAnsi="Times New Roman" w:eastAsia="宋体" w:cs="Times New Roman"/>
                <w:color w:val="000000" w:themeColor="text1"/>
                <w:sz w:val="24"/>
                <w:szCs w:val="24"/>
                <w14:textFill>
                  <w14:solidFill>
                    <w14:schemeClr w14:val="tx1"/>
                  </w14:solidFill>
                </w14:textFill>
              </w:rPr>
              <w:t>II/Ⅲ期</w:t>
            </w:r>
          </w:p>
        </w:tc>
      </w:tr>
      <w:tr w14:paraId="3A34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294" w:type="pct"/>
          </w:tcPr>
          <w:p w14:paraId="7D71D3B6">
            <w:pPr>
              <w:pStyle w:val="60"/>
              <w:spacing w:line="240" w:lineRule="auto"/>
              <w:ind w:firstLine="0" w:firstLineChars="0"/>
              <w:jc w:val="left"/>
              <w:rPr>
                <w:rStyle w:val="99"/>
                <w:rFonts w:cs="Times New Roman"/>
                <w:sz w:val="24"/>
                <w:szCs w:val="24"/>
              </w:rPr>
            </w:pPr>
            <w:r>
              <w:rPr>
                <w:rStyle w:val="99"/>
                <w:rFonts w:hint="eastAsia" w:cs="Times New Roman"/>
                <w:sz w:val="24"/>
                <w:szCs w:val="24"/>
              </w:rPr>
              <w:t>方案编号：</w:t>
            </w:r>
          </w:p>
        </w:tc>
        <w:tc>
          <w:tcPr>
            <w:tcW w:w="3705" w:type="pct"/>
          </w:tcPr>
          <w:p w14:paraId="4A4DF16F">
            <w:pPr>
              <w:pStyle w:val="60"/>
              <w:ind w:firstLine="0" w:firstLineChars="0"/>
              <w:rPr>
                <w:rStyle w:val="99"/>
                <w:rFonts w:cs="Times New Roman"/>
                <w:sz w:val="24"/>
                <w:szCs w:val="24"/>
              </w:rPr>
            </w:pPr>
            <w:r>
              <w:rPr>
                <w:rStyle w:val="99"/>
                <w:rFonts w:cs="Times New Roman"/>
                <w:sz w:val="24"/>
                <w:szCs w:val="24"/>
              </w:rPr>
              <w:t>D001-02-002</w:t>
            </w:r>
          </w:p>
        </w:tc>
      </w:tr>
      <w:tr w14:paraId="16D2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294" w:type="pct"/>
          </w:tcPr>
          <w:p w14:paraId="3485FEFB">
            <w:pPr>
              <w:pStyle w:val="60"/>
              <w:spacing w:line="240" w:lineRule="auto"/>
              <w:ind w:firstLine="0" w:firstLineChars="0"/>
              <w:jc w:val="left"/>
              <w:rPr>
                <w:rStyle w:val="99"/>
                <w:rFonts w:cs="Times New Roman"/>
                <w:sz w:val="24"/>
                <w:szCs w:val="24"/>
              </w:rPr>
            </w:pPr>
            <w:r>
              <w:rPr>
                <w:rStyle w:val="99"/>
                <w:rFonts w:hint="eastAsia" w:cs="Times New Roman"/>
                <w:sz w:val="24"/>
                <w:szCs w:val="24"/>
              </w:rPr>
              <w:t>版本号：</w:t>
            </w:r>
          </w:p>
        </w:tc>
        <w:tc>
          <w:tcPr>
            <w:tcW w:w="3705" w:type="pct"/>
          </w:tcPr>
          <w:p w14:paraId="06D393C7">
            <w:pPr>
              <w:pStyle w:val="60"/>
              <w:spacing w:line="240" w:lineRule="auto"/>
              <w:ind w:firstLine="0" w:firstLineChars="0"/>
              <w:jc w:val="left"/>
              <w:rPr>
                <w:rStyle w:val="99"/>
                <w:rFonts w:cs="Times New Roman"/>
                <w:sz w:val="24"/>
                <w:szCs w:val="24"/>
              </w:rPr>
            </w:pPr>
            <w:r>
              <w:rPr>
                <w:rStyle w:val="99"/>
                <w:rFonts w:cs="Times New Roman"/>
                <w:sz w:val="24"/>
                <w:szCs w:val="24"/>
              </w:rPr>
              <w:t>1.0</w:t>
            </w:r>
          </w:p>
        </w:tc>
      </w:tr>
      <w:tr w14:paraId="5D90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1294" w:type="pct"/>
          </w:tcPr>
          <w:p w14:paraId="7DB68D12">
            <w:pPr>
              <w:pStyle w:val="60"/>
              <w:spacing w:line="240" w:lineRule="auto"/>
              <w:ind w:firstLine="0" w:firstLineChars="0"/>
              <w:jc w:val="left"/>
              <w:rPr>
                <w:rStyle w:val="99"/>
                <w:rFonts w:cs="Times New Roman"/>
                <w:sz w:val="24"/>
                <w:szCs w:val="24"/>
              </w:rPr>
            </w:pPr>
            <w:r>
              <w:rPr>
                <w:rStyle w:val="99"/>
                <w:rFonts w:hint="eastAsia" w:cs="Times New Roman"/>
                <w:sz w:val="24"/>
                <w:szCs w:val="24"/>
              </w:rPr>
              <w:t>版本日期：</w:t>
            </w:r>
          </w:p>
        </w:tc>
        <w:tc>
          <w:tcPr>
            <w:tcW w:w="3705" w:type="pct"/>
          </w:tcPr>
          <w:p w14:paraId="4B92DB92">
            <w:pPr>
              <w:pStyle w:val="60"/>
              <w:spacing w:line="240" w:lineRule="auto"/>
              <w:ind w:firstLine="0" w:firstLineChars="0"/>
              <w:jc w:val="left"/>
              <w:rPr>
                <w:rStyle w:val="99"/>
                <w:rFonts w:cs="Times New Roman"/>
                <w:b/>
                <w:bCs/>
                <w:sz w:val="28"/>
              </w:rPr>
            </w:pPr>
            <w:r>
              <w:rPr>
                <w:rStyle w:val="99"/>
                <w:rFonts w:cs="Times New Roman"/>
                <w:sz w:val="24"/>
                <w:szCs w:val="24"/>
              </w:rPr>
              <w:t>2025</w:t>
            </w:r>
            <w:r>
              <w:rPr>
                <w:rStyle w:val="99"/>
                <w:rFonts w:hint="eastAsia" w:cs="Times New Roman"/>
                <w:sz w:val="24"/>
                <w:szCs w:val="24"/>
              </w:rPr>
              <w:t>年</w:t>
            </w:r>
            <w:r>
              <w:rPr>
                <w:rStyle w:val="99"/>
                <w:rFonts w:cs="Times New Roman"/>
                <w:sz w:val="24"/>
                <w:szCs w:val="24"/>
              </w:rPr>
              <w:t>12月10日</w:t>
            </w:r>
          </w:p>
        </w:tc>
      </w:tr>
      <w:tr w14:paraId="42C5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294" w:type="pct"/>
          </w:tcPr>
          <w:p w14:paraId="3533FE66">
            <w:pPr>
              <w:pStyle w:val="60"/>
              <w:spacing w:line="240" w:lineRule="auto"/>
              <w:ind w:firstLine="0" w:firstLineChars="0"/>
              <w:jc w:val="left"/>
              <w:rPr>
                <w:rStyle w:val="99"/>
                <w:rFonts w:cs="Times New Roman"/>
                <w:sz w:val="24"/>
                <w:szCs w:val="24"/>
              </w:rPr>
            </w:pPr>
            <w:r>
              <w:rPr>
                <w:rStyle w:val="99"/>
                <w:rFonts w:hint="eastAsia" w:cs="Times New Roman"/>
                <w:sz w:val="24"/>
                <w:szCs w:val="24"/>
              </w:rPr>
              <w:t>主要研究者：</w:t>
            </w:r>
          </w:p>
        </w:tc>
        <w:tc>
          <w:tcPr>
            <w:tcW w:w="3705" w:type="pct"/>
          </w:tcPr>
          <w:p w14:paraId="49D40049">
            <w:pPr>
              <w:pStyle w:val="60"/>
              <w:spacing w:line="240" w:lineRule="auto"/>
              <w:ind w:firstLine="0" w:firstLineChars="0"/>
              <w:jc w:val="left"/>
              <w:rPr>
                <w:rStyle w:val="99"/>
                <w:rFonts w:cs="Times New Roman"/>
                <w:b/>
                <w:bCs/>
                <w:sz w:val="28"/>
              </w:rPr>
            </w:pPr>
            <w:r>
              <w:rPr>
                <w:rStyle w:val="99"/>
                <w:rFonts w:hint="eastAsia" w:cs="Times New Roman"/>
                <w:sz w:val="24"/>
                <w:szCs w:val="24"/>
              </w:rPr>
              <w:t>张福仁</w:t>
            </w:r>
          </w:p>
        </w:tc>
      </w:tr>
      <w:tr w14:paraId="7920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294" w:type="pct"/>
          </w:tcPr>
          <w:p w14:paraId="1602EFBA">
            <w:pPr>
              <w:pStyle w:val="60"/>
              <w:spacing w:line="240" w:lineRule="auto"/>
              <w:ind w:firstLine="0" w:firstLineChars="0"/>
              <w:jc w:val="left"/>
              <w:rPr>
                <w:rStyle w:val="99"/>
                <w:rFonts w:cs="Times New Roman"/>
                <w:sz w:val="24"/>
                <w:szCs w:val="24"/>
              </w:rPr>
            </w:pPr>
            <w:r>
              <w:rPr>
                <w:rStyle w:val="99"/>
                <w:rFonts w:hint="eastAsia" w:cs="Times New Roman"/>
                <w:sz w:val="24"/>
                <w:szCs w:val="24"/>
              </w:rPr>
              <w:t>申办者：</w:t>
            </w:r>
          </w:p>
        </w:tc>
        <w:tc>
          <w:tcPr>
            <w:tcW w:w="3705" w:type="pct"/>
          </w:tcPr>
          <w:p w14:paraId="30806F86">
            <w:pPr>
              <w:pStyle w:val="60"/>
              <w:ind w:firstLine="0" w:firstLineChars="0"/>
              <w:jc w:val="left"/>
              <w:rPr>
                <w:rStyle w:val="99"/>
                <w:rFonts w:cs="Times New Roman"/>
                <w:b/>
                <w:bCs/>
                <w:sz w:val="28"/>
                <w:szCs w:val="28"/>
              </w:rPr>
            </w:pPr>
            <w:r>
              <w:rPr>
                <w:rStyle w:val="99"/>
                <w:rFonts w:hint="eastAsia" w:cs="Times New Roman"/>
                <w:sz w:val="24"/>
                <w:szCs w:val="24"/>
              </w:rPr>
              <w:t>海南德镁医药科技有限责任公司</w:t>
            </w:r>
          </w:p>
        </w:tc>
      </w:tr>
    </w:tbl>
    <w:p w14:paraId="69B79535">
      <w:pPr>
        <w:jc w:val="center"/>
        <w:rPr>
          <w:rStyle w:val="99"/>
          <w:rFonts w:ascii="Times New Roman" w:hAnsi="Times New Roman" w:eastAsia="宋体" w:cs="Times New Roman"/>
          <w:b/>
          <w:bCs/>
        </w:rPr>
      </w:pPr>
    </w:p>
    <w:p w14:paraId="309AF3EA">
      <w:pPr>
        <w:jc w:val="center"/>
        <w:rPr>
          <w:rStyle w:val="99"/>
          <w:rFonts w:ascii="Times New Roman" w:hAnsi="Times New Roman" w:eastAsia="宋体" w:cs="Times New Roman"/>
          <w:b/>
          <w:bCs/>
        </w:rPr>
      </w:pPr>
    </w:p>
    <w:p w14:paraId="16311004">
      <w:pPr>
        <w:jc w:val="center"/>
        <w:rPr>
          <w:rStyle w:val="99"/>
          <w:rFonts w:ascii="Times New Roman" w:hAnsi="Times New Roman" w:eastAsia="宋体" w:cs="Times New Roman"/>
          <w:b/>
          <w:bCs/>
        </w:rPr>
      </w:pPr>
    </w:p>
    <w:p w14:paraId="10248AD1">
      <w:pPr>
        <w:pStyle w:val="60"/>
        <w:ind w:firstLine="420"/>
        <w:jc w:val="center"/>
        <w:rPr>
          <w:rFonts w:cs="Times New Roman"/>
        </w:rPr>
      </w:pPr>
    </w:p>
    <w:p w14:paraId="1E7ED166">
      <w:pPr>
        <w:pStyle w:val="4"/>
        <w:spacing w:before="11"/>
        <w:jc w:val="center"/>
        <w:rPr>
          <w:rFonts w:ascii="Times New Roman" w:hAnsi="Times New Roman" w:cs="Times New Roman"/>
          <w:i w:val="0"/>
          <w:sz w:val="22"/>
        </w:rPr>
      </w:pPr>
    </w:p>
    <w:p w14:paraId="2607BAF1">
      <w:pPr>
        <w:pStyle w:val="60"/>
        <w:ind w:firstLine="422"/>
        <w:jc w:val="left"/>
        <w:rPr>
          <w:rFonts w:cs="Times New Roman"/>
          <w:b/>
          <w:bCs/>
        </w:rPr>
      </w:pPr>
    </w:p>
    <w:tbl>
      <w:tblPr>
        <w:tblStyle w:val="89"/>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8950"/>
      </w:tblGrid>
      <w:tr w14:paraId="6BE28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2" w:hRule="atLeast"/>
          <w:jc w:val="center"/>
        </w:trPr>
        <w:tc>
          <w:tcPr>
            <w:tcW w:w="5000" w:type="pct"/>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AEC7A31">
            <w:pPr>
              <w:widowControl/>
              <w:adjustRightInd w:val="0"/>
              <w:spacing w:line="360" w:lineRule="auto"/>
              <w:jc w:val="center"/>
              <w:rPr>
                <w:rFonts w:ascii="Times New Roman" w:hAnsi="Times New Roman" w:eastAsia="宋体" w:cs="Times New Roman"/>
                <w:b/>
                <w:bCs/>
                <w:color w:val="000000"/>
                <w:sz w:val="24"/>
                <w:szCs w:val="24"/>
              </w:rPr>
            </w:pPr>
            <w:r>
              <w:rPr>
                <w:rFonts w:hint="eastAsia" w:ascii="Times New Roman" w:hAnsi="Times New Roman" w:eastAsia="宋体" w:cs="Times New Roman"/>
                <w:b/>
                <w:bCs/>
                <w:color w:val="000000"/>
                <w:sz w:val="24"/>
                <w:szCs w:val="24"/>
                <w:lang w:bidi="ar"/>
              </w:rPr>
              <w:t>保密声明</w:t>
            </w:r>
          </w:p>
          <w:p w14:paraId="14664CB6">
            <w:pPr>
              <w:widowControl/>
              <w:adjustRightInd w:val="0"/>
              <w:spacing w:line="360" w:lineRule="auto"/>
              <w:ind w:firstLine="42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1"/>
                <w:szCs w:val="21"/>
                <w:lang w:bidi="ar"/>
              </w:rPr>
              <w:t>本方案中所包含的所有信息的所有权归海南德镁医药科技有限责任公司，因此，仅提供给研究者、合作研究者、伦理委员会和监督管理部门等相关的机构审阅。在未得到海南德镁医药科技有限责任公司书面的批准情况下，除了在与可能参加本研究的参与者签署知情同意书时向其做必要的解释外，不得复制、传阅或以其他方式散布。必须告知接收本文件信息的人员其接收的信息是保密的，不得进一步对外披露</w:t>
            </w:r>
          </w:p>
        </w:tc>
      </w:tr>
    </w:tbl>
    <w:p w14:paraId="541EF427">
      <w:pPr>
        <w:pStyle w:val="4"/>
        <w:spacing w:before="1"/>
        <w:jc w:val="center"/>
        <w:rPr>
          <w:rFonts w:ascii="Times New Roman" w:hAnsi="Times New Roman" w:cs="Times New Roman"/>
          <w:b/>
          <w:i w:val="0"/>
          <w:sz w:val="24"/>
        </w:rPr>
      </w:pPr>
    </w:p>
    <w:p w14:paraId="30F76F64">
      <w:pPr>
        <w:pStyle w:val="4"/>
        <w:spacing w:before="1"/>
        <w:jc w:val="both"/>
        <w:rPr>
          <w:rFonts w:ascii="Times New Roman" w:hAnsi="Times New Roman" w:cs="Times New Roman"/>
          <w:b/>
          <w:i w:val="0"/>
          <w:sz w:val="24"/>
        </w:rPr>
        <w:sectPr>
          <w:headerReference r:id="rId3" w:type="default"/>
          <w:footerReference r:id="rId4" w:type="default"/>
          <w:pgSz w:w="11910" w:h="16840"/>
          <w:pgMar w:top="1701" w:right="1418" w:bottom="1418" w:left="1418" w:header="850" w:footer="850" w:gutter="284"/>
          <w:cols w:space="720" w:num="1"/>
          <w:docGrid w:linePitch="299" w:charSpace="0"/>
        </w:sectPr>
      </w:pPr>
    </w:p>
    <w:p w14:paraId="70CC8325">
      <w:pPr>
        <w:topLinePunct/>
        <w:spacing w:line="360" w:lineRule="auto"/>
        <w:jc w:val="center"/>
        <w:rPr>
          <w:rFonts w:ascii="Times New Roman" w:hAnsi="Times New Roman" w:eastAsia="宋体" w:cs="Times New Roman"/>
          <w:b/>
          <w:bCs/>
          <w:color w:val="000000" w:themeColor="text1"/>
          <w:sz w:val="28"/>
          <w:szCs w:val="28"/>
          <w14:textFill>
            <w14:solidFill>
              <w14:schemeClr w14:val="tx1"/>
            </w14:solidFill>
          </w14:textFill>
        </w:rPr>
      </w:pPr>
    </w:p>
    <w:p w14:paraId="183A98B9">
      <w:pPr>
        <w:topLinePunct/>
        <w:spacing w:line="360" w:lineRule="auto"/>
        <w:jc w:val="center"/>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申办者签字页</w:t>
      </w:r>
    </w:p>
    <w:p w14:paraId="350DEBFE">
      <w:pPr>
        <w:topLinePunct/>
        <w:spacing w:line="360" w:lineRule="auto"/>
        <w:jc w:val="both"/>
        <w:rPr>
          <w:rFonts w:ascii="Times New Roman" w:hAnsi="Times New Roman" w:eastAsia="宋体" w:cs="Times New Roman"/>
          <w:color w:val="000000" w:themeColor="text1"/>
          <w14:textFill>
            <w14:solidFill>
              <w14:schemeClr w14:val="tx1"/>
            </w14:solidFill>
          </w14:textFill>
        </w:rPr>
      </w:pP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7266"/>
      </w:tblGrid>
      <w:tr w14:paraId="452B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6" w:type="pct"/>
          </w:tcPr>
          <w:p w14:paraId="5B4097AD">
            <w:pPr>
              <w:pStyle w:val="60"/>
              <w:ind w:firstLine="0" w:firstLineChars="0"/>
              <w:rPr>
                <w:rFonts w:cs="Times New Roman"/>
                <w:sz w:val="24"/>
                <w:szCs w:val="24"/>
              </w:rPr>
            </w:pPr>
            <w:r>
              <w:rPr>
                <w:rFonts w:hint="eastAsia" w:cs="Times New Roman"/>
                <w:sz w:val="24"/>
                <w:szCs w:val="24"/>
              </w:rPr>
              <w:t>方案标题</w:t>
            </w:r>
          </w:p>
        </w:tc>
        <w:tc>
          <w:tcPr>
            <w:tcW w:w="4034" w:type="pct"/>
          </w:tcPr>
          <w:p w14:paraId="61E06A2E">
            <w:pPr>
              <w:pStyle w:val="60"/>
              <w:ind w:firstLine="0" w:firstLineChars="0"/>
              <w:rPr>
                <w:rFonts w:cs="Times New Roman"/>
                <w:i/>
                <w:iCs/>
                <w:sz w:val="24"/>
                <w:szCs w:val="24"/>
              </w:rPr>
            </w:pPr>
            <w:r>
              <w:rPr>
                <w:rFonts w:hint="eastAsia" w:cs="Times New Roman"/>
                <w:sz w:val="24"/>
                <w:szCs w:val="24"/>
              </w:rPr>
              <w:t>评价</w:t>
            </w:r>
            <w:r>
              <w:rPr>
                <w:rFonts w:cs="Times New Roman"/>
                <w:sz w:val="24"/>
                <w:szCs w:val="24"/>
              </w:rPr>
              <w:t>CMS-D001</w:t>
            </w:r>
            <w:r>
              <w:rPr>
                <w:rFonts w:hint="eastAsia" w:cs="Times New Roman"/>
                <w:sz w:val="24"/>
                <w:szCs w:val="24"/>
              </w:rPr>
              <w:t>片治疗中度至重度斑块状银屑病成人患者的有效性和安全性的多中心、随机、双盲、安慰剂对照Ⅱ</w:t>
            </w:r>
            <w:r>
              <w:rPr>
                <w:rFonts w:cs="Times New Roman"/>
                <w:sz w:val="24"/>
                <w:szCs w:val="24"/>
              </w:rPr>
              <w:t>/</w:t>
            </w:r>
            <w:r>
              <w:rPr>
                <w:rFonts w:hint="eastAsia" w:cs="Times New Roman"/>
                <w:sz w:val="24"/>
                <w:szCs w:val="24"/>
              </w:rPr>
              <w:t>Ⅲ期临床研究</w:t>
            </w:r>
          </w:p>
        </w:tc>
      </w:tr>
      <w:tr w14:paraId="6AF0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966" w:type="pct"/>
          </w:tcPr>
          <w:p w14:paraId="69D31B33">
            <w:pPr>
              <w:pStyle w:val="60"/>
              <w:ind w:firstLine="0" w:firstLineChars="0"/>
              <w:rPr>
                <w:rFonts w:cs="Times New Roman"/>
                <w:sz w:val="24"/>
                <w:szCs w:val="24"/>
              </w:rPr>
            </w:pPr>
            <w:r>
              <w:rPr>
                <w:rFonts w:hint="eastAsia" w:cs="Times New Roman"/>
                <w:sz w:val="24"/>
                <w:szCs w:val="24"/>
              </w:rPr>
              <w:t>方案编号</w:t>
            </w:r>
          </w:p>
        </w:tc>
        <w:tc>
          <w:tcPr>
            <w:tcW w:w="4034" w:type="pct"/>
          </w:tcPr>
          <w:p w14:paraId="02B68FC3">
            <w:pPr>
              <w:pStyle w:val="60"/>
              <w:ind w:firstLine="0" w:firstLineChars="0"/>
              <w:jc w:val="left"/>
              <w:rPr>
                <w:rFonts w:cs="Times New Roman"/>
                <w:i/>
                <w:iCs/>
                <w:sz w:val="24"/>
                <w:szCs w:val="24"/>
              </w:rPr>
            </w:pPr>
            <w:r>
              <w:rPr>
                <w:rFonts w:cs="Times New Roman"/>
                <w:sz w:val="24"/>
                <w:szCs w:val="24"/>
              </w:rPr>
              <w:t>D001-02-002</w:t>
            </w:r>
          </w:p>
        </w:tc>
      </w:tr>
      <w:tr w14:paraId="4C3C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6" w:type="pct"/>
          </w:tcPr>
          <w:p w14:paraId="1EF30A96">
            <w:pPr>
              <w:pStyle w:val="60"/>
              <w:ind w:firstLine="0" w:firstLineChars="0"/>
              <w:rPr>
                <w:rFonts w:cs="Times New Roman"/>
                <w:sz w:val="24"/>
                <w:szCs w:val="24"/>
              </w:rPr>
            </w:pPr>
            <w:r>
              <w:rPr>
                <w:rFonts w:hint="eastAsia" w:cs="Times New Roman"/>
                <w:sz w:val="24"/>
                <w:szCs w:val="24"/>
              </w:rPr>
              <w:t>方案版本号</w:t>
            </w:r>
          </w:p>
        </w:tc>
        <w:tc>
          <w:tcPr>
            <w:tcW w:w="4034" w:type="pct"/>
          </w:tcPr>
          <w:p w14:paraId="1FDCC0FD">
            <w:pPr>
              <w:pStyle w:val="60"/>
              <w:ind w:firstLine="0" w:firstLineChars="0"/>
              <w:jc w:val="left"/>
              <w:rPr>
                <w:rFonts w:cs="Times New Roman"/>
                <w:sz w:val="24"/>
                <w:szCs w:val="24"/>
              </w:rPr>
            </w:pPr>
            <w:r>
              <w:rPr>
                <w:rFonts w:cs="Times New Roman"/>
                <w:sz w:val="24"/>
                <w:szCs w:val="24"/>
              </w:rPr>
              <w:t>1.0</w:t>
            </w:r>
          </w:p>
        </w:tc>
      </w:tr>
      <w:tr w14:paraId="2A4F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6" w:type="pct"/>
          </w:tcPr>
          <w:p w14:paraId="118FC8F8">
            <w:pPr>
              <w:pStyle w:val="60"/>
              <w:ind w:firstLine="0" w:firstLineChars="0"/>
              <w:rPr>
                <w:rFonts w:cs="Times New Roman"/>
                <w:sz w:val="24"/>
                <w:szCs w:val="24"/>
              </w:rPr>
            </w:pPr>
            <w:r>
              <w:rPr>
                <w:rFonts w:hint="eastAsia" w:cs="Times New Roman"/>
                <w:sz w:val="24"/>
                <w:szCs w:val="24"/>
              </w:rPr>
              <w:t>版本日期</w:t>
            </w:r>
          </w:p>
        </w:tc>
        <w:tc>
          <w:tcPr>
            <w:tcW w:w="4034" w:type="pct"/>
          </w:tcPr>
          <w:p w14:paraId="16420F1B">
            <w:pPr>
              <w:pStyle w:val="60"/>
              <w:ind w:firstLine="0" w:firstLineChars="0"/>
              <w:jc w:val="left"/>
              <w:rPr>
                <w:rFonts w:cs="Times New Roman"/>
                <w:i/>
                <w:iCs/>
                <w:sz w:val="24"/>
                <w:szCs w:val="24"/>
              </w:rPr>
            </w:pPr>
            <w:r>
              <w:rPr>
                <w:rFonts w:cs="Times New Roman"/>
                <w:sz w:val="24"/>
                <w:szCs w:val="24"/>
              </w:rPr>
              <w:t>2025</w:t>
            </w:r>
            <w:r>
              <w:rPr>
                <w:rFonts w:hint="eastAsia" w:cs="Times New Roman"/>
                <w:sz w:val="24"/>
                <w:szCs w:val="24"/>
              </w:rPr>
              <w:t>年</w:t>
            </w:r>
            <w:r>
              <w:rPr>
                <w:rFonts w:cs="Times New Roman"/>
                <w:sz w:val="24"/>
                <w:szCs w:val="24"/>
              </w:rPr>
              <w:t>12月10日</w:t>
            </w:r>
          </w:p>
        </w:tc>
      </w:tr>
    </w:tbl>
    <w:p w14:paraId="49E1EF3C">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527C1729">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本研究方案已获得申办者的批准。本方案中包含的信息符合以下规定：</w:t>
      </w:r>
    </w:p>
    <w:p w14:paraId="5DED00DD">
      <w:pPr>
        <w:numPr>
          <w:ilvl w:val="0"/>
          <w:numId w:val="11"/>
        </w:numPr>
        <w:topLinePunct/>
        <w:adjustRightInd w:val="0"/>
        <w:snapToGrid w:val="0"/>
        <w:spacing w:line="360" w:lineRule="auto"/>
        <w:ind w:left="860" w:hanging="300"/>
        <w:jc w:val="both"/>
        <w:textAlignment w:val="baseline"/>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《赫尔辛基宣言》（福塔雷萨，2013）中规定的临床研究伦理和科学原则</w:t>
      </w:r>
    </w:p>
    <w:p w14:paraId="687C1059">
      <w:pPr>
        <w:numPr>
          <w:ilvl w:val="0"/>
          <w:numId w:val="11"/>
        </w:numPr>
        <w:topLinePunct/>
        <w:adjustRightInd w:val="0"/>
        <w:snapToGrid w:val="0"/>
        <w:spacing w:line="360" w:lineRule="auto"/>
        <w:ind w:left="860" w:hanging="300"/>
        <w:jc w:val="both"/>
        <w:textAlignment w:val="baseline"/>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现行ICH E6（GCP）及中国GCP（2020）原则</w:t>
      </w:r>
    </w:p>
    <w:p w14:paraId="6E10C834">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我们将向研究者提供与研究药物治疗相关的任何重要或新发现的详细信息，包括不良事件（AE）。</w:t>
      </w:r>
    </w:p>
    <w:p w14:paraId="50061FDB">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165642D8">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59762A43">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55052F9D">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62479B01">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2DAD22EC">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33D074B4">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_______________________                      _____________________</w:t>
      </w:r>
    </w:p>
    <w:p w14:paraId="7C485B71">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申办者代表</w:t>
      </w:r>
      <w:r>
        <w:rPr>
          <w:rFonts w:hint="eastAsia" w:ascii="Times New Roman" w:hAnsi="Times New Roman" w:eastAsia="宋体" w:cs="Times New Roman"/>
          <w:color w:val="000000" w:themeColor="text1"/>
          <w:sz w:val="24"/>
          <w:szCs w:val="24"/>
          <w14:textFill>
            <w14:solidFill>
              <w14:schemeClr w14:val="tx1"/>
            </w14:solidFill>
          </w14:textFill>
        </w:rPr>
        <w:t>签字</w:t>
      </w:r>
      <w:r>
        <w:rPr>
          <w:rFonts w:ascii="Times New Roman" w:hAnsi="Times New Roman" w:eastAsia="宋体" w:cs="Times New Roman"/>
          <w:color w:val="000000" w:themeColor="text1"/>
          <w:sz w:val="24"/>
          <w:szCs w:val="24"/>
          <w14:textFill>
            <w14:solidFill>
              <w14:schemeClr w14:val="tx1"/>
            </w14:solidFill>
          </w14:textFill>
        </w:rPr>
        <w:t xml:space="preserve">                                    日期</w:t>
      </w:r>
    </w:p>
    <w:p w14:paraId="2AC098C5">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6BEA3460">
      <w:pPr>
        <w:pStyle w:val="4"/>
        <w:spacing w:before="1"/>
        <w:jc w:val="both"/>
        <w:rPr>
          <w:rFonts w:ascii="Times New Roman" w:hAnsi="Times New Roman" w:cs="Times New Roman"/>
          <w:b/>
          <w:i w:val="0"/>
          <w:sz w:val="24"/>
          <w:lang w:val="en-GB"/>
        </w:rPr>
      </w:pPr>
    </w:p>
    <w:p w14:paraId="7AF4C000">
      <w:pPr>
        <w:pStyle w:val="4"/>
        <w:spacing w:before="1"/>
        <w:jc w:val="both"/>
        <w:rPr>
          <w:rFonts w:ascii="Times New Roman" w:hAnsi="Times New Roman" w:cs="Times New Roman"/>
          <w:b/>
          <w:i w:val="0"/>
          <w:sz w:val="24"/>
        </w:rPr>
        <w:sectPr>
          <w:pgSz w:w="11910" w:h="16840"/>
          <w:pgMar w:top="1701" w:right="1418" w:bottom="1418" w:left="1418" w:header="850" w:footer="850" w:gutter="284"/>
          <w:cols w:space="720" w:num="1"/>
          <w:docGrid w:linePitch="299" w:charSpace="0"/>
        </w:sectPr>
      </w:pPr>
    </w:p>
    <w:p w14:paraId="179BDA2D">
      <w:pPr>
        <w:pStyle w:val="4"/>
        <w:spacing w:before="1"/>
        <w:jc w:val="both"/>
        <w:rPr>
          <w:rFonts w:ascii="Times New Roman" w:hAnsi="Times New Roman" w:cs="Times New Roman"/>
          <w:b/>
          <w:i w:val="0"/>
          <w:sz w:val="24"/>
        </w:rPr>
      </w:pPr>
    </w:p>
    <w:p w14:paraId="194931D1">
      <w:pPr>
        <w:topLinePunct/>
        <w:spacing w:line="360" w:lineRule="auto"/>
        <w:jc w:val="center"/>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研究者</w:t>
      </w:r>
      <w:r>
        <w:rPr>
          <w:rFonts w:hint="eastAsia" w:ascii="Times New Roman" w:hAnsi="Times New Roman" w:eastAsia="宋体" w:cs="Times New Roman"/>
          <w:b/>
          <w:bCs/>
          <w:color w:val="000000" w:themeColor="text1"/>
          <w:sz w:val="28"/>
          <w:szCs w:val="28"/>
          <w14:textFill>
            <w14:solidFill>
              <w14:schemeClr w14:val="tx1"/>
            </w14:solidFill>
          </w14:textFill>
        </w:rPr>
        <w:t>签字页</w:t>
      </w:r>
    </w:p>
    <w:p w14:paraId="0C142862">
      <w:pPr>
        <w:topLinePunct/>
        <w:spacing w:line="360" w:lineRule="auto"/>
        <w:jc w:val="center"/>
        <w:rPr>
          <w:rFonts w:ascii="Times New Roman" w:hAnsi="Times New Roman" w:eastAsia="宋体" w:cs="Times New Roman"/>
          <w:b/>
          <w:bCs/>
          <w:color w:val="000000" w:themeColor="text1"/>
          <w:sz w:val="28"/>
          <w:szCs w:val="28"/>
          <w14:textFill>
            <w14:solidFill>
              <w14:schemeClr w14:val="tx1"/>
            </w14:solidFill>
          </w14:textFill>
        </w:rPr>
      </w:pPr>
    </w:p>
    <w:p w14:paraId="6664333E">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我已阅读了标题为“</w:t>
      </w:r>
      <w:r>
        <w:rPr>
          <w:rFonts w:hint="eastAsia" w:ascii="Times New Roman" w:hAnsi="Times New Roman" w:eastAsia="宋体" w:cs="Times New Roman"/>
          <w:color w:val="000000" w:themeColor="text1"/>
          <w:sz w:val="24"/>
          <w:szCs w:val="24"/>
          <w14:textFill>
            <w14:solidFill>
              <w14:schemeClr w14:val="tx1"/>
            </w14:solidFill>
          </w14:textFill>
        </w:rPr>
        <w:t>评价</w:t>
      </w:r>
      <w:r>
        <w:rPr>
          <w:rFonts w:ascii="Times New Roman" w:hAnsi="Times New Roman" w:eastAsia="宋体" w:cs="Times New Roman"/>
          <w:color w:val="000000" w:themeColor="text1"/>
          <w:sz w:val="24"/>
          <w:szCs w:val="24"/>
          <w14:textFill>
            <w14:solidFill>
              <w14:schemeClr w14:val="tx1"/>
            </w14:solidFill>
          </w14:textFill>
        </w:rPr>
        <w:t>CMS-D001</w:t>
      </w:r>
      <w:r>
        <w:rPr>
          <w:rFonts w:hint="eastAsia" w:ascii="Times New Roman" w:hAnsi="Times New Roman" w:eastAsia="宋体" w:cs="Times New Roman"/>
          <w:color w:val="000000" w:themeColor="text1"/>
          <w:sz w:val="24"/>
          <w:szCs w:val="24"/>
          <w14:textFill>
            <w14:solidFill>
              <w14:schemeClr w14:val="tx1"/>
            </w14:solidFill>
          </w14:textFill>
        </w:rPr>
        <w:t>片治疗中度至重度斑块状银屑病成人患者的有效性和安全性的多中心、随机、双盲、安慰剂对照Ⅱ</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Ⅲ期临床研究</w:t>
      </w:r>
      <w:r>
        <w:rPr>
          <w:rFonts w:ascii="Times New Roman" w:hAnsi="Times New Roman" w:eastAsia="宋体" w:cs="Times New Roman"/>
          <w:color w:val="000000" w:themeColor="text1"/>
          <w:sz w:val="24"/>
          <w:szCs w:val="24"/>
          <w14:textFill>
            <w14:solidFill>
              <w14:schemeClr w14:val="tx1"/>
            </w14:solidFill>
          </w14:textFill>
        </w:rPr>
        <w:t>”的研究方案（方案编号D001-02-002，版本号1.0，日期：2025年12月10日）。</w:t>
      </w:r>
    </w:p>
    <w:p w14:paraId="26FE40EA">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本人同意按照本研究方案的规定、中国GCP/ ICH GCP</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《赫尔辛基宣言》中的伦理原则</w:t>
      </w:r>
      <w:r>
        <w:rPr>
          <w:rFonts w:hint="eastAsia" w:ascii="Times New Roman" w:hAnsi="Times New Roman" w:eastAsia="宋体" w:cs="Times New Roman"/>
          <w:color w:val="000000" w:themeColor="text1"/>
          <w:sz w:val="24"/>
          <w:szCs w:val="24"/>
          <w14:textFill>
            <w14:solidFill>
              <w14:schemeClr w14:val="tx1"/>
            </w14:solidFill>
          </w14:textFill>
        </w:rPr>
        <w:t>以及</w:t>
      </w:r>
      <w:r>
        <w:rPr>
          <w:rFonts w:ascii="Times New Roman" w:hAnsi="Times New Roman" w:eastAsia="宋体" w:cs="Times New Roman"/>
          <w:color w:val="000000" w:themeColor="text1"/>
          <w:sz w:val="24"/>
          <w:szCs w:val="24"/>
          <w14:textFill>
            <w14:solidFill>
              <w14:schemeClr w14:val="tx1"/>
            </w14:solidFill>
          </w14:textFill>
        </w:rPr>
        <w:t>相关药政法规的要求严格实施本临床研究</w:t>
      </w:r>
      <w:r>
        <w:rPr>
          <w:rFonts w:hint="eastAsia" w:ascii="Times New Roman" w:hAnsi="Times New Roman" w:eastAsia="宋体" w:cs="Times New Roman"/>
          <w:color w:val="000000" w:themeColor="text1"/>
          <w:sz w:val="24"/>
          <w:szCs w:val="24"/>
          <w14:textFill>
            <w14:solidFill>
              <w14:schemeClr w14:val="tx1"/>
            </w14:solidFill>
          </w14:textFill>
        </w:rPr>
        <w:t>，并</w:t>
      </w:r>
      <w:r>
        <w:rPr>
          <w:rFonts w:ascii="Times New Roman" w:hAnsi="Times New Roman" w:eastAsia="宋体" w:cs="Times New Roman"/>
          <w:color w:val="000000" w:themeColor="text1"/>
          <w:sz w:val="24"/>
          <w:szCs w:val="24"/>
          <w14:textFill>
            <w14:solidFill>
              <w14:schemeClr w14:val="tx1"/>
            </w14:solidFill>
          </w14:textFill>
        </w:rPr>
        <w:t>认真履行研究者职责。</w:t>
      </w:r>
    </w:p>
    <w:p w14:paraId="581D064B">
      <w:pPr>
        <w:tabs>
          <w:tab w:val="left" w:pos="2160"/>
        </w:tabs>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本人将对本方案和方案相关内容按照保密协议条款的要求保守秘密，承诺在未经申办</w:t>
      </w:r>
      <w:r>
        <w:rPr>
          <w:rFonts w:hint="eastAsia" w:ascii="Times New Roman" w:hAnsi="Times New Roman" w:eastAsia="宋体" w:cs="Times New Roman"/>
          <w:color w:val="000000" w:themeColor="text1"/>
          <w:sz w:val="24"/>
          <w:szCs w:val="24"/>
          <w14:textFill>
            <w14:solidFill>
              <w14:schemeClr w14:val="tx1"/>
            </w14:solidFill>
          </w14:textFill>
        </w:rPr>
        <w:t>者</w:t>
      </w:r>
      <w:r>
        <w:rPr>
          <w:rFonts w:ascii="Times New Roman" w:hAnsi="Times New Roman" w:eastAsia="宋体" w:cs="Times New Roman"/>
          <w:color w:val="000000" w:themeColor="text1"/>
          <w:sz w:val="24"/>
          <w:szCs w:val="24"/>
          <w14:textFill>
            <w14:solidFill>
              <w14:schemeClr w14:val="tx1"/>
            </w14:solidFill>
          </w14:textFill>
        </w:rPr>
        <w:t>许可情况下对研究数据和结果不向任何第三方披露。</w:t>
      </w:r>
    </w:p>
    <w:p w14:paraId="515C7B32">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55D69301">
      <w:pPr>
        <w:topLinePunct/>
        <w:spacing w:line="360" w:lineRule="auto"/>
        <w:jc w:val="both"/>
        <w:rPr>
          <w:rFonts w:ascii="Times New Roman" w:hAnsi="Times New Roman" w:eastAsia="宋体" w:cs="Times New Roman"/>
          <w:color w:val="000000" w:themeColor="text1"/>
          <w:sz w:val="24"/>
          <w:szCs w:val="24"/>
          <w:lang w:eastAsia="zh-Hans"/>
          <w14:textFill>
            <w14:solidFill>
              <w14:schemeClr w14:val="tx1"/>
            </w14:solidFill>
          </w14:textFill>
        </w:rPr>
      </w:pPr>
    </w:p>
    <w:p w14:paraId="69C27F37">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321557DE">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683B753D">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6707C739">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2768F93C">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0A18ACC3">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张福仁</w:t>
      </w:r>
      <w:r>
        <w:rPr>
          <w:rFonts w:ascii="Times New Roman" w:hAnsi="Times New Roman" w:eastAsia="宋体" w:cs="Times New Roman"/>
          <w:color w:val="000000" w:themeColor="text1"/>
          <w:sz w:val="24"/>
          <w:szCs w:val="24"/>
          <w:u w:val="single"/>
          <w14:textFill>
            <w14:solidFill>
              <w14:schemeClr w14:val="tx1"/>
            </w14:solidFill>
          </w14:textFill>
        </w:rPr>
        <w:t xml:space="preserve">     </w:t>
      </w:r>
    </w:p>
    <w:p w14:paraId="6F9DEAF9">
      <w:pPr>
        <w:topLinePunct/>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主要研究者姓名</w:t>
      </w:r>
    </w:p>
    <w:p w14:paraId="5CD4268B">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20150069">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_______________________                     _____________________</w:t>
      </w:r>
    </w:p>
    <w:p w14:paraId="565B7C19">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主要研究者签名                                       日期</w:t>
      </w:r>
    </w:p>
    <w:p w14:paraId="689765D7">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                                </w:t>
      </w:r>
    </w:p>
    <w:p w14:paraId="68712021">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研究中心名称</w:t>
      </w:r>
      <w:r>
        <w:rPr>
          <w:rFonts w:hint="eastAsia" w:ascii="Times New Roman" w:hAnsi="Times New Roman" w:eastAsia="宋体" w:cs="Times New Roman"/>
          <w:sz w:val="24"/>
          <w:szCs w:val="24"/>
        </w:rPr>
        <w:t>（组长单位）</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山东第一医科大学附属皮肤病医院</w:t>
      </w:r>
    </w:p>
    <w:p w14:paraId="2CA2296A">
      <w:pPr>
        <w:spacing w:line="360" w:lineRule="auto"/>
        <w:rPr>
          <w:rFonts w:ascii="Times New Roman" w:hAnsi="Times New Roman" w:eastAsia="宋体" w:cs="Times New Roman"/>
          <w:color w:val="000000" w:themeColor="text1"/>
          <w:sz w:val="24"/>
          <w:szCs w:val="24"/>
          <w14:textFill>
            <w14:solidFill>
              <w14:schemeClr w14:val="tx1"/>
            </w14:solidFill>
          </w14:textFill>
        </w:rPr>
      </w:pPr>
    </w:p>
    <w:p w14:paraId="37FA3F6B">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研究中心地址：</w:t>
      </w:r>
      <w:r>
        <w:rPr>
          <w:rFonts w:hint="eastAsia" w:ascii="Times New Roman" w:hAnsi="Times New Roman" w:eastAsia="宋体" w:cs="Times New Roman"/>
          <w:color w:val="000000" w:themeColor="text1"/>
          <w:sz w:val="24"/>
          <w:szCs w:val="24"/>
          <w14:textFill>
            <w14:solidFill>
              <w14:schemeClr w14:val="tx1"/>
            </w14:solidFill>
          </w14:textFill>
        </w:rPr>
        <w:t>济南市经十路</w:t>
      </w:r>
      <w:r>
        <w:rPr>
          <w:rFonts w:ascii="Times New Roman" w:hAnsi="Times New Roman" w:eastAsia="宋体" w:cs="Times New Roman"/>
          <w:color w:val="000000" w:themeColor="text1"/>
          <w:sz w:val="24"/>
          <w:szCs w:val="24"/>
          <w14:textFill>
            <w14:solidFill>
              <w14:schemeClr w14:val="tx1"/>
            </w14:solidFill>
          </w14:textFill>
        </w:rPr>
        <w:t>27397</w:t>
      </w:r>
      <w:r>
        <w:rPr>
          <w:rFonts w:hint="eastAsia" w:ascii="Times New Roman" w:hAnsi="Times New Roman" w:eastAsia="宋体" w:cs="Times New Roman"/>
          <w:color w:val="000000" w:themeColor="text1"/>
          <w:sz w:val="24"/>
          <w:szCs w:val="24"/>
          <w14:textFill>
            <w14:solidFill>
              <w14:schemeClr w14:val="tx1"/>
            </w14:solidFill>
          </w14:textFill>
        </w:rPr>
        <w:t>号（腊山立交桥西首路北）</w:t>
      </w:r>
    </w:p>
    <w:p w14:paraId="0DB9F50E">
      <w:pPr>
        <w:topLinePunct/>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br w:type="page"/>
      </w:r>
    </w:p>
    <w:p w14:paraId="11BD2E82">
      <w:pPr>
        <w:topLinePunct/>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p>
    <w:p w14:paraId="178577EA">
      <w:pPr>
        <w:topLinePunct/>
        <w:spacing w:line="360" w:lineRule="auto"/>
        <w:jc w:val="center"/>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研究者</w:t>
      </w:r>
      <w:r>
        <w:rPr>
          <w:rFonts w:hint="eastAsia" w:ascii="Times New Roman" w:hAnsi="Times New Roman" w:eastAsia="宋体" w:cs="Times New Roman"/>
          <w:b/>
          <w:bCs/>
          <w:color w:val="000000" w:themeColor="text1"/>
          <w:sz w:val="28"/>
          <w:szCs w:val="28"/>
          <w14:textFill>
            <w14:solidFill>
              <w14:schemeClr w14:val="tx1"/>
            </w14:solidFill>
          </w14:textFill>
        </w:rPr>
        <w:t>签字页</w:t>
      </w:r>
    </w:p>
    <w:p w14:paraId="76560B8B">
      <w:pPr>
        <w:topLinePunct/>
        <w:spacing w:line="360" w:lineRule="auto"/>
        <w:jc w:val="center"/>
        <w:rPr>
          <w:rFonts w:ascii="Times New Roman" w:hAnsi="Times New Roman" w:eastAsia="宋体" w:cs="Times New Roman"/>
          <w:b/>
          <w:bCs/>
          <w:color w:val="000000" w:themeColor="text1"/>
          <w:sz w:val="28"/>
          <w:szCs w:val="28"/>
          <w14:textFill>
            <w14:solidFill>
              <w14:schemeClr w14:val="tx1"/>
            </w14:solidFill>
          </w14:textFill>
        </w:rPr>
      </w:pPr>
    </w:p>
    <w:p w14:paraId="5E05D4E5">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我已阅读了标题为“</w:t>
      </w:r>
      <w:r>
        <w:rPr>
          <w:rFonts w:hint="eastAsia" w:ascii="Times New Roman" w:hAnsi="Times New Roman" w:eastAsia="宋体" w:cs="Times New Roman"/>
          <w:color w:val="000000" w:themeColor="text1"/>
          <w:sz w:val="24"/>
          <w:szCs w:val="24"/>
          <w14:textFill>
            <w14:solidFill>
              <w14:schemeClr w14:val="tx1"/>
            </w14:solidFill>
          </w14:textFill>
        </w:rPr>
        <w:t>评价CMS-D001片治疗中度至重度斑块状银屑病成人患者的有效性和安全性的多中心、随机、双盲、安慰剂对照Ⅱ/Ⅲ期临床研究</w:t>
      </w:r>
      <w:r>
        <w:rPr>
          <w:rFonts w:ascii="Times New Roman" w:hAnsi="Times New Roman" w:eastAsia="宋体" w:cs="Times New Roman"/>
          <w:color w:val="000000" w:themeColor="text1"/>
          <w:sz w:val="24"/>
          <w:szCs w:val="24"/>
          <w14:textFill>
            <w14:solidFill>
              <w14:schemeClr w14:val="tx1"/>
            </w14:solidFill>
          </w14:textFill>
        </w:rPr>
        <w:t>”的研究方案（方案编号</w:t>
      </w:r>
      <w:r>
        <w:rPr>
          <w:rFonts w:hint="eastAsia" w:ascii="Times New Roman" w:hAnsi="Times New Roman" w:eastAsia="宋体" w:cs="Times New Roman"/>
          <w:color w:val="000000" w:themeColor="text1"/>
          <w:sz w:val="24"/>
          <w:szCs w:val="24"/>
          <w14:textFill>
            <w14:solidFill>
              <w14:schemeClr w14:val="tx1"/>
            </w14:solidFill>
          </w14:textFill>
        </w:rPr>
        <w:t>D001-02-002</w:t>
      </w:r>
      <w:r>
        <w:rPr>
          <w:rFonts w:ascii="Times New Roman" w:hAnsi="Times New Roman" w:eastAsia="宋体" w:cs="Times New Roman"/>
          <w:color w:val="000000" w:themeColor="text1"/>
          <w:sz w:val="24"/>
          <w:szCs w:val="24"/>
          <w14:textFill>
            <w14:solidFill>
              <w14:schemeClr w14:val="tx1"/>
            </w14:solidFill>
          </w14:textFill>
        </w:rPr>
        <w:t>，版本号</w:t>
      </w:r>
      <w:r>
        <w:rPr>
          <w:rFonts w:hint="eastAsia" w:ascii="Times New Roman" w:hAnsi="Times New Roman" w:eastAsia="宋体" w:cs="Times New Roman"/>
          <w:color w:val="000000" w:themeColor="text1"/>
          <w:sz w:val="24"/>
          <w:szCs w:val="24"/>
          <w14:textFill>
            <w14:solidFill>
              <w14:schemeClr w14:val="tx1"/>
            </w14:solidFill>
          </w14:textFill>
        </w:rPr>
        <w:t>1.0</w:t>
      </w:r>
      <w:r>
        <w:rPr>
          <w:rFonts w:ascii="Times New Roman" w:hAnsi="Times New Roman" w:eastAsia="宋体" w:cs="Times New Roman"/>
          <w:color w:val="000000" w:themeColor="text1"/>
          <w:sz w:val="24"/>
          <w:szCs w:val="24"/>
          <w14:textFill>
            <w14:solidFill>
              <w14:schemeClr w14:val="tx1"/>
            </w14:solidFill>
          </w14:textFill>
        </w:rPr>
        <w:t>，日期：</w:t>
      </w:r>
      <w:r>
        <w:rPr>
          <w:rFonts w:hint="eastAsia" w:ascii="Times New Roman" w:hAnsi="Times New Roman" w:eastAsia="宋体" w:cs="Times New Roman"/>
          <w:color w:val="000000" w:themeColor="text1"/>
          <w:sz w:val="24"/>
          <w:szCs w:val="24"/>
          <w14:textFill>
            <w14:solidFill>
              <w14:schemeClr w14:val="tx1"/>
            </w14:solidFill>
          </w14:textFill>
        </w:rPr>
        <w:t>2025</w:t>
      </w:r>
      <w:r>
        <w:rPr>
          <w:rFonts w:ascii="Times New Roman" w:hAnsi="Times New Roman" w:eastAsia="宋体" w:cs="Times New Roman"/>
          <w:color w:val="000000" w:themeColor="text1"/>
          <w:sz w:val="24"/>
          <w:szCs w:val="24"/>
          <w14:textFill>
            <w14:solidFill>
              <w14:schemeClr w14:val="tx1"/>
            </w14:solidFill>
          </w14:textFill>
        </w:rPr>
        <w:t>年</w:t>
      </w:r>
      <w:r>
        <w:rPr>
          <w:rFonts w:hint="eastAsia" w:ascii="Times New Roman" w:hAnsi="Times New Roman" w:eastAsia="宋体" w:cs="Times New Roman"/>
          <w:color w:val="000000" w:themeColor="text1"/>
          <w:sz w:val="24"/>
          <w:szCs w:val="24"/>
          <w14:textFill>
            <w14:solidFill>
              <w14:schemeClr w14:val="tx1"/>
            </w14:solidFill>
          </w14:textFill>
        </w:rPr>
        <w:t>12</w:t>
      </w:r>
      <w:r>
        <w:rPr>
          <w:rFonts w:ascii="Times New Roman" w:hAnsi="Times New Roman" w:eastAsia="宋体" w:cs="Times New Roman"/>
          <w:color w:val="000000" w:themeColor="text1"/>
          <w:sz w:val="24"/>
          <w:szCs w:val="24"/>
          <w14:textFill>
            <w14:solidFill>
              <w14:schemeClr w14:val="tx1"/>
            </w14:solidFill>
          </w14:textFill>
        </w:rPr>
        <w:t>月</w:t>
      </w:r>
      <w:r>
        <w:rPr>
          <w:rFonts w:hint="eastAsia" w:ascii="Times New Roman" w:hAnsi="Times New Roman" w:eastAsia="宋体" w:cs="Times New Roman"/>
          <w:color w:val="000000" w:themeColor="text1"/>
          <w:sz w:val="24"/>
          <w:szCs w:val="24"/>
          <w14:textFill>
            <w14:solidFill>
              <w14:schemeClr w14:val="tx1"/>
            </w14:solidFill>
          </w14:textFill>
        </w:rPr>
        <w:t>10</w:t>
      </w:r>
      <w:r>
        <w:rPr>
          <w:rFonts w:ascii="Times New Roman" w:hAnsi="Times New Roman" w:eastAsia="宋体" w:cs="Times New Roman"/>
          <w:color w:val="000000" w:themeColor="text1"/>
          <w:sz w:val="24"/>
          <w:szCs w:val="24"/>
          <w14:textFill>
            <w14:solidFill>
              <w14:schemeClr w14:val="tx1"/>
            </w14:solidFill>
          </w14:textFill>
        </w:rPr>
        <w:t>日）。</w:t>
      </w:r>
    </w:p>
    <w:p w14:paraId="20C549B5">
      <w:pPr>
        <w:topLinePunct/>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本人同意按照本研究方案的规定、中国GCP/ ICH GCP</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《赫尔辛基宣言》中的伦理原则</w:t>
      </w:r>
      <w:r>
        <w:rPr>
          <w:rFonts w:hint="eastAsia" w:ascii="Times New Roman" w:hAnsi="Times New Roman" w:eastAsia="宋体" w:cs="Times New Roman"/>
          <w:color w:val="000000" w:themeColor="text1"/>
          <w:sz w:val="24"/>
          <w:szCs w:val="24"/>
          <w14:textFill>
            <w14:solidFill>
              <w14:schemeClr w14:val="tx1"/>
            </w14:solidFill>
          </w14:textFill>
        </w:rPr>
        <w:t>以及</w:t>
      </w:r>
      <w:r>
        <w:rPr>
          <w:rFonts w:ascii="Times New Roman" w:hAnsi="Times New Roman" w:eastAsia="宋体" w:cs="Times New Roman"/>
          <w:color w:val="000000" w:themeColor="text1"/>
          <w:sz w:val="24"/>
          <w:szCs w:val="24"/>
          <w14:textFill>
            <w14:solidFill>
              <w14:schemeClr w14:val="tx1"/>
            </w14:solidFill>
          </w14:textFill>
        </w:rPr>
        <w:t>相关药政法规的要求严格实施本临床研究</w:t>
      </w:r>
      <w:r>
        <w:rPr>
          <w:rFonts w:hint="eastAsia" w:ascii="Times New Roman" w:hAnsi="Times New Roman" w:eastAsia="宋体" w:cs="Times New Roman"/>
          <w:color w:val="000000" w:themeColor="text1"/>
          <w:sz w:val="24"/>
          <w:szCs w:val="24"/>
          <w14:textFill>
            <w14:solidFill>
              <w14:schemeClr w14:val="tx1"/>
            </w14:solidFill>
          </w14:textFill>
        </w:rPr>
        <w:t>，并</w:t>
      </w:r>
      <w:r>
        <w:rPr>
          <w:rFonts w:ascii="Times New Roman" w:hAnsi="Times New Roman" w:eastAsia="宋体" w:cs="Times New Roman"/>
          <w:color w:val="000000" w:themeColor="text1"/>
          <w:sz w:val="24"/>
          <w:szCs w:val="24"/>
          <w14:textFill>
            <w14:solidFill>
              <w14:schemeClr w14:val="tx1"/>
            </w14:solidFill>
          </w14:textFill>
        </w:rPr>
        <w:t>认真履行研究者职责。</w:t>
      </w:r>
    </w:p>
    <w:p w14:paraId="4BA9698A">
      <w:pPr>
        <w:tabs>
          <w:tab w:val="left" w:pos="2160"/>
        </w:tabs>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本人将对本方案和方案相关内容按照保密协议条款的要求保守秘密，承诺在未经申办</w:t>
      </w:r>
      <w:r>
        <w:rPr>
          <w:rFonts w:hint="eastAsia" w:ascii="Times New Roman" w:hAnsi="Times New Roman" w:eastAsia="宋体" w:cs="Times New Roman"/>
          <w:color w:val="000000" w:themeColor="text1"/>
          <w:sz w:val="24"/>
          <w:szCs w:val="24"/>
          <w14:textFill>
            <w14:solidFill>
              <w14:schemeClr w14:val="tx1"/>
            </w14:solidFill>
          </w14:textFill>
        </w:rPr>
        <w:t>者</w:t>
      </w:r>
      <w:r>
        <w:rPr>
          <w:rFonts w:ascii="Times New Roman" w:hAnsi="Times New Roman" w:eastAsia="宋体" w:cs="Times New Roman"/>
          <w:color w:val="000000" w:themeColor="text1"/>
          <w:sz w:val="24"/>
          <w:szCs w:val="24"/>
          <w14:textFill>
            <w14:solidFill>
              <w14:schemeClr w14:val="tx1"/>
            </w14:solidFill>
          </w14:textFill>
        </w:rPr>
        <w:t>许可情况下对研究数据和结果不向任何第三方披露。</w:t>
      </w:r>
    </w:p>
    <w:p w14:paraId="3D42A33B">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407CEEF1">
      <w:pPr>
        <w:topLinePunct/>
        <w:spacing w:line="360" w:lineRule="auto"/>
        <w:jc w:val="both"/>
        <w:rPr>
          <w:rFonts w:ascii="Times New Roman" w:hAnsi="Times New Roman" w:eastAsia="宋体" w:cs="Times New Roman"/>
          <w:color w:val="000000" w:themeColor="text1"/>
          <w:sz w:val="24"/>
          <w:szCs w:val="24"/>
          <w:lang w:eastAsia="zh-Hans"/>
          <w14:textFill>
            <w14:solidFill>
              <w14:schemeClr w14:val="tx1"/>
            </w14:solidFill>
          </w14:textFill>
        </w:rPr>
      </w:pPr>
    </w:p>
    <w:p w14:paraId="13E76B98">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30176A1B">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0D4E5704">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116CF9B1">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1CB3A87C">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335364D4">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p>
    <w:p w14:paraId="214FF34E">
      <w:pPr>
        <w:topLinePunct/>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主要研究者姓名</w:t>
      </w:r>
    </w:p>
    <w:p w14:paraId="1335CC75">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11F1652C">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_______________________</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 xml:space="preserve"> _____________________</w:t>
      </w:r>
    </w:p>
    <w:p w14:paraId="74C2F317">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主要研究者签名</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日期</w:t>
      </w:r>
    </w:p>
    <w:p w14:paraId="75F4BCB4">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                                </w:t>
      </w:r>
    </w:p>
    <w:p w14:paraId="48F82F44">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研究中心名称</w:t>
      </w:r>
      <w:r>
        <w:rPr>
          <w:rFonts w:hint="eastAsia" w:ascii="Times New Roman" w:hAnsi="Times New Roman" w:eastAsia="宋体" w:cs="Times New Roman"/>
          <w:sz w:val="24"/>
          <w:szCs w:val="24"/>
        </w:rPr>
        <w:t>（参研单位）</w:t>
      </w:r>
      <w:r>
        <w:rPr>
          <w:rFonts w:ascii="Times New Roman" w:hAnsi="Times New Roman" w:eastAsia="宋体" w:cs="Times New Roman"/>
          <w:color w:val="000000" w:themeColor="text1"/>
          <w:sz w:val="24"/>
          <w:szCs w:val="24"/>
          <w14:textFill>
            <w14:solidFill>
              <w14:schemeClr w14:val="tx1"/>
            </w14:solidFill>
          </w14:textFill>
        </w:rPr>
        <w:t>：</w:t>
      </w:r>
    </w:p>
    <w:p w14:paraId="743A1080">
      <w:pPr>
        <w:spacing w:line="360" w:lineRule="auto"/>
        <w:rPr>
          <w:rFonts w:ascii="Times New Roman" w:hAnsi="Times New Roman" w:eastAsia="宋体" w:cs="Times New Roman"/>
          <w:color w:val="000000" w:themeColor="text1"/>
          <w:sz w:val="24"/>
          <w:szCs w:val="24"/>
          <w14:textFill>
            <w14:solidFill>
              <w14:schemeClr w14:val="tx1"/>
            </w14:solidFill>
          </w14:textFill>
        </w:rPr>
      </w:pPr>
    </w:p>
    <w:p w14:paraId="729805AB">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研究中心地址：</w:t>
      </w:r>
    </w:p>
    <w:p w14:paraId="0E84FAE7">
      <w:pPr>
        <w:widowControl/>
        <w:autoSpaceDE/>
        <w:autoSpaceDN/>
        <w:rPr>
          <w:rFonts w:ascii="Times New Roman" w:hAnsi="Times New Roman" w:eastAsia="宋体" w:cs="Times New Roman"/>
          <w:color w:val="000000" w:themeColor="text1"/>
          <w:sz w:val="24"/>
          <w:szCs w:val="24"/>
          <w14:textFill>
            <w14:solidFill>
              <w14:schemeClr w14:val="tx1"/>
            </w14:solidFill>
          </w14:textFill>
        </w:rPr>
      </w:pPr>
    </w:p>
    <w:p w14:paraId="00DE743D">
      <w:pPr>
        <w:widowControl/>
        <w:autoSpaceDE/>
        <w:autoSpaceDN/>
        <w:rPr>
          <w:rFonts w:ascii="Times New Roman" w:hAnsi="Times New Roman" w:eastAsia="宋体" w:cs="Times New Roman"/>
          <w:color w:val="000000" w:themeColor="text1"/>
          <w:sz w:val="24"/>
          <w:szCs w:val="24"/>
          <w14:textFill>
            <w14:solidFill>
              <w14:schemeClr w14:val="tx1"/>
            </w14:solidFill>
          </w14:textFill>
        </w:rPr>
      </w:pPr>
    </w:p>
    <w:p w14:paraId="597E003B">
      <w:pPr>
        <w:widowControl/>
        <w:autoSpaceDE/>
        <w:autoSpaceDN/>
        <w:rPr>
          <w:rFonts w:ascii="Times New Roman" w:hAnsi="Times New Roman" w:eastAsia="宋体" w:cs="Times New Roman"/>
          <w:b/>
          <w:bCs/>
          <w:kern w:val="2"/>
          <w:sz w:val="24"/>
          <w:szCs w:val="24"/>
        </w:rPr>
      </w:pPr>
      <w:r>
        <w:rPr>
          <w:rFonts w:ascii="Times New Roman" w:hAnsi="Times New Roman" w:eastAsia="宋体" w:cs="Times New Roman"/>
          <w:b/>
          <w:bCs/>
          <w:kern w:val="2"/>
          <w:sz w:val="24"/>
          <w:szCs w:val="24"/>
        </w:rPr>
        <w:br w:type="page"/>
      </w:r>
    </w:p>
    <w:p w14:paraId="12B8AC2B">
      <w:pPr>
        <w:widowControl/>
        <w:autoSpaceDE/>
        <w:autoSpaceDN/>
        <w:rPr>
          <w:rFonts w:ascii="Times New Roman" w:hAnsi="Times New Roman" w:eastAsia="宋体" w:cs="Times New Roman"/>
          <w:b/>
          <w:bCs/>
          <w:kern w:val="2"/>
          <w:sz w:val="24"/>
          <w:szCs w:val="24"/>
        </w:rPr>
      </w:pPr>
    </w:p>
    <w:p w14:paraId="0E9DA008">
      <w:pPr>
        <w:widowControl/>
        <w:autoSpaceDE/>
        <w:autoSpaceDN/>
        <w:jc w:val="center"/>
        <w:rPr>
          <w:rFonts w:ascii="Times New Roman" w:hAnsi="Times New Roman" w:eastAsia="宋体" w:cs="Times New Roman"/>
          <w:b/>
          <w:bCs/>
          <w:kern w:val="2"/>
          <w:sz w:val="28"/>
          <w:szCs w:val="28"/>
        </w:rPr>
      </w:pPr>
      <w:r>
        <w:rPr>
          <w:rFonts w:hint="eastAsia" w:ascii="Times New Roman" w:hAnsi="Times New Roman" w:eastAsia="宋体" w:cs="Times New Roman"/>
          <w:b/>
          <w:bCs/>
          <w:kern w:val="2"/>
          <w:sz w:val="28"/>
          <w:szCs w:val="28"/>
        </w:rPr>
        <w:t>统计分析单位</w:t>
      </w:r>
      <w:r>
        <w:rPr>
          <w:rFonts w:ascii="Times New Roman" w:hAnsi="Times New Roman" w:eastAsia="宋体" w:cs="Times New Roman"/>
          <w:b/>
          <w:bCs/>
          <w:kern w:val="2"/>
          <w:sz w:val="28"/>
          <w:szCs w:val="28"/>
        </w:rPr>
        <w:t>签字页</w:t>
      </w:r>
    </w:p>
    <w:p w14:paraId="50111285">
      <w:pPr>
        <w:spacing w:line="360" w:lineRule="auto"/>
        <w:jc w:val="center"/>
        <w:rPr>
          <w:rFonts w:ascii="Times New Roman" w:hAnsi="Times New Roman" w:eastAsia="宋体" w:cs="Times New Roman"/>
          <w:kern w:val="2"/>
          <w:sz w:val="28"/>
          <w:szCs w:val="28"/>
        </w:rPr>
      </w:pPr>
    </w:p>
    <w:p w14:paraId="3A005A53">
      <w:pPr>
        <w:spacing w:line="360" w:lineRule="auto"/>
        <w:jc w:val="both"/>
        <w:rPr>
          <w:rFonts w:ascii="Times New Roman" w:hAnsi="Times New Roman" w:eastAsia="宋体" w:cs="Times New Roman"/>
          <w:kern w:val="2"/>
          <w:sz w:val="24"/>
          <w:szCs w:val="22"/>
        </w:rPr>
      </w:pPr>
      <w:r>
        <w:rPr>
          <w:rFonts w:hint="eastAsia" w:ascii="Times New Roman" w:hAnsi="Times New Roman" w:eastAsia="宋体" w:cs="Times New Roman"/>
          <w:kern w:val="2"/>
          <w:sz w:val="24"/>
          <w:szCs w:val="22"/>
        </w:rPr>
        <w:t>研究</w:t>
      </w:r>
      <w:r>
        <w:rPr>
          <w:rFonts w:ascii="Times New Roman" w:hAnsi="Times New Roman" w:eastAsia="宋体" w:cs="Times New Roman"/>
          <w:kern w:val="2"/>
          <w:sz w:val="24"/>
          <w:szCs w:val="22"/>
        </w:rPr>
        <w:t>题目：</w:t>
      </w:r>
      <w:r>
        <w:rPr>
          <w:rFonts w:hint="eastAsia" w:ascii="Times New Roman" w:hAnsi="Times New Roman" w:eastAsia="宋体" w:cs="Times New Roman"/>
          <w:kern w:val="2"/>
          <w:sz w:val="24"/>
          <w:szCs w:val="22"/>
        </w:rPr>
        <w:t>评价CMS-D001片治疗中度至重度斑块状银屑病成人患者的有效性和安全性的多中心、随机、双盲、安慰剂对照Ⅱ/Ⅲ期临床研究</w:t>
      </w:r>
    </w:p>
    <w:p w14:paraId="3A95EC1B">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方案</w:t>
      </w:r>
      <w:r>
        <w:rPr>
          <w:rFonts w:hint="eastAsia" w:ascii="Times New Roman" w:hAnsi="Times New Roman" w:eastAsia="宋体" w:cs="Times New Roman"/>
          <w:kern w:val="2"/>
          <w:sz w:val="24"/>
          <w:szCs w:val="22"/>
        </w:rPr>
        <w:t>编号</w:t>
      </w:r>
      <w:r>
        <w:rPr>
          <w:rFonts w:ascii="Times New Roman" w:hAnsi="Times New Roman" w:eastAsia="宋体" w:cs="Times New Roman"/>
          <w:kern w:val="2"/>
          <w:sz w:val="24"/>
          <w:szCs w:val="22"/>
        </w:rPr>
        <w:t>：D001-02-002</w:t>
      </w:r>
    </w:p>
    <w:p w14:paraId="248FAC5D">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方案版本号：1.0</w:t>
      </w:r>
    </w:p>
    <w:p w14:paraId="36D43C7C">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方案版本日期：2025</w:t>
      </w:r>
      <w:r>
        <w:rPr>
          <w:rFonts w:hint="eastAsia" w:ascii="Times New Roman" w:hAnsi="Times New Roman" w:eastAsia="宋体" w:cs="Times New Roman"/>
          <w:kern w:val="2"/>
          <w:sz w:val="24"/>
          <w:szCs w:val="22"/>
        </w:rPr>
        <w:t>年</w:t>
      </w:r>
      <w:r>
        <w:rPr>
          <w:rFonts w:ascii="Times New Roman" w:hAnsi="Times New Roman" w:eastAsia="宋体" w:cs="Times New Roman"/>
          <w:kern w:val="2"/>
          <w:sz w:val="24"/>
          <w:szCs w:val="22"/>
        </w:rPr>
        <w:t>12</w:t>
      </w:r>
      <w:r>
        <w:rPr>
          <w:rFonts w:hint="eastAsia" w:ascii="Times New Roman" w:hAnsi="Times New Roman" w:eastAsia="宋体" w:cs="Times New Roman"/>
          <w:kern w:val="2"/>
          <w:sz w:val="24"/>
          <w:szCs w:val="22"/>
        </w:rPr>
        <w:t>月10日</w:t>
      </w:r>
    </w:p>
    <w:p w14:paraId="07212C94">
      <w:pPr>
        <w:spacing w:line="360" w:lineRule="auto"/>
        <w:ind w:firstLine="480" w:firstLineChars="200"/>
        <w:jc w:val="both"/>
        <w:rPr>
          <w:rFonts w:ascii="Times New Roman" w:hAnsi="Times New Roman" w:eastAsia="宋体" w:cs="Times New Roman"/>
          <w:kern w:val="2"/>
          <w:sz w:val="24"/>
          <w:szCs w:val="22"/>
        </w:rPr>
      </w:pPr>
    </w:p>
    <w:p w14:paraId="1EB7E0D7">
      <w:pPr>
        <w:spacing w:line="360" w:lineRule="auto"/>
        <w:jc w:val="both"/>
        <w:rPr>
          <w:rFonts w:ascii="Times New Roman" w:hAnsi="Times New Roman" w:eastAsia="宋体" w:cs="Times New Roman"/>
          <w:kern w:val="2"/>
          <w:sz w:val="24"/>
          <w:szCs w:val="22"/>
        </w:rPr>
      </w:pPr>
      <w:r>
        <w:rPr>
          <w:rFonts w:hint="eastAsia" w:ascii="Times New Roman" w:hAnsi="Times New Roman" w:eastAsia="宋体" w:cs="Times New Roman"/>
          <w:kern w:val="2"/>
          <w:sz w:val="24"/>
          <w:szCs w:val="22"/>
        </w:rPr>
        <w:t>统计分析单位</w:t>
      </w:r>
      <w:r>
        <w:rPr>
          <w:rFonts w:ascii="Times New Roman" w:hAnsi="Times New Roman" w:eastAsia="宋体" w:cs="Times New Roman"/>
          <w:kern w:val="2"/>
          <w:sz w:val="24"/>
          <w:szCs w:val="22"/>
        </w:rPr>
        <w:t xml:space="preserve">申明： </w:t>
      </w:r>
    </w:p>
    <w:p w14:paraId="0F395EFE">
      <w:pPr>
        <w:spacing w:line="360" w:lineRule="auto"/>
        <w:ind w:firstLine="480" w:firstLineChars="200"/>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将根据《药物临床试验质量管理规范》的规定及赫尔辛基宣言，认真履行监查职责，保证遵循已批准的方案实施本项临床试验，保证临床试验中</w:t>
      </w:r>
      <w:r>
        <w:rPr>
          <w:rFonts w:hint="eastAsia" w:ascii="Times New Roman" w:hAnsi="Times New Roman" w:eastAsia="宋体" w:cs="Times New Roman"/>
          <w:kern w:val="2"/>
          <w:sz w:val="24"/>
          <w:szCs w:val="22"/>
        </w:rPr>
        <w:t>参与者</w:t>
      </w:r>
      <w:r>
        <w:rPr>
          <w:rFonts w:ascii="Times New Roman" w:hAnsi="Times New Roman" w:eastAsia="宋体" w:cs="Times New Roman"/>
          <w:kern w:val="2"/>
          <w:sz w:val="24"/>
          <w:szCs w:val="22"/>
        </w:rPr>
        <w:t>权益得到保障，试验记录与报告准确、完整、无误。</w:t>
      </w:r>
    </w:p>
    <w:p w14:paraId="26FDE34F">
      <w:pPr>
        <w:spacing w:line="360" w:lineRule="auto"/>
        <w:ind w:firstLine="480" w:firstLineChars="200"/>
        <w:jc w:val="both"/>
        <w:rPr>
          <w:rFonts w:ascii="Times New Roman" w:hAnsi="Times New Roman" w:eastAsia="宋体" w:cs="Times New Roman"/>
          <w:kern w:val="2"/>
          <w:sz w:val="24"/>
          <w:szCs w:val="22"/>
        </w:rPr>
      </w:pPr>
    </w:p>
    <w:p w14:paraId="7506078A">
      <w:pPr>
        <w:snapToGrid w:val="0"/>
        <w:spacing w:line="360" w:lineRule="auto"/>
        <w:jc w:val="both"/>
        <w:rPr>
          <w:rFonts w:ascii="Times New Roman" w:hAnsi="Times New Roman" w:eastAsia="宋体" w:cs="Times New Roman"/>
          <w:bCs/>
          <w:sz w:val="24"/>
          <w:szCs w:val="21"/>
          <w:lang w:bidi="en-US"/>
        </w:rPr>
      </w:pPr>
      <w:r>
        <w:rPr>
          <w:rFonts w:hint="eastAsia" w:ascii="Times New Roman" w:hAnsi="Times New Roman" w:eastAsia="宋体" w:cs="Times New Roman"/>
          <w:bCs/>
          <w:sz w:val="24"/>
          <w:szCs w:val="21"/>
          <w:lang w:bidi="en-US"/>
        </w:rPr>
        <w:t>统计分析单位</w:t>
      </w:r>
      <w:r>
        <w:rPr>
          <w:rFonts w:ascii="Times New Roman" w:hAnsi="Times New Roman" w:eastAsia="宋体" w:cs="Times New Roman"/>
          <w:bCs/>
          <w:sz w:val="24"/>
          <w:szCs w:val="21"/>
          <w:lang w:bidi="en-US"/>
        </w:rPr>
        <w:t>：美达科林（南京）医药科技有限公司</w:t>
      </w:r>
    </w:p>
    <w:p w14:paraId="035C4208">
      <w:pPr>
        <w:snapToGrid w:val="0"/>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负责人：</w:t>
      </w:r>
      <w:r>
        <w:rPr>
          <w:rFonts w:hint="eastAsia" w:ascii="Times New Roman" w:hAnsi="Times New Roman" w:eastAsia="宋体" w:cs="Times New Roman"/>
          <w:bCs/>
          <w:sz w:val="24"/>
          <w:szCs w:val="21"/>
          <w:lang w:bidi="en-US"/>
        </w:rPr>
        <w:t>高婉君</w:t>
      </w:r>
    </w:p>
    <w:p w14:paraId="055DDAFE">
      <w:pPr>
        <w:snapToGrid w:val="0"/>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联系电话：18092211878</w:t>
      </w:r>
    </w:p>
    <w:p w14:paraId="7CA6EA95">
      <w:pPr>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地址：陕西省西安市未央区凤城七路旭辉中心2#409室</w:t>
      </w:r>
    </w:p>
    <w:p w14:paraId="2A824BB1">
      <w:pPr>
        <w:snapToGrid w:val="0"/>
        <w:spacing w:line="360" w:lineRule="auto"/>
        <w:ind w:firstLine="480" w:firstLineChars="200"/>
        <w:jc w:val="both"/>
        <w:rPr>
          <w:rFonts w:ascii="Times New Roman" w:hAnsi="Times New Roman" w:eastAsia="宋体" w:cs="Times New Roman"/>
          <w:bCs/>
          <w:sz w:val="24"/>
          <w:szCs w:val="21"/>
          <w:lang w:bidi="en-US"/>
        </w:rPr>
      </w:pPr>
    </w:p>
    <w:p w14:paraId="639E9EFD">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bCs/>
          <w:sz w:val="24"/>
          <w:szCs w:val="21"/>
          <w:lang w:bidi="en-US"/>
        </w:rPr>
        <w:t>（签字）：____________ 签字日期  ______年___月___日</w:t>
      </w:r>
    </w:p>
    <w:p w14:paraId="57463A02">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3C2C405C">
      <w:pPr>
        <w:widowControl/>
        <w:autoSpaceDE/>
        <w:autoSpaceDN/>
        <w:rPr>
          <w:rFonts w:ascii="Times New Roman" w:hAnsi="Times New Roman" w:eastAsia="宋体" w:cs="Times New Roman"/>
          <w:color w:val="000000" w:themeColor="text1"/>
          <w:sz w:val="24"/>
          <w:szCs w:val="24"/>
          <w14:textFill>
            <w14:solidFill>
              <w14:schemeClr w14:val="tx1"/>
            </w14:solidFill>
          </w14:textFill>
        </w:rPr>
      </w:pPr>
    </w:p>
    <w:p w14:paraId="7CFDEDCD">
      <w:pPr>
        <w:widowControl/>
        <w:autoSpaceDE/>
        <w:autoSpaceDN/>
        <w:rPr>
          <w:rFonts w:ascii="Times New Roman" w:hAnsi="Times New Roman" w:eastAsia="宋体" w:cs="Times New Roman"/>
          <w:b/>
          <w:bCs/>
          <w:kern w:val="2"/>
          <w:sz w:val="24"/>
          <w:szCs w:val="24"/>
        </w:rPr>
      </w:pPr>
    </w:p>
    <w:p w14:paraId="25FCC53E">
      <w:pPr>
        <w:widowControl/>
        <w:autoSpaceDE/>
        <w:autoSpaceDN/>
        <w:rPr>
          <w:rFonts w:ascii="Times New Roman" w:hAnsi="Times New Roman" w:eastAsia="宋体" w:cs="Times New Roman"/>
          <w:b/>
          <w:bCs/>
          <w:kern w:val="2"/>
          <w:sz w:val="24"/>
          <w:szCs w:val="24"/>
        </w:rPr>
      </w:pPr>
      <w:r>
        <w:rPr>
          <w:rFonts w:ascii="Times New Roman" w:hAnsi="Times New Roman" w:eastAsia="宋体" w:cs="Times New Roman"/>
          <w:b/>
          <w:bCs/>
          <w:kern w:val="2"/>
          <w:sz w:val="24"/>
          <w:szCs w:val="24"/>
        </w:rPr>
        <w:br w:type="page"/>
      </w:r>
    </w:p>
    <w:p w14:paraId="5E2FC02B">
      <w:pPr>
        <w:spacing w:line="360" w:lineRule="auto"/>
        <w:jc w:val="center"/>
        <w:rPr>
          <w:rFonts w:ascii="Times New Roman" w:hAnsi="Times New Roman" w:eastAsia="宋体" w:cs="Times New Roman"/>
          <w:b/>
          <w:bCs/>
          <w:kern w:val="2"/>
          <w:sz w:val="24"/>
          <w:szCs w:val="24"/>
        </w:rPr>
      </w:pPr>
    </w:p>
    <w:p w14:paraId="53630690">
      <w:pPr>
        <w:spacing w:line="360" w:lineRule="auto"/>
        <w:jc w:val="center"/>
        <w:rPr>
          <w:rFonts w:ascii="Times New Roman" w:hAnsi="Times New Roman" w:eastAsia="宋体" w:cs="Times New Roman"/>
          <w:b/>
          <w:bCs/>
          <w:kern w:val="2"/>
          <w:sz w:val="28"/>
          <w:szCs w:val="28"/>
        </w:rPr>
      </w:pPr>
      <w:r>
        <w:rPr>
          <w:rFonts w:ascii="Times New Roman" w:hAnsi="Times New Roman" w:eastAsia="宋体" w:cs="Times New Roman"/>
          <w:b/>
          <w:bCs/>
          <w:kern w:val="2"/>
          <w:sz w:val="28"/>
          <w:szCs w:val="28"/>
        </w:rPr>
        <w:t>合同研究组织签字页</w:t>
      </w:r>
    </w:p>
    <w:p w14:paraId="60A9AE0B">
      <w:pPr>
        <w:spacing w:line="360" w:lineRule="auto"/>
        <w:jc w:val="center"/>
        <w:rPr>
          <w:rFonts w:ascii="Times New Roman" w:hAnsi="Times New Roman" w:eastAsia="宋体" w:cs="Times New Roman"/>
          <w:kern w:val="2"/>
          <w:sz w:val="28"/>
          <w:szCs w:val="28"/>
        </w:rPr>
      </w:pPr>
    </w:p>
    <w:p w14:paraId="18FFA825">
      <w:pPr>
        <w:spacing w:line="360" w:lineRule="auto"/>
        <w:jc w:val="both"/>
        <w:rPr>
          <w:rFonts w:ascii="Times New Roman" w:hAnsi="Times New Roman" w:eastAsia="宋体" w:cs="Times New Roman"/>
          <w:kern w:val="2"/>
          <w:sz w:val="24"/>
          <w:szCs w:val="22"/>
        </w:rPr>
      </w:pPr>
      <w:r>
        <w:rPr>
          <w:rFonts w:hint="eastAsia" w:ascii="Times New Roman" w:hAnsi="Times New Roman" w:eastAsia="宋体" w:cs="Times New Roman"/>
          <w:kern w:val="2"/>
          <w:sz w:val="24"/>
          <w:szCs w:val="22"/>
        </w:rPr>
        <w:t>研究</w:t>
      </w:r>
      <w:r>
        <w:rPr>
          <w:rFonts w:ascii="Times New Roman" w:hAnsi="Times New Roman" w:eastAsia="宋体" w:cs="Times New Roman"/>
          <w:kern w:val="2"/>
          <w:sz w:val="24"/>
          <w:szCs w:val="22"/>
        </w:rPr>
        <w:t>题目：</w:t>
      </w:r>
      <w:r>
        <w:rPr>
          <w:rFonts w:hint="eastAsia" w:ascii="Times New Roman" w:hAnsi="Times New Roman" w:eastAsia="宋体" w:cs="Times New Roman"/>
          <w:kern w:val="2"/>
          <w:sz w:val="24"/>
          <w:szCs w:val="22"/>
        </w:rPr>
        <w:t>评价</w:t>
      </w:r>
      <w:r>
        <w:rPr>
          <w:rFonts w:ascii="Times New Roman" w:hAnsi="Times New Roman" w:eastAsia="宋体" w:cs="Times New Roman"/>
          <w:kern w:val="2"/>
          <w:sz w:val="24"/>
          <w:szCs w:val="22"/>
        </w:rPr>
        <w:t>CMS-D001</w:t>
      </w:r>
      <w:r>
        <w:rPr>
          <w:rFonts w:hint="eastAsia" w:ascii="Times New Roman" w:hAnsi="Times New Roman" w:eastAsia="宋体" w:cs="Times New Roman"/>
          <w:kern w:val="2"/>
          <w:sz w:val="24"/>
          <w:szCs w:val="22"/>
        </w:rPr>
        <w:t>片治疗中度至重度斑块状银屑病成人患者的有效性和安全性的多中心、随机、双盲、安慰剂对照Ⅱ</w:t>
      </w:r>
      <w:r>
        <w:rPr>
          <w:rFonts w:ascii="Times New Roman" w:hAnsi="Times New Roman" w:eastAsia="宋体" w:cs="Times New Roman"/>
          <w:kern w:val="2"/>
          <w:sz w:val="24"/>
          <w:szCs w:val="22"/>
        </w:rPr>
        <w:t>/</w:t>
      </w:r>
      <w:r>
        <w:rPr>
          <w:rFonts w:hint="eastAsia" w:ascii="Times New Roman" w:hAnsi="Times New Roman" w:eastAsia="宋体" w:cs="Times New Roman"/>
          <w:kern w:val="2"/>
          <w:sz w:val="24"/>
          <w:szCs w:val="22"/>
        </w:rPr>
        <w:t>Ⅲ期临床研究</w:t>
      </w:r>
    </w:p>
    <w:p w14:paraId="22E24126">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方案</w:t>
      </w:r>
      <w:r>
        <w:rPr>
          <w:rFonts w:hint="eastAsia" w:ascii="Times New Roman" w:hAnsi="Times New Roman" w:eastAsia="宋体" w:cs="Times New Roman"/>
          <w:kern w:val="2"/>
          <w:sz w:val="24"/>
          <w:szCs w:val="22"/>
        </w:rPr>
        <w:t>编号</w:t>
      </w:r>
      <w:r>
        <w:rPr>
          <w:rFonts w:ascii="Times New Roman" w:hAnsi="Times New Roman" w:eastAsia="宋体" w:cs="Times New Roman"/>
          <w:kern w:val="2"/>
          <w:sz w:val="24"/>
          <w:szCs w:val="22"/>
        </w:rPr>
        <w:t>：D001-02-002</w:t>
      </w:r>
    </w:p>
    <w:p w14:paraId="5CEA2100">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方案版本号：1.0</w:t>
      </w:r>
    </w:p>
    <w:p w14:paraId="1D00E0CF">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方案版本日期：2025</w:t>
      </w:r>
      <w:r>
        <w:rPr>
          <w:rFonts w:hint="eastAsia" w:ascii="Times New Roman" w:hAnsi="Times New Roman" w:eastAsia="宋体" w:cs="Times New Roman"/>
          <w:kern w:val="2"/>
          <w:sz w:val="24"/>
          <w:szCs w:val="22"/>
        </w:rPr>
        <w:t>年</w:t>
      </w:r>
      <w:r>
        <w:rPr>
          <w:rFonts w:ascii="Times New Roman" w:hAnsi="Times New Roman" w:eastAsia="宋体" w:cs="Times New Roman"/>
          <w:kern w:val="2"/>
          <w:sz w:val="24"/>
          <w:szCs w:val="22"/>
        </w:rPr>
        <w:t>12月10日</w:t>
      </w:r>
    </w:p>
    <w:p w14:paraId="45BD1694">
      <w:pPr>
        <w:spacing w:line="360" w:lineRule="auto"/>
        <w:ind w:firstLine="480" w:firstLineChars="200"/>
        <w:jc w:val="both"/>
        <w:rPr>
          <w:rFonts w:ascii="Times New Roman" w:hAnsi="Times New Roman" w:eastAsia="宋体" w:cs="Times New Roman"/>
          <w:kern w:val="2"/>
          <w:sz w:val="24"/>
          <w:szCs w:val="22"/>
        </w:rPr>
      </w:pPr>
    </w:p>
    <w:p w14:paraId="0217FA25">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 xml:space="preserve">合同研究组织申明： </w:t>
      </w:r>
    </w:p>
    <w:p w14:paraId="6CE410C4">
      <w:pPr>
        <w:spacing w:line="360" w:lineRule="auto"/>
        <w:ind w:firstLine="480" w:firstLineChars="200"/>
        <w:jc w:val="both"/>
        <w:rPr>
          <w:rFonts w:ascii="Times New Roman" w:hAnsi="Times New Roman" w:eastAsia="宋体" w:cs="Times New Roman"/>
          <w:kern w:val="2"/>
          <w:sz w:val="24"/>
          <w:szCs w:val="22"/>
        </w:rPr>
      </w:pPr>
      <w:r>
        <w:rPr>
          <w:rFonts w:ascii="Times New Roman" w:hAnsi="Times New Roman" w:eastAsia="宋体" w:cs="Times New Roman"/>
          <w:kern w:val="2"/>
          <w:sz w:val="24"/>
          <w:szCs w:val="22"/>
        </w:rPr>
        <w:t>作为合同研究组织，将根据《药物临床试验质量管理规范》的规定及赫尔辛基宣言，认真履行监查职责，保证遵循已批准的方案实施本项临床试验，保证临床试验中</w:t>
      </w:r>
      <w:r>
        <w:rPr>
          <w:rFonts w:hint="eastAsia" w:ascii="Times New Roman" w:hAnsi="Times New Roman" w:eastAsia="宋体" w:cs="Times New Roman"/>
          <w:kern w:val="2"/>
          <w:sz w:val="24"/>
          <w:szCs w:val="22"/>
        </w:rPr>
        <w:t>参与者</w:t>
      </w:r>
      <w:r>
        <w:rPr>
          <w:rFonts w:ascii="Times New Roman" w:hAnsi="Times New Roman" w:eastAsia="宋体" w:cs="Times New Roman"/>
          <w:kern w:val="2"/>
          <w:sz w:val="24"/>
          <w:szCs w:val="22"/>
        </w:rPr>
        <w:t>权益得到保障，试验记录与报告准确、完整、无误。</w:t>
      </w:r>
    </w:p>
    <w:p w14:paraId="0464194F">
      <w:pPr>
        <w:spacing w:line="360" w:lineRule="auto"/>
        <w:ind w:firstLine="480" w:firstLineChars="200"/>
        <w:jc w:val="both"/>
        <w:rPr>
          <w:rFonts w:ascii="Times New Roman" w:hAnsi="Times New Roman" w:eastAsia="宋体" w:cs="Times New Roman"/>
          <w:kern w:val="2"/>
          <w:sz w:val="24"/>
          <w:szCs w:val="22"/>
        </w:rPr>
      </w:pPr>
    </w:p>
    <w:p w14:paraId="0F2B97AF">
      <w:pPr>
        <w:snapToGrid w:val="0"/>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合同研究组织：</w:t>
      </w:r>
      <w:r>
        <w:rPr>
          <w:rFonts w:hint="eastAsia" w:ascii="Times New Roman" w:hAnsi="Times New Roman" w:eastAsia="宋体" w:cs="Times New Roman"/>
          <w:bCs/>
          <w:sz w:val="24"/>
          <w:szCs w:val="21"/>
          <w:lang w:bidi="en-US"/>
        </w:rPr>
        <w:t>苏州科林利康医药科技股份有限公司</w:t>
      </w:r>
    </w:p>
    <w:p w14:paraId="1666DFF4">
      <w:pPr>
        <w:snapToGrid w:val="0"/>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负责人：</w:t>
      </w:r>
      <w:r>
        <w:rPr>
          <w:rFonts w:hint="eastAsia" w:ascii="Times New Roman" w:hAnsi="Times New Roman" w:eastAsia="宋体" w:cs="Times New Roman"/>
          <w:bCs/>
          <w:sz w:val="24"/>
          <w:szCs w:val="21"/>
          <w:lang w:bidi="en-US"/>
        </w:rPr>
        <w:t>林晶晶</w:t>
      </w:r>
    </w:p>
    <w:p w14:paraId="03AA6325">
      <w:pPr>
        <w:snapToGrid w:val="0"/>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联系电话：15634105362</w:t>
      </w:r>
    </w:p>
    <w:p w14:paraId="3AAA2B34">
      <w:pPr>
        <w:spacing w:line="360" w:lineRule="auto"/>
        <w:jc w:val="both"/>
        <w:rPr>
          <w:rFonts w:ascii="Times New Roman" w:hAnsi="Times New Roman" w:eastAsia="宋体" w:cs="Times New Roman"/>
          <w:bCs/>
          <w:sz w:val="24"/>
          <w:szCs w:val="21"/>
          <w:lang w:bidi="en-US"/>
        </w:rPr>
      </w:pPr>
      <w:r>
        <w:rPr>
          <w:rFonts w:ascii="Times New Roman" w:hAnsi="Times New Roman" w:eastAsia="宋体" w:cs="Times New Roman"/>
          <w:bCs/>
          <w:sz w:val="24"/>
          <w:szCs w:val="21"/>
          <w:lang w:bidi="en-US"/>
        </w:rPr>
        <w:t>地址：</w:t>
      </w:r>
      <w:r>
        <w:rPr>
          <w:rFonts w:hint="eastAsia" w:ascii="Times New Roman" w:hAnsi="Times New Roman" w:eastAsia="宋体" w:cs="Times New Roman"/>
          <w:kern w:val="2"/>
          <w:sz w:val="24"/>
          <w:szCs w:val="22"/>
        </w:rPr>
        <w:t>中国（江苏）自由贸易试验区苏州片区苏州工业园区裕新路</w:t>
      </w:r>
      <w:r>
        <w:rPr>
          <w:rFonts w:ascii="Times New Roman" w:hAnsi="Times New Roman" w:eastAsia="宋体" w:cs="Times New Roman"/>
          <w:kern w:val="2"/>
          <w:sz w:val="24"/>
          <w:szCs w:val="22"/>
        </w:rPr>
        <w:t>108</w:t>
      </w:r>
      <w:r>
        <w:rPr>
          <w:rFonts w:hint="eastAsia" w:ascii="Times New Roman" w:hAnsi="Times New Roman" w:eastAsia="宋体" w:cs="Times New Roman"/>
          <w:kern w:val="2"/>
          <w:sz w:val="24"/>
          <w:szCs w:val="22"/>
        </w:rPr>
        <w:t>号</w:t>
      </w:r>
      <w:r>
        <w:rPr>
          <w:rFonts w:ascii="Times New Roman" w:hAnsi="Times New Roman" w:eastAsia="宋体" w:cs="Times New Roman"/>
          <w:kern w:val="2"/>
          <w:sz w:val="24"/>
          <w:szCs w:val="22"/>
        </w:rPr>
        <w:t>1</w:t>
      </w:r>
      <w:r>
        <w:rPr>
          <w:rFonts w:hint="eastAsia" w:ascii="Times New Roman" w:hAnsi="Times New Roman" w:eastAsia="宋体" w:cs="Times New Roman"/>
          <w:kern w:val="2"/>
          <w:sz w:val="24"/>
          <w:szCs w:val="22"/>
        </w:rPr>
        <w:t>号楼</w:t>
      </w:r>
      <w:r>
        <w:rPr>
          <w:rFonts w:ascii="Times New Roman" w:hAnsi="Times New Roman" w:eastAsia="宋体" w:cs="Times New Roman"/>
          <w:kern w:val="2"/>
          <w:sz w:val="24"/>
          <w:szCs w:val="22"/>
        </w:rPr>
        <w:t>A</w:t>
      </w:r>
      <w:r>
        <w:rPr>
          <w:rFonts w:hint="eastAsia" w:ascii="Times New Roman" w:hAnsi="Times New Roman" w:eastAsia="宋体" w:cs="Times New Roman"/>
          <w:kern w:val="2"/>
          <w:sz w:val="24"/>
          <w:szCs w:val="22"/>
        </w:rPr>
        <w:t>栋</w:t>
      </w:r>
      <w:r>
        <w:rPr>
          <w:rFonts w:ascii="Times New Roman" w:hAnsi="Times New Roman" w:eastAsia="宋体" w:cs="Times New Roman"/>
          <w:kern w:val="2"/>
          <w:sz w:val="24"/>
          <w:szCs w:val="22"/>
        </w:rPr>
        <w:t>2</w:t>
      </w:r>
      <w:r>
        <w:rPr>
          <w:rFonts w:hint="eastAsia" w:ascii="Times New Roman" w:hAnsi="Times New Roman" w:eastAsia="宋体" w:cs="Times New Roman"/>
          <w:kern w:val="2"/>
          <w:sz w:val="24"/>
          <w:szCs w:val="22"/>
        </w:rPr>
        <w:t>楼</w:t>
      </w:r>
      <w:r>
        <w:rPr>
          <w:rFonts w:ascii="Times New Roman" w:hAnsi="Times New Roman" w:eastAsia="宋体" w:cs="Times New Roman"/>
          <w:kern w:val="2"/>
          <w:sz w:val="24"/>
          <w:szCs w:val="22"/>
        </w:rPr>
        <w:t>209</w:t>
      </w:r>
      <w:r>
        <w:rPr>
          <w:rFonts w:hint="eastAsia" w:ascii="Times New Roman" w:hAnsi="Times New Roman" w:eastAsia="宋体" w:cs="Times New Roman"/>
          <w:kern w:val="2"/>
          <w:sz w:val="24"/>
          <w:szCs w:val="22"/>
        </w:rPr>
        <w:t>室</w:t>
      </w:r>
    </w:p>
    <w:p w14:paraId="2D483C8A">
      <w:pPr>
        <w:snapToGrid w:val="0"/>
        <w:spacing w:line="360" w:lineRule="auto"/>
        <w:ind w:firstLine="480" w:firstLineChars="200"/>
        <w:jc w:val="both"/>
        <w:rPr>
          <w:rFonts w:ascii="Times New Roman" w:hAnsi="Times New Roman" w:eastAsia="宋体" w:cs="Times New Roman"/>
          <w:bCs/>
          <w:sz w:val="24"/>
          <w:szCs w:val="21"/>
          <w:lang w:bidi="en-US"/>
        </w:rPr>
      </w:pPr>
    </w:p>
    <w:p w14:paraId="47473B05">
      <w:pPr>
        <w:spacing w:line="360" w:lineRule="auto"/>
        <w:jc w:val="both"/>
        <w:rPr>
          <w:rFonts w:ascii="Times New Roman" w:hAnsi="Times New Roman" w:eastAsia="宋体" w:cs="Times New Roman"/>
          <w:kern w:val="2"/>
          <w:sz w:val="24"/>
          <w:szCs w:val="22"/>
        </w:rPr>
      </w:pPr>
      <w:r>
        <w:rPr>
          <w:rFonts w:ascii="Times New Roman" w:hAnsi="Times New Roman" w:eastAsia="宋体" w:cs="Times New Roman"/>
          <w:bCs/>
          <w:sz w:val="24"/>
          <w:szCs w:val="21"/>
          <w:lang w:bidi="en-US"/>
        </w:rPr>
        <w:t>（签字）：____________ 签字日期  ______年___月___日</w:t>
      </w:r>
    </w:p>
    <w:p w14:paraId="567E0B65">
      <w:pPr>
        <w:topLinePunct/>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0EB22DF5">
      <w:pPr>
        <w:pStyle w:val="4"/>
        <w:spacing w:before="1"/>
        <w:jc w:val="both"/>
        <w:rPr>
          <w:rFonts w:ascii="Times New Roman" w:hAnsi="Times New Roman" w:cs="Times New Roman"/>
          <w:b/>
          <w:i w:val="0"/>
          <w:sz w:val="24"/>
        </w:rPr>
        <w:sectPr>
          <w:pgSz w:w="11910" w:h="16840"/>
          <w:pgMar w:top="1701" w:right="1418" w:bottom="1418" w:left="1418" w:header="850" w:footer="850" w:gutter="284"/>
          <w:cols w:space="720" w:num="1"/>
          <w:docGrid w:linePitch="299" w:charSpace="0"/>
        </w:sectPr>
      </w:pPr>
    </w:p>
    <w:sdt>
      <w:sdtPr>
        <w:rPr>
          <w:rFonts w:ascii="Times New Roman" w:hAnsi="Times New Roman" w:eastAsia="黑体" w:cs="Times New Roman"/>
          <w:i w:val="0"/>
          <w:iCs/>
          <w:color w:val="auto"/>
          <w:sz w:val="22"/>
          <w:szCs w:val="20"/>
          <w:lang w:val="zh-CN"/>
        </w:rPr>
        <w:id w:val="362205038"/>
        <w:docPartObj>
          <w:docPartGallery w:val="Table of Contents"/>
          <w:docPartUnique/>
        </w:docPartObj>
      </w:sdtPr>
      <w:sdtEndPr>
        <w:rPr>
          <w:rFonts w:ascii="Times New Roman" w:hAnsi="Times New Roman" w:eastAsia="宋体" w:cs="Times New Roman"/>
          <w:b/>
          <w:i w:val="0"/>
          <w:iCs/>
          <w:color w:val="000000" w:themeColor="text1"/>
          <w:sz w:val="21"/>
          <w:szCs w:val="20"/>
          <w:lang w:val="zh-CN"/>
          <w14:textFill>
            <w14:solidFill>
              <w14:schemeClr w14:val="tx1"/>
            </w14:solidFill>
          </w14:textFill>
        </w:rPr>
      </w:sdtEndPr>
      <w:sdtContent>
        <w:sdt>
          <w:sdtPr>
            <w:rPr>
              <w:rFonts w:ascii="Times New Roman" w:hAnsi="Times New Roman" w:eastAsia="黑体" w:cs="Times New Roman"/>
              <w:i w:val="0"/>
              <w:iCs/>
              <w:color w:val="auto"/>
              <w:sz w:val="22"/>
              <w:szCs w:val="20"/>
              <w:lang w:val="zh-CN"/>
            </w:rPr>
            <w:id w:val="1341580517"/>
            <w:docPartObj>
              <w:docPartGallery w:val="Table of Contents"/>
              <w:docPartUnique/>
            </w:docPartObj>
          </w:sdtPr>
          <w:sdtEndPr>
            <w:rPr>
              <w:rFonts w:ascii="Times New Roman" w:hAnsi="Times New Roman" w:eastAsia="宋体" w:cs="Times New Roman"/>
              <w:b/>
              <w:i w:val="0"/>
              <w:iCs w:val="0"/>
              <w:color w:val="000000" w:themeColor="text1"/>
              <w:sz w:val="21"/>
              <w:szCs w:val="20"/>
              <w:lang w:val="zh-CN"/>
              <w14:textFill>
                <w14:solidFill>
                  <w14:schemeClr w14:val="tx1"/>
                </w14:solidFill>
              </w14:textFill>
            </w:rPr>
          </w:sdtEndPr>
          <w:sdtContent>
            <w:sdt>
              <w:sdtPr>
                <w:rPr>
                  <w:rFonts w:ascii="Times New Roman" w:hAnsi="Times New Roman" w:eastAsia="黑体" w:cs="Times New Roman"/>
                  <w:i w:val="0"/>
                  <w:iCs/>
                  <w:color w:val="auto"/>
                  <w:sz w:val="22"/>
                  <w:szCs w:val="20"/>
                  <w:lang w:val="zh-CN"/>
                </w:rPr>
                <w:id w:val="522614333"/>
                <w:docPartObj>
                  <w:docPartGallery w:val="Table of Contents"/>
                  <w:docPartUnique/>
                </w:docPartObj>
              </w:sdtPr>
              <w:sdtEndPr>
                <w:rPr>
                  <w:rFonts w:ascii="Times New Roman" w:hAnsi="Times New Roman" w:eastAsia="宋体" w:cs="Times New Roman"/>
                  <w:b/>
                  <w:bCs/>
                  <w:i w:val="0"/>
                  <w:iCs/>
                  <w:color w:val="000000" w:themeColor="text1"/>
                  <w:sz w:val="21"/>
                  <w:szCs w:val="21"/>
                  <w:lang w:val="zh-CN"/>
                  <w14:textFill>
                    <w14:solidFill>
                      <w14:schemeClr w14:val="tx1"/>
                    </w14:solidFill>
                  </w14:textFill>
                </w:rPr>
              </w:sdtEndPr>
              <w:sdtContent>
                <w:p w14:paraId="50BEA320">
                  <w:pPr>
                    <w:pStyle w:val="119"/>
                    <w:jc w:val="center"/>
                    <w:rPr>
                      <w:rFonts w:ascii="Times New Roman" w:hAnsi="Times New Roman" w:eastAsia="宋体" w:cs="Times New Roman"/>
                      <w:b/>
                      <w:i w:val="0"/>
                      <w:iCs/>
                      <w:color w:val="000000" w:themeColor="text1"/>
                      <w:sz w:val="28"/>
                      <w:szCs w:val="28"/>
                      <w:lang w:val="zh-CN"/>
                      <w14:textFill>
                        <w14:solidFill>
                          <w14:schemeClr w14:val="tx1"/>
                        </w14:solidFill>
                      </w14:textFill>
                    </w:rPr>
                  </w:pPr>
                  <w:r>
                    <w:rPr>
                      <w:rFonts w:ascii="Times New Roman" w:hAnsi="Times New Roman" w:eastAsia="宋体" w:cs="Times New Roman"/>
                      <w:b/>
                      <w:i w:val="0"/>
                      <w:iCs/>
                      <w:color w:val="000000" w:themeColor="text1"/>
                      <w:sz w:val="28"/>
                      <w:szCs w:val="28"/>
                      <w:lang w:val="zh-CN"/>
                      <w14:textFill>
                        <w14:solidFill>
                          <w14:schemeClr w14:val="tx1"/>
                        </w14:solidFill>
                      </w14:textFill>
                    </w:rPr>
                    <w:t>目 录</w:t>
                  </w:r>
                </w:p>
                <w:p w14:paraId="300CE3DF">
                  <w:pPr>
                    <w:rPr>
                      <w:rFonts w:ascii="Times New Roman" w:hAnsi="Times New Roman" w:eastAsia="宋体" w:cs="Times New Roman"/>
                      <w:sz w:val="21"/>
                      <w:szCs w:val="21"/>
                      <w:lang w:val="zh-CN"/>
                    </w:rPr>
                  </w:pPr>
                </w:p>
                <w:p w14:paraId="0CD691B2">
                  <w:pPr>
                    <w:pStyle w:val="59"/>
                    <w:tabs>
                      <w:tab w:val="right" w:leader="dot" w:pos="8780"/>
                    </w:tabs>
                    <w:spacing w:line="276" w:lineRule="auto"/>
                    <w:ind w:firstLine="480"/>
                    <w:rPr>
                      <w:rFonts w:cs="Times New Roman"/>
                      <w:color w:val="auto"/>
                      <w:kern w:val="2"/>
                      <w:sz w:val="24"/>
                      <w:szCs w:val="24"/>
                      <w14:ligatures w14:val="standardContextual"/>
                    </w:rPr>
                  </w:pPr>
                  <w:r>
                    <w:rPr>
                      <w:rFonts w:cs="Times New Roman"/>
                      <w:sz w:val="24"/>
                      <w:szCs w:val="24"/>
                    </w:rPr>
                    <w:fldChar w:fldCharType="begin"/>
                  </w:r>
                  <w:r>
                    <w:rPr>
                      <w:rFonts w:cs="Times New Roman"/>
                      <w:sz w:val="24"/>
                      <w:szCs w:val="24"/>
                    </w:rPr>
                    <w:instrText xml:space="preserve"> TOC \o "1-3" \h \z \u </w:instrText>
                  </w:r>
                  <w:r>
                    <w:rPr>
                      <w:rFonts w:cs="Times New Roman"/>
                      <w:sz w:val="24"/>
                      <w:szCs w:val="24"/>
                    </w:rPr>
                    <w:fldChar w:fldCharType="separate"/>
                  </w:r>
                  <w:r>
                    <w:fldChar w:fldCharType="begin"/>
                  </w:r>
                  <w:r>
                    <w:instrText xml:space="preserve"> HYPERLINK \l "_Toc217032194" </w:instrText>
                  </w:r>
                  <w:r>
                    <w:fldChar w:fldCharType="separate"/>
                  </w:r>
                  <w:r>
                    <w:rPr>
                      <w:rStyle w:val="94"/>
                      <w:rFonts w:cs="Times New Roman"/>
                      <w:sz w:val="24"/>
                      <w:szCs w:val="24"/>
                    </w:rPr>
                    <w:t>合规性声明</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_Toc217032194 \h </w:instrText>
                  </w:r>
                  <w:r>
                    <w:rPr>
                      <w:rFonts w:cs="Times New Roman"/>
                      <w:sz w:val="24"/>
                      <w:szCs w:val="24"/>
                    </w:rPr>
                    <w:fldChar w:fldCharType="separate"/>
                  </w:r>
                  <w:r>
                    <w:rPr>
                      <w:rFonts w:cs="Times New Roman"/>
                      <w:sz w:val="24"/>
                      <w:szCs w:val="24"/>
                    </w:rPr>
                    <w:t>11</w:t>
                  </w:r>
                  <w:r>
                    <w:rPr>
                      <w:rFonts w:cs="Times New Roman"/>
                      <w:sz w:val="24"/>
                      <w:szCs w:val="24"/>
                    </w:rPr>
                    <w:fldChar w:fldCharType="end"/>
                  </w:r>
                  <w:r>
                    <w:rPr>
                      <w:rFonts w:cs="Times New Roman"/>
                      <w:sz w:val="24"/>
                      <w:szCs w:val="24"/>
                    </w:rPr>
                    <w:fldChar w:fldCharType="end"/>
                  </w:r>
                </w:p>
                <w:p w14:paraId="1EA00832">
                  <w:pPr>
                    <w:pStyle w:val="59"/>
                    <w:tabs>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"_Toc217032195" </w:instrText>
                  </w:r>
                  <w:r>
                    <w:fldChar w:fldCharType="separate"/>
                  </w:r>
                  <w:r>
                    <w:rPr>
                      <w:rStyle w:val="94"/>
                      <w:rFonts w:cs="Times New Roman"/>
                      <w:sz w:val="24"/>
                      <w:szCs w:val="24"/>
                    </w:rPr>
                    <w:t>缩略语</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_Toc217032195 \h </w:instrText>
                  </w:r>
                  <w:r>
                    <w:rPr>
                      <w:rFonts w:cs="Times New Roman"/>
                      <w:sz w:val="24"/>
                      <w:szCs w:val="24"/>
                    </w:rPr>
                    <w:fldChar w:fldCharType="separate"/>
                  </w:r>
                  <w:r>
                    <w:rPr>
                      <w:rFonts w:cs="Times New Roman"/>
                      <w:sz w:val="24"/>
                      <w:szCs w:val="24"/>
                    </w:rPr>
                    <w:t>12</w:t>
                  </w:r>
                  <w:r>
                    <w:rPr>
                      <w:rFonts w:cs="Times New Roman"/>
                      <w:sz w:val="24"/>
                      <w:szCs w:val="24"/>
                    </w:rPr>
                    <w:fldChar w:fldCharType="end"/>
                  </w:r>
                  <w:r>
                    <w:rPr>
                      <w:rFonts w:cs="Times New Roman"/>
                      <w:sz w:val="24"/>
                      <w:szCs w:val="24"/>
                    </w:rPr>
                    <w:fldChar w:fldCharType="end"/>
                  </w:r>
                </w:p>
                <w:p w14:paraId="7C673848">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"_Toc217032196" </w:instrText>
                  </w:r>
                  <w:r>
                    <w:fldChar w:fldCharType="separate"/>
                  </w:r>
                  <w:r>
                    <w:rPr>
                      <w:rStyle w:val="94"/>
                      <w:rFonts w:cs="Times New Roman"/>
                      <w:sz w:val="24"/>
                      <w:szCs w:val="24"/>
                    </w:rPr>
                    <w:t>1.</w:t>
                  </w:r>
                  <w:r>
                    <w:rPr>
                      <w:rFonts w:cs="Times New Roman"/>
                      <w:color w:val="auto"/>
                      <w:kern w:val="2"/>
                      <w:sz w:val="24"/>
                      <w:szCs w:val="24"/>
                      <w14:ligatures w14:val="standardContextual"/>
                    </w:rPr>
                    <w:tab/>
                  </w:r>
                  <w:r>
                    <w:rPr>
                      <w:rStyle w:val="94"/>
                      <w:rFonts w:cs="Times New Roman"/>
                      <w:sz w:val="24"/>
                      <w:szCs w:val="24"/>
                    </w:rPr>
                    <w:t>方案摘要</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_Toc217032196 \h </w:instrText>
                  </w:r>
                  <w:r>
                    <w:rPr>
                      <w:rFonts w:cs="Times New Roman"/>
                      <w:sz w:val="24"/>
                      <w:szCs w:val="24"/>
                    </w:rPr>
                    <w:fldChar w:fldCharType="separate"/>
                  </w:r>
                  <w:r>
                    <w:rPr>
                      <w:rFonts w:cs="Times New Roman"/>
                      <w:sz w:val="24"/>
                      <w:szCs w:val="24"/>
                    </w:rPr>
                    <w:t>15</w:t>
                  </w:r>
                  <w:r>
                    <w:rPr>
                      <w:rFonts w:cs="Times New Roman"/>
                      <w:sz w:val="24"/>
                      <w:szCs w:val="24"/>
                    </w:rPr>
                    <w:fldChar w:fldCharType="end"/>
                  </w:r>
                  <w:r>
                    <w:rPr>
                      <w:rFonts w:cs="Times New Roman"/>
                      <w:sz w:val="24"/>
                      <w:szCs w:val="24"/>
                    </w:rPr>
                    <w:fldChar w:fldCharType="end"/>
                  </w:r>
                </w:p>
                <w:p w14:paraId="1EE7255C">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"_Toc217032197" </w:instrText>
                  </w:r>
                  <w:r>
                    <w:fldChar w:fldCharType="separate"/>
                  </w:r>
                  <w:r>
                    <w:rPr>
                      <w:rStyle w:val="94"/>
                      <w:rFonts w:ascii="Times New Roman" w:hAnsi="Times New Roman" w:eastAsia="宋体" w:cs="Times New Roman"/>
                      <w:sz w:val="24"/>
                      <w:szCs w:val="24"/>
                    </w:rPr>
                    <w:t>1.1.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概要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_Toc217032197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490EFFF">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"_Toc217032198" </w:instrText>
                  </w:r>
                  <w:r>
                    <w:fldChar w:fldCharType="separate"/>
                  </w:r>
                  <w:r>
                    <w:rPr>
                      <w:rStyle w:val="94"/>
                      <w:rFonts w:ascii="Times New Roman" w:hAnsi="Times New Roman" w:eastAsia="宋体" w:cs="Times New Roman"/>
                      <w:sz w:val="24"/>
                      <w:szCs w:val="24"/>
                    </w:rPr>
                    <w:t>1.2.</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研究示意图</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_Toc217032198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753DE9A">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"_Toc217032199" </w:instrText>
                  </w:r>
                  <w:r>
                    <w:fldChar w:fldCharType="separate"/>
                  </w:r>
                  <w:r>
                    <w:rPr>
                      <w:rStyle w:val="94"/>
                      <w:rFonts w:ascii="Times New Roman" w:hAnsi="Times New Roman" w:eastAsia="宋体" w:cs="Times New Roman"/>
                      <w:sz w:val="24"/>
                      <w:szCs w:val="24"/>
                    </w:rPr>
                    <w:t>1.3.</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研究流程表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_Toc217032199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78FB967">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"_Toc217032200" </w:instrText>
                  </w:r>
                  <w:r>
                    <w:fldChar w:fldCharType="separate"/>
                  </w:r>
                  <w:r>
                    <w:rPr>
                      <w:rStyle w:val="94"/>
                      <w:rFonts w:cs="Times New Roman"/>
                      <w:sz w:val="24"/>
                      <w:szCs w:val="24"/>
                    </w:rPr>
                    <w:t>2.</w:t>
                  </w:r>
                  <w:r>
                    <w:rPr>
                      <w:rFonts w:cs="Times New Roman"/>
                      <w:color w:val="auto"/>
                      <w:kern w:val="2"/>
                      <w:sz w:val="24"/>
                      <w:szCs w:val="24"/>
                      <w14:ligatures w14:val="standardContextual"/>
                    </w:rPr>
                    <w:tab/>
                  </w:r>
                  <w:r>
                    <w:rPr>
                      <w:rStyle w:val="94"/>
                      <w:rFonts w:cs="Times New Roman"/>
                      <w:sz w:val="24"/>
                      <w:szCs w:val="24"/>
                    </w:rPr>
                    <w:t>研究背景和立项依据</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_Toc217032200 \h </w:instrText>
                  </w:r>
                  <w:r>
                    <w:rPr>
                      <w:rFonts w:cs="Times New Roman"/>
                      <w:sz w:val="24"/>
                      <w:szCs w:val="24"/>
                    </w:rPr>
                    <w:fldChar w:fldCharType="separate"/>
                  </w:r>
                  <w:r>
                    <w:rPr>
                      <w:rFonts w:cs="Times New Roman"/>
                      <w:sz w:val="24"/>
                      <w:szCs w:val="24"/>
                    </w:rPr>
                    <w:t>43</w:t>
                  </w:r>
                  <w:r>
                    <w:rPr>
                      <w:rFonts w:cs="Times New Roman"/>
                      <w:sz w:val="24"/>
                      <w:szCs w:val="24"/>
                    </w:rPr>
                    <w:fldChar w:fldCharType="end"/>
                  </w:r>
                  <w:r>
                    <w:rPr>
                      <w:rFonts w:cs="Times New Roman"/>
                      <w:sz w:val="24"/>
                      <w:szCs w:val="24"/>
                    </w:rPr>
                    <w:fldChar w:fldCharType="end"/>
                  </w:r>
                </w:p>
                <w:p w14:paraId="7FC856C4">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"_Toc217032201" </w:instrText>
                  </w:r>
                  <w:r>
                    <w:fldChar w:fldCharType="separate"/>
                  </w:r>
                  <w:r>
                    <w:rPr>
                      <w:rStyle w:val="94"/>
                      <w:rFonts w:ascii="Times New Roman" w:hAnsi="Times New Roman" w:eastAsia="宋体" w:cs="Times New Roman"/>
                      <w:sz w:val="24"/>
                      <w:szCs w:val="24"/>
                    </w:rPr>
                    <w:t>2.1.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疾病背景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_Toc217032201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3B59FCE">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"_Toc217032202" </w:instrText>
                  </w:r>
                  <w:r>
                    <w:fldChar w:fldCharType="separate"/>
                  </w:r>
                  <w:r>
                    <w:rPr>
                      <w:rStyle w:val="94"/>
                      <w:rFonts w:ascii="Times New Roman" w:hAnsi="Times New Roman" w:eastAsia="宋体" w:cs="Times New Roman"/>
                      <w:sz w:val="24"/>
                      <w:szCs w:val="24"/>
                    </w:rPr>
                    <w:t>2.2.</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研究药物背景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_Toc217032202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9C06C64">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"_Toc217032203" </w:instrText>
                  </w:r>
                  <w:r>
                    <w:fldChar w:fldCharType="separate"/>
                  </w:r>
                  <w:r>
                    <w:rPr>
                      <w:rStyle w:val="94"/>
                      <w:rFonts w:ascii="Times New Roman" w:hAnsi="Times New Roman" w:eastAsia="宋体" w:cs="Times New Roman"/>
                      <w:bCs/>
                      <w:sz w:val="24"/>
                      <w:szCs w:val="24"/>
                    </w:rPr>
                    <w:t>2.2.1.</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TYK2抑制剂</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_Toc217032203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44</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560B07E7">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"_Toc217032204" </w:instrText>
                  </w:r>
                  <w:r>
                    <w:fldChar w:fldCharType="separate"/>
                  </w:r>
                  <w:r>
                    <w:rPr>
                      <w:rStyle w:val="94"/>
                      <w:rFonts w:ascii="Times New Roman" w:hAnsi="Times New Roman" w:eastAsia="宋体" w:cs="Times New Roman"/>
                      <w:bCs/>
                      <w:sz w:val="24"/>
                      <w:szCs w:val="24"/>
                    </w:rPr>
                    <w:t>2.2.2.</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CMS-D001片</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_Toc217032204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44</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003AFF04">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"_Toc217032205" </w:instrText>
                  </w:r>
                  <w:r>
                    <w:fldChar w:fldCharType="separate"/>
                  </w:r>
                  <w:r>
                    <w:rPr>
                      <w:rStyle w:val="94"/>
                      <w:rFonts w:ascii="Times New Roman" w:hAnsi="Times New Roman" w:eastAsia="宋体" w:cs="Times New Roman"/>
                      <w:bCs/>
                      <w:sz w:val="24"/>
                      <w:szCs w:val="24"/>
                    </w:rPr>
                    <w:t>2.2.2.1.</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临床前研究概述</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_Toc217032205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45</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7255E49D">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"_Toc217032206" </w:instrText>
                  </w:r>
                  <w:r>
                    <w:fldChar w:fldCharType="separate"/>
                  </w:r>
                  <w:r>
                    <w:rPr>
                      <w:rStyle w:val="94"/>
                      <w:rFonts w:ascii="Times New Roman" w:hAnsi="Times New Roman" w:eastAsia="宋体" w:cs="Times New Roman"/>
                      <w:bCs/>
                      <w:sz w:val="24"/>
                      <w:szCs w:val="24"/>
                    </w:rPr>
                    <w:t>2.2.2.1.1.</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药理学</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_Toc217032206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45</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643042A9">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"_Toc217032207" </w:instrText>
                  </w:r>
                  <w:r>
                    <w:fldChar w:fldCharType="separate"/>
                  </w:r>
                  <w:r>
                    <w:rPr>
                      <w:rStyle w:val="94"/>
                      <w:rFonts w:ascii="Times New Roman" w:hAnsi="Times New Roman" w:eastAsia="宋体" w:cs="Times New Roman"/>
                      <w:bCs/>
                      <w:sz w:val="24"/>
                      <w:szCs w:val="24"/>
                    </w:rPr>
                    <w:t>2.2.2.1.2.</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药代动力学</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_Toc217032207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45</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2A7A3DB7">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"_Toc217032208" </w:instrText>
                  </w:r>
                  <w:r>
                    <w:fldChar w:fldCharType="separate"/>
                  </w:r>
                  <w:r>
                    <w:rPr>
                      <w:rStyle w:val="94"/>
                      <w:rFonts w:ascii="Times New Roman" w:hAnsi="Times New Roman" w:eastAsia="宋体" w:cs="Times New Roman"/>
                      <w:bCs/>
                      <w:sz w:val="24"/>
                      <w:szCs w:val="24"/>
                    </w:rPr>
                    <w:t>2.2.2.1.3.</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毒理学</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_Toc217032208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46</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2E9E53AC">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"_Toc217032209" </w:instrText>
                  </w:r>
                  <w:r>
                    <w:fldChar w:fldCharType="separate"/>
                  </w:r>
                  <w:r>
                    <w:rPr>
                      <w:rStyle w:val="94"/>
                      <w:rFonts w:ascii="Times New Roman" w:hAnsi="Times New Roman" w:eastAsia="宋体" w:cs="Times New Roman"/>
                      <w:bCs/>
                      <w:sz w:val="24"/>
                      <w:szCs w:val="24"/>
                    </w:rPr>
                    <w:t>2.2.2.2.</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临床研究概述</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_Toc217032209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48</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0AFCBE30">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"_Toc217032210" </w:instrText>
                  </w:r>
                  <w:r>
                    <w:fldChar w:fldCharType="separate"/>
                  </w:r>
                  <w:r>
                    <w:rPr>
                      <w:rStyle w:val="94"/>
                      <w:rFonts w:ascii="Times New Roman" w:hAnsi="Times New Roman" w:eastAsia="宋体" w:cs="Times New Roman"/>
                      <w:bCs/>
                      <w:sz w:val="24"/>
                      <w:szCs w:val="24"/>
                    </w:rPr>
                    <w:t>2.2.2.2.1.</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健康参与者I期研究</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_Toc217032210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48</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1D18DC9B">
                  <w:pPr>
                    <w:pStyle w:val="75"/>
                    <w:tabs>
                      <w:tab w:val="left" w:pos="2127"/>
                      <w:tab w:val="right" w:leader="dot" w:pos="8780"/>
                    </w:tabs>
                    <w:spacing w:line="276" w:lineRule="auto"/>
                    <w:ind w:left="1100" w:leftChars="500"/>
                    <w:rPr>
                      <w:rStyle w:val="94"/>
                      <w:rFonts w:ascii="Times New Roman" w:hAnsi="Times New Roman" w:cs="Times New Roman"/>
                      <w:bCs/>
                      <w:sz w:val="24"/>
                      <w:szCs w:val="24"/>
                    </w:rPr>
                  </w:pPr>
                  <w:r>
                    <w:fldChar w:fldCharType="begin"/>
                  </w:r>
                  <w:r>
                    <w:instrText xml:space="preserve"> HYPERLINK \l "_Toc217032211" </w:instrText>
                  </w:r>
                  <w:r>
                    <w:fldChar w:fldCharType="separate"/>
                  </w:r>
                  <w:r>
                    <w:rPr>
                      <w:rStyle w:val="94"/>
                      <w:rFonts w:ascii="Times New Roman" w:hAnsi="Times New Roman" w:eastAsia="宋体" w:cs="Times New Roman"/>
                      <w:bCs/>
                      <w:sz w:val="24"/>
                      <w:szCs w:val="24"/>
                    </w:rPr>
                    <w:t>2.2.2.2.2.</w:t>
                  </w:r>
                  <w:r>
                    <w:rPr>
                      <w:rStyle w:val="94"/>
                      <w:rFonts w:ascii="Times New Roman" w:hAnsi="Times New Roman" w:cs="Times New Roman"/>
                      <w:bCs/>
                      <w:sz w:val="24"/>
                      <w:szCs w:val="24"/>
                    </w:rPr>
                    <w:tab/>
                  </w:r>
                  <w:r>
                    <w:rPr>
                      <w:rStyle w:val="94"/>
                      <w:rFonts w:ascii="Times New Roman" w:hAnsi="Times New Roman" w:eastAsia="宋体" w:cs="Times New Roman"/>
                      <w:bCs/>
                      <w:sz w:val="24"/>
                      <w:szCs w:val="24"/>
                    </w:rPr>
                    <w:t>银屑病患者1b期研究</w:t>
                  </w:r>
                  <w:r>
                    <w:rPr>
                      <w:rStyle w:val="94"/>
                      <w:rFonts w:ascii="Times New Roman" w:hAnsi="Times New Roman" w:cs="Times New Roman"/>
                      <w:bCs/>
                      <w:sz w:val="24"/>
                      <w:szCs w:val="24"/>
                    </w:rPr>
                    <w:tab/>
                  </w:r>
                  <w:r>
                    <w:rPr>
                      <w:rStyle w:val="94"/>
                      <w:rFonts w:ascii="Times New Roman" w:hAnsi="Times New Roman" w:cs="Times New Roman"/>
                      <w:bCs/>
                      <w:sz w:val="24"/>
                      <w:szCs w:val="24"/>
                    </w:rPr>
                    <w:fldChar w:fldCharType="begin"/>
                  </w:r>
                  <w:r>
                    <w:rPr>
                      <w:rStyle w:val="94"/>
                      <w:rFonts w:ascii="Times New Roman" w:hAnsi="Times New Roman" w:cs="Times New Roman"/>
                      <w:bCs/>
                      <w:sz w:val="24"/>
                      <w:szCs w:val="24"/>
                    </w:rPr>
                    <w:instrText xml:space="preserve"> PAGEREF _Toc217032211 \h </w:instrText>
                  </w:r>
                  <w:r>
                    <w:rPr>
                      <w:rStyle w:val="94"/>
                      <w:rFonts w:ascii="Times New Roman" w:hAnsi="Times New Roman" w:cs="Times New Roman"/>
                      <w:bCs/>
                      <w:sz w:val="24"/>
                      <w:szCs w:val="24"/>
                    </w:rPr>
                    <w:fldChar w:fldCharType="separate"/>
                  </w:r>
                  <w:r>
                    <w:rPr>
                      <w:rStyle w:val="94"/>
                      <w:rFonts w:ascii="Times New Roman" w:hAnsi="Times New Roman" w:cs="Times New Roman"/>
                      <w:bCs/>
                      <w:sz w:val="24"/>
                      <w:szCs w:val="24"/>
                    </w:rPr>
                    <w:t>50</w:t>
                  </w:r>
                  <w:r>
                    <w:rPr>
                      <w:rStyle w:val="94"/>
                      <w:rFonts w:ascii="Times New Roman" w:hAnsi="Times New Roman" w:cs="Times New Roman"/>
                      <w:bCs/>
                      <w:sz w:val="24"/>
                      <w:szCs w:val="24"/>
                    </w:rPr>
                    <w:fldChar w:fldCharType="end"/>
                  </w:r>
                  <w:r>
                    <w:rPr>
                      <w:rStyle w:val="94"/>
                      <w:rFonts w:ascii="Times New Roman" w:hAnsi="Times New Roman" w:cs="Times New Roman"/>
                      <w:bCs/>
                      <w:sz w:val="24"/>
                      <w:szCs w:val="24"/>
                    </w:rPr>
                    <w:fldChar w:fldCharType="end"/>
                  </w:r>
                </w:p>
                <w:p w14:paraId="5DD3DD61">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"_Toc217032212" </w:instrText>
                  </w:r>
                  <w:r>
                    <w:fldChar w:fldCharType="separate"/>
                  </w:r>
                  <w:r>
                    <w:rPr>
                      <w:rStyle w:val="94"/>
                      <w:rFonts w:ascii="Times New Roman" w:hAnsi="Times New Roman" w:eastAsia="宋体" w:cs="Times New Roman"/>
                      <w:sz w:val="24"/>
                      <w:szCs w:val="24"/>
                    </w:rPr>
                    <w:t>2.3.</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风险/获益评估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_Toc217032212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3E0BF7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"_Toc217032213" </w:instrText>
                  </w:r>
                  <w:r>
                    <w:fldChar w:fldCharType="separate"/>
                  </w:r>
                  <w:r>
                    <w:rPr>
                      <w:rStyle w:val="94"/>
                      <w:rFonts w:ascii="Times New Roman" w:hAnsi="Times New Roman" w:eastAsia="宋体" w:cs="Times New Roman"/>
                      <w:bCs/>
                      <w:sz w:val="24"/>
                      <w:szCs w:val="24"/>
                    </w:rPr>
                    <w:t>2.3.1.</w:t>
                  </w:r>
                  <w:r>
                    <w:rPr>
                      <w:rStyle w:val="94"/>
                      <w:rFonts w:ascii="Times New Roman" w:hAnsi="Times New Roman" w:cs="Times New Roman"/>
                      <w:bCs/>
                    </w:rPr>
                    <w:tab/>
                  </w:r>
                  <w:r>
                    <w:rPr>
                      <w:rStyle w:val="94"/>
                      <w:rFonts w:ascii="Times New Roman" w:hAnsi="Times New Roman" w:eastAsia="宋体" w:cs="Times New Roman"/>
                      <w:bCs/>
                      <w:sz w:val="24"/>
                      <w:szCs w:val="24"/>
                    </w:rPr>
                    <w:t>风险评估</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_Toc217032213 \h </w:instrText>
                  </w:r>
                  <w:r>
                    <w:rPr>
                      <w:rStyle w:val="94"/>
                      <w:rFonts w:ascii="Times New Roman" w:hAnsi="Times New Roman" w:cs="Times New Roman"/>
                      <w:bCs/>
                    </w:rPr>
                    <w:fldChar w:fldCharType="separate"/>
                  </w:r>
                  <w:r>
                    <w:rPr>
                      <w:rStyle w:val="94"/>
                      <w:rFonts w:ascii="Times New Roman" w:hAnsi="Times New Roman" w:cs="Times New Roman"/>
                      <w:bCs/>
                    </w:rPr>
                    <w:t>50</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01ECB7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"_Toc217032214" </w:instrText>
                  </w:r>
                  <w:r>
                    <w:fldChar w:fldCharType="separate"/>
                  </w:r>
                  <w:r>
                    <w:rPr>
                      <w:rStyle w:val="94"/>
                      <w:rFonts w:ascii="Times New Roman" w:hAnsi="Times New Roman" w:eastAsia="宋体" w:cs="Times New Roman"/>
                      <w:bCs/>
                      <w:sz w:val="24"/>
                      <w:szCs w:val="24"/>
                    </w:rPr>
                    <w:t>2.3.2.</w:t>
                  </w:r>
                  <w:r>
                    <w:rPr>
                      <w:rStyle w:val="94"/>
                      <w:rFonts w:ascii="Times New Roman" w:hAnsi="Times New Roman" w:cs="Times New Roman"/>
                      <w:bCs/>
                    </w:rPr>
                    <w:tab/>
                  </w:r>
                  <w:r>
                    <w:rPr>
                      <w:rStyle w:val="94"/>
                      <w:rFonts w:ascii="Times New Roman" w:hAnsi="Times New Roman" w:eastAsia="宋体" w:cs="Times New Roman"/>
                      <w:bCs/>
                      <w:sz w:val="24"/>
                      <w:szCs w:val="24"/>
                    </w:rPr>
                    <w:t>获益</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_Toc217032214 \h </w:instrText>
                  </w:r>
                  <w:r>
                    <w:rPr>
                      <w:rStyle w:val="94"/>
                      <w:rFonts w:ascii="Times New Roman" w:hAnsi="Times New Roman" w:cs="Times New Roman"/>
                      <w:bCs/>
                    </w:rPr>
                    <w:fldChar w:fldCharType="separate"/>
                  </w:r>
                  <w:r>
                    <w:rPr>
                      <w:rStyle w:val="94"/>
                      <w:rFonts w:ascii="Times New Roman" w:hAnsi="Times New Roman" w:cs="Times New Roman"/>
                      <w:bCs/>
                    </w:rPr>
                    <w:t>51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86F8E42">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"_Toc217032215" </w:instrText>
                  </w:r>
                  <w:r>
                    <w:fldChar w:fldCharType="separate"/>
                  </w:r>
                  <w:r>
                    <w:rPr>
                      <w:rStyle w:val="94"/>
                      <w:rFonts w:ascii="Times New Roman" w:hAnsi="Times New Roman" w:eastAsia="宋体" w:cs="Times New Roman"/>
                      <w:bCs/>
                      <w:sz w:val="24"/>
                      <w:szCs w:val="24"/>
                    </w:rPr>
                    <w:t>2.3.3.</w:t>
                  </w:r>
                  <w:r>
                    <w:rPr>
                      <w:rStyle w:val="94"/>
                      <w:rFonts w:ascii="Times New Roman" w:hAnsi="Times New Roman" w:cs="Times New Roman"/>
                      <w:bCs/>
                    </w:rPr>
                    <w:tab/>
                  </w:r>
                  <w:r>
                    <w:rPr>
                      <w:rStyle w:val="94"/>
                      <w:rFonts w:ascii="Times New Roman" w:hAnsi="Times New Roman" w:eastAsia="宋体" w:cs="Times New Roman"/>
                      <w:bCs/>
                      <w:sz w:val="24"/>
                      <w:szCs w:val="24"/>
                    </w:rPr>
                    <w:t>风险和获益的评估</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_Toc217032215 \h </w:instrText>
                  </w:r>
                  <w:r>
                    <w:rPr>
                      <w:rStyle w:val="94"/>
                      <w:rFonts w:ascii="Times New Roman" w:hAnsi="Times New Roman" w:cs="Times New Roman"/>
                      <w:bCs/>
                    </w:rPr>
                    <w:fldChar w:fldCharType="separate"/>
                  </w:r>
                  <w:r>
                    <w:rPr>
                      <w:rStyle w:val="94"/>
                      <w:rFonts w:ascii="Times New Roman" w:hAnsi="Times New Roman" w:cs="Times New Roman"/>
                      <w:bCs/>
                    </w:rPr>
                    <w:t>51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AB15C83">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"_Toc217032216" </w:instrText>
                  </w:r>
                  <w:r>
                    <w:fldChar w:fldCharType="separate"/>
                  </w:r>
                  <w:r>
                    <w:rPr>
                      <w:rStyle w:val="94"/>
                      <w:rFonts w:cs="Times New Roman"/>
                      <w:sz w:val="24"/>
                      <w:szCs w:val="24"/>
                    </w:rPr>
                    <w:t>3.</w:t>
                  </w:r>
                  <w:r>
                    <w:rPr>
                      <w:rFonts w:cs="Times New Roman"/>
                      <w:color w:val="auto"/>
                      <w:kern w:val="2"/>
                      <w:sz w:val="24"/>
                      <w:szCs w:val="24"/>
                      <w14:ligatures w14:val="standardContextual"/>
                    </w:rPr>
                    <w:tab/>
                  </w:r>
                  <w:r>
                    <w:rPr>
                      <w:rStyle w:val="94"/>
                      <w:rFonts w:cs="Times New Roman"/>
                      <w:sz w:val="24"/>
                      <w:szCs w:val="24"/>
                    </w:rPr>
                    <w:t>研究目的与终点</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_Toc217032216 \h </w:instrText>
                  </w:r>
                  <w:r>
                    <w:rPr>
                      <w:rFonts w:cs="Times New Roman"/>
                      <w:sz w:val="24"/>
                      <w:szCs w:val="24"/>
                    </w:rPr>
                    <w:fldChar w:fldCharType="separate"/>
                  </w:r>
                  <w:r>
                    <w:rPr>
                      <w:rFonts w:cs="Times New Roman"/>
                      <w:sz w:val="24"/>
                      <w:szCs w:val="24"/>
                    </w:rPr>
                    <w:t>51</w:t>
                  </w:r>
                  <w:r>
                    <w:rPr>
                      <w:rFonts w:cs="Times New Roman"/>
                      <w:sz w:val="24"/>
                      <w:szCs w:val="24"/>
                    </w:rPr>
                    <w:fldChar w:fldCharType="end"/>
                  </w:r>
                  <w:r>
                    <w:rPr>
                      <w:rFonts w:cs="Times New Roman"/>
                      <w:sz w:val="24"/>
                      <w:szCs w:val="24"/>
                    </w:rPr>
                    <w:fldChar w:fldCharType="end"/>
                  </w:r>
                </w:p>
                <w:p w14:paraId="7136C9FB">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"_Toc217032217" </w:instrText>
                  </w:r>
                  <w:r>
                    <w:fldChar w:fldCharType="separate"/>
                  </w:r>
                  <w:r>
                    <w:rPr>
                      <w:rStyle w:val="94"/>
                      <w:rFonts w:ascii="Times New Roman" w:hAnsi="Times New Roman" w:eastAsia="宋体" w:cs="Times New Roman"/>
                      <w:sz w:val="24"/>
                      <w:szCs w:val="24"/>
                    </w:rPr>
                    <w:t>3.1.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研究目的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_Toc217032217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DEF8B75">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"_Toc217032218" </w:instrText>
                  </w:r>
                  <w:r>
                    <w:fldChar w:fldCharType="separate"/>
                  </w:r>
                  <w:r>
                    <w:rPr>
                      <w:rStyle w:val="94"/>
                      <w:rFonts w:ascii="Times New Roman" w:hAnsi="Times New Roman" w:eastAsia="宋体" w:cs="Times New Roman"/>
                      <w:bCs/>
                      <w:sz w:val="24"/>
                      <w:szCs w:val="24"/>
                    </w:rPr>
                    <w:t>3.1.1.</w:t>
                  </w:r>
                  <w:r>
                    <w:rPr>
                      <w:rStyle w:val="94"/>
                      <w:rFonts w:ascii="Times New Roman" w:hAnsi="Times New Roman" w:cs="Times New Roman"/>
                      <w:bCs/>
                    </w:rPr>
                    <w:tab/>
                  </w:r>
                  <w:r>
                    <w:rPr>
                      <w:rStyle w:val="94"/>
                      <w:rFonts w:ascii="Times New Roman" w:hAnsi="Times New Roman" w:eastAsia="宋体" w:cs="Times New Roman"/>
                      <w:bCs/>
                      <w:sz w:val="24"/>
                      <w:szCs w:val="24"/>
                    </w:rPr>
                    <w:t>Ⅱ期临床研究阶段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_Toc217032218 \h </w:instrText>
                  </w:r>
                  <w:r>
                    <w:rPr>
                      <w:rStyle w:val="94"/>
                      <w:rFonts w:ascii="Times New Roman" w:hAnsi="Times New Roman" w:cs="Times New Roman"/>
                      <w:bCs/>
                    </w:rPr>
                    <w:fldChar w:fldCharType="separate"/>
                  </w:r>
                  <w:r>
                    <w:rPr>
                      <w:rStyle w:val="94"/>
                      <w:rFonts w:ascii="Times New Roman" w:hAnsi="Times New Roman" w:cs="Times New Roman"/>
                      <w:bCs/>
                    </w:rPr>
                    <w:t>51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9C5E949">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"_Toc217032221" </w:instrText>
                  </w:r>
                  <w:r>
                    <w:fldChar w:fldCharType="separate"/>
                  </w:r>
                  <w:r>
                    <w:rPr>
                      <w:rStyle w:val="94"/>
                      <w:rFonts w:ascii="Times New Roman" w:hAnsi="Times New Roman" w:eastAsia="宋体" w:cs="Times New Roman"/>
                      <w:bCs/>
                      <w:sz w:val="24"/>
                      <w:szCs w:val="24"/>
                    </w:rPr>
                    <w:t>3.1.2.</w:t>
                  </w:r>
                  <w:r>
                    <w:rPr>
                      <w:rStyle w:val="94"/>
                      <w:rFonts w:ascii="Times New Roman" w:hAnsi="Times New Roman" w:cs="Times New Roman"/>
                      <w:bCs/>
                    </w:rPr>
                    <w:tab/>
                  </w:r>
                  <w:r>
                    <w:rPr>
                      <w:rStyle w:val="94"/>
                      <w:rFonts w:ascii="Times New Roman" w:hAnsi="Times New Roman" w:eastAsia="宋体" w:cs="Times New Roman"/>
                      <w:bCs/>
                      <w:sz w:val="24"/>
                      <w:szCs w:val="24"/>
                    </w:rPr>
                    <w:t>Ⅲ期临床研究阶段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_Toc217032221 \h </w:instrText>
                  </w:r>
                  <w:r>
                    <w:rPr>
                      <w:rStyle w:val="94"/>
                      <w:rFonts w:ascii="Times New Roman" w:hAnsi="Times New Roman" w:cs="Times New Roman"/>
                      <w:bCs/>
                    </w:rPr>
                    <w:fldChar w:fldCharType="separate"/>
                  </w:r>
                  <w:r>
                    <w:rPr>
                      <w:rStyle w:val="94"/>
                      <w:rFonts w:ascii="Times New Roman" w:hAnsi="Times New Roman" w:cs="Times New Roman"/>
                      <w:bCs/>
                    </w:rPr>
                    <w:t>52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89370EF">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"_Toc217032224" </w:instrText>
                  </w:r>
                  <w:r>
                    <w:fldChar w:fldCharType="separate"/>
                  </w:r>
                  <w:r>
                    <w:rPr>
                      <w:rStyle w:val="94"/>
                      <w:rFonts w:ascii="Times New Roman" w:hAnsi="Times New Roman" w:eastAsia="宋体" w:cs="Times New Roman"/>
                      <w:sz w:val="24"/>
                      <w:szCs w:val="24"/>
                    </w:rPr>
                    <w:t>3.2.</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研究终点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_Toc217032224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B604B60">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"_Toc217032225" </w:instrText>
                  </w:r>
                  <w:r>
                    <w:fldChar w:fldCharType="separate"/>
                  </w:r>
                  <w:r>
                    <w:rPr>
                      <w:rStyle w:val="94"/>
                      <w:rFonts w:ascii="Times New Roman" w:hAnsi="Times New Roman" w:eastAsia="宋体" w:cs="Times New Roman"/>
                      <w:bCs/>
                      <w:sz w:val="24"/>
                      <w:szCs w:val="24"/>
                    </w:rPr>
                    <w:t>3.2.1.</w:t>
                  </w:r>
                  <w:r>
                    <w:rPr>
                      <w:rStyle w:val="94"/>
                      <w:rFonts w:ascii="Times New Roman" w:hAnsi="Times New Roman" w:cs="Times New Roman"/>
                      <w:bCs/>
                    </w:rPr>
                    <w:tab/>
                  </w:r>
                  <w:r>
                    <w:rPr>
                      <w:rStyle w:val="94"/>
                      <w:rFonts w:ascii="Times New Roman" w:hAnsi="Times New Roman" w:eastAsia="宋体" w:cs="Times New Roman"/>
                      <w:bCs/>
                      <w:sz w:val="24"/>
                      <w:szCs w:val="24"/>
                    </w:rPr>
                    <w:t>Ⅱ期临床研究阶段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_Toc217032225 \h </w:instrText>
                  </w:r>
                  <w:r>
                    <w:rPr>
                      <w:rStyle w:val="94"/>
                      <w:rFonts w:ascii="Times New Roman" w:hAnsi="Times New Roman" w:cs="Times New Roman"/>
                      <w:bCs/>
                    </w:rPr>
                    <w:fldChar w:fldCharType="separate"/>
                  </w:r>
                  <w:r>
                    <w:rPr>
                      <w:rStyle w:val="94"/>
                      <w:rFonts w:ascii="Times New Roman" w:hAnsi="Times New Roman" w:cs="Times New Roman"/>
                      <w:bCs/>
                    </w:rPr>
                    <w:t>52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83897D1">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"_Toc217032226" </w:instrText>
                  </w:r>
                  <w:r>
                    <w:fldChar w:fldCharType="separate"/>
                  </w:r>
                  <w:r>
                    <w:rPr>
                      <w:rStyle w:val="94"/>
                      <w:rFonts w:ascii="Times New Roman" w:hAnsi="Times New Roman" w:eastAsia="宋体" w:cs="Times New Roman"/>
                      <w:bCs/>
                      <w:sz w:val="24"/>
                      <w:szCs w:val="24"/>
                    </w:rPr>
                    <w:t>3.2.2.</w:t>
                  </w:r>
                  <w:r>
                    <w:rPr>
                      <w:rStyle w:val="94"/>
                      <w:rFonts w:ascii="Times New Roman" w:hAnsi="Times New Roman" w:cs="Times New Roman"/>
                      <w:bCs/>
                    </w:rPr>
                    <w:tab/>
                  </w:r>
                  <w:r>
                    <w:rPr>
                      <w:rStyle w:val="94"/>
                      <w:rFonts w:ascii="Times New Roman" w:hAnsi="Times New Roman" w:eastAsia="宋体" w:cs="Times New Roman"/>
                      <w:bCs/>
                      <w:sz w:val="24"/>
                      <w:szCs w:val="24"/>
                    </w:rPr>
                    <w:t>Ⅲ期临床研究阶段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_Toc217032226 \h </w:instrText>
                  </w:r>
                  <w:r>
                    <w:rPr>
                      <w:rStyle w:val="94"/>
                      <w:rFonts w:ascii="Times New Roman" w:hAnsi="Times New Roman" w:cs="Times New Roman"/>
                      <w:bCs/>
                    </w:rPr>
                    <w:fldChar w:fldCharType="separate"/>
                  </w:r>
                  <w:r>
                    <w:rPr>
                      <w:rStyle w:val="94"/>
                      <w:rFonts w:ascii="Times New Roman" w:hAnsi="Times New Roman" w:cs="Times New Roman"/>
                      <w:bCs/>
                    </w:rPr>
                    <w:t>53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E24DCA8">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"_Toc217032227" </w:instrText>
                  </w:r>
                  <w:r>
                    <w:fldChar w:fldCharType="separate"/>
                  </w:r>
                  <w:r>
                    <w:rPr>
                      <w:rStyle w:val="94"/>
                      <w:rFonts w:ascii="Times New Roman" w:hAnsi="Times New Roman" w:eastAsia="宋体" w:cs="Times New Roman"/>
                      <w:sz w:val="24"/>
                      <w:szCs w:val="24"/>
                    </w:rPr>
                    <w:t>3.3.</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Ⅲ期临床研究阶段主要估计目标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_Toc217032227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731E78E">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"_Toc217032228" </w:instrText>
                  </w:r>
                  <w:r>
                    <w:fldChar w:fldCharType="separate"/>
                  </w:r>
                  <w:r>
                    <w:rPr>
                      <w:rStyle w:val="94"/>
                      <w:rFonts w:cs="Times New Roman"/>
                      <w:sz w:val="24"/>
                      <w:szCs w:val="24"/>
                    </w:rPr>
                    <w:t>4.</w:t>
                  </w:r>
                  <w:r>
                    <w:rPr>
                      <w:rFonts w:cs="Times New Roman"/>
                      <w:color w:val="auto"/>
                      <w:kern w:val="2"/>
                      <w:sz w:val="24"/>
                      <w:szCs w:val="24"/>
                      <w14:ligatures w14:val="standardContextual"/>
                    </w:rPr>
                    <w:tab/>
                  </w:r>
                  <w:r>
                    <w:rPr>
                      <w:rStyle w:val="94"/>
                      <w:rFonts w:cs="Times New Roman"/>
                      <w:sz w:val="24"/>
                      <w:szCs w:val="24"/>
                    </w:rPr>
                    <w:t>研究设计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_Toc217032228 \h </w:instrText>
                  </w:r>
                  <w:r>
                    <w:rPr>
                      <w:rFonts w:cs="Times New Roman"/>
                      <w:sz w:val="24"/>
                      <w:szCs w:val="24"/>
                    </w:rPr>
                    <w:fldChar w:fldCharType="separate"/>
                  </w:r>
                  <w:r>
                    <w:rPr>
                      <w:rFonts w:cs="Times New Roman"/>
                      <w:sz w:val="24"/>
                      <w:szCs w:val="24"/>
                    </w:rPr>
                    <w:t>55</w:t>
                  </w:r>
                  <w:r>
                    <w:rPr>
                      <w:rFonts w:cs="Times New Roman"/>
                      <w:sz w:val="24"/>
                      <w:szCs w:val="24"/>
                    </w:rPr>
                    <w:fldChar w:fldCharType="end"/>
                  </w:r>
                  <w:r>
                    <w:rPr>
                      <w:rFonts w:cs="Times New Roman"/>
                      <w:sz w:val="24"/>
                      <w:szCs w:val="24"/>
                    </w:rPr>
                    <w:fldChar w:fldCharType="end"/>
                  </w:r>
                </w:p>
                <w:p w14:paraId="508D1A36">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"_Toc217032229" </w:instrText>
                  </w:r>
                  <w:r>
                    <w:fldChar w:fldCharType="separate"/>
                  </w:r>
                  <w:r>
                    <w:rPr>
                      <w:rStyle w:val="94"/>
                      <w:rFonts w:ascii="Times New Roman" w:hAnsi="Times New Roman" w:eastAsia="宋体" w:cs="Times New Roman"/>
                      <w:sz w:val="24"/>
                      <w:szCs w:val="24"/>
                    </w:rPr>
                    <w:t>4.1.</w:t>
                  </w:r>
                  <w:r>
                    <w:rPr>
                      <w:rStyle w:val="94"/>
                      <w:rFonts w:ascii="Times New Roman" w:hAnsi="Times New Roman" w:cs="Times New Roman"/>
                    </w:rPr>
                    <w:tab/>
                  </w:r>
                  <w:r>
                    <w:rPr>
                      <w:rStyle w:val="94"/>
                      <w:rFonts w:ascii="Times New Roman" w:hAnsi="Times New Roman" w:eastAsia="宋体" w:cs="Times New Roman"/>
                      <w:sz w:val="24"/>
                      <w:szCs w:val="24"/>
                    </w:rPr>
                    <w:t>总体设计</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_Toc217032229 \h </w:instrText>
                  </w:r>
                  <w:r>
                    <w:rPr>
                      <w:rStyle w:val="94"/>
                      <w:rFonts w:ascii="Times New Roman" w:hAnsi="Times New Roman" w:cs="Times New Roman"/>
                    </w:rPr>
                    <w:fldChar w:fldCharType="separate"/>
                  </w:r>
                  <w:r>
                    <w:rPr>
                      <w:rStyle w:val="94"/>
                      <w:rFonts w:ascii="Times New Roman" w:hAnsi="Times New Roman" w:cs="Times New Roman"/>
                    </w:rPr>
                    <w:t>55</w:t>
                  </w:r>
                  <w:r>
                    <w:rPr>
                      <w:rStyle w:val="94"/>
                      <w:rFonts w:ascii="Times New Roman" w:hAnsi="Times New Roman" w:cs="Times New Roman"/>
                    </w:rPr>
                    <w:fldChar w:fldCharType="end"/>
                  </w:r>
                  <w:r>
                    <w:rPr>
                      <w:rStyle w:val="94"/>
                      <w:rFonts w:ascii="Times New Roman" w:hAnsi="Times New Roman" w:cs="Times New Roman"/>
                    </w:rPr>
                    <w:fldChar w:fldCharType="end"/>
                  </w:r>
                </w:p>
                <w:p w14:paraId="50336B8C">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"_Toc217032230" </w:instrText>
                  </w:r>
                  <w:r>
                    <w:fldChar w:fldCharType="separate"/>
                  </w:r>
                  <w:r>
                    <w:rPr>
                      <w:rStyle w:val="94"/>
                      <w:rFonts w:ascii="Times New Roman" w:hAnsi="Times New Roman" w:eastAsia="宋体" w:cs="Times New Roman"/>
                      <w:sz w:val="24"/>
                      <w:szCs w:val="24"/>
                    </w:rPr>
                    <w:t>4.2.</w:t>
                  </w:r>
                  <w:r>
                    <w:rPr>
                      <w:rStyle w:val="94"/>
                      <w:rFonts w:ascii="Times New Roman" w:hAnsi="Times New Roman" w:cs="Times New Roman"/>
                    </w:rPr>
                    <w:tab/>
                  </w:r>
                  <w:r>
                    <w:rPr>
                      <w:rStyle w:val="94"/>
                      <w:rFonts w:ascii="Times New Roman" w:hAnsi="Times New Roman" w:eastAsia="宋体" w:cs="Times New Roman"/>
                      <w:sz w:val="24"/>
                      <w:szCs w:val="24"/>
                    </w:rPr>
                    <w:t>研究设计的科学依据</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_Toc217032230 \h </w:instrText>
                  </w:r>
                  <w:r>
                    <w:rPr>
                      <w:rStyle w:val="94"/>
                      <w:rFonts w:ascii="Times New Roman" w:hAnsi="Times New Roman" w:cs="Times New Roman"/>
                    </w:rPr>
                    <w:fldChar w:fldCharType="separate"/>
                  </w:r>
                  <w:r>
                    <w:rPr>
                      <w:rStyle w:val="94"/>
                      <w:rFonts w:ascii="Times New Roman" w:hAnsi="Times New Roman" w:cs="Times New Roman"/>
                    </w:rPr>
                    <w:t>59</w:t>
                  </w:r>
                  <w:r>
                    <w:rPr>
                      <w:rStyle w:val="94"/>
                      <w:rFonts w:ascii="Times New Roman" w:hAnsi="Times New Roman" w:cs="Times New Roman"/>
                    </w:rPr>
                    <w:fldChar w:fldCharType="end"/>
                  </w:r>
                  <w:r>
                    <w:rPr>
                      <w:rStyle w:val="94"/>
                      <w:rFonts w:ascii="Times New Roman" w:hAnsi="Times New Roman" w:cs="Times New Roman"/>
                    </w:rPr>
                    <w:fldChar w:fldCharType="end"/>
                  </w:r>
                </w:p>
                <w:p w14:paraId="5FB1C335">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"_Toc217032231" </w:instrText>
                  </w:r>
                  <w:r>
                    <w:fldChar w:fldCharType="separate"/>
                  </w:r>
                  <w:r>
                    <w:rPr>
                      <w:rStyle w:val="94"/>
                      <w:rFonts w:ascii="Times New Roman" w:hAnsi="Times New Roman" w:eastAsia="宋体" w:cs="Times New Roman"/>
                      <w:sz w:val="24"/>
                      <w:szCs w:val="24"/>
                    </w:rPr>
                    <w:t>4.3.</w:t>
                  </w:r>
                  <w:r>
                    <w:rPr>
                      <w:rStyle w:val="94"/>
                      <w:rFonts w:ascii="Times New Roman" w:hAnsi="Times New Roman" w:cs="Times New Roman"/>
                    </w:rPr>
                    <w:tab/>
                  </w:r>
                  <w:r>
                    <w:rPr>
                      <w:rStyle w:val="94"/>
                      <w:rFonts w:ascii="Times New Roman" w:hAnsi="Times New Roman" w:eastAsia="宋体" w:cs="Times New Roman"/>
                      <w:sz w:val="24"/>
                      <w:szCs w:val="24"/>
                    </w:rPr>
                    <w:t>剂量选择依据</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_Toc217032231 \h </w:instrText>
                  </w:r>
                  <w:r>
                    <w:rPr>
                      <w:rStyle w:val="94"/>
                      <w:rFonts w:ascii="Times New Roman" w:hAnsi="Times New Roman" w:cs="Times New Roman"/>
                    </w:rPr>
                    <w:fldChar w:fldCharType="separate"/>
                  </w:r>
                  <w:r>
                    <w:rPr>
                      <w:rStyle w:val="94"/>
                      <w:rFonts w:ascii="Times New Roman" w:hAnsi="Times New Roman" w:cs="Times New Roman"/>
                    </w:rPr>
                    <w:t>60</w:t>
                  </w:r>
                  <w:r>
                    <w:rPr>
                      <w:rStyle w:val="94"/>
                      <w:rFonts w:ascii="Times New Roman" w:hAnsi="Times New Roman" w:cs="Times New Roman"/>
                    </w:rPr>
                    <w:fldChar w:fldCharType="end"/>
                  </w:r>
                  <w:r>
                    <w:rPr>
                      <w:rStyle w:val="94"/>
                      <w:rFonts w:ascii="Times New Roman" w:hAnsi="Times New Roman" w:cs="Times New Roman"/>
                    </w:rPr>
                    <w:fldChar w:fldCharType="end"/>
                  </w:r>
                </w:p>
                <w:p w14:paraId="419AB0EE">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"_Toc217032232" </w:instrText>
                  </w:r>
                  <w:r>
                    <w:fldChar w:fldCharType="separate"/>
                  </w:r>
                  <w:r>
                    <w:rPr>
                      <w:rStyle w:val="94"/>
                      <w:rFonts w:ascii="Times New Roman" w:hAnsi="Times New Roman" w:eastAsia="宋体" w:cs="Times New Roman"/>
                      <w:sz w:val="24"/>
                      <w:szCs w:val="24"/>
                    </w:rPr>
                    <w:t>4.4.</w:t>
                  </w:r>
                  <w:r>
                    <w:rPr>
                      <w:rStyle w:val="94"/>
                      <w:rFonts w:ascii="Times New Roman" w:hAnsi="Times New Roman" w:cs="Times New Roman"/>
                    </w:rPr>
                    <w:tab/>
                  </w:r>
                  <w:r>
                    <w:rPr>
                      <w:rStyle w:val="94"/>
                      <w:rFonts w:ascii="Times New Roman" w:hAnsi="Times New Roman" w:eastAsia="宋体" w:cs="Times New Roman"/>
                      <w:sz w:val="24"/>
                      <w:szCs w:val="24"/>
                    </w:rPr>
                    <w:t>研究结束的定义</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_Toc217032232 \h </w:instrText>
                  </w:r>
                  <w:r>
                    <w:rPr>
                      <w:rStyle w:val="94"/>
                      <w:rFonts w:ascii="Times New Roman" w:hAnsi="Times New Roman" w:cs="Times New Roman"/>
                    </w:rPr>
                    <w:fldChar w:fldCharType="separate"/>
                  </w:r>
                  <w:r>
                    <w:rPr>
                      <w:rStyle w:val="94"/>
                      <w:rFonts w:ascii="Times New Roman" w:hAnsi="Times New Roman" w:cs="Times New Roman"/>
                    </w:rPr>
                    <w:t>60</w:t>
                  </w:r>
                  <w:r>
                    <w:rPr>
                      <w:rStyle w:val="94"/>
                      <w:rFonts w:ascii="Times New Roman" w:hAnsi="Times New Roman" w:cs="Times New Roman"/>
                    </w:rPr>
                    <w:fldChar w:fldCharType="end"/>
                  </w:r>
                  <w:r>
                    <w:rPr>
                      <w:rStyle w:val="94"/>
                      <w:rFonts w:ascii="Times New Roman" w:hAnsi="Times New Roman" w:cs="Times New Roman"/>
                    </w:rPr>
                    <w:fldChar w:fldCharType="end"/>
                  </w:r>
                </w:p>
                <w:p w14:paraId="66826AC8">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"_Toc217032233" </w:instrText>
                  </w:r>
                  <w:r>
                    <w:fldChar w:fldCharType="separate"/>
                  </w:r>
                  <w:r>
                    <w:rPr>
                      <w:rStyle w:val="94"/>
                      <w:rFonts w:ascii="Times New Roman" w:hAnsi="Times New Roman" w:eastAsia="宋体" w:cs="Times New Roman"/>
                      <w:sz w:val="24"/>
                      <w:szCs w:val="24"/>
                    </w:rPr>
                    <w:t>4.5.</w:t>
                  </w:r>
                  <w:r>
                    <w:rPr>
                      <w:rStyle w:val="94"/>
                      <w:rFonts w:ascii="Times New Roman" w:hAnsi="Times New Roman" w:cs="Times New Roman"/>
                    </w:rPr>
                    <w:tab/>
                  </w:r>
                  <w:r>
                    <w:rPr>
                      <w:rStyle w:val="94"/>
                      <w:rFonts w:ascii="Times New Roman" w:hAnsi="Times New Roman" w:eastAsia="宋体" w:cs="Times New Roman"/>
                      <w:sz w:val="24"/>
                      <w:szCs w:val="24"/>
                    </w:rPr>
                    <w:t>研究终止或参与者退出/终止研究</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_Toc217032233 \h </w:instrText>
                  </w:r>
                  <w:r>
                    <w:rPr>
                      <w:rStyle w:val="94"/>
                      <w:rFonts w:ascii="Times New Roman" w:hAnsi="Times New Roman" w:cs="Times New Roman"/>
                    </w:rPr>
                    <w:fldChar w:fldCharType="separate"/>
                  </w:r>
                  <w:r>
                    <w:rPr>
                      <w:rStyle w:val="94"/>
                      <w:rFonts w:ascii="Times New Roman" w:hAnsi="Times New Roman" w:cs="Times New Roman"/>
                    </w:rPr>
                    <w:t>60</w:t>
                  </w:r>
                  <w:r>
                    <w:rPr>
                      <w:rStyle w:val="94"/>
                      <w:rFonts w:ascii="Times New Roman" w:hAnsi="Times New Roman" w:cs="Times New Roman"/>
                    </w:rPr>
                    <w:fldChar w:fldCharType="end"/>
                  </w:r>
                  <w:r>
                    <w:rPr>
                      <w:rStyle w:val="94"/>
                      <w:rFonts w:ascii="Times New Roman" w:hAnsi="Times New Roman" w:cs="Times New Roman"/>
                    </w:rPr>
                    <w:fldChar w:fldCharType="end"/>
                  </w:r>
                </w:p>
                <w:p w14:paraId="3447701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"_Toc217032234" </w:instrText>
                  </w:r>
                  <w:r>
                    <w:fldChar w:fldCharType="separate"/>
                  </w:r>
                  <w:r>
                    <w:rPr>
                      <w:rStyle w:val="94"/>
                      <w:rFonts w:ascii="Times New Roman" w:hAnsi="Times New Roman" w:eastAsia="宋体" w:cs="Times New Roman"/>
                      <w:bCs/>
                      <w:sz w:val="24"/>
                      <w:szCs w:val="24"/>
                    </w:rPr>
                    <w:t>4.5.1.</w:t>
                  </w:r>
                  <w:r>
                    <w:rPr>
                      <w:rStyle w:val="94"/>
                      <w:rFonts w:ascii="Times New Roman" w:hAnsi="Times New Roman" w:cs="Times New Roman"/>
                      <w:bCs/>
                    </w:rPr>
                    <w:tab/>
                  </w:r>
                  <w:r>
                    <w:rPr>
                      <w:rStyle w:val="94"/>
                      <w:rFonts w:ascii="Times New Roman" w:hAnsi="Times New Roman" w:eastAsia="宋体" w:cs="Times New Roman"/>
                      <w:bCs/>
                      <w:sz w:val="24"/>
                      <w:szCs w:val="24"/>
                    </w:rPr>
                    <w:t>研究终止标准</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_Toc217032234 \h </w:instrText>
                  </w:r>
                  <w:r>
                    <w:rPr>
                      <w:rStyle w:val="94"/>
                      <w:rFonts w:ascii="Times New Roman" w:hAnsi="Times New Roman" w:cs="Times New Roman"/>
                      <w:bCs/>
                    </w:rPr>
                    <w:fldChar w:fldCharType="separate"/>
                  </w:r>
                  <w:r>
                    <w:rPr>
                      <w:rStyle w:val="94"/>
                      <w:rFonts w:ascii="Times New Roman" w:hAnsi="Times New Roman" w:cs="Times New Roman"/>
                      <w:bCs/>
                    </w:rPr>
                    <w:t>61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3A32E38">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"_Toc217032235" </w:instrText>
                  </w:r>
                  <w:r>
                    <w:fldChar w:fldCharType="separate"/>
                  </w:r>
                  <w:r>
                    <w:rPr>
                      <w:rStyle w:val="94"/>
                      <w:rFonts w:ascii="Times New Roman" w:hAnsi="Times New Roman" w:eastAsia="宋体" w:cs="Times New Roman"/>
                      <w:bCs/>
                      <w:sz w:val="24"/>
                      <w:szCs w:val="24"/>
                    </w:rPr>
                    <w:t>4.5.2.</w:t>
                  </w:r>
                  <w:r>
                    <w:rPr>
                      <w:rStyle w:val="94"/>
                      <w:rFonts w:ascii="Times New Roman" w:hAnsi="Times New Roman" w:cs="Times New Roman"/>
                      <w:bCs/>
                    </w:rPr>
                    <w:tab/>
                  </w:r>
                  <w:r>
                    <w:rPr>
                      <w:rStyle w:val="94"/>
                      <w:rFonts w:ascii="Times New Roman" w:hAnsi="Times New Roman" w:eastAsia="宋体" w:cs="Times New Roman"/>
                      <w:bCs/>
                      <w:sz w:val="24"/>
                      <w:szCs w:val="24"/>
                    </w:rPr>
                    <w:t>参与者中止/退出研究</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_Toc217032235 \h </w:instrText>
                  </w:r>
                  <w:r>
                    <w:rPr>
                      <w:rStyle w:val="94"/>
                      <w:rFonts w:ascii="Times New Roman" w:hAnsi="Times New Roman" w:cs="Times New Roman"/>
                      <w:bCs/>
                    </w:rPr>
                    <w:fldChar w:fldCharType="separate"/>
                  </w:r>
                  <w:r>
                    <w:rPr>
                      <w:rStyle w:val="94"/>
                      <w:rFonts w:ascii="Times New Roman" w:hAnsi="Times New Roman" w:cs="Times New Roman"/>
                      <w:bCs/>
                    </w:rPr>
                    <w:t>61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630DF5B">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"_Toc217032236" </w:instrText>
                  </w:r>
                  <w:r>
                    <w:fldChar w:fldCharType="separate"/>
                  </w:r>
                  <w:r>
                    <w:rPr>
                      <w:rStyle w:val="94"/>
                      <w:rFonts w:ascii="Times New Roman" w:hAnsi="Times New Roman" w:eastAsia="宋体" w:cs="Times New Roman"/>
                      <w:bCs/>
                      <w:sz w:val="24"/>
                      <w:szCs w:val="24"/>
                    </w:rPr>
                    <w:t>4.5.3.</w:t>
                  </w:r>
                  <w:r>
                    <w:rPr>
                      <w:rStyle w:val="94"/>
                      <w:rFonts w:ascii="Times New Roman" w:hAnsi="Times New Roman" w:cs="Times New Roman"/>
                      <w:bCs/>
                    </w:rPr>
                    <w:tab/>
                  </w:r>
                  <w:r>
                    <w:rPr>
                      <w:rStyle w:val="94"/>
                      <w:rFonts w:ascii="Times New Roman" w:hAnsi="Times New Roman" w:eastAsia="宋体" w:cs="Times New Roman"/>
                      <w:bCs/>
                      <w:sz w:val="24"/>
                      <w:szCs w:val="24"/>
                    </w:rPr>
                    <w:t>失访</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_Toc217032236 \h </w:instrText>
                  </w:r>
                  <w:r>
                    <w:rPr>
                      <w:rStyle w:val="94"/>
                      <w:rFonts w:ascii="Times New Roman" w:hAnsi="Times New Roman" w:cs="Times New Roman"/>
                      <w:bCs/>
                    </w:rPr>
                    <w:fldChar w:fldCharType="separate"/>
                  </w:r>
                  <w:r>
                    <w:rPr>
                      <w:rStyle w:val="94"/>
                      <w:rFonts w:ascii="Times New Roman" w:hAnsi="Times New Roman" w:cs="Times New Roman"/>
                      <w:bCs/>
                    </w:rPr>
                    <w:t>62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BF564B2">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"_Toc217032237" </w:instrText>
                  </w:r>
                  <w:r>
                    <w:fldChar w:fldCharType="separate"/>
                  </w:r>
                  <w:r>
                    <w:rPr>
                      <w:rStyle w:val="94"/>
                      <w:rFonts w:ascii="Times New Roman" w:hAnsi="Times New Roman" w:eastAsia="宋体" w:cs="Times New Roman"/>
                      <w:sz w:val="24"/>
                      <w:szCs w:val="24"/>
                    </w:rPr>
                    <w:t>4.6.</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独立数据监查委员会（IDMC）</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_Toc217032237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024FB2C">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"_Toc217032238" </w:instrText>
                  </w:r>
                  <w:r>
                    <w:fldChar w:fldCharType="separate"/>
                  </w:r>
                  <w:r>
                    <w:rPr>
                      <w:rStyle w:val="94"/>
                      <w:rFonts w:cs="Times New Roman"/>
                      <w:sz w:val="24"/>
                      <w:szCs w:val="24"/>
                    </w:rPr>
                    <w:t>5.</w:t>
                  </w:r>
                  <w:r>
                    <w:rPr>
                      <w:rFonts w:cs="Times New Roman"/>
                      <w:color w:val="auto"/>
                      <w:kern w:val="2"/>
                      <w:sz w:val="24"/>
                      <w:szCs w:val="24"/>
                      <w14:ligatures w14:val="standardContextual"/>
                    </w:rPr>
                    <w:tab/>
                  </w:r>
                  <w:r>
                    <w:rPr>
                      <w:rStyle w:val="94"/>
                      <w:rFonts w:cs="Times New Roman"/>
                      <w:sz w:val="24"/>
                      <w:szCs w:val="24"/>
                    </w:rPr>
                    <w:t>研究人群</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_Toc217032238 \h </w:instrText>
                  </w:r>
                  <w:r>
                    <w:rPr>
                      <w:rFonts w:cs="Times New Roman"/>
                      <w:sz w:val="24"/>
                      <w:szCs w:val="24"/>
                    </w:rPr>
                    <w:fldChar w:fldCharType="separate"/>
                  </w:r>
                  <w:r>
                    <w:rPr>
                      <w:rFonts w:cs="Times New Roman"/>
                      <w:sz w:val="24"/>
                      <w:szCs w:val="24"/>
                    </w:rPr>
                    <w:t>63</w:t>
                  </w:r>
                  <w:r>
                    <w:rPr>
                      <w:rFonts w:cs="Times New Roman"/>
                      <w:sz w:val="24"/>
                      <w:szCs w:val="24"/>
                    </w:rPr>
                    <w:fldChar w:fldCharType="end"/>
                  </w:r>
                  <w:r>
                    <w:rPr>
                      <w:rFonts w:cs="Times New Roman"/>
                      <w:sz w:val="24"/>
                      <w:szCs w:val="24"/>
                    </w:rPr>
                    <w:fldChar w:fldCharType="end"/>
                  </w:r>
                </w:p>
                <w:p w14:paraId="65C4A039">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"_Toc217032239" </w:instrText>
                  </w:r>
                  <w:r>
                    <w:fldChar w:fldCharType="separate"/>
                  </w:r>
                  <w:r>
                    <w:rPr>
                      <w:rStyle w:val="94"/>
                      <w:rFonts w:ascii="Times New Roman" w:hAnsi="Times New Roman" w:eastAsia="宋体" w:cs="Times New Roman"/>
                      <w:sz w:val="24"/>
                      <w:szCs w:val="24"/>
                    </w:rPr>
                    <w:t>5.1.</w:t>
                  </w:r>
                  <w:r>
                    <w:rPr>
                      <w:rStyle w:val="94"/>
                      <w:rFonts w:ascii="Times New Roman" w:hAnsi="Times New Roman" w:cs="Times New Roman"/>
                    </w:rPr>
                    <w:tab/>
                  </w:r>
                  <w:r>
                    <w:rPr>
                      <w:rStyle w:val="94"/>
                      <w:rFonts w:ascii="Times New Roman" w:hAnsi="Times New Roman" w:eastAsia="宋体" w:cs="Times New Roman"/>
                      <w:sz w:val="24"/>
                      <w:szCs w:val="24"/>
                    </w:rPr>
                    <w:t>入选标准</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_Toc217032239 \h </w:instrText>
                  </w:r>
                  <w:r>
                    <w:rPr>
                      <w:rStyle w:val="94"/>
                      <w:rFonts w:ascii="Times New Roman" w:hAnsi="Times New Roman" w:cs="Times New Roman"/>
                    </w:rPr>
                    <w:fldChar w:fldCharType="separate"/>
                  </w:r>
                  <w:r>
                    <w:rPr>
                      <w:rStyle w:val="94"/>
                      <w:rFonts w:ascii="Times New Roman" w:hAnsi="Times New Roman" w:cs="Times New Roman"/>
                    </w:rPr>
                    <w:t>63</w:t>
                  </w:r>
                  <w:r>
                    <w:rPr>
                      <w:rStyle w:val="94"/>
                      <w:rFonts w:ascii="Times New Roman" w:hAnsi="Times New Roman" w:cs="Times New Roman"/>
                    </w:rPr>
                    <w:fldChar w:fldCharType="end"/>
                  </w:r>
                  <w:r>
                    <w:rPr>
                      <w:rStyle w:val="94"/>
                      <w:rFonts w:ascii="Times New Roman" w:hAnsi="Times New Roman" w:cs="Times New Roman"/>
                    </w:rPr>
                    <w:fldChar w:fldCharType="end"/>
                  </w:r>
                </w:p>
                <w:p w14:paraId="4343915C">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"_Toc217032240" </w:instrText>
                  </w:r>
                  <w:r>
                    <w:fldChar w:fldCharType="separate"/>
                  </w:r>
                  <w:r>
                    <w:rPr>
                      <w:rStyle w:val="94"/>
                      <w:rFonts w:ascii="Times New Roman" w:hAnsi="Times New Roman" w:eastAsia="宋体" w:cs="Times New Roman"/>
                      <w:sz w:val="24"/>
                      <w:szCs w:val="24"/>
                    </w:rPr>
                    <w:t>5.2.</w:t>
                  </w:r>
                  <w:r>
                    <w:rPr>
                      <w:rStyle w:val="94"/>
                      <w:rFonts w:ascii="Times New Roman" w:hAnsi="Times New Roman" w:cs="Times New Roman"/>
                    </w:rPr>
                    <w:tab/>
                  </w:r>
                  <w:r>
                    <w:rPr>
                      <w:rStyle w:val="94"/>
                      <w:rFonts w:ascii="Times New Roman" w:hAnsi="Times New Roman" w:eastAsia="宋体" w:cs="Times New Roman"/>
                      <w:sz w:val="24"/>
                      <w:szCs w:val="24"/>
                    </w:rPr>
                    <w:t>排除标准</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_Toc217032240 \h </w:instrText>
                  </w:r>
                  <w:r>
                    <w:rPr>
                      <w:rStyle w:val="94"/>
                      <w:rFonts w:ascii="Times New Roman" w:hAnsi="Times New Roman" w:cs="Times New Roman"/>
                    </w:rPr>
                    <w:fldChar w:fldCharType="separate"/>
                  </w:r>
                  <w:r>
                    <w:rPr>
                      <w:rStyle w:val="94"/>
                      <w:rFonts w:ascii="Times New Roman" w:hAnsi="Times New Roman" w:cs="Times New Roman"/>
                    </w:rPr>
                    <w:t>64</w:t>
                  </w:r>
                  <w:r>
                    <w:rPr>
                      <w:rStyle w:val="94"/>
                      <w:rFonts w:ascii="Times New Roman" w:hAnsi="Times New Roman" w:cs="Times New Roman"/>
                    </w:rPr>
                    <w:fldChar w:fldCharType="end"/>
                  </w:r>
                  <w:r>
                    <w:rPr>
                      <w:rStyle w:val="94"/>
                      <w:rFonts w:ascii="Times New Roman" w:hAnsi="Times New Roman" w:cs="Times New Roman"/>
                    </w:rPr>
                    <w:fldChar w:fldCharType="end"/>
                  </w:r>
                </w:p>
                <w:p w14:paraId="122C4A6B">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"_Toc217032241" </w:instrText>
                  </w:r>
                  <w:r>
                    <w:fldChar w:fldCharType="separate"/>
                  </w:r>
                  <w:r>
                    <w:rPr>
                      <w:rStyle w:val="94"/>
                      <w:rFonts w:ascii="Times New Roman" w:hAnsi="Times New Roman" w:eastAsia="宋体" w:cs="Times New Roman"/>
                      <w:sz w:val="24"/>
                      <w:szCs w:val="24"/>
                    </w:rPr>
                    <w:t>5.3.</w:t>
                  </w:r>
                  <w:r>
                    <w:rPr>
                      <w:rStyle w:val="94"/>
                      <w:rFonts w:ascii="Times New Roman" w:hAnsi="Times New Roman" w:cs="Times New Roman"/>
                    </w:rPr>
                    <w:tab/>
                  </w:r>
                  <w:r>
                    <w:rPr>
                      <w:rStyle w:val="94"/>
                      <w:rFonts w:ascii="Times New Roman" w:hAnsi="Times New Roman" w:eastAsia="宋体" w:cs="Times New Roman"/>
                      <w:sz w:val="24"/>
                      <w:szCs w:val="24"/>
                    </w:rPr>
                    <w:t>生活方式考虑</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_Toc217032241 \h </w:instrText>
                  </w:r>
                  <w:r>
                    <w:rPr>
                      <w:rStyle w:val="94"/>
                      <w:rFonts w:ascii="Times New Roman" w:hAnsi="Times New Roman" w:cs="Times New Roman"/>
                    </w:rPr>
                    <w:fldChar w:fldCharType="separate"/>
                  </w:r>
                  <w:r>
                    <w:rPr>
                      <w:rStyle w:val="94"/>
                      <w:rFonts w:ascii="Times New Roman" w:hAnsi="Times New Roman" w:cs="Times New Roman"/>
                    </w:rPr>
                    <w:t>67</w:t>
                  </w:r>
                  <w:r>
                    <w:rPr>
                      <w:rStyle w:val="94"/>
                      <w:rFonts w:ascii="Times New Roman" w:hAnsi="Times New Roman" w:cs="Times New Roman"/>
                    </w:rPr>
                    <w:fldChar w:fldCharType="end"/>
                  </w:r>
                  <w:r>
                    <w:rPr>
                      <w:rStyle w:val="94"/>
                      <w:rFonts w:ascii="Times New Roman" w:hAnsi="Times New Roman" w:cs="Times New Roman"/>
                    </w:rPr>
                    <w:fldChar w:fldCharType="end"/>
                  </w:r>
                </w:p>
                <w:p w14:paraId="482FB619">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"_Toc217032242" </w:instrText>
                  </w:r>
                  <w:r>
                    <w:fldChar w:fldCharType="separate"/>
                  </w:r>
                  <w:r>
                    <w:rPr>
                      <w:rStyle w:val="94"/>
                      <w:rFonts w:ascii="Times New Roman" w:hAnsi="Times New Roman" w:eastAsia="宋体" w:cs="Times New Roman"/>
                      <w:sz w:val="24"/>
                      <w:szCs w:val="24"/>
                    </w:rPr>
                    <w:t>5.4.</w:t>
                  </w:r>
                  <w:r>
                    <w:rPr>
                      <w:rStyle w:val="94"/>
                      <w:rFonts w:ascii="Times New Roman" w:hAnsi="Times New Roman" w:cs="Times New Roman"/>
                    </w:rPr>
                    <w:tab/>
                  </w:r>
                  <w:r>
                    <w:rPr>
                      <w:rStyle w:val="94"/>
                      <w:rFonts w:ascii="Times New Roman" w:hAnsi="Times New Roman" w:eastAsia="宋体" w:cs="Times New Roman"/>
                      <w:sz w:val="24"/>
                      <w:szCs w:val="24"/>
                    </w:rPr>
                    <w:t>筛选失败</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_Toc217032242 \h </w:instrText>
                  </w:r>
                  <w:r>
                    <w:rPr>
                      <w:rStyle w:val="94"/>
                      <w:rFonts w:ascii="Times New Roman" w:hAnsi="Times New Roman" w:cs="Times New Roman"/>
                    </w:rPr>
                    <w:fldChar w:fldCharType="separate"/>
                  </w:r>
                  <w:r>
                    <w:rPr>
                      <w:rStyle w:val="94"/>
                      <w:rFonts w:ascii="Times New Roman" w:hAnsi="Times New Roman" w:cs="Times New Roman"/>
                    </w:rPr>
                    <w:t>68</w:t>
                  </w:r>
                  <w:r>
                    <w:rPr>
                      <w:rStyle w:val="94"/>
                      <w:rFonts w:ascii="Times New Roman" w:hAnsi="Times New Roman" w:cs="Times New Roman"/>
                    </w:rPr>
                    <w:fldChar w:fldCharType="end"/>
                  </w:r>
                  <w:r>
                    <w:rPr>
                      <w:rStyle w:val="94"/>
                      <w:rFonts w:ascii="Times New Roman" w:hAnsi="Times New Roman" w:cs="Times New Roman"/>
                    </w:rPr>
                    <w:fldChar w:fldCharType="end"/>
                  </w:r>
                </w:p>
                <w:p w14:paraId="6969C501">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"_Toc217032243" </w:instrText>
                  </w:r>
                  <w:r>
                    <w:fldChar w:fldCharType="separate"/>
                  </w:r>
                  <w:r>
                    <w:rPr>
                      <w:rStyle w:val="94"/>
                      <w:rFonts w:cs="Times New Roman"/>
                      <w:sz w:val="24"/>
                      <w:szCs w:val="24"/>
                    </w:rPr>
                    <w:t>6.</w:t>
                  </w:r>
                  <w:r>
                    <w:rPr>
                      <w:rFonts w:cs="Times New Roman"/>
                      <w:color w:val="auto"/>
                      <w:kern w:val="2"/>
                      <w:sz w:val="24"/>
                      <w:szCs w:val="24"/>
                      <w14:ligatures w14:val="standardContextual"/>
                    </w:rPr>
                    <w:tab/>
                  </w:r>
                  <w:r>
                    <w:rPr>
                      <w:rStyle w:val="94"/>
                      <w:rFonts w:cs="Times New Roman"/>
                      <w:sz w:val="24"/>
                      <w:szCs w:val="24"/>
                    </w:rPr>
                    <w:t>研究治疗</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_Toc217032243 \h </w:instrText>
                  </w:r>
                  <w:r>
                    <w:rPr>
                      <w:rFonts w:cs="Times New Roman"/>
                      <w:sz w:val="24"/>
                      <w:szCs w:val="24"/>
                    </w:rPr>
                    <w:fldChar w:fldCharType="separate"/>
                  </w:r>
                  <w:r>
                    <w:rPr>
                      <w:rFonts w:cs="Times New Roman"/>
                      <w:sz w:val="24"/>
                      <w:szCs w:val="24"/>
                    </w:rPr>
                    <w:t>68</w:t>
                  </w:r>
                  <w:r>
                    <w:rPr>
                      <w:rFonts w:cs="Times New Roman"/>
                      <w:sz w:val="24"/>
                      <w:szCs w:val="24"/>
                    </w:rPr>
                    <w:fldChar w:fldCharType="end"/>
                  </w:r>
                  <w:r>
                    <w:rPr>
                      <w:rFonts w:cs="Times New Roman"/>
                      <w:sz w:val="24"/>
                      <w:szCs w:val="24"/>
                    </w:rPr>
                    <w:fldChar w:fldCharType="end"/>
                  </w:r>
                </w:p>
                <w:p w14:paraId="19B7B518">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"_Toc217032244" </w:instrText>
                  </w:r>
                  <w:r>
                    <w:fldChar w:fldCharType="separate"/>
                  </w:r>
                  <w:r>
                    <w:rPr>
                      <w:rStyle w:val="94"/>
                      <w:rFonts w:ascii="Times New Roman" w:hAnsi="Times New Roman" w:eastAsia="宋体" w:cs="Times New Roman"/>
                      <w:sz w:val="24"/>
                      <w:szCs w:val="24"/>
                    </w:rPr>
                    <w:t>6.1.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试验用药品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_Toc217032244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7AB2B9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"_Toc217032245" </w:instrText>
                  </w:r>
                  <w:r>
                    <w:fldChar w:fldCharType="separate"/>
                  </w:r>
                  <w:r>
                    <w:rPr>
                      <w:rStyle w:val="94"/>
                      <w:rFonts w:ascii="Times New Roman" w:hAnsi="Times New Roman" w:eastAsia="宋体" w:cs="Times New Roman"/>
                      <w:bCs/>
                      <w:sz w:val="24"/>
                      <w:szCs w:val="24"/>
                    </w:rPr>
                    <w:t>6.1.1.</w:t>
                  </w:r>
                  <w:r>
                    <w:rPr>
                      <w:rStyle w:val="94"/>
                      <w:rFonts w:ascii="Times New Roman" w:hAnsi="Times New Roman" w:cs="Times New Roman"/>
                      <w:bCs/>
                    </w:rPr>
                    <w:tab/>
                  </w:r>
                  <w:r>
                    <w:rPr>
                      <w:rStyle w:val="94"/>
                      <w:rFonts w:ascii="Times New Roman" w:hAnsi="Times New Roman" w:eastAsia="宋体" w:cs="Times New Roman"/>
                      <w:bCs/>
                      <w:sz w:val="24"/>
                      <w:szCs w:val="24"/>
                    </w:rPr>
                    <w:t>试验用药品信息</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_Toc217032245 \h </w:instrText>
                  </w:r>
                  <w:r>
                    <w:rPr>
                      <w:rStyle w:val="94"/>
                      <w:rFonts w:ascii="Times New Roman" w:hAnsi="Times New Roman" w:cs="Times New Roman"/>
                      <w:bCs/>
                    </w:rPr>
                    <w:fldChar w:fldCharType="separate"/>
                  </w:r>
                  <w:r>
                    <w:rPr>
                      <w:rStyle w:val="94"/>
                      <w:rFonts w:ascii="Times New Roman" w:hAnsi="Times New Roman" w:cs="Times New Roman"/>
                      <w:bCs/>
                    </w:rPr>
                    <w:t>68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CB51455">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"_Toc217032246" </w:instrText>
                  </w:r>
                  <w:r>
                    <w:fldChar w:fldCharType="separate"/>
                  </w:r>
                  <w:r>
                    <w:rPr>
                      <w:rStyle w:val="94"/>
                      <w:rFonts w:ascii="Times New Roman" w:hAnsi="Times New Roman" w:eastAsia="宋体" w:cs="Times New Roman"/>
                      <w:bCs/>
                      <w:sz w:val="24"/>
                      <w:szCs w:val="24"/>
                    </w:rPr>
                    <w:t>6.1.2.</w:t>
                  </w:r>
                  <w:r>
                    <w:rPr>
                      <w:rStyle w:val="94"/>
                      <w:rFonts w:ascii="Times New Roman" w:hAnsi="Times New Roman" w:cs="Times New Roman"/>
                      <w:bCs/>
                    </w:rPr>
                    <w:tab/>
                  </w:r>
                  <w:r>
                    <w:rPr>
                      <w:rStyle w:val="94"/>
                      <w:rFonts w:ascii="Times New Roman" w:hAnsi="Times New Roman" w:eastAsia="宋体" w:cs="Times New Roman"/>
                      <w:bCs/>
                      <w:sz w:val="24"/>
                      <w:szCs w:val="24"/>
                    </w:rPr>
                    <w:t>剂量和给药</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_Toc217032246 \h </w:instrText>
                  </w:r>
                  <w:r>
                    <w:rPr>
                      <w:rStyle w:val="94"/>
                      <w:rFonts w:ascii="Times New Roman" w:hAnsi="Times New Roman" w:cs="Times New Roman"/>
                      <w:bCs/>
                    </w:rPr>
                    <w:fldChar w:fldCharType="separate"/>
                  </w:r>
                  <w:r>
                    <w:rPr>
                      <w:rStyle w:val="94"/>
                      <w:rFonts w:ascii="Times New Roman" w:hAnsi="Times New Roman" w:cs="Times New Roman"/>
                      <w:bCs/>
                    </w:rPr>
                    <w:t>68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9D9C2BF">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"_Toc217032247" </w:instrText>
                  </w:r>
                  <w:r>
                    <w:fldChar w:fldCharType="separate"/>
                  </w:r>
                  <w:r>
                    <w:rPr>
                      <w:rStyle w:val="94"/>
                      <w:rFonts w:ascii="Times New Roman" w:hAnsi="Times New Roman" w:eastAsia="宋体" w:cs="Times New Roman"/>
                      <w:sz w:val="24"/>
                      <w:szCs w:val="24"/>
                    </w:rPr>
                    <w:t>6.2.</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试验用药品管理</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_Toc217032247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210BFE7">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"_Toc217032248" </w:instrText>
                  </w:r>
                  <w:r>
                    <w:fldChar w:fldCharType="separate"/>
                  </w:r>
                  <w:r>
                    <w:rPr>
                      <w:rStyle w:val="94"/>
                      <w:rFonts w:ascii="Times New Roman" w:hAnsi="Times New Roman" w:eastAsia="宋体" w:cs="Times New Roman"/>
                      <w:bCs/>
                      <w:sz w:val="24"/>
                      <w:szCs w:val="24"/>
                    </w:rPr>
                    <w:t>6.2.1.</w:t>
                  </w:r>
                  <w:r>
                    <w:rPr>
                      <w:rStyle w:val="94"/>
                      <w:rFonts w:ascii="Times New Roman" w:hAnsi="Times New Roman" w:cs="Times New Roman"/>
                      <w:bCs/>
                    </w:rPr>
                    <w:tab/>
                  </w:r>
                  <w:r>
                    <w:rPr>
                      <w:rStyle w:val="94"/>
                      <w:rFonts w:ascii="Times New Roman" w:hAnsi="Times New Roman" w:eastAsia="宋体" w:cs="Times New Roman"/>
                      <w:bCs/>
                      <w:sz w:val="24"/>
                      <w:szCs w:val="24"/>
                    </w:rPr>
                    <w:t>试验用药品的包装和标签</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_Toc217032248 \h </w:instrText>
                  </w:r>
                  <w:r>
                    <w:rPr>
                      <w:rStyle w:val="94"/>
                      <w:rFonts w:ascii="Times New Roman" w:hAnsi="Times New Roman" w:cs="Times New Roman"/>
                      <w:bCs/>
                    </w:rPr>
                    <w:fldChar w:fldCharType="separate"/>
                  </w:r>
                  <w:r>
                    <w:rPr>
                      <w:rStyle w:val="94"/>
                      <w:rFonts w:ascii="Times New Roman" w:hAnsi="Times New Roman" w:cs="Times New Roman"/>
                      <w:bCs/>
                    </w:rPr>
                    <w:t>69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79EC254">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"_Toc217032249" </w:instrText>
                  </w:r>
                  <w:r>
                    <w:fldChar w:fldCharType="separate"/>
                  </w:r>
                  <w:r>
                    <w:rPr>
                      <w:rStyle w:val="94"/>
                      <w:rFonts w:ascii="Times New Roman" w:hAnsi="Times New Roman" w:eastAsia="宋体" w:cs="Times New Roman"/>
                      <w:bCs/>
                      <w:sz w:val="24"/>
                      <w:szCs w:val="24"/>
                    </w:rPr>
                    <w:t>6.2.2.</w:t>
                  </w:r>
                  <w:r>
                    <w:rPr>
                      <w:rStyle w:val="94"/>
                      <w:rFonts w:ascii="Times New Roman" w:hAnsi="Times New Roman" w:cs="Times New Roman"/>
                      <w:bCs/>
                    </w:rPr>
                    <w:tab/>
                  </w:r>
                  <w:r>
                    <w:rPr>
                      <w:rStyle w:val="94"/>
                      <w:rFonts w:ascii="Times New Roman" w:hAnsi="Times New Roman" w:eastAsia="宋体" w:cs="Times New Roman"/>
                      <w:bCs/>
                      <w:sz w:val="24"/>
                      <w:szCs w:val="24"/>
                    </w:rPr>
                    <w:t>试验用药品的运送、储存和分发</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_Toc217032249 \h </w:instrText>
                  </w:r>
                  <w:r>
                    <w:rPr>
                      <w:rStyle w:val="94"/>
                      <w:rFonts w:ascii="Times New Roman" w:hAnsi="Times New Roman" w:cs="Times New Roman"/>
                      <w:bCs/>
                    </w:rPr>
                    <w:fldChar w:fldCharType="separate"/>
                  </w:r>
                  <w:r>
                    <w:rPr>
                      <w:rStyle w:val="94"/>
                      <w:rFonts w:ascii="Times New Roman" w:hAnsi="Times New Roman" w:cs="Times New Roman"/>
                      <w:bCs/>
                    </w:rPr>
                    <w:t>69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0920051">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"_Toc217032250" </w:instrText>
                  </w:r>
                  <w:r>
                    <w:fldChar w:fldCharType="separate"/>
                  </w:r>
                  <w:r>
                    <w:rPr>
                      <w:rStyle w:val="94"/>
                      <w:rFonts w:ascii="Times New Roman" w:hAnsi="Times New Roman" w:eastAsia="宋体" w:cs="Times New Roman"/>
                      <w:sz w:val="24"/>
                      <w:szCs w:val="24"/>
                    </w:rPr>
                    <w:t>6.3.</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随机化和盲法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_Toc217032250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C22C7D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"_Toc217032251" </w:instrText>
                  </w:r>
                  <w:r>
                    <w:fldChar w:fldCharType="separate"/>
                  </w:r>
                  <w:r>
                    <w:rPr>
                      <w:rStyle w:val="94"/>
                      <w:rFonts w:ascii="Times New Roman" w:hAnsi="Times New Roman" w:eastAsia="宋体" w:cs="Times New Roman"/>
                      <w:bCs/>
                      <w:sz w:val="24"/>
                      <w:szCs w:val="24"/>
                    </w:rPr>
                    <w:t>6.3.1.</w:t>
                  </w:r>
                  <w:r>
                    <w:rPr>
                      <w:rStyle w:val="94"/>
                      <w:rFonts w:ascii="Times New Roman" w:hAnsi="Times New Roman" w:cs="Times New Roman"/>
                      <w:bCs/>
                    </w:rPr>
                    <w:tab/>
                  </w:r>
                  <w:r>
                    <w:rPr>
                      <w:rStyle w:val="94"/>
                      <w:rFonts w:ascii="Times New Roman" w:hAnsi="Times New Roman" w:eastAsia="宋体" w:cs="Times New Roman"/>
                      <w:bCs/>
                      <w:sz w:val="24"/>
                      <w:szCs w:val="24"/>
                    </w:rPr>
                    <w:t>随机化</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_Toc217032251 \h </w:instrText>
                  </w:r>
                  <w:r>
                    <w:rPr>
                      <w:rStyle w:val="94"/>
                      <w:rFonts w:ascii="Times New Roman" w:hAnsi="Times New Roman" w:cs="Times New Roman"/>
                      <w:bCs/>
                    </w:rPr>
                    <w:fldChar w:fldCharType="separate"/>
                  </w:r>
                  <w:r>
                    <w:rPr>
                      <w:rStyle w:val="94"/>
                      <w:rFonts w:ascii="Times New Roman" w:hAnsi="Times New Roman" w:cs="Times New Roman"/>
                      <w:bCs/>
                    </w:rPr>
                    <w:t>70</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D59679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"_Toc217032252" </w:instrText>
                  </w:r>
                  <w:r>
                    <w:fldChar w:fldCharType="separate"/>
                  </w:r>
                  <w:r>
                    <w:rPr>
                      <w:rStyle w:val="94"/>
                      <w:rFonts w:ascii="Times New Roman" w:hAnsi="Times New Roman" w:eastAsia="宋体" w:cs="Times New Roman"/>
                      <w:bCs/>
                      <w:sz w:val="24"/>
                      <w:szCs w:val="24"/>
                    </w:rPr>
                    <w:t>6.3.2.</w:t>
                  </w:r>
                  <w:r>
                    <w:rPr>
                      <w:rStyle w:val="94"/>
                      <w:rFonts w:ascii="Times New Roman" w:hAnsi="Times New Roman" w:cs="Times New Roman"/>
                      <w:bCs/>
                    </w:rPr>
                    <w:tab/>
                  </w:r>
                  <w:r>
                    <w:rPr>
                      <w:rStyle w:val="94"/>
                      <w:rFonts w:ascii="Times New Roman" w:hAnsi="Times New Roman" w:eastAsia="宋体" w:cs="Times New Roman"/>
                      <w:bCs/>
                      <w:sz w:val="24"/>
                      <w:szCs w:val="24"/>
                    </w:rPr>
                    <w:t>盲法</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_Toc217032252 \h </w:instrText>
                  </w:r>
                  <w:r>
                    <w:rPr>
                      <w:rStyle w:val="94"/>
                      <w:rFonts w:ascii="Times New Roman" w:hAnsi="Times New Roman" w:cs="Times New Roman"/>
                      <w:bCs/>
                    </w:rPr>
                    <w:fldChar w:fldCharType="separate"/>
                  </w:r>
                  <w:r>
                    <w:rPr>
                      <w:rStyle w:val="94"/>
                      <w:rFonts w:ascii="Times New Roman" w:hAnsi="Times New Roman" w:cs="Times New Roman"/>
                      <w:bCs/>
                    </w:rPr>
                    <w:t>70</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9E7BAD6">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"_Toc217032253" </w:instrText>
                  </w:r>
                  <w:r>
                    <w:fldChar w:fldCharType="separate"/>
                  </w:r>
                  <w:r>
                    <w:rPr>
                      <w:rStyle w:val="94"/>
                      <w:rFonts w:ascii="Times New Roman" w:hAnsi="Times New Roman" w:eastAsia="宋体" w:cs="Times New Roman"/>
                      <w:bCs/>
                      <w:sz w:val="24"/>
                      <w:szCs w:val="24"/>
                    </w:rPr>
                    <w:t>6.3.3.</w:t>
                  </w:r>
                  <w:r>
                    <w:rPr>
                      <w:rStyle w:val="94"/>
                      <w:rFonts w:ascii="Times New Roman" w:hAnsi="Times New Roman" w:cs="Times New Roman"/>
                      <w:bCs/>
                    </w:rPr>
                    <w:tab/>
                  </w:r>
                  <w:r>
                    <w:rPr>
                      <w:rStyle w:val="94"/>
                      <w:rFonts w:ascii="Times New Roman" w:hAnsi="Times New Roman" w:eastAsia="宋体" w:cs="Times New Roman"/>
                      <w:bCs/>
                      <w:sz w:val="24"/>
                      <w:szCs w:val="24"/>
                    </w:rPr>
                    <w:t>揭盲</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_Toc217032253 \h </w:instrText>
                  </w:r>
                  <w:r>
                    <w:rPr>
                      <w:rStyle w:val="94"/>
                      <w:rFonts w:ascii="Times New Roman" w:hAnsi="Times New Roman" w:cs="Times New Roman"/>
                      <w:bCs/>
                    </w:rPr>
                    <w:fldChar w:fldCharType="separate"/>
                  </w:r>
                  <w:r>
                    <w:rPr>
                      <w:rStyle w:val="94"/>
                      <w:rFonts w:ascii="Times New Roman" w:hAnsi="Times New Roman" w:cs="Times New Roman"/>
                      <w:bCs/>
                    </w:rPr>
                    <w:t>71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9F7794F">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"_Toc217032254" </w:instrText>
                  </w:r>
                  <w:r>
                    <w:fldChar w:fldCharType="separate"/>
                  </w:r>
                  <w:r>
                    <w:rPr>
                      <w:rStyle w:val="94"/>
                      <w:rFonts w:ascii="Times New Roman" w:hAnsi="Times New Roman" w:eastAsia="宋体" w:cs="Times New Roman"/>
                      <w:sz w:val="24"/>
                      <w:szCs w:val="24"/>
                    </w:rPr>
                    <w:t>6.4.</w:t>
                  </w:r>
                  <w:r>
                    <w:rPr>
                      <w:rStyle w:val="94"/>
                      <w:rFonts w:ascii="Times New Roman" w:hAnsi="Times New Roman" w:cs="Times New Roman"/>
                    </w:rPr>
                    <w:tab/>
                  </w:r>
                  <w:r>
                    <w:rPr>
                      <w:rStyle w:val="94"/>
                      <w:rFonts w:ascii="Times New Roman" w:hAnsi="Times New Roman" w:eastAsia="宋体" w:cs="Times New Roman"/>
                      <w:sz w:val="24"/>
                      <w:szCs w:val="24"/>
                    </w:rPr>
                    <w:t>研究干预依从性</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_Toc217032254 \h </w:instrText>
                  </w:r>
                  <w:r>
                    <w:rPr>
                      <w:rStyle w:val="94"/>
                      <w:rFonts w:ascii="Times New Roman" w:hAnsi="Times New Roman" w:cs="Times New Roman"/>
                    </w:rPr>
                    <w:fldChar w:fldCharType="separate"/>
                  </w:r>
                  <w:r>
                    <w:rPr>
                      <w:rStyle w:val="94"/>
                      <w:rFonts w:ascii="Times New Roman" w:hAnsi="Times New Roman" w:cs="Times New Roman"/>
                    </w:rPr>
                    <w:t>72</w:t>
                  </w:r>
                  <w:r>
                    <w:rPr>
                      <w:rStyle w:val="94"/>
                      <w:rFonts w:ascii="Times New Roman" w:hAnsi="Times New Roman" w:cs="Times New Roman"/>
                    </w:rPr>
                    <w:fldChar w:fldCharType="end"/>
                  </w:r>
                  <w:r>
                    <w:rPr>
                      <w:rStyle w:val="94"/>
                      <w:rFonts w:ascii="Times New Roman" w:hAnsi="Times New Roman" w:cs="Times New Roman"/>
                    </w:rPr>
                    <w:fldChar w:fldCharType="end"/>
                  </w:r>
                </w:p>
                <w:p w14:paraId="05F5B62D">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"_Toc217032255" </w:instrText>
                  </w:r>
                  <w:r>
                    <w:fldChar w:fldCharType="separate"/>
                  </w:r>
                  <w:r>
                    <w:rPr>
                      <w:rStyle w:val="94"/>
                      <w:rFonts w:ascii="Times New Roman" w:hAnsi="Times New Roman" w:eastAsia="宋体" w:cs="Times New Roman"/>
                      <w:sz w:val="24"/>
                      <w:szCs w:val="24"/>
                    </w:rPr>
                    <w:t>6.5.</w:t>
                  </w:r>
                  <w:r>
                    <w:rPr>
                      <w:rStyle w:val="94"/>
                      <w:rFonts w:ascii="Times New Roman" w:hAnsi="Times New Roman" w:cs="Times New Roman"/>
                    </w:rPr>
                    <w:tab/>
                  </w:r>
                  <w:r>
                    <w:rPr>
                      <w:rStyle w:val="94"/>
                      <w:rFonts w:ascii="Times New Roman" w:hAnsi="Times New Roman" w:eastAsia="宋体" w:cs="Times New Roman"/>
                      <w:sz w:val="24"/>
                      <w:szCs w:val="24"/>
                    </w:rPr>
                    <w:t>合并用药/治疗</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_Toc217032255 \h </w:instrText>
                  </w:r>
                  <w:r>
                    <w:rPr>
                      <w:rStyle w:val="94"/>
                      <w:rFonts w:ascii="Times New Roman" w:hAnsi="Times New Roman" w:cs="Times New Roman"/>
                    </w:rPr>
                    <w:fldChar w:fldCharType="separate"/>
                  </w:r>
                  <w:r>
                    <w:rPr>
                      <w:rStyle w:val="94"/>
                      <w:rFonts w:ascii="Times New Roman" w:hAnsi="Times New Roman" w:cs="Times New Roman"/>
                    </w:rPr>
                    <w:t>72</w:t>
                  </w:r>
                  <w:r>
                    <w:rPr>
                      <w:rStyle w:val="94"/>
                      <w:rFonts w:ascii="Times New Roman" w:hAnsi="Times New Roman" w:cs="Times New Roman"/>
                    </w:rPr>
                    <w:fldChar w:fldCharType="end"/>
                  </w:r>
                  <w:r>
                    <w:rPr>
                      <w:rStyle w:val="94"/>
                      <w:rFonts w:ascii="Times New Roman" w:hAnsi="Times New Roman" w:cs="Times New Roman"/>
                    </w:rPr>
                    <w:fldChar w:fldCharType="end"/>
                  </w:r>
                </w:p>
                <w:p w14:paraId="3E5A9418">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"_Toc217032256" </w:instrText>
                  </w:r>
                  <w:r>
                    <w:fldChar w:fldCharType="separate"/>
                  </w:r>
                  <w:r>
                    <w:rPr>
                      <w:rStyle w:val="94"/>
                      <w:rFonts w:ascii="Times New Roman" w:hAnsi="Times New Roman" w:eastAsia="宋体" w:cs="Times New Roman"/>
                      <w:bCs/>
                      <w:sz w:val="24"/>
                      <w:szCs w:val="24"/>
                    </w:rPr>
                    <w:t>6.5.1.</w:t>
                  </w:r>
                  <w:r>
                    <w:rPr>
                      <w:rStyle w:val="94"/>
                      <w:rFonts w:ascii="Times New Roman" w:hAnsi="Times New Roman" w:cs="Times New Roman"/>
                      <w:bCs/>
                    </w:rPr>
                    <w:tab/>
                  </w:r>
                  <w:r>
                    <w:rPr>
                      <w:rStyle w:val="94"/>
                      <w:rFonts w:ascii="Times New Roman" w:hAnsi="Times New Roman" w:eastAsia="宋体" w:cs="Times New Roman"/>
                      <w:bCs/>
                      <w:sz w:val="24"/>
                      <w:szCs w:val="24"/>
                    </w:rPr>
                    <w:t>允许的合并用药/治疗</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_Toc217032256 \h </w:instrText>
                  </w:r>
                  <w:r>
                    <w:rPr>
                      <w:rStyle w:val="94"/>
                      <w:rFonts w:ascii="Times New Roman" w:hAnsi="Times New Roman" w:cs="Times New Roman"/>
                      <w:bCs/>
                    </w:rPr>
                    <w:fldChar w:fldCharType="separate"/>
                  </w:r>
                  <w:r>
                    <w:rPr>
                      <w:rStyle w:val="94"/>
                      <w:rFonts w:ascii="Times New Roman" w:hAnsi="Times New Roman" w:cs="Times New Roman"/>
                      <w:bCs/>
                    </w:rPr>
                    <w:t>72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3F03BF4">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"_Toc217032257" </w:instrText>
                  </w:r>
                  <w:r>
                    <w:fldChar w:fldCharType="separate"/>
                  </w:r>
                  <w:r>
                    <w:rPr>
                      <w:rStyle w:val="94"/>
                      <w:rFonts w:ascii="Times New Roman" w:hAnsi="Times New Roman" w:eastAsia="宋体" w:cs="Times New Roman"/>
                      <w:bCs/>
                      <w:sz w:val="24"/>
                      <w:szCs w:val="24"/>
                    </w:rPr>
                    <w:t>6.5.2.</w:t>
                  </w:r>
                  <w:r>
                    <w:rPr>
                      <w:rStyle w:val="94"/>
                      <w:rFonts w:ascii="Times New Roman" w:hAnsi="Times New Roman" w:cs="Times New Roman"/>
                      <w:bCs/>
                    </w:rPr>
                    <w:tab/>
                  </w:r>
                  <w:r>
                    <w:rPr>
                      <w:rStyle w:val="94"/>
                      <w:rFonts w:ascii="Times New Roman" w:hAnsi="Times New Roman" w:eastAsia="宋体" w:cs="Times New Roman"/>
                      <w:bCs/>
                      <w:sz w:val="24"/>
                      <w:szCs w:val="24"/>
                    </w:rPr>
                    <w:t>禁止的合并用药/治疗</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_Toc217032257 \h </w:instrText>
                  </w:r>
                  <w:r>
                    <w:rPr>
                      <w:rStyle w:val="94"/>
                      <w:rFonts w:ascii="Times New Roman" w:hAnsi="Times New Roman" w:cs="Times New Roman"/>
                      <w:bCs/>
                    </w:rPr>
                    <w:fldChar w:fldCharType="separate"/>
                  </w:r>
                  <w:r>
                    <w:rPr>
                      <w:rStyle w:val="94"/>
                      <w:rFonts w:ascii="Times New Roman" w:hAnsi="Times New Roman" w:cs="Times New Roman"/>
                      <w:bCs/>
                    </w:rPr>
                    <w:t>73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238D450">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"_Toc217032258" </w:instrText>
                  </w:r>
                  <w:r>
                    <w:fldChar w:fldCharType="separate"/>
                  </w:r>
                  <w:r>
                    <w:rPr>
                      <w:rStyle w:val="94"/>
                      <w:rFonts w:ascii="Times New Roman" w:hAnsi="Times New Roman" w:eastAsia="宋体" w:cs="Times New Roman"/>
                      <w:bCs/>
                      <w:sz w:val="24"/>
                      <w:szCs w:val="24"/>
                    </w:rPr>
                    <w:t>6.5.3.</w:t>
                  </w:r>
                  <w:r>
                    <w:rPr>
                      <w:rStyle w:val="94"/>
                      <w:rFonts w:ascii="Times New Roman" w:hAnsi="Times New Roman" w:cs="Times New Roman"/>
                      <w:bCs/>
                    </w:rPr>
                    <w:tab/>
                  </w:r>
                  <w:r>
                    <w:rPr>
                      <w:rStyle w:val="94"/>
                      <w:rFonts w:ascii="Times New Roman" w:hAnsi="Times New Roman" w:eastAsia="宋体" w:cs="Times New Roman"/>
                      <w:bCs/>
                      <w:sz w:val="24"/>
                      <w:szCs w:val="24"/>
                    </w:rPr>
                    <w:t>补救治疗</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_Toc217032258 \h </w:instrText>
                  </w:r>
                  <w:r>
                    <w:rPr>
                      <w:rStyle w:val="94"/>
                      <w:rFonts w:ascii="Times New Roman" w:hAnsi="Times New Roman" w:cs="Times New Roman"/>
                      <w:bCs/>
                    </w:rPr>
                    <w:fldChar w:fldCharType="separate"/>
                  </w:r>
                  <w:r>
                    <w:rPr>
                      <w:rStyle w:val="94"/>
                      <w:rFonts w:ascii="Times New Roman" w:hAnsi="Times New Roman" w:cs="Times New Roman"/>
                      <w:bCs/>
                    </w:rPr>
                    <w:t>74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935BE47">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"_Toc217032259" </w:instrText>
                  </w:r>
                  <w:r>
                    <w:fldChar w:fldCharType="separate"/>
                  </w:r>
                  <w:r>
                    <w:rPr>
                      <w:rStyle w:val="94"/>
                      <w:rFonts w:cs="Times New Roman"/>
                      <w:sz w:val="24"/>
                      <w:szCs w:val="24"/>
                    </w:rPr>
                    <w:t>7.</w:t>
                  </w:r>
                  <w:r>
                    <w:rPr>
                      <w:rFonts w:cs="Times New Roman"/>
                      <w:color w:val="auto"/>
                      <w:kern w:val="2"/>
                      <w:sz w:val="24"/>
                      <w:szCs w:val="24"/>
                      <w14:ligatures w14:val="standardContextual"/>
                    </w:rPr>
                    <w:tab/>
                  </w:r>
                  <w:r>
                    <w:rPr>
                      <w:rStyle w:val="94"/>
                      <w:rFonts w:cs="Times New Roman"/>
                      <w:sz w:val="24"/>
                      <w:szCs w:val="24"/>
                    </w:rPr>
                    <w:t>研究评估和程序</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_Toc217032259 \h </w:instrText>
                  </w:r>
                  <w:r>
                    <w:rPr>
                      <w:rFonts w:cs="Times New Roman"/>
                      <w:sz w:val="24"/>
                      <w:szCs w:val="24"/>
                    </w:rPr>
                    <w:fldChar w:fldCharType="separate"/>
                  </w:r>
                  <w:r>
                    <w:rPr>
                      <w:rFonts w:cs="Times New Roman"/>
                      <w:sz w:val="24"/>
                      <w:szCs w:val="24"/>
                    </w:rPr>
                    <w:t>74</w:t>
                  </w:r>
                  <w:r>
                    <w:rPr>
                      <w:rFonts w:cs="Times New Roman"/>
                      <w:sz w:val="24"/>
                      <w:szCs w:val="24"/>
                    </w:rPr>
                    <w:fldChar w:fldCharType="end"/>
                  </w:r>
                  <w:r>
                    <w:rPr>
                      <w:rFonts w:cs="Times New Roman"/>
                      <w:sz w:val="24"/>
                      <w:szCs w:val="24"/>
                    </w:rPr>
                    <w:fldChar w:fldCharType="end"/>
                  </w:r>
                </w:p>
                <w:p w14:paraId="1DD192FF">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"_Toc217032260" </w:instrText>
                  </w:r>
                  <w:r>
                    <w:fldChar w:fldCharType="separate"/>
                  </w:r>
                  <w:r>
                    <w:rPr>
                      <w:rStyle w:val="94"/>
                      <w:rFonts w:ascii="Times New Roman" w:hAnsi="Times New Roman" w:eastAsia="宋体" w:cs="Times New Roman"/>
                      <w:sz w:val="24"/>
                      <w:szCs w:val="24"/>
                    </w:rPr>
                    <w:t>7.1.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研究期间的检查和评估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_Toc217032260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C00F504">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"_Toc217032261" </w:instrText>
                  </w:r>
                  <w:r>
                    <w:fldChar w:fldCharType="separate"/>
                  </w:r>
                  <w:r>
                    <w:rPr>
                      <w:rStyle w:val="94"/>
                      <w:rFonts w:ascii="Times New Roman" w:hAnsi="Times New Roman" w:eastAsia="宋体" w:cs="Times New Roman"/>
                      <w:bCs/>
                      <w:sz w:val="24"/>
                      <w:szCs w:val="24"/>
                    </w:rPr>
                    <w:t>7.1.1.</w:t>
                  </w:r>
                  <w:r>
                    <w:rPr>
                      <w:rStyle w:val="94"/>
                      <w:rFonts w:ascii="Times New Roman" w:hAnsi="Times New Roman" w:cs="Times New Roman"/>
                      <w:bCs/>
                    </w:rPr>
                    <w:tab/>
                  </w:r>
                  <w:r>
                    <w:rPr>
                      <w:rStyle w:val="94"/>
                      <w:rFonts w:ascii="Times New Roman" w:hAnsi="Times New Roman" w:eastAsia="宋体" w:cs="Times New Roman"/>
                      <w:bCs/>
                      <w:sz w:val="24"/>
                      <w:szCs w:val="24"/>
                    </w:rPr>
                    <w:t>签署知情同意书</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_Toc217032261 \h </w:instrText>
                  </w:r>
                  <w:r>
                    <w:rPr>
                      <w:rStyle w:val="94"/>
                      <w:rFonts w:ascii="Times New Roman" w:hAnsi="Times New Roman" w:cs="Times New Roman"/>
                      <w:bCs/>
                    </w:rPr>
                    <w:fldChar w:fldCharType="separate"/>
                  </w:r>
                  <w:r>
                    <w:rPr>
                      <w:rStyle w:val="94"/>
                      <w:rFonts w:ascii="Times New Roman" w:hAnsi="Times New Roman" w:cs="Times New Roman"/>
                      <w:bCs/>
                    </w:rPr>
                    <w:t>74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BC44CA8">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"_Toc217032262" </w:instrText>
                  </w:r>
                  <w:r>
                    <w:fldChar w:fldCharType="separate"/>
                  </w:r>
                  <w:r>
                    <w:rPr>
                      <w:rStyle w:val="94"/>
                      <w:rFonts w:ascii="Times New Roman" w:hAnsi="Times New Roman" w:eastAsia="宋体" w:cs="Times New Roman"/>
                      <w:bCs/>
                      <w:sz w:val="24"/>
                      <w:szCs w:val="24"/>
                    </w:rPr>
                    <w:t>7.1.2.</w:t>
                  </w:r>
                  <w:r>
                    <w:rPr>
                      <w:rStyle w:val="94"/>
                      <w:rFonts w:ascii="Times New Roman" w:hAnsi="Times New Roman" w:cs="Times New Roman"/>
                      <w:bCs/>
                    </w:rPr>
                    <w:tab/>
                  </w:r>
                  <w:r>
                    <w:rPr>
                      <w:rStyle w:val="94"/>
                      <w:rFonts w:ascii="Times New Roman" w:hAnsi="Times New Roman" w:eastAsia="宋体" w:cs="Times New Roman"/>
                      <w:bCs/>
                      <w:sz w:val="24"/>
                      <w:szCs w:val="24"/>
                    </w:rPr>
                    <w:t>采集人口学资料</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_Toc217032262 \h </w:instrText>
                  </w:r>
                  <w:r>
                    <w:rPr>
                      <w:rStyle w:val="94"/>
                      <w:rFonts w:ascii="Times New Roman" w:hAnsi="Times New Roman" w:cs="Times New Roman"/>
                      <w:bCs/>
                    </w:rPr>
                    <w:fldChar w:fldCharType="separate"/>
                  </w:r>
                  <w:r>
                    <w:rPr>
                      <w:rStyle w:val="94"/>
                      <w:rFonts w:ascii="Times New Roman" w:hAnsi="Times New Roman" w:cs="Times New Roman"/>
                      <w:bCs/>
                    </w:rPr>
                    <w:t>74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4BD9755">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"_Toc217032263" </w:instrText>
                  </w:r>
                  <w:r>
                    <w:fldChar w:fldCharType="separate"/>
                  </w:r>
                  <w:r>
                    <w:rPr>
                      <w:rStyle w:val="94"/>
                      <w:rFonts w:ascii="Times New Roman" w:hAnsi="Times New Roman" w:eastAsia="宋体" w:cs="Times New Roman"/>
                      <w:bCs/>
                      <w:sz w:val="24"/>
                      <w:szCs w:val="24"/>
                    </w:rPr>
                    <w:t>7.1.3.</w:t>
                  </w:r>
                  <w:r>
                    <w:rPr>
                      <w:rStyle w:val="94"/>
                      <w:rFonts w:ascii="Times New Roman" w:hAnsi="Times New Roman" w:cs="Times New Roman"/>
                      <w:bCs/>
                    </w:rPr>
                    <w:tab/>
                  </w:r>
                  <w:r>
                    <w:rPr>
                      <w:rStyle w:val="94"/>
                      <w:rFonts w:ascii="Times New Roman" w:hAnsi="Times New Roman" w:eastAsia="宋体" w:cs="Times New Roman"/>
                      <w:bCs/>
                      <w:sz w:val="24"/>
                      <w:szCs w:val="24"/>
                    </w:rPr>
                    <w:t>既往和现病史、治疗史</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_Toc217032263 \h </w:instrText>
                  </w:r>
                  <w:r>
                    <w:rPr>
                      <w:rStyle w:val="94"/>
                      <w:rFonts w:ascii="Times New Roman" w:hAnsi="Times New Roman" w:cs="Times New Roman"/>
                      <w:bCs/>
                    </w:rPr>
                    <w:fldChar w:fldCharType="separate"/>
                  </w:r>
                  <w:r>
                    <w:rPr>
                      <w:rStyle w:val="94"/>
                      <w:rFonts w:ascii="Times New Roman" w:hAnsi="Times New Roman" w:cs="Times New Roman"/>
                      <w:bCs/>
                    </w:rPr>
                    <w:t>74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8636A9A">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"_Toc217032264" </w:instrText>
                  </w:r>
                  <w:r>
                    <w:fldChar w:fldCharType="separate"/>
                  </w:r>
                  <w:r>
                    <w:rPr>
                      <w:rStyle w:val="94"/>
                      <w:rFonts w:ascii="Times New Roman" w:hAnsi="Times New Roman" w:eastAsia="宋体" w:cs="Times New Roman"/>
                      <w:bCs/>
                      <w:sz w:val="24"/>
                      <w:szCs w:val="24"/>
                    </w:rPr>
                    <w:t>7.1.4.</w:t>
                  </w:r>
                  <w:r>
                    <w:rPr>
                      <w:rStyle w:val="94"/>
                      <w:rFonts w:ascii="Times New Roman" w:hAnsi="Times New Roman" w:cs="Times New Roman"/>
                      <w:bCs/>
                    </w:rPr>
                    <w:tab/>
                  </w:r>
                  <w:r>
                    <w:rPr>
                      <w:rStyle w:val="94"/>
                      <w:rFonts w:ascii="Times New Roman" w:hAnsi="Times New Roman" w:eastAsia="宋体" w:cs="Times New Roman"/>
                      <w:bCs/>
                      <w:sz w:val="24"/>
                      <w:szCs w:val="24"/>
                    </w:rPr>
                    <w:t>身高及体重</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_Toc217032264 \h </w:instrText>
                  </w:r>
                  <w:r>
                    <w:rPr>
                      <w:rStyle w:val="94"/>
                      <w:rFonts w:ascii="Times New Roman" w:hAnsi="Times New Roman" w:cs="Times New Roman"/>
                      <w:bCs/>
                    </w:rPr>
                    <w:fldChar w:fldCharType="separate"/>
                  </w:r>
                  <w:r>
                    <w:rPr>
                      <w:rStyle w:val="94"/>
                      <w:rFonts w:ascii="Times New Roman" w:hAnsi="Times New Roman" w:cs="Times New Roman"/>
                      <w:bCs/>
                    </w:rPr>
                    <w:t>75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8FD5DC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"_Toc217032265" </w:instrText>
                  </w:r>
                  <w:r>
                    <w:fldChar w:fldCharType="separate"/>
                  </w:r>
                  <w:r>
                    <w:rPr>
                      <w:rStyle w:val="94"/>
                      <w:rFonts w:ascii="Times New Roman" w:hAnsi="Times New Roman" w:eastAsia="宋体" w:cs="Times New Roman"/>
                      <w:bCs/>
                      <w:sz w:val="24"/>
                      <w:szCs w:val="24"/>
                    </w:rPr>
                    <w:t>7.1.5.</w:t>
                  </w:r>
                  <w:r>
                    <w:rPr>
                      <w:rStyle w:val="94"/>
                      <w:rFonts w:ascii="Times New Roman" w:hAnsi="Times New Roman" w:cs="Times New Roman"/>
                      <w:bCs/>
                    </w:rPr>
                    <w:tab/>
                  </w:r>
                  <w:r>
                    <w:rPr>
                      <w:rStyle w:val="94"/>
                      <w:rFonts w:ascii="Times New Roman" w:hAnsi="Times New Roman" w:eastAsia="宋体" w:cs="Times New Roman"/>
                      <w:bCs/>
                      <w:sz w:val="24"/>
                      <w:szCs w:val="24"/>
                    </w:rPr>
                    <w:t>生命体征检查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_Toc217032265 \h </w:instrText>
                  </w:r>
                  <w:r>
                    <w:rPr>
                      <w:rStyle w:val="94"/>
                      <w:rFonts w:ascii="Times New Roman" w:hAnsi="Times New Roman" w:cs="Times New Roman"/>
                      <w:bCs/>
                    </w:rPr>
                    <w:fldChar w:fldCharType="separate"/>
                  </w:r>
                  <w:r>
                    <w:rPr>
                      <w:rStyle w:val="94"/>
                      <w:rFonts w:ascii="Times New Roman" w:hAnsi="Times New Roman" w:cs="Times New Roman"/>
                      <w:bCs/>
                    </w:rPr>
                    <w:t>75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B0462BA">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"_Toc217032266" </w:instrText>
                  </w:r>
                  <w:r>
                    <w:fldChar w:fldCharType="separate"/>
                  </w:r>
                  <w:r>
                    <w:rPr>
                      <w:rStyle w:val="94"/>
                      <w:rFonts w:ascii="Times New Roman" w:hAnsi="Times New Roman" w:eastAsia="宋体" w:cs="Times New Roman"/>
                      <w:bCs/>
                      <w:sz w:val="24"/>
                      <w:szCs w:val="24"/>
                    </w:rPr>
                    <w:t>7.1.6.</w:t>
                  </w:r>
                  <w:r>
                    <w:rPr>
                      <w:rStyle w:val="94"/>
                      <w:rFonts w:ascii="Times New Roman" w:hAnsi="Times New Roman" w:cs="Times New Roman"/>
                      <w:bCs/>
                    </w:rPr>
                    <w:tab/>
                  </w:r>
                  <w:r>
                    <w:rPr>
                      <w:rStyle w:val="94"/>
                      <w:rFonts w:ascii="Times New Roman" w:hAnsi="Times New Roman" w:eastAsia="宋体" w:cs="Times New Roman"/>
                      <w:bCs/>
                      <w:sz w:val="24"/>
                      <w:szCs w:val="24"/>
                    </w:rPr>
                    <w:t>体格检查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_Toc217032266 \h </w:instrText>
                  </w:r>
                  <w:r>
                    <w:rPr>
                      <w:rStyle w:val="94"/>
                      <w:rFonts w:ascii="Times New Roman" w:hAnsi="Times New Roman" w:cs="Times New Roman"/>
                      <w:bCs/>
                    </w:rPr>
                    <w:fldChar w:fldCharType="separate"/>
                  </w:r>
                  <w:r>
                    <w:rPr>
                      <w:rStyle w:val="94"/>
                      <w:rFonts w:ascii="Times New Roman" w:hAnsi="Times New Roman" w:cs="Times New Roman"/>
                      <w:bCs/>
                    </w:rPr>
                    <w:t>75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24C70E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"_Toc217032267" </w:instrText>
                  </w:r>
                  <w:r>
                    <w:fldChar w:fldCharType="separate"/>
                  </w:r>
                  <w:r>
                    <w:rPr>
                      <w:rStyle w:val="94"/>
                      <w:rFonts w:ascii="Times New Roman" w:hAnsi="Times New Roman" w:eastAsia="宋体" w:cs="Times New Roman"/>
                      <w:bCs/>
                      <w:sz w:val="24"/>
                      <w:szCs w:val="24"/>
                    </w:rPr>
                    <w:t>7.1.7.</w:t>
                  </w:r>
                  <w:r>
                    <w:rPr>
                      <w:rStyle w:val="94"/>
                      <w:rFonts w:ascii="Times New Roman" w:hAnsi="Times New Roman" w:cs="Times New Roman"/>
                      <w:bCs/>
                    </w:rPr>
                    <w:tab/>
                  </w:r>
                  <w:r>
                    <w:rPr>
                      <w:rStyle w:val="94"/>
                      <w:rFonts w:ascii="Times New Roman" w:hAnsi="Times New Roman" w:eastAsia="宋体" w:cs="Times New Roman"/>
                      <w:bCs/>
                      <w:sz w:val="24"/>
                      <w:szCs w:val="24"/>
                    </w:rPr>
                    <w:t>12导联心电图检查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_Toc217032267 \h </w:instrText>
                  </w:r>
                  <w:r>
                    <w:rPr>
                      <w:rStyle w:val="94"/>
                      <w:rFonts w:ascii="Times New Roman" w:hAnsi="Times New Roman" w:cs="Times New Roman"/>
                      <w:bCs/>
                    </w:rPr>
                    <w:fldChar w:fldCharType="separate"/>
                  </w:r>
                  <w:r>
                    <w:rPr>
                      <w:rStyle w:val="94"/>
                      <w:rFonts w:ascii="Times New Roman" w:hAnsi="Times New Roman" w:cs="Times New Roman"/>
                      <w:bCs/>
                    </w:rPr>
                    <w:t>76</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99541D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"_Toc217032268" </w:instrText>
                  </w:r>
                  <w:r>
                    <w:fldChar w:fldCharType="separate"/>
                  </w:r>
                  <w:r>
                    <w:rPr>
                      <w:rStyle w:val="94"/>
                      <w:rFonts w:ascii="Times New Roman" w:hAnsi="Times New Roman" w:eastAsia="宋体" w:cs="Times New Roman"/>
                      <w:bCs/>
                      <w:sz w:val="24"/>
                      <w:szCs w:val="24"/>
                    </w:rPr>
                    <w:t>7.1.8.</w:t>
                  </w:r>
                  <w:r>
                    <w:rPr>
                      <w:rStyle w:val="94"/>
                      <w:rFonts w:ascii="Times New Roman" w:hAnsi="Times New Roman" w:cs="Times New Roman"/>
                      <w:bCs/>
                    </w:rPr>
                    <w:tab/>
                  </w:r>
                  <w:r>
                    <w:rPr>
                      <w:rStyle w:val="94"/>
                      <w:rFonts w:ascii="Times New Roman" w:hAnsi="Times New Roman" w:eastAsia="宋体" w:cs="Times New Roman"/>
                      <w:bCs/>
                      <w:sz w:val="24"/>
                      <w:szCs w:val="24"/>
                    </w:rPr>
                    <w:t>胸部CT平扫</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_Toc217032268 \h </w:instrText>
                  </w:r>
                  <w:r>
                    <w:rPr>
                      <w:rStyle w:val="94"/>
                      <w:rFonts w:ascii="Times New Roman" w:hAnsi="Times New Roman" w:cs="Times New Roman"/>
                      <w:bCs/>
                    </w:rPr>
                    <w:fldChar w:fldCharType="separate"/>
                  </w:r>
                  <w:r>
                    <w:rPr>
                      <w:rStyle w:val="94"/>
                      <w:rFonts w:ascii="Times New Roman" w:hAnsi="Times New Roman" w:cs="Times New Roman"/>
                      <w:bCs/>
                    </w:rPr>
                    <w:t>76</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E0C883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"_Toc217032269" </w:instrText>
                  </w:r>
                  <w:r>
                    <w:fldChar w:fldCharType="separate"/>
                  </w:r>
                  <w:r>
                    <w:rPr>
                      <w:rStyle w:val="94"/>
                      <w:rFonts w:ascii="Times New Roman" w:hAnsi="Times New Roman" w:eastAsia="宋体" w:cs="Times New Roman"/>
                      <w:bCs/>
                      <w:sz w:val="24"/>
                      <w:szCs w:val="24"/>
                    </w:rPr>
                    <w:t>7.1.9.</w:t>
                  </w:r>
                  <w:r>
                    <w:rPr>
                      <w:rStyle w:val="94"/>
                      <w:rFonts w:ascii="Times New Roman" w:hAnsi="Times New Roman" w:cs="Times New Roman"/>
                      <w:bCs/>
                    </w:rPr>
                    <w:tab/>
                  </w:r>
                  <w:r>
                    <w:rPr>
                      <w:rStyle w:val="94"/>
                      <w:rFonts w:ascii="Times New Roman" w:hAnsi="Times New Roman" w:eastAsia="宋体" w:cs="Times New Roman"/>
                      <w:bCs/>
                      <w:sz w:val="24"/>
                      <w:szCs w:val="24"/>
                    </w:rPr>
                    <w:t>实验室检查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_Toc217032269 \h </w:instrText>
                  </w:r>
                  <w:r>
                    <w:rPr>
                      <w:rStyle w:val="94"/>
                      <w:rFonts w:ascii="Times New Roman" w:hAnsi="Times New Roman" w:cs="Times New Roman"/>
                      <w:bCs/>
                    </w:rPr>
                    <w:fldChar w:fldCharType="separate"/>
                  </w:r>
                  <w:r>
                    <w:rPr>
                      <w:rStyle w:val="94"/>
                      <w:rFonts w:ascii="Times New Roman" w:hAnsi="Times New Roman" w:cs="Times New Roman"/>
                      <w:bCs/>
                    </w:rPr>
                    <w:t>76</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1D3548A">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"_Toc217032270" </w:instrText>
                  </w:r>
                  <w:r>
                    <w:fldChar w:fldCharType="separate"/>
                  </w:r>
                  <w:r>
                    <w:rPr>
                      <w:rStyle w:val="94"/>
                      <w:rFonts w:ascii="Times New Roman" w:hAnsi="Times New Roman" w:eastAsia="宋体" w:cs="Times New Roman"/>
                      <w:bCs/>
                      <w:sz w:val="24"/>
                      <w:szCs w:val="24"/>
                    </w:rPr>
                    <w:t>7.1.10.</w:t>
                  </w:r>
                  <w:r>
                    <w:rPr>
                      <w:rStyle w:val="94"/>
                      <w:rFonts w:ascii="Times New Roman" w:hAnsi="Times New Roman" w:cs="Times New Roman"/>
                      <w:bCs/>
                    </w:rPr>
                    <w:tab/>
                  </w:r>
                  <w:r>
                    <w:rPr>
                      <w:rStyle w:val="94"/>
                      <w:rFonts w:ascii="Times New Roman" w:hAnsi="Times New Roman" w:eastAsia="宋体" w:cs="Times New Roman"/>
                      <w:bCs/>
                      <w:sz w:val="24"/>
                      <w:szCs w:val="24"/>
                    </w:rPr>
                    <w:t>病毒学检查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_Toc217032270 \h </w:instrText>
                  </w:r>
                  <w:r>
                    <w:rPr>
                      <w:rStyle w:val="94"/>
                      <w:rFonts w:ascii="Times New Roman" w:hAnsi="Times New Roman" w:cs="Times New Roman"/>
                      <w:bCs/>
                    </w:rPr>
                    <w:fldChar w:fldCharType="separate"/>
                  </w:r>
                  <w:r>
                    <w:rPr>
                      <w:rStyle w:val="94"/>
                      <w:rFonts w:ascii="Times New Roman" w:hAnsi="Times New Roman" w:cs="Times New Roman"/>
                      <w:bCs/>
                    </w:rPr>
                    <w:t>77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35F1DC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"_Toc217032271" </w:instrText>
                  </w:r>
                  <w:r>
                    <w:fldChar w:fldCharType="separate"/>
                  </w:r>
                  <w:r>
                    <w:rPr>
                      <w:rStyle w:val="94"/>
                      <w:rFonts w:ascii="Times New Roman" w:hAnsi="Times New Roman" w:eastAsia="宋体" w:cs="Times New Roman"/>
                      <w:bCs/>
                      <w:sz w:val="24"/>
                      <w:szCs w:val="24"/>
                    </w:rPr>
                    <w:t>7.1.11.</w:t>
                  </w:r>
                  <w:r>
                    <w:rPr>
                      <w:rStyle w:val="94"/>
                      <w:rFonts w:ascii="Times New Roman" w:hAnsi="Times New Roman" w:cs="Times New Roman"/>
                      <w:bCs/>
                    </w:rPr>
                    <w:tab/>
                  </w:r>
                  <w:r>
                    <w:rPr>
                      <w:rStyle w:val="94"/>
                      <w:rFonts w:ascii="Times New Roman" w:hAnsi="Times New Roman" w:eastAsia="宋体" w:cs="Times New Roman"/>
                      <w:bCs/>
                      <w:sz w:val="24"/>
                      <w:szCs w:val="24"/>
                    </w:rPr>
                    <w:t>结核筛查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_Toc217032271 \h </w:instrText>
                  </w:r>
                  <w:r>
                    <w:rPr>
                      <w:rStyle w:val="94"/>
                      <w:rFonts w:ascii="Times New Roman" w:hAnsi="Times New Roman" w:cs="Times New Roman"/>
                      <w:bCs/>
                    </w:rPr>
                    <w:fldChar w:fldCharType="separate"/>
                  </w:r>
                  <w:r>
                    <w:rPr>
                      <w:rStyle w:val="94"/>
                      <w:rFonts w:ascii="Times New Roman" w:hAnsi="Times New Roman" w:cs="Times New Roman"/>
                      <w:bCs/>
                    </w:rPr>
                    <w:t>77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3074259">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"_Toc217032272" </w:instrText>
                  </w:r>
                  <w:r>
                    <w:fldChar w:fldCharType="separate"/>
                  </w:r>
                  <w:r>
                    <w:rPr>
                      <w:rStyle w:val="94"/>
                      <w:rFonts w:ascii="Times New Roman" w:hAnsi="Times New Roman" w:eastAsia="宋体" w:cs="Times New Roman"/>
                      <w:bCs/>
                      <w:sz w:val="24"/>
                      <w:szCs w:val="24"/>
                    </w:rPr>
                    <w:t>7.1.12.</w:t>
                  </w:r>
                  <w:r>
                    <w:rPr>
                      <w:rStyle w:val="94"/>
                      <w:rFonts w:ascii="Times New Roman" w:hAnsi="Times New Roman" w:cs="Times New Roman"/>
                      <w:bCs/>
                    </w:rPr>
                    <w:tab/>
                  </w:r>
                  <w:r>
                    <w:rPr>
                      <w:rStyle w:val="94"/>
                      <w:rFonts w:ascii="Times New Roman" w:hAnsi="Times New Roman" w:eastAsia="宋体" w:cs="Times New Roman"/>
                      <w:bCs/>
                      <w:sz w:val="24"/>
                      <w:szCs w:val="24"/>
                    </w:rPr>
                    <w:t>妊娠试验或卵泡刺激素（FSH）检测</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_Toc217032272 \h </w:instrText>
                  </w:r>
                  <w:r>
                    <w:rPr>
                      <w:rStyle w:val="94"/>
                      <w:rFonts w:ascii="Times New Roman" w:hAnsi="Times New Roman" w:cs="Times New Roman"/>
                      <w:bCs/>
                    </w:rPr>
                    <w:fldChar w:fldCharType="separate"/>
                  </w:r>
                  <w:r>
                    <w:rPr>
                      <w:rStyle w:val="94"/>
                      <w:rFonts w:ascii="Times New Roman" w:hAnsi="Times New Roman" w:cs="Times New Roman"/>
                      <w:bCs/>
                    </w:rPr>
                    <w:t>78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8893A5B">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"_Toc217032273" </w:instrText>
                  </w:r>
                  <w:r>
                    <w:fldChar w:fldCharType="separate"/>
                  </w:r>
                  <w:r>
                    <w:rPr>
                      <w:rStyle w:val="94"/>
                      <w:rFonts w:ascii="Times New Roman" w:hAnsi="Times New Roman" w:eastAsia="宋体" w:cs="Times New Roman"/>
                      <w:bCs/>
                      <w:sz w:val="24"/>
                      <w:szCs w:val="24"/>
                    </w:rPr>
                    <w:t>7.1.13.</w:t>
                  </w:r>
                  <w:r>
                    <w:rPr>
                      <w:rStyle w:val="94"/>
                      <w:rFonts w:ascii="Times New Roman" w:hAnsi="Times New Roman" w:cs="Times New Roman"/>
                      <w:bCs/>
                    </w:rPr>
                    <w:tab/>
                  </w:r>
                  <w:r>
                    <w:rPr>
                      <w:rStyle w:val="94"/>
                      <w:rFonts w:ascii="Times New Roman" w:hAnsi="Times New Roman" w:eastAsia="宋体" w:cs="Times New Roman"/>
                      <w:bCs/>
                      <w:sz w:val="24"/>
                      <w:szCs w:val="24"/>
                    </w:rPr>
                    <w:t>获取皮损照片</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_Toc217032273 \h </w:instrText>
                  </w:r>
                  <w:r>
                    <w:rPr>
                      <w:rStyle w:val="94"/>
                      <w:rFonts w:ascii="Times New Roman" w:hAnsi="Times New Roman" w:cs="Times New Roman"/>
                      <w:bCs/>
                    </w:rPr>
                    <w:fldChar w:fldCharType="separate"/>
                  </w:r>
                  <w:r>
                    <w:rPr>
                      <w:rStyle w:val="94"/>
                      <w:rFonts w:ascii="Times New Roman" w:hAnsi="Times New Roman" w:cs="Times New Roman"/>
                      <w:bCs/>
                    </w:rPr>
                    <w:t>78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3908FB9">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"_Toc217032274" </w:instrText>
                  </w:r>
                  <w:r>
                    <w:fldChar w:fldCharType="separate"/>
                  </w:r>
                  <w:r>
                    <w:rPr>
                      <w:rStyle w:val="94"/>
                      <w:rFonts w:ascii="Times New Roman" w:hAnsi="Times New Roman" w:eastAsia="宋体" w:cs="Times New Roman"/>
                      <w:bCs/>
                      <w:sz w:val="24"/>
                      <w:szCs w:val="24"/>
                    </w:rPr>
                    <w:t>7.1.14.</w:t>
                  </w:r>
                  <w:r>
                    <w:rPr>
                      <w:rStyle w:val="94"/>
                      <w:rFonts w:ascii="Times New Roman" w:hAnsi="Times New Roman" w:cs="Times New Roman"/>
                      <w:bCs/>
                    </w:rPr>
                    <w:tab/>
                  </w:r>
                  <w:r>
                    <w:rPr>
                      <w:rStyle w:val="94"/>
                      <w:rFonts w:ascii="Times New Roman" w:hAnsi="Times New Roman" w:eastAsia="宋体" w:cs="Times New Roman"/>
                      <w:bCs/>
                      <w:sz w:val="24"/>
                      <w:szCs w:val="24"/>
                    </w:rPr>
                    <w:t>疗效评价</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_Toc217032274 \h </w:instrText>
                  </w:r>
                  <w:r>
                    <w:rPr>
                      <w:rStyle w:val="94"/>
                      <w:rFonts w:ascii="Times New Roman" w:hAnsi="Times New Roman" w:cs="Times New Roman"/>
                      <w:bCs/>
                    </w:rPr>
                    <w:fldChar w:fldCharType="separate"/>
                  </w:r>
                  <w:r>
                    <w:rPr>
                      <w:rStyle w:val="94"/>
                      <w:rFonts w:ascii="Times New Roman" w:hAnsi="Times New Roman" w:cs="Times New Roman"/>
                      <w:bCs/>
                    </w:rPr>
                    <w:t>78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BE67DC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"_Toc217032275" </w:instrText>
                  </w:r>
                  <w:r>
                    <w:fldChar w:fldCharType="separate"/>
                  </w:r>
                  <w:r>
                    <w:rPr>
                      <w:rStyle w:val="94"/>
                      <w:rFonts w:ascii="Times New Roman" w:hAnsi="Times New Roman" w:eastAsia="宋体" w:cs="Times New Roman"/>
                      <w:bCs/>
                      <w:sz w:val="24"/>
                      <w:szCs w:val="24"/>
                    </w:rPr>
                    <w:t>7.1.15.</w:t>
                  </w:r>
                  <w:r>
                    <w:rPr>
                      <w:rStyle w:val="94"/>
                      <w:rFonts w:ascii="Times New Roman" w:hAnsi="Times New Roman" w:cs="Times New Roman"/>
                      <w:bCs/>
                    </w:rPr>
                    <w:tab/>
                  </w:r>
                  <w:r>
                    <w:rPr>
                      <w:rStyle w:val="94"/>
                      <w:rFonts w:ascii="Times New Roman" w:hAnsi="Times New Roman" w:eastAsia="宋体" w:cs="Times New Roman"/>
                      <w:bCs/>
                      <w:sz w:val="24"/>
                      <w:szCs w:val="24"/>
                    </w:rPr>
                    <w:t>PK/IL-17A血样采集</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_Toc217032275 \h </w:instrText>
                  </w:r>
                  <w:r>
                    <w:rPr>
                      <w:rStyle w:val="94"/>
                      <w:rFonts w:ascii="Times New Roman" w:hAnsi="Times New Roman" w:cs="Times New Roman"/>
                      <w:bCs/>
                    </w:rPr>
                    <w:fldChar w:fldCharType="separate"/>
                  </w:r>
                  <w:r>
                    <w:rPr>
                      <w:rStyle w:val="94"/>
                      <w:rFonts w:ascii="Times New Roman" w:hAnsi="Times New Roman" w:cs="Times New Roman"/>
                      <w:bCs/>
                    </w:rPr>
                    <w:t>79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4751A41">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"_Toc217032276" </w:instrText>
                  </w:r>
                  <w:r>
                    <w:fldChar w:fldCharType="separate"/>
                  </w:r>
                  <w:r>
                    <w:rPr>
                      <w:rStyle w:val="94"/>
                      <w:rFonts w:ascii="Times New Roman" w:hAnsi="Times New Roman" w:eastAsia="宋体" w:cs="Times New Roman"/>
                      <w:bCs/>
                      <w:sz w:val="24"/>
                      <w:szCs w:val="24"/>
                    </w:rPr>
                    <w:t>7.1.16.</w:t>
                  </w:r>
                  <w:r>
                    <w:rPr>
                      <w:rStyle w:val="94"/>
                      <w:rFonts w:ascii="Times New Roman" w:hAnsi="Times New Roman" w:cs="Times New Roman"/>
                      <w:bCs/>
                    </w:rPr>
                    <w:tab/>
                  </w:r>
                  <w:r>
                    <w:rPr>
                      <w:rStyle w:val="94"/>
                      <w:rFonts w:ascii="Times New Roman" w:hAnsi="Times New Roman" w:eastAsia="宋体" w:cs="Times New Roman"/>
                      <w:bCs/>
                      <w:sz w:val="24"/>
                      <w:szCs w:val="24"/>
                    </w:rPr>
                    <w:t>记录不良事件</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_Toc217032276 \h </w:instrText>
                  </w:r>
                  <w:r>
                    <w:rPr>
                      <w:rStyle w:val="94"/>
                      <w:rFonts w:ascii="Times New Roman" w:hAnsi="Times New Roman" w:cs="Times New Roman"/>
                      <w:bCs/>
                    </w:rPr>
                    <w:fldChar w:fldCharType="separate"/>
                  </w:r>
                  <w:r>
                    <w:rPr>
                      <w:rStyle w:val="94"/>
                      <w:rFonts w:ascii="Times New Roman" w:hAnsi="Times New Roman" w:cs="Times New Roman"/>
                      <w:bCs/>
                    </w:rPr>
                    <w:t>79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B7D285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"_Toc217032277" </w:instrText>
                  </w:r>
                  <w:r>
                    <w:fldChar w:fldCharType="separate"/>
                  </w:r>
                  <w:r>
                    <w:rPr>
                      <w:rStyle w:val="94"/>
                      <w:rFonts w:ascii="Times New Roman" w:hAnsi="Times New Roman" w:eastAsia="宋体" w:cs="Times New Roman"/>
                      <w:bCs/>
                      <w:sz w:val="24"/>
                      <w:szCs w:val="24"/>
                    </w:rPr>
                    <w:t>7.1.17.</w:t>
                  </w:r>
                  <w:r>
                    <w:rPr>
                      <w:rStyle w:val="94"/>
                      <w:rFonts w:ascii="Times New Roman" w:hAnsi="Times New Roman" w:cs="Times New Roman"/>
                      <w:bCs/>
                    </w:rPr>
                    <w:tab/>
                  </w:r>
                  <w:r>
                    <w:rPr>
                      <w:rStyle w:val="94"/>
                      <w:rFonts w:ascii="Times New Roman" w:hAnsi="Times New Roman" w:eastAsia="宋体" w:cs="Times New Roman"/>
                      <w:bCs/>
                      <w:sz w:val="24"/>
                      <w:szCs w:val="24"/>
                    </w:rPr>
                    <w:t>记录合并用药</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_Toc217032277 \h </w:instrText>
                  </w:r>
                  <w:r>
                    <w:rPr>
                      <w:rStyle w:val="94"/>
                      <w:rFonts w:ascii="Times New Roman" w:hAnsi="Times New Roman" w:cs="Times New Roman"/>
                      <w:bCs/>
                    </w:rPr>
                    <w:fldChar w:fldCharType="separate"/>
                  </w:r>
                  <w:r>
                    <w:rPr>
                      <w:rStyle w:val="94"/>
                      <w:rFonts w:ascii="Times New Roman" w:hAnsi="Times New Roman" w:cs="Times New Roman"/>
                      <w:bCs/>
                    </w:rPr>
                    <w:t>79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B80C389">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"_Toc217032278" </w:instrText>
                  </w:r>
                  <w:r>
                    <w:fldChar w:fldCharType="separate"/>
                  </w:r>
                  <w:r>
                    <w:rPr>
                      <w:rStyle w:val="94"/>
                      <w:rFonts w:ascii="Times New Roman" w:hAnsi="Times New Roman" w:eastAsia="宋体" w:cs="Times New Roman"/>
                      <w:sz w:val="24"/>
                      <w:szCs w:val="24"/>
                    </w:rPr>
                    <w:t>7.2.</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访视安排</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_Toc217032278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5DA080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"_Toc217032279" </w:instrText>
                  </w:r>
                  <w:r>
                    <w:fldChar w:fldCharType="separate"/>
                  </w:r>
                  <w:r>
                    <w:rPr>
                      <w:rStyle w:val="94"/>
                      <w:rFonts w:ascii="Times New Roman" w:hAnsi="Times New Roman" w:eastAsia="宋体" w:cs="Times New Roman"/>
                      <w:bCs/>
                      <w:sz w:val="24"/>
                      <w:szCs w:val="24"/>
                    </w:rPr>
                    <w:t>7.2.1.</w:t>
                  </w:r>
                  <w:r>
                    <w:rPr>
                      <w:rStyle w:val="94"/>
                      <w:rFonts w:ascii="Times New Roman" w:hAnsi="Times New Roman" w:cs="Times New Roman"/>
                      <w:bCs/>
                    </w:rPr>
                    <w:tab/>
                  </w:r>
                  <w:r>
                    <w:rPr>
                      <w:rStyle w:val="94"/>
                      <w:rFonts w:ascii="Times New Roman" w:hAnsi="Times New Roman" w:eastAsia="宋体" w:cs="Times New Roman"/>
                      <w:bCs/>
                      <w:sz w:val="24"/>
                      <w:szCs w:val="24"/>
                    </w:rPr>
                    <w:t>Ⅱ期临床研究阶段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_Toc217032279 \h </w:instrText>
                  </w:r>
                  <w:r>
                    <w:rPr>
                      <w:rStyle w:val="94"/>
                      <w:rFonts w:ascii="Times New Roman" w:hAnsi="Times New Roman" w:cs="Times New Roman"/>
                      <w:bCs/>
                    </w:rPr>
                    <w:fldChar w:fldCharType="separate"/>
                  </w:r>
                  <w:r>
                    <w:rPr>
                      <w:rStyle w:val="94"/>
                      <w:rFonts w:ascii="Times New Roman" w:hAnsi="Times New Roman" w:cs="Times New Roman"/>
                      <w:bCs/>
                    </w:rPr>
                    <w:t>79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873DE25">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"_Toc217032280" </w:instrText>
                  </w:r>
                  <w:r>
                    <w:fldChar w:fldCharType="separate"/>
                  </w:r>
                  <w:r>
                    <w:rPr>
                      <w:rStyle w:val="94"/>
                      <w:rFonts w:ascii="Times New Roman" w:hAnsi="Times New Roman" w:eastAsia="宋体" w:cs="Times New Roman"/>
                      <w:bCs/>
                      <w:sz w:val="24"/>
                      <w:szCs w:val="24"/>
                    </w:rPr>
                    <w:t>7.2.1.1.</w:t>
                  </w:r>
                  <w:r>
                    <w:rPr>
                      <w:rStyle w:val="94"/>
                      <w:rFonts w:ascii="Times New Roman" w:hAnsi="Times New Roman" w:cs="Times New Roman"/>
                      <w:bCs/>
                    </w:rPr>
                    <w:tab/>
                  </w:r>
                  <w:r>
                    <w:rPr>
                      <w:rStyle w:val="94"/>
                      <w:rFonts w:ascii="Times New Roman" w:hAnsi="Times New Roman" w:eastAsia="宋体" w:cs="Times New Roman"/>
                      <w:bCs/>
                      <w:sz w:val="24"/>
                      <w:szCs w:val="24"/>
                    </w:rPr>
                    <w:t>筛选期</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_Toc217032280 \h </w:instrText>
                  </w:r>
                  <w:r>
                    <w:rPr>
                      <w:rStyle w:val="94"/>
                      <w:rFonts w:ascii="Times New Roman" w:hAnsi="Times New Roman" w:cs="Times New Roman"/>
                      <w:bCs/>
                    </w:rPr>
                    <w:fldChar w:fldCharType="separate"/>
                  </w:r>
                  <w:r>
                    <w:rPr>
                      <w:rStyle w:val="94"/>
                      <w:rFonts w:ascii="Times New Roman" w:hAnsi="Times New Roman" w:cs="Times New Roman"/>
                      <w:bCs/>
                    </w:rPr>
                    <w:t>79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01E223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"_Toc217032281" </w:instrText>
                  </w:r>
                  <w:r>
                    <w:fldChar w:fldCharType="separate"/>
                  </w:r>
                  <w:r>
                    <w:rPr>
                      <w:rStyle w:val="94"/>
                      <w:rFonts w:ascii="Times New Roman" w:hAnsi="Times New Roman" w:eastAsia="宋体" w:cs="Times New Roman"/>
                      <w:bCs/>
                      <w:sz w:val="24"/>
                      <w:szCs w:val="24"/>
                    </w:rPr>
                    <w:t>7.2.1.2.</w:t>
                  </w:r>
                  <w:r>
                    <w:rPr>
                      <w:rStyle w:val="94"/>
                      <w:rFonts w:ascii="Times New Roman" w:hAnsi="Times New Roman" w:cs="Times New Roman"/>
                      <w:bCs/>
                    </w:rPr>
                    <w:tab/>
                  </w:r>
                  <w:r>
                    <w:rPr>
                      <w:rStyle w:val="94"/>
                      <w:rFonts w:ascii="Times New Roman" w:hAnsi="Times New Roman" w:eastAsia="宋体" w:cs="Times New Roman"/>
                      <w:bCs/>
                      <w:sz w:val="24"/>
                      <w:szCs w:val="24"/>
                    </w:rPr>
                    <w:t>治疗期</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_Toc217032281 \h </w:instrText>
                  </w:r>
                  <w:r>
                    <w:rPr>
                      <w:rStyle w:val="94"/>
                      <w:rFonts w:ascii="Times New Roman" w:hAnsi="Times New Roman" w:cs="Times New Roman"/>
                      <w:bCs/>
                    </w:rPr>
                    <w:fldChar w:fldCharType="separate"/>
                  </w:r>
                  <w:r>
                    <w:rPr>
                      <w:rStyle w:val="94"/>
                      <w:rFonts w:ascii="Times New Roman" w:hAnsi="Times New Roman" w:cs="Times New Roman"/>
                      <w:bCs/>
                    </w:rPr>
                    <w:t>81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F133354">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"_Toc217032282" </w:instrText>
                  </w:r>
                  <w:r>
                    <w:fldChar w:fldCharType="separate"/>
                  </w:r>
                  <w:r>
                    <w:rPr>
                      <w:rStyle w:val="94"/>
                      <w:rFonts w:ascii="Times New Roman" w:hAnsi="Times New Roman" w:eastAsia="宋体" w:cs="Times New Roman"/>
                      <w:bCs/>
                      <w:sz w:val="24"/>
                      <w:szCs w:val="24"/>
                    </w:rPr>
                    <w:t>7.2.1.3.</w:t>
                  </w:r>
                  <w:r>
                    <w:rPr>
                      <w:rStyle w:val="94"/>
                      <w:rFonts w:ascii="Times New Roman" w:hAnsi="Times New Roman" w:cs="Times New Roman"/>
                      <w:bCs/>
                    </w:rPr>
                    <w:tab/>
                  </w:r>
                  <w:r>
                    <w:rPr>
                      <w:rStyle w:val="94"/>
                      <w:rFonts w:ascii="Times New Roman" w:hAnsi="Times New Roman" w:eastAsia="宋体" w:cs="Times New Roman"/>
                      <w:bCs/>
                      <w:sz w:val="24"/>
                      <w:szCs w:val="24"/>
                    </w:rPr>
                    <w:t>随访期（W16）</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_Toc217032282 \h </w:instrText>
                  </w:r>
                  <w:r>
                    <w:rPr>
                      <w:rStyle w:val="94"/>
                      <w:rFonts w:ascii="Times New Roman" w:hAnsi="Times New Roman" w:cs="Times New Roman"/>
                      <w:bCs/>
                    </w:rPr>
                    <w:fldChar w:fldCharType="separate"/>
                  </w:r>
                  <w:r>
                    <w:rPr>
                      <w:rStyle w:val="94"/>
                      <w:rFonts w:ascii="Times New Roman" w:hAnsi="Times New Roman" w:cs="Times New Roman"/>
                      <w:bCs/>
                    </w:rPr>
                    <w:t>82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EA502D1">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"_Toc217032283" </w:instrText>
                  </w:r>
                  <w:r>
                    <w:fldChar w:fldCharType="separate"/>
                  </w:r>
                  <w:r>
                    <w:rPr>
                      <w:rStyle w:val="94"/>
                      <w:rFonts w:ascii="Times New Roman" w:hAnsi="Times New Roman" w:eastAsia="宋体" w:cs="Times New Roman"/>
                      <w:bCs/>
                      <w:sz w:val="24"/>
                      <w:szCs w:val="24"/>
                    </w:rPr>
                    <w:t>7.2.1.4.</w:t>
                  </w:r>
                  <w:r>
                    <w:rPr>
                      <w:rStyle w:val="94"/>
                      <w:rFonts w:ascii="Times New Roman" w:hAnsi="Times New Roman" w:cs="Times New Roman"/>
                      <w:bCs/>
                    </w:rPr>
                    <w:tab/>
                  </w:r>
                  <w:r>
                    <w:rPr>
                      <w:rStyle w:val="94"/>
                      <w:rFonts w:ascii="Times New Roman" w:hAnsi="Times New Roman" w:eastAsia="宋体" w:cs="Times New Roman"/>
                      <w:bCs/>
                      <w:sz w:val="24"/>
                      <w:szCs w:val="24"/>
                    </w:rPr>
                    <w:t>提前退出访视（末次给药后7天内）</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_Toc217032283 \h </w:instrText>
                  </w:r>
                  <w:r>
                    <w:rPr>
                      <w:rStyle w:val="94"/>
                      <w:rFonts w:ascii="Times New Roman" w:hAnsi="Times New Roman" w:cs="Times New Roman"/>
                      <w:bCs/>
                    </w:rPr>
                    <w:fldChar w:fldCharType="separate"/>
                  </w:r>
                  <w:r>
                    <w:rPr>
                      <w:rStyle w:val="94"/>
                      <w:rFonts w:ascii="Times New Roman" w:hAnsi="Times New Roman" w:cs="Times New Roman"/>
                      <w:bCs/>
                    </w:rPr>
                    <w:t>82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B69FBF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"_Toc217032284" </w:instrText>
                  </w:r>
                  <w:r>
                    <w:fldChar w:fldCharType="separate"/>
                  </w:r>
                  <w:r>
                    <w:rPr>
                      <w:rStyle w:val="94"/>
                      <w:rFonts w:ascii="Times New Roman" w:hAnsi="Times New Roman" w:eastAsia="宋体" w:cs="Times New Roman"/>
                      <w:bCs/>
                      <w:sz w:val="24"/>
                      <w:szCs w:val="24"/>
                    </w:rPr>
                    <w:t>7.2.1.5.</w:t>
                  </w:r>
                  <w:r>
                    <w:rPr>
                      <w:rStyle w:val="94"/>
                      <w:rFonts w:ascii="Times New Roman" w:hAnsi="Times New Roman" w:cs="Times New Roman"/>
                      <w:bCs/>
                    </w:rPr>
                    <w:tab/>
                  </w:r>
                  <w:r>
                    <w:rPr>
                      <w:rStyle w:val="94"/>
                      <w:rFonts w:ascii="Times New Roman" w:hAnsi="Times New Roman" w:eastAsia="宋体" w:cs="Times New Roman"/>
                      <w:bCs/>
                      <w:sz w:val="24"/>
                      <w:szCs w:val="24"/>
                    </w:rPr>
                    <w:t>计划外访视/检查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_Toc217032284 \h </w:instrText>
                  </w:r>
                  <w:r>
                    <w:rPr>
                      <w:rStyle w:val="94"/>
                      <w:rFonts w:ascii="Times New Roman" w:hAnsi="Times New Roman" w:cs="Times New Roman"/>
                      <w:bCs/>
                    </w:rPr>
                    <w:fldChar w:fldCharType="separate"/>
                  </w:r>
                  <w:r>
                    <w:rPr>
                      <w:rStyle w:val="94"/>
                      <w:rFonts w:ascii="Times New Roman" w:hAnsi="Times New Roman" w:cs="Times New Roman"/>
                      <w:bCs/>
                    </w:rPr>
                    <w:t>83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BF33B99">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"_Toc217032285" </w:instrText>
                  </w:r>
                  <w:r>
                    <w:fldChar w:fldCharType="separate"/>
                  </w:r>
                  <w:r>
                    <w:rPr>
                      <w:rStyle w:val="94"/>
                      <w:rFonts w:ascii="Times New Roman" w:hAnsi="Times New Roman" w:eastAsia="宋体" w:cs="Times New Roman"/>
                      <w:bCs/>
                      <w:sz w:val="24"/>
                      <w:szCs w:val="24"/>
                    </w:rPr>
                    <w:t>7.2.2.</w:t>
                  </w:r>
                  <w:r>
                    <w:rPr>
                      <w:rStyle w:val="94"/>
                      <w:rFonts w:ascii="Times New Roman" w:hAnsi="Times New Roman" w:cs="Times New Roman"/>
                      <w:bCs/>
                    </w:rPr>
                    <w:tab/>
                  </w:r>
                  <w:r>
                    <w:rPr>
                      <w:rStyle w:val="94"/>
                      <w:rFonts w:ascii="Times New Roman" w:hAnsi="Times New Roman" w:eastAsia="宋体" w:cs="Times New Roman"/>
                      <w:bCs/>
                      <w:sz w:val="24"/>
                      <w:szCs w:val="24"/>
                    </w:rPr>
                    <w:t>Ⅲ期临床研究阶段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_Toc217032285 \h </w:instrText>
                  </w:r>
                  <w:r>
                    <w:rPr>
                      <w:rStyle w:val="94"/>
                      <w:rFonts w:ascii="Times New Roman" w:hAnsi="Times New Roman" w:cs="Times New Roman"/>
                      <w:bCs/>
                    </w:rPr>
                    <w:fldChar w:fldCharType="separate"/>
                  </w:r>
                  <w:r>
                    <w:rPr>
                      <w:rStyle w:val="94"/>
                      <w:rFonts w:ascii="Times New Roman" w:hAnsi="Times New Roman" w:cs="Times New Roman"/>
                      <w:bCs/>
                    </w:rPr>
                    <w:t>83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D42176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"_Toc217032286" </w:instrText>
                  </w:r>
                  <w:r>
                    <w:fldChar w:fldCharType="separate"/>
                  </w:r>
                  <w:r>
                    <w:rPr>
                      <w:rStyle w:val="94"/>
                      <w:rFonts w:ascii="Times New Roman" w:hAnsi="Times New Roman" w:eastAsia="宋体" w:cs="Times New Roman"/>
                      <w:bCs/>
                      <w:sz w:val="24"/>
                      <w:szCs w:val="24"/>
                    </w:rPr>
                    <w:t>7.2.2.1.</w:t>
                  </w:r>
                  <w:r>
                    <w:rPr>
                      <w:rStyle w:val="94"/>
                      <w:rFonts w:ascii="Times New Roman" w:hAnsi="Times New Roman" w:cs="Times New Roman"/>
                      <w:bCs/>
                    </w:rPr>
                    <w:tab/>
                  </w:r>
                  <w:r>
                    <w:rPr>
                      <w:rStyle w:val="94"/>
                      <w:rFonts w:ascii="Times New Roman" w:hAnsi="Times New Roman" w:eastAsia="宋体" w:cs="Times New Roman"/>
                      <w:bCs/>
                      <w:sz w:val="24"/>
                      <w:szCs w:val="24"/>
                    </w:rPr>
                    <w:t>筛选期</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_Toc217032286 \h </w:instrText>
                  </w:r>
                  <w:r>
                    <w:rPr>
                      <w:rStyle w:val="94"/>
                      <w:rFonts w:ascii="Times New Roman" w:hAnsi="Times New Roman" w:cs="Times New Roman"/>
                      <w:bCs/>
                    </w:rPr>
                    <w:fldChar w:fldCharType="separate"/>
                  </w:r>
                  <w:r>
                    <w:rPr>
                      <w:rStyle w:val="94"/>
                      <w:rFonts w:ascii="Times New Roman" w:hAnsi="Times New Roman" w:cs="Times New Roman"/>
                      <w:bCs/>
                    </w:rPr>
                    <w:t>83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B88947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"_Toc217032287" </w:instrText>
                  </w:r>
                  <w:r>
                    <w:fldChar w:fldCharType="separate"/>
                  </w:r>
                  <w:r>
                    <w:rPr>
                      <w:rStyle w:val="94"/>
                      <w:rFonts w:ascii="Times New Roman" w:hAnsi="Times New Roman" w:eastAsia="宋体" w:cs="Times New Roman"/>
                      <w:bCs/>
                      <w:sz w:val="24"/>
                      <w:szCs w:val="24"/>
                    </w:rPr>
                    <w:t>7.2.2.2.</w:t>
                  </w:r>
                  <w:r>
                    <w:rPr>
                      <w:rStyle w:val="94"/>
                      <w:rFonts w:ascii="Times New Roman" w:hAnsi="Times New Roman" w:cs="Times New Roman"/>
                      <w:bCs/>
                    </w:rPr>
                    <w:tab/>
                  </w:r>
                  <w:r>
                    <w:rPr>
                      <w:rStyle w:val="94"/>
                      <w:rFonts w:ascii="Times New Roman" w:hAnsi="Times New Roman" w:eastAsia="宋体" w:cs="Times New Roman"/>
                      <w:bCs/>
                      <w:sz w:val="24"/>
                      <w:szCs w:val="24"/>
                    </w:rPr>
                    <w:t>治疗期</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_Toc217032287 \h </w:instrText>
                  </w:r>
                  <w:r>
                    <w:rPr>
                      <w:rStyle w:val="94"/>
                      <w:rFonts w:ascii="Times New Roman" w:hAnsi="Times New Roman" w:cs="Times New Roman"/>
                      <w:bCs/>
                    </w:rPr>
                    <w:fldChar w:fldCharType="separate"/>
                  </w:r>
                  <w:r>
                    <w:rPr>
                      <w:rStyle w:val="94"/>
                      <w:rFonts w:ascii="Times New Roman" w:hAnsi="Times New Roman" w:cs="Times New Roman"/>
                      <w:bCs/>
                    </w:rPr>
                    <w:t>83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1B3C4EF">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"_Toc217032288" </w:instrText>
                  </w:r>
                  <w:r>
                    <w:fldChar w:fldCharType="separate"/>
                  </w:r>
                  <w:r>
                    <w:rPr>
                      <w:rStyle w:val="94"/>
                      <w:rFonts w:ascii="Times New Roman" w:hAnsi="Times New Roman" w:eastAsia="宋体" w:cs="Times New Roman"/>
                      <w:bCs/>
                      <w:sz w:val="24"/>
                      <w:szCs w:val="24"/>
                    </w:rPr>
                    <w:t>7.2.2.3.</w:t>
                  </w:r>
                  <w:r>
                    <w:rPr>
                      <w:rStyle w:val="94"/>
                      <w:rFonts w:ascii="Times New Roman" w:hAnsi="Times New Roman" w:cs="Times New Roman"/>
                      <w:bCs/>
                    </w:rPr>
                    <w:tab/>
                  </w:r>
                  <w:r>
                    <w:rPr>
                      <w:rStyle w:val="94"/>
                      <w:rFonts w:ascii="Times New Roman" w:hAnsi="Times New Roman" w:eastAsia="宋体" w:cs="Times New Roman"/>
                      <w:bCs/>
                      <w:sz w:val="24"/>
                      <w:szCs w:val="24"/>
                    </w:rPr>
                    <w:t>安全性随访（W56）</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_Toc217032288 \h </w:instrText>
                  </w:r>
                  <w:r>
                    <w:rPr>
                      <w:rStyle w:val="94"/>
                      <w:rFonts w:ascii="Times New Roman" w:hAnsi="Times New Roman" w:cs="Times New Roman"/>
                      <w:bCs/>
                    </w:rPr>
                    <w:fldChar w:fldCharType="separate"/>
                  </w:r>
                  <w:r>
                    <w:rPr>
                      <w:rStyle w:val="94"/>
                      <w:rFonts w:ascii="Times New Roman" w:hAnsi="Times New Roman" w:cs="Times New Roman"/>
                      <w:bCs/>
                    </w:rPr>
                    <w:t>85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896F7C3">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"_Toc217032289" </w:instrText>
                  </w:r>
                  <w:r>
                    <w:fldChar w:fldCharType="separate"/>
                  </w:r>
                  <w:r>
                    <w:rPr>
                      <w:rStyle w:val="94"/>
                      <w:rFonts w:ascii="Times New Roman" w:hAnsi="Times New Roman" w:eastAsia="宋体" w:cs="Times New Roman"/>
                      <w:bCs/>
                      <w:sz w:val="24"/>
                      <w:szCs w:val="24"/>
                    </w:rPr>
                    <w:t>7.2.2.4.</w:t>
                  </w:r>
                  <w:r>
                    <w:rPr>
                      <w:rStyle w:val="94"/>
                      <w:rFonts w:ascii="Times New Roman" w:hAnsi="Times New Roman" w:cs="Times New Roman"/>
                      <w:bCs/>
                    </w:rPr>
                    <w:tab/>
                  </w:r>
                  <w:r>
                    <w:rPr>
                      <w:rStyle w:val="94"/>
                      <w:rFonts w:ascii="Times New Roman" w:hAnsi="Times New Roman" w:eastAsia="宋体" w:cs="Times New Roman"/>
                      <w:bCs/>
                      <w:sz w:val="24"/>
                      <w:szCs w:val="24"/>
                    </w:rPr>
                    <w:t>提前退出访视（末次给药后7天内）</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_Toc217032289 \h </w:instrText>
                  </w:r>
                  <w:r>
                    <w:rPr>
                      <w:rStyle w:val="94"/>
                      <w:rFonts w:ascii="Times New Roman" w:hAnsi="Times New Roman" w:cs="Times New Roman"/>
                      <w:bCs/>
                    </w:rPr>
                    <w:fldChar w:fldCharType="separate"/>
                  </w:r>
                  <w:r>
                    <w:rPr>
                      <w:rStyle w:val="94"/>
                      <w:rFonts w:ascii="Times New Roman" w:hAnsi="Times New Roman" w:cs="Times New Roman"/>
                      <w:bCs/>
                    </w:rPr>
                    <w:t>85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2ABE61B">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"_Toc217032290" </w:instrText>
                  </w:r>
                  <w:r>
                    <w:fldChar w:fldCharType="separate"/>
                  </w:r>
                  <w:r>
                    <w:rPr>
                      <w:rStyle w:val="94"/>
                      <w:rFonts w:ascii="Times New Roman" w:hAnsi="Times New Roman" w:eastAsia="宋体" w:cs="Times New Roman"/>
                      <w:bCs/>
                      <w:sz w:val="24"/>
                      <w:szCs w:val="24"/>
                    </w:rPr>
                    <w:t>7.2.2.5.</w:t>
                  </w:r>
                  <w:r>
                    <w:rPr>
                      <w:rStyle w:val="94"/>
                      <w:rFonts w:ascii="Times New Roman" w:hAnsi="Times New Roman" w:cs="Times New Roman"/>
                      <w:bCs/>
                    </w:rPr>
                    <w:tab/>
                  </w:r>
                  <w:r>
                    <w:rPr>
                      <w:rStyle w:val="94"/>
                      <w:rFonts w:ascii="Times New Roman" w:hAnsi="Times New Roman" w:eastAsia="宋体" w:cs="Times New Roman"/>
                      <w:bCs/>
                      <w:sz w:val="24"/>
                      <w:szCs w:val="24"/>
                    </w:rPr>
                    <w:t>计划外访视/检查</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_Toc217032290 \h </w:instrText>
                  </w:r>
                  <w:r>
                    <w:rPr>
                      <w:rStyle w:val="94"/>
                      <w:rFonts w:ascii="Times New Roman" w:hAnsi="Times New Roman" w:cs="Times New Roman"/>
                      <w:bCs/>
                    </w:rPr>
                    <w:fldChar w:fldCharType="separate"/>
                  </w:r>
                  <w:r>
                    <w:rPr>
                      <w:rStyle w:val="94"/>
                      <w:rFonts w:ascii="Times New Roman" w:hAnsi="Times New Roman" w:cs="Times New Roman"/>
                      <w:bCs/>
                    </w:rPr>
                    <w:t>85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7A773CD">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"_Toc217032291" </w:instrText>
                  </w:r>
                  <w:r>
                    <w:fldChar w:fldCharType="separate"/>
                  </w:r>
                  <w:r>
                    <w:rPr>
                      <w:rStyle w:val="94"/>
                      <w:rFonts w:ascii="Times New Roman" w:hAnsi="Times New Roman" w:eastAsia="宋体" w:cs="Times New Roman"/>
                      <w:sz w:val="24"/>
                      <w:szCs w:val="24"/>
                    </w:rPr>
                    <w:t>7.3.</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安全性评估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_Toc217032291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E1238B7">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"_Toc217032292" </w:instrText>
                  </w:r>
                  <w:r>
                    <w:fldChar w:fldCharType="separate"/>
                  </w:r>
                  <w:r>
                    <w:rPr>
                      <w:rStyle w:val="94"/>
                      <w:rFonts w:ascii="Times New Roman" w:hAnsi="Times New Roman" w:eastAsia="宋体" w:cs="Times New Roman"/>
                      <w:bCs/>
                      <w:sz w:val="24"/>
                      <w:szCs w:val="24"/>
                    </w:rPr>
                    <w:t>7.3.1.</w:t>
                  </w:r>
                  <w:r>
                    <w:rPr>
                      <w:rStyle w:val="94"/>
                      <w:rFonts w:ascii="Times New Roman" w:hAnsi="Times New Roman" w:cs="Times New Roman"/>
                      <w:bCs/>
                    </w:rPr>
                    <w:tab/>
                  </w:r>
                  <w:r>
                    <w:rPr>
                      <w:rStyle w:val="94"/>
                      <w:rFonts w:ascii="Times New Roman" w:hAnsi="Times New Roman" w:eastAsia="宋体" w:cs="Times New Roman"/>
                      <w:bCs/>
                      <w:sz w:val="24"/>
                      <w:szCs w:val="24"/>
                    </w:rPr>
                    <w:t>安全性指标</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_Toc217032292 \h </w:instrText>
                  </w:r>
                  <w:r>
                    <w:rPr>
                      <w:rStyle w:val="94"/>
                      <w:rFonts w:ascii="Times New Roman" w:hAnsi="Times New Roman" w:cs="Times New Roman"/>
                      <w:bCs/>
                    </w:rPr>
                    <w:fldChar w:fldCharType="separate"/>
                  </w:r>
                  <w:r>
                    <w:rPr>
                      <w:rStyle w:val="94"/>
                      <w:rFonts w:ascii="Times New Roman" w:hAnsi="Times New Roman" w:cs="Times New Roman"/>
                      <w:bCs/>
                    </w:rPr>
                    <w:t>85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C16BBF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"_Toc217032293" </w:instrText>
                  </w:r>
                  <w:r>
                    <w:fldChar w:fldCharType="separate"/>
                  </w:r>
                  <w:r>
                    <w:rPr>
                      <w:rStyle w:val="94"/>
                      <w:rFonts w:ascii="Times New Roman" w:hAnsi="Times New Roman" w:eastAsia="宋体" w:cs="Times New Roman"/>
                      <w:bCs/>
                      <w:sz w:val="24"/>
                      <w:szCs w:val="24"/>
                    </w:rPr>
                    <w:t>7.3.2.</w:t>
                  </w:r>
                  <w:r>
                    <w:rPr>
                      <w:rStyle w:val="94"/>
                      <w:rFonts w:ascii="Times New Roman" w:hAnsi="Times New Roman" w:cs="Times New Roman"/>
                      <w:bCs/>
                    </w:rPr>
                    <w:tab/>
                  </w:r>
                  <w:r>
                    <w:rPr>
                      <w:rStyle w:val="94"/>
                      <w:rFonts w:ascii="Times New Roman" w:hAnsi="Times New Roman" w:eastAsia="宋体" w:cs="Times New Roman"/>
                      <w:bCs/>
                      <w:sz w:val="24"/>
                      <w:szCs w:val="24"/>
                    </w:rPr>
                    <w:t>术语定义</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_Toc217032293 \h </w:instrText>
                  </w:r>
                  <w:r>
                    <w:rPr>
                      <w:rStyle w:val="94"/>
                      <w:rFonts w:ascii="Times New Roman" w:hAnsi="Times New Roman" w:cs="Times New Roman"/>
                      <w:bCs/>
                    </w:rPr>
                    <w:fldChar w:fldCharType="separate"/>
                  </w:r>
                  <w:r>
                    <w:rPr>
                      <w:rStyle w:val="94"/>
                      <w:rFonts w:ascii="Times New Roman" w:hAnsi="Times New Roman" w:cs="Times New Roman"/>
                      <w:bCs/>
                    </w:rPr>
                    <w:t>85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F36CE40">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"_Toc217032294" </w:instrText>
                  </w:r>
                  <w:r>
                    <w:fldChar w:fldCharType="separate"/>
                  </w:r>
                  <w:r>
                    <w:rPr>
                      <w:rStyle w:val="94"/>
                      <w:rFonts w:ascii="Times New Roman" w:hAnsi="Times New Roman" w:eastAsia="宋体" w:cs="Times New Roman"/>
                      <w:bCs/>
                      <w:sz w:val="24"/>
                      <w:szCs w:val="24"/>
                    </w:rPr>
                    <w:t>7.3.2.1.</w:t>
                  </w:r>
                  <w:r>
                    <w:rPr>
                      <w:rStyle w:val="94"/>
                      <w:rFonts w:ascii="Times New Roman" w:hAnsi="Times New Roman" w:cs="Times New Roman"/>
                      <w:bCs/>
                    </w:rPr>
                    <w:tab/>
                  </w:r>
                  <w:r>
                    <w:rPr>
                      <w:rStyle w:val="94"/>
                      <w:rFonts w:ascii="Times New Roman" w:hAnsi="Times New Roman" w:eastAsia="宋体" w:cs="Times New Roman"/>
                      <w:bCs/>
                      <w:sz w:val="24"/>
                      <w:szCs w:val="24"/>
                    </w:rPr>
                    <w:t>不良事件（AE）</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_Toc217032294 \h </w:instrText>
                  </w:r>
                  <w:r>
                    <w:rPr>
                      <w:rStyle w:val="94"/>
                      <w:rFonts w:ascii="Times New Roman" w:hAnsi="Times New Roman" w:cs="Times New Roman"/>
                      <w:bCs/>
                    </w:rPr>
                    <w:fldChar w:fldCharType="separate"/>
                  </w:r>
                  <w:r>
                    <w:rPr>
                      <w:rStyle w:val="94"/>
                      <w:rFonts w:ascii="Times New Roman" w:hAnsi="Times New Roman" w:cs="Times New Roman"/>
                      <w:bCs/>
                    </w:rPr>
                    <w:t>85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493321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"_Toc217032295" </w:instrText>
                  </w:r>
                  <w:r>
                    <w:fldChar w:fldCharType="separate"/>
                  </w:r>
                  <w:r>
                    <w:rPr>
                      <w:rStyle w:val="94"/>
                      <w:rFonts w:ascii="Times New Roman" w:hAnsi="Times New Roman" w:eastAsia="宋体" w:cs="Times New Roman"/>
                      <w:bCs/>
                      <w:sz w:val="24"/>
                      <w:szCs w:val="24"/>
                    </w:rPr>
                    <w:t>7.3.2.2.</w:t>
                  </w:r>
                  <w:r>
                    <w:rPr>
                      <w:rStyle w:val="94"/>
                      <w:rFonts w:ascii="Times New Roman" w:hAnsi="Times New Roman" w:cs="Times New Roman"/>
                      <w:bCs/>
                    </w:rPr>
                    <w:tab/>
                  </w:r>
                  <w:r>
                    <w:rPr>
                      <w:rStyle w:val="94"/>
                      <w:rFonts w:ascii="Times New Roman" w:hAnsi="Times New Roman" w:eastAsia="宋体" w:cs="Times New Roman"/>
                      <w:bCs/>
                      <w:sz w:val="24"/>
                      <w:szCs w:val="24"/>
                    </w:rPr>
                    <w:t>治疗期出现的不良事件（TEAE）</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_Toc217032295 \h </w:instrText>
                  </w:r>
                  <w:r>
                    <w:rPr>
                      <w:rStyle w:val="94"/>
                      <w:rFonts w:ascii="Times New Roman" w:hAnsi="Times New Roman" w:cs="Times New Roman"/>
                      <w:bCs/>
                    </w:rPr>
                    <w:fldChar w:fldCharType="separate"/>
                  </w:r>
                  <w:r>
                    <w:rPr>
                      <w:rStyle w:val="94"/>
                      <w:rFonts w:ascii="Times New Roman" w:hAnsi="Times New Roman" w:cs="Times New Roman"/>
                      <w:bCs/>
                    </w:rPr>
                    <w:t>86</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DF6333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"_Toc217032296" </w:instrText>
                  </w:r>
                  <w:r>
                    <w:fldChar w:fldCharType="separate"/>
                  </w:r>
                  <w:r>
                    <w:rPr>
                      <w:rStyle w:val="94"/>
                      <w:rFonts w:ascii="Times New Roman" w:hAnsi="Times New Roman" w:eastAsia="宋体" w:cs="Times New Roman"/>
                      <w:bCs/>
                      <w:sz w:val="24"/>
                      <w:szCs w:val="24"/>
                    </w:rPr>
                    <w:t>7.3.2.3.</w:t>
                  </w:r>
                  <w:r>
                    <w:rPr>
                      <w:rStyle w:val="94"/>
                      <w:rFonts w:ascii="Times New Roman" w:hAnsi="Times New Roman" w:cs="Times New Roman"/>
                      <w:bCs/>
                    </w:rPr>
                    <w:tab/>
                  </w:r>
                  <w:r>
                    <w:rPr>
                      <w:rStyle w:val="94"/>
                      <w:rFonts w:ascii="Times New Roman" w:hAnsi="Times New Roman" w:eastAsia="宋体" w:cs="Times New Roman"/>
                      <w:bCs/>
                      <w:sz w:val="24"/>
                      <w:szCs w:val="24"/>
                    </w:rPr>
                    <w:t>严重不良事件（SAE）</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_Toc217032296 \h </w:instrText>
                  </w:r>
                  <w:r>
                    <w:rPr>
                      <w:rStyle w:val="94"/>
                      <w:rFonts w:ascii="Times New Roman" w:hAnsi="Times New Roman" w:cs="Times New Roman"/>
                      <w:bCs/>
                    </w:rPr>
                    <w:fldChar w:fldCharType="separate"/>
                  </w:r>
                  <w:r>
                    <w:rPr>
                      <w:rStyle w:val="94"/>
                      <w:rFonts w:ascii="Times New Roman" w:hAnsi="Times New Roman" w:cs="Times New Roman"/>
                      <w:bCs/>
                    </w:rPr>
                    <w:t>86</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918878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"_Toc217032297" </w:instrText>
                  </w:r>
                  <w:r>
                    <w:fldChar w:fldCharType="separate"/>
                  </w:r>
                  <w:r>
                    <w:rPr>
                      <w:rStyle w:val="94"/>
                      <w:rFonts w:ascii="Times New Roman" w:hAnsi="Times New Roman" w:eastAsia="宋体" w:cs="Times New Roman"/>
                      <w:bCs/>
                      <w:sz w:val="24"/>
                      <w:szCs w:val="24"/>
                    </w:rPr>
                    <w:t>7.3.2.4.</w:t>
                  </w:r>
                  <w:r>
                    <w:rPr>
                      <w:rStyle w:val="94"/>
                      <w:rFonts w:ascii="Times New Roman" w:hAnsi="Times New Roman" w:cs="Times New Roman"/>
                      <w:bCs/>
                    </w:rPr>
                    <w:tab/>
                  </w:r>
                  <w:r>
                    <w:rPr>
                      <w:rStyle w:val="94"/>
                      <w:rFonts w:ascii="Times New Roman" w:hAnsi="Times New Roman" w:eastAsia="宋体" w:cs="Times New Roman"/>
                      <w:bCs/>
                      <w:sz w:val="24"/>
                      <w:szCs w:val="24"/>
                    </w:rPr>
                    <w:t>药物不良反应（ADR）</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_Toc217032297 \h </w:instrText>
                  </w:r>
                  <w:r>
                    <w:rPr>
                      <w:rStyle w:val="94"/>
                      <w:rFonts w:ascii="Times New Roman" w:hAnsi="Times New Roman" w:cs="Times New Roman"/>
                      <w:bCs/>
                    </w:rPr>
                    <w:fldChar w:fldCharType="separate"/>
                  </w:r>
                  <w:r>
                    <w:rPr>
                      <w:rStyle w:val="94"/>
                      <w:rFonts w:ascii="Times New Roman" w:hAnsi="Times New Roman" w:cs="Times New Roman"/>
                      <w:bCs/>
                    </w:rPr>
                    <w:t>87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D14DE4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"_Toc217032298" </w:instrText>
                  </w:r>
                  <w:r>
                    <w:fldChar w:fldCharType="separate"/>
                  </w:r>
                  <w:r>
                    <w:rPr>
                      <w:rStyle w:val="94"/>
                      <w:rFonts w:ascii="Times New Roman" w:hAnsi="Times New Roman" w:eastAsia="宋体" w:cs="Times New Roman"/>
                      <w:bCs/>
                      <w:sz w:val="24"/>
                      <w:szCs w:val="24"/>
                    </w:rPr>
                    <w:t>7.3.2.5.</w:t>
                  </w:r>
                  <w:r>
                    <w:rPr>
                      <w:rStyle w:val="94"/>
                      <w:rFonts w:ascii="Times New Roman" w:hAnsi="Times New Roman" w:cs="Times New Roman"/>
                      <w:bCs/>
                    </w:rPr>
                    <w:tab/>
                  </w:r>
                  <w:r>
                    <w:rPr>
                      <w:rStyle w:val="94"/>
                      <w:rFonts w:ascii="Times New Roman" w:hAnsi="Times New Roman" w:eastAsia="宋体" w:cs="Times New Roman"/>
                      <w:bCs/>
                      <w:sz w:val="24"/>
                      <w:szCs w:val="24"/>
                    </w:rPr>
                    <w:t>可疑且非预期严重不良反应（SUSAR）</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_Toc217032298 \h </w:instrText>
                  </w:r>
                  <w:r>
                    <w:rPr>
                      <w:rStyle w:val="94"/>
                      <w:rFonts w:ascii="Times New Roman" w:hAnsi="Times New Roman" w:cs="Times New Roman"/>
                      <w:bCs/>
                    </w:rPr>
                    <w:fldChar w:fldCharType="separate"/>
                  </w:r>
                  <w:r>
                    <w:rPr>
                      <w:rStyle w:val="94"/>
                      <w:rFonts w:ascii="Times New Roman" w:hAnsi="Times New Roman" w:cs="Times New Roman"/>
                      <w:bCs/>
                    </w:rPr>
                    <w:t>87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4A00A28">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"_Toc217032299" </w:instrText>
                  </w:r>
                  <w:r>
                    <w:fldChar w:fldCharType="separate"/>
                  </w:r>
                  <w:r>
                    <w:rPr>
                      <w:rStyle w:val="94"/>
                      <w:rFonts w:ascii="Times New Roman" w:hAnsi="Times New Roman" w:eastAsia="宋体" w:cs="Times New Roman"/>
                      <w:bCs/>
                      <w:sz w:val="24"/>
                      <w:szCs w:val="24"/>
                    </w:rPr>
                    <w:t>7.3.3.</w:t>
                  </w:r>
                  <w:r>
                    <w:rPr>
                      <w:rStyle w:val="94"/>
                      <w:rFonts w:ascii="Times New Roman" w:hAnsi="Times New Roman" w:cs="Times New Roman"/>
                      <w:bCs/>
                    </w:rPr>
                    <w:tab/>
                  </w:r>
                  <w:r>
                    <w:rPr>
                      <w:rStyle w:val="94"/>
                      <w:rFonts w:ascii="Times New Roman" w:hAnsi="Times New Roman" w:eastAsia="宋体" w:cs="Times New Roman"/>
                      <w:bCs/>
                      <w:sz w:val="24"/>
                      <w:szCs w:val="24"/>
                    </w:rPr>
                    <w:t>不良事件的收集和记录</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_Toc217032299 \h </w:instrText>
                  </w:r>
                  <w:r>
                    <w:rPr>
                      <w:rStyle w:val="94"/>
                      <w:rFonts w:ascii="Times New Roman" w:hAnsi="Times New Roman" w:cs="Times New Roman"/>
                      <w:bCs/>
                    </w:rPr>
                    <w:fldChar w:fldCharType="separate"/>
                  </w:r>
                  <w:r>
                    <w:rPr>
                      <w:rStyle w:val="94"/>
                      <w:rFonts w:ascii="Times New Roman" w:hAnsi="Times New Roman" w:cs="Times New Roman"/>
                      <w:bCs/>
                    </w:rPr>
                    <w:t>87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AB27B7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"_Toc217032300" </w:instrText>
                  </w:r>
                  <w:r>
                    <w:fldChar w:fldCharType="separate"/>
                  </w:r>
                  <w:r>
                    <w:rPr>
                      <w:rStyle w:val="94"/>
                      <w:rFonts w:ascii="Times New Roman" w:hAnsi="Times New Roman" w:eastAsia="宋体" w:cs="Times New Roman"/>
                      <w:bCs/>
                      <w:sz w:val="24"/>
                      <w:szCs w:val="24"/>
                    </w:rPr>
                    <w:t>7.3.3.1.</w:t>
                  </w:r>
                  <w:r>
                    <w:rPr>
                      <w:rStyle w:val="94"/>
                      <w:rFonts w:ascii="Times New Roman" w:hAnsi="Times New Roman" w:cs="Times New Roman"/>
                      <w:bCs/>
                    </w:rPr>
                    <w:tab/>
                  </w:r>
                  <w:r>
                    <w:rPr>
                      <w:rStyle w:val="94"/>
                      <w:rFonts w:ascii="Times New Roman" w:hAnsi="Times New Roman" w:eastAsia="宋体" w:cs="Times New Roman"/>
                      <w:bCs/>
                      <w:sz w:val="24"/>
                      <w:szCs w:val="24"/>
                    </w:rPr>
                    <w:t>不良事件的收集</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_Toc217032300 \h </w:instrText>
                  </w:r>
                  <w:r>
                    <w:rPr>
                      <w:rStyle w:val="94"/>
                      <w:rFonts w:ascii="Times New Roman" w:hAnsi="Times New Roman" w:cs="Times New Roman"/>
                      <w:bCs/>
                    </w:rPr>
                    <w:fldChar w:fldCharType="separate"/>
                  </w:r>
                  <w:r>
                    <w:rPr>
                      <w:rStyle w:val="94"/>
                      <w:rFonts w:ascii="Times New Roman" w:hAnsi="Times New Roman" w:cs="Times New Roman"/>
                      <w:bCs/>
                    </w:rPr>
                    <w:t>87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C387E3F">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"_Toc217032301" </w:instrText>
                  </w:r>
                  <w:r>
                    <w:fldChar w:fldCharType="separate"/>
                  </w:r>
                  <w:r>
                    <w:rPr>
                      <w:rStyle w:val="94"/>
                      <w:rFonts w:ascii="Times New Roman" w:hAnsi="Times New Roman" w:eastAsia="宋体" w:cs="Times New Roman"/>
                      <w:bCs/>
                      <w:sz w:val="24"/>
                      <w:szCs w:val="24"/>
                    </w:rPr>
                    <w:t>7.3.3.2.</w:t>
                  </w:r>
                  <w:r>
                    <w:rPr>
                      <w:rStyle w:val="94"/>
                      <w:rFonts w:ascii="Times New Roman" w:hAnsi="Times New Roman" w:cs="Times New Roman"/>
                      <w:bCs/>
                    </w:rPr>
                    <w:tab/>
                  </w:r>
                  <w:r>
                    <w:rPr>
                      <w:rStyle w:val="94"/>
                      <w:rFonts w:ascii="Times New Roman" w:hAnsi="Times New Roman" w:eastAsia="宋体" w:cs="Times New Roman"/>
                      <w:bCs/>
                      <w:sz w:val="24"/>
                      <w:szCs w:val="24"/>
                    </w:rPr>
                    <w:t>不良事件的记录与规定</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_Toc217032301 \h </w:instrText>
                  </w:r>
                  <w:r>
                    <w:rPr>
                      <w:rStyle w:val="94"/>
                      <w:rFonts w:ascii="Times New Roman" w:hAnsi="Times New Roman" w:cs="Times New Roman"/>
                      <w:bCs/>
                    </w:rPr>
                    <w:fldChar w:fldCharType="separate"/>
                  </w:r>
                  <w:r>
                    <w:rPr>
                      <w:rStyle w:val="94"/>
                      <w:rFonts w:ascii="Times New Roman" w:hAnsi="Times New Roman" w:cs="Times New Roman"/>
                      <w:bCs/>
                    </w:rPr>
                    <w:t>88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E4FF8E7">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"_Toc217032302" </w:instrText>
                  </w:r>
                  <w:r>
                    <w:fldChar w:fldCharType="separate"/>
                  </w:r>
                  <w:r>
                    <w:rPr>
                      <w:rStyle w:val="94"/>
                      <w:rFonts w:ascii="Times New Roman" w:hAnsi="Times New Roman" w:eastAsia="宋体" w:cs="Times New Roman"/>
                      <w:bCs/>
                      <w:sz w:val="24"/>
                      <w:szCs w:val="24"/>
                    </w:rPr>
                    <w:t>7.3.3.2.1.</w:t>
                  </w:r>
                  <w:r>
                    <w:rPr>
                      <w:rStyle w:val="94"/>
                      <w:rFonts w:ascii="Times New Roman" w:hAnsi="Times New Roman" w:cs="Times New Roman"/>
                      <w:bCs/>
                    </w:rPr>
                    <w:tab/>
                  </w:r>
                  <w:r>
                    <w:rPr>
                      <w:rStyle w:val="94"/>
                      <w:rFonts w:ascii="Times New Roman" w:hAnsi="Times New Roman" w:eastAsia="宋体" w:cs="Times New Roman"/>
                      <w:bCs/>
                      <w:sz w:val="24"/>
                      <w:szCs w:val="24"/>
                    </w:rPr>
                    <w:t>诊断与症状、体征和检查值</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_Toc217032302 \h </w:instrText>
                  </w:r>
                  <w:r>
                    <w:rPr>
                      <w:rStyle w:val="94"/>
                      <w:rFonts w:ascii="Times New Roman" w:hAnsi="Times New Roman" w:cs="Times New Roman"/>
                      <w:bCs/>
                    </w:rPr>
                    <w:fldChar w:fldCharType="separate"/>
                  </w:r>
                  <w:r>
                    <w:rPr>
                      <w:rStyle w:val="94"/>
                      <w:rFonts w:ascii="Times New Roman" w:hAnsi="Times New Roman" w:cs="Times New Roman"/>
                      <w:bCs/>
                    </w:rPr>
                    <w:t>88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D0C6A5F">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"_Toc217032303" </w:instrText>
                  </w:r>
                  <w:r>
                    <w:fldChar w:fldCharType="separate"/>
                  </w:r>
                  <w:r>
                    <w:rPr>
                      <w:rStyle w:val="94"/>
                      <w:rFonts w:ascii="Times New Roman" w:hAnsi="Times New Roman" w:eastAsia="宋体" w:cs="Times New Roman"/>
                      <w:bCs/>
                      <w:sz w:val="24"/>
                      <w:szCs w:val="24"/>
                    </w:rPr>
                    <w:t>7.3.3.2.2.</w:t>
                  </w:r>
                  <w:r>
                    <w:rPr>
                      <w:rStyle w:val="94"/>
                      <w:rFonts w:ascii="Times New Roman" w:hAnsi="Times New Roman" w:cs="Times New Roman"/>
                      <w:bCs/>
                    </w:rPr>
                    <w:tab/>
                  </w:r>
                  <w:r>
                    <w:rPr>
                      <w:rStyle w:val="94"/>
                      <w:rFonts w:ascii="Times New Roman" w:hAnsi="Times New Roman" w:eastAsia="宋体" w:cs="Times New Roman"/>
                      <w:bCs/>
                      <w:sz w:val="24"/>
                      <w:szCs w:val="24"/>
                    </w:rPr>
                    <w:t>继发于其它事件的不良事件事件</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_Toc217032303 \h </w:instrText>
                  </w:r>
                  <w:r>
                    <w:rPr>
                      <w:rStyle w:val="94"/>
                      <w:rFonts w:ascii="Times New Roman" w:hAnsi="Times New Roman" w:cs="Times New Roman"/>
                      <w:bCs/>
                    </w:rPr>
                    <w:fldChar w:fldCharType="separate"/>
                  </w:r>
                  <w:r>
                    <w:rPr>
                      <w:rStyle w:val="94"/>
                      <w:rFonts w:ascii="Times New Roman" w:hAnsi="Times New Roman" w:cs="Times New Roman"/>
                      <w:bCs/>
                    </w:rPr>
                    <w:t>88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05977A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"_Toc217032304" </w:instrText>
                  </w:r>
                  <w:r>
                    <w:fldChar w:fldCharType="separate"/>
                  </w:r>
                  <w:r>
                    <w:rPr>
                      <w:rStyle w:val="94"/>
                      <w:rFonts w:ascii="Times New Roman" w:hAnsi="Times New Roman" w:eastAsia="宋体" w:cs="Times New Roman"/>
                      <w:bCs/>
                      <w:sz w:val="24"/>
                      <w:szCs w:val="24"/>
                    </w:rPr>
                    <w:t>7.3.3.2.3.</w:t>
                  </w:r>
                  <w:r>
                    <w:rPr>
                      <w:rStyle w:val="94"/>
                      <w:rFonts w:ascii="Times New Roman" w:hAnsi="Times New Roman" w:cs="Times New Roman"/>
                      <w:bCs/>
                    </w:rPr>
                    <w:tab/>
                  </w:r>
                  <w:r>
                    <w:rPr>
                      <w:rStyle w:val="94"/>
                      <w:rFonts w:ascii="Times New Roman" w:hAnsi="Times New Roman" w:eastAsia="宋体" w:cs="Times New Roman"/>
                      <w:bCs/>
                      <w:sz w:val="24"/>
                      <w:szCs w:val="24"/>
                    </w:rPr>
                    <w:t>持续性或复发性不良事件</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_Toc217032304 \h </w:instrText>
                  </w:r>
                  <w:r>
                    <w:rPr>
                      <w:rStyle w:val="94"/>
                      <w:rFonts w:ascii="Times New Roman" w:hAnsi="Times New Roman" w:cs="Times New Roman"/>
                      <w:bCs/>
                    </w:rPr>
                    <w:fldChar w:fldCharType="separate"/>
                  </w:r>
                  <w:r>
                    <w:rPr>
                      <w:rStyle w:val="94"/>
                      <w:rFonts w:ascii="Times New Roman" w:hAnsi="Times New Roman" w:cs="Times New Roman"/>
                      <w:bCs/>
                    </w:rPr>
                    <w:t>89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3513EC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"_Toc217032305" </w:instrText>
                  </w:r>
                  <w:r>
                    <w:fldChar w:fldCharType="separate"/>
                  </w:r>
                  <w:r>
                    <w:rPr>
                      <w:rStyle w:val="94"/>
                      <w:rFonts w:ascii="Times New Roman" w:hAnsi="Times New Roman" w:eastAsia="宋体" w:cs="Times New Roman"/>
                      <w:bCs/>
                      <w:sz w:val="24"/>
                      <w:szCs w:val="24"/>
                    </w:rPr>
                    <w:t>7.3.3.2.4.</w:t>
                  </w:r>
                  <w:r>
                    <w:rPr>
                      <w:rStyle w:val="94"/>
                      <w:rFonts w:ascii="Times New Roman" w:hAnsi="Times New Roman" w:cs="Times New Roman"/>
                      <w:bCs/>
                    </w:rPr>
                    <w:tab/>
                  </w:r>
                  <w:r>
                    <w:rPr>
                      <w:rStyle w:val="94"/>
                      <w:rFonts w:ascii="Times New Roman" w:hAnsi="Times New Roman" w:eastAsia="宋体" w:cs="Times New Roman"/>
                      <w:bCs/>
                      <w:sz w:val="24"/>
                      <w:szCs w:val="24"/>
                    </w:rPr>
                    <w:t>实验室检查值异常</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_Toc217032305 \h </w:instrText>
                  </w:r>
                  <w:r>
                    <w:rPr>
                      <w:rStyle w:val="94"/>
                      <w:rFonts w:ascii="Times New Roman" w:hAnsi="Times New Roman" w:cs="Times New Roman"/>
                      <w:bCs/>
                    </w:rPr>
                    <w:fldChar w:fldCharType="separate"/>
                  </w:r>
                  <w:r>
                    <w:rPr>
                      <w:rStyle w:val="94"/>
                      <w:rFonts w:ascii="Times New Roman" w:hAnsi="Times New Roman" w:cs="Times New Roman"/>
                      <w:bCs/>
                    </w:rPr>
                    <w:t>89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EE1453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"_Toc217032306" </w:instrText>
                  </w:r>
                  <w:r>
                    <w:fldChar w:fldCharType="separate"/>
                  </w:r>
                  <w:r>
                    <w:rPr>
                      <w:rStyle w:val="94"/>
                      <w:rFonts w:ascii="Times New Roman" w:hAnsi="Times New Roman" w:eastAsia="宋体" w:cs="Times New Roman"/>
                      <w:bCs/>
                      <w:sz w:val="24"/>
                      <w:szCs w:val="24"/>
                    </w:rPr>
                    <w:t>7.3.3.2.5.</w:t>
                  </w:r>
                  <w:r>
                    <w:rPr>
                      <w:rStyle w:val="94"/>
                      <w:rFonts w:ascii="Times New Roman" w:hAnsi="Times New Roman" w:cs="Times New Roman"/>
                      <w:bCs/>
                    </w:rPr>
                    <w:tab/>
                  </w:r>
                  <w:r>
                    <w:rPr>
                      <w:rStyle w:val="94"/>
                      <w:rFonts w:ascii="Times New Roman" w:hAnsi="Times New Roman" w:eastAsia="宋体" w:cs="Times New Roman"/>
                      <w:bCs/>
                      <w:sz w:val="24"/>
                      <w:szCs w:val="24"/>
                    </w:rPr>
                    <w:t>生命体征异常</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_Toc217032306 \h </w:instrText>
                  </w:r>
                  <w:r>
                    <w:rPr>
                      <w:rStyle w:val="94"/>
                      <w:rFonts w:ascii="Times New Roman" w:hAnsi="Times New Roman" w:cs="Times New Roman"/>
                      <w:bCs/>
                    </w:rPr>
                    <w:fldChar w:fldCharType="separate"/>
                  </w:r>
                  <w:r>
                    <w:rPr>
                      <w:rStyle w:val="94"/>
                      <w:rFonts w:ascii="Times New Roman" w:hAnsi="Times New Roman" w:cs="Times New Roman"/>
                      <w:bCs/>
                    </w:rPr>
                    <w:t>89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328ECF4">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"_Toc217032307" </w:instrText>
                  </w:r>
                  <w:r>
                    <w:fldChar w:fldCharType="separate"/>
                  </w:r>
                  <w:r>
                    <w:rPr>
                      <w:rStyle w:val="94"/>
                      <w:rFonts w:ascii="Times New Roman" w:hAnsi="Times New Roman" w:eastAsia="宋体" w:cs="Times New Roman"/>
                      <w:bCs/>
                      <w:sz w:val="24"/>
                      <w:szCs w:val="24"/>
                    </w:rPr>
                    <w:t>7.3.3.2.6.</w:t>
                  </w:r>
                  <w:r>
                    <w:rPr>
                      <w:rStyle w:val="94"/>
                      <w:rFonts w:ascii="Times New Roman" w:hAnsi="Times New Roman" w:cs="Times New Roman"/>
                      <w:bCs/>
                    </w:rPr>
                    <w:tab/>
                  </w:r>
                  <w:r>
                    <w:rPr>
                      <w:rStyle w:val="94"/>
                      <w:rFonts w:ascii="Times New Roman" w:hAnsi="Times New Roman" w:eastAsia="宋体" w:cs="Times New Roman"/>
                      <w:bCs/>
                      <w:sz w:val="24"/>
                      <w:szCs w:val="24"/>
                    </w:rPr>
                    <w:t>既存（合并）疾病</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_Toc217032307 \h </w:instrText>
                  </w:r>
                  <w:r>
                    <w:rPr>
                      <w:rStyle w:val="94"/>
                      <w:rFonts w:ascii="Times New Roman" w:hAnsi="Times New Roman" w:cs="Times New Roman"/>
                      <w:bCs/>
                    </w:rPr>
                    <w:fldChar w:fldCharType="separate"/>
                  </w:r>
                  <w:r>
                    <w:rPr>
                      <w:rStyle w:val="94"/>
                      <w:rFonts w:ascii="Times New Roman" w:hAnsi="Times New Roman" w:cs="Times New Roman"/>
                      <w:bCs/>
                    </w:rPr>
                    <w:t>89</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417194B">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"_Toc217032308" </w:instrText>
                  </w:r>
                  <w:r>
                    <w:fldChar w:fldCharType="separate"/>
                  </w:r>
                  <w:r>
                    <w:rPr>
                      <w:rStyle w:val="94"/>
                      <w:rFonts w:ascii="Times New Roman" w:hAnsi="Times New Roman" w:eastAsia="宋体" w:cs="Times New Roman"/>
                      <w:bCs/>
                      <w:sz w:val="24"/>
                      <w:szCs w:val="24"/>
                    </w:rPr>
                    <w:t>7.3.3.2.7.</w:t>
                  </w:r>
                  <w:r>
                    <w:rPr>
                      <w:rStyle w:val="94"/>
                      <w:rFonts w:ascii="Times New Roman" w:hAnsi="Times New Roman" w:cs="Times New Roman"/>
                      <w:bCs/>
                    </w:rPr>
                    <w:tab/>
                  </w:r>
                  <w:r>
                    <w:rPr>
                      <w:rStyle w:val="94"/>
                      <w:rFonts w:ascii="Times New Roman" w:hAnsi="Times New Roman" w:eastAsia="宋体" w:cs="Times New Roman"/>
                      <w:bCs/>
                      <w:sz w:val="24"/>
                      <w:szCs w:val="24"/>
                    </w:rPr>
                    <w:t>严重肝损伤与肝功能检查异常</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_Toc217032308 \h </w:instrText>
                  </w:r>
                  <w:r>
                    <w:rPr>
                      <w:rStyle w:val="94"/>
                      <w:rFonts w:ascii="Times New Roman" w:hAnsi="Times New Roman" w:cs="Times New Roman"/>
                      <w:bCs/>
                    </w:rPr>
                    <w:fldChar w:fldCharType="separate"/>
                  </w:r>
                  <w:r>
                    <w:rPr>
                      <w:rStyle w:val="94"/>
                      <w:rFonts w:ascii="Times New Roman" w:hAnsi="Times New Roman" w:cs="Times New Roman"/>
                      <w:bCs/>
                    </w:rPr>
                    <w:t>90</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532251E">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"_Toc217032309" </w:instrText>
                  </w:r>
                  <w:r>
                    <w:fldChar w:fldCharType="separate"/>
                  </w:r>
                  <w:r>
                    <w:rPr>
                      <w:rStyle w:val="94"/>
                      <w:rFonts w:ascii="Times New Roman" w:hAnsi="Times New Roman" w:eastAsia="宋体" w:cs="Times New Roman"/>
                      <w:bCs/>
                      <w:sz w:val="24"/>
                      <w:szCs w:val="24"/>
                    </w:rPr>
                    <w:t>7.3.3.2.8.</w:t>
                  </w:r>
                  <w:r>
                    <w:rPr>
                      <w:rStyle w:val="94"/>
                      <w:rFonts w:ascii="Times New Roman" w:hAnsi="Times New Roman" w:cs="Times New Roman"/>
                      <w:bCs/>
                    </w:rPr>
                    <w:tab/>
                  </w:r>
                  <w:r>
                    <w:rPr>
                      <w:rStyle w:val="94"/>
                      <w:rFonts w:ascii="Times New Roman" w:hAnsi="Times New Roman" w:eastAsia="宋体" w:cs="Times New Roman"/>
                      <w:bCs/>
                      <w:sz w:val="24"/>
                      <w:szCs w:val="24"/>
                    </w:rPr>
                    <w:t>死亡</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_Toc217032309 \h </w:instrText>
                  </w:r>
                  <w:r>
                    <w:rPr>
                      <w:rStyle w:val="94"/>
                      <w:rFonts w:ascii="Times New Roman" w:hAnsi="Times New Roman" w:cs="Times New Roman"/>
                      <w:bCs/>
                    </w:rPr>
                    <w:fldChar w:fldCharType="separate"/>
                  </w:r>
                  <w:r>
                    <w:rPr>
                      <w:rStyle w:val="94"/>
                      <w:rFonts w:ascii="Times New Roman" w:hAnsi="Times New Roman" w:cs="Times New Roman"/>
                      <w:bCs/>
                    </w:rPr>
                    <w:t>91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FC6C5B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"_Toc217032310" </w:instrText>
                  </w:r>
                  <w:r>
                    <w:fldChar w:fldCharType="separate"/>
                  </w:r>
                  <w:r>
                    <w:rPr>
                      <w:rStyle w:val="94"/>
                      <w:rFonts w:ascii="Times New Roman" w:hAnsi="Times New Roman" w:eastAsia="宋体" w:cs="Times New Roman"/>
                      <w:bCs/>
                      <w:sz w:val="24"/>
                      <w:szCs w:val="24"/>
                    </w:rPr>
                    <w:t>7.3.3.2.9.</w:t>
                  </w:r>
                  <w:r>
                    <w:rPr>
                      <w:rStyle w:val="94"/>
                      <w:rFonts w:ascii="Times New Roman" w:hAnsi="Times New Roman" w:cs="Times New Roman"/>
                      <w:bCs/>
                    </w:rPr>
                    <w:tab/>
                  </w:r>
                  <w:r>
                    <w:rPr>
                      <w:rStyle w:val="94"/>
                      <w:rFonts w:ascii="Times New Roman" w:hAnsi="Times New Roman" w:eastAsia="宋体" w:cs="Times New Roman"/>
                      <w:bCs/>
                      <w:sz w:val="24"/>
                      <w:szCs w:val="24"/>
                    </w:rPr>
                    <w:t>与药物过量或给药错误相关的不良事件</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_Toc217032310 \h </w:instrText>
                  </w:r>
                  <w:r>
                    <w:rPr>
                      <w:rStyle w:val="94"/>
                      <w:rFonts w:ascii="Times New Roman" w:hAnsi="Times New Roman" w:cs="Times New Roman"/>
                      <w:bCs/>
                    </w:rPr>
                    <w:fldChar w:fldCharType="separate"/>
                  </w:r>
                  <w:r>
                    <w:rPr>
                      <w:rStyle w:val="94"/>
                      <w:rFonts w:ascii="Times New Roman" w:hAnsi="Times New Roman" w:cs="Times New Roman"/>
                      <w:bCs/>
                    </w:rPr>
                    <w:t>92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79AF051">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"_Toc217032311" </w:instrText>
                  </w:r>
                  <w:r>
                    <w:fldChar w:fldCharType="separate"/>
                  </w:r>
                  <w:r>
                    <w:rPr>
                      <w:rStyle w:val="94"/>
                      <w:rFonts w:ascii="Times New Roman" w:hAnsi="Times New Roman" w:eastAsia="宋体" w:cs="Times New Roman"/>
                      <w:bCs/>
                      <w:sz w:val="24"/>
                      <w:szCs w:val="24"/>
                    </w:rPr>
                    <w:t>7.3.4.</w:t>
                  </w:r>
                  <w:r>
                    <w:rPr>
                      <w:rStyle w:val="94"/>
                      <w:rFonts w:ascii="Times New Roman" w:hAnsi="Times New Roman" w:cs="Times New Roman"/>
                      <w:bCs/>
                    </w:rPr>
                    <w:tab/>
                  </w:r>
                  <w:r>
                    <w:rPr>
                      <w:rStyle w:val="94"/>
                      <w:rFonts w:ascii="Times New Roman" w:hAnsi="Times New Roman" w:eastAsia="宋体" w:cs="Times New Roman"/>
                      <w:bCs/>
                      <w:sz w:val="24"/>
                      <w:szCs w:val="24"/>
                    </w:rPr>
                    <w:t>不良事件的评估</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_Toc217032311 \h </w:instrText>
                  </w:r>
                  <w:r>
                    <w:rPr>
                      <w:rStyle w:val="94"/>
                      <w:rFonts w:ascii="Times New Roman" w:hAnsi="Times New Roman" w:cs="Times New Roman"/>
                      <w:bCs/>
                    </w:rPr>
                    <w:fldChar w:fldCharType="separate"/>
                  </w:r>
                  <w:r>
                    <w:rPr>
                      <w:rStyle w:val="94"/>
                      <w:rFonts w:ascii="Times New Roman" w:hAnsi="Times New Roman" w:cs="Times New Roman"/>
                      <w:bCs/>
                    </w:rPr>
                    <w:t>92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E02252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"_Toc217032312" </w:instrText>
                  </w:r>
                  <w:r>
                    <w:fldChar w:fldCharType="separate"/>
                  </w:r>
                  <w:r>
                    <w:rPr>
                      <w:rStyle w:val="94"/>
                      <w:rFonts w:ascii="Times New Roman" w:hAnsi="Times New Roman" w:eastAsia="宋体" w:cs="Times New Roman"/>
                      <w:bCs/>
                      <w:sz w:val="24"/>
                      <w:szCs w:val="24"/>
                    </w:rPr>
                    <w:t>7.3.4.1.</w:t>
                  </w:r>
                  <w:r>
                    <w:rPr>
                      <w:rStyle w:val="94"/>
                      <w:rFonts w:ascii="Times New Roman" w:hAnsi="Times New Roman" w:cs="Times New Roman"/>
                      <w:bCs/>
                    </w:rPr>
                    <w:tab/>
                  </w:r>
                  <w:r>
                    <w:rPr>
                      <w:rStyle w:val="94"/>
                      <w:rFonts w:ascii="Times New Roman" w:hAnsi="Times New Roman" w:eastAsia="宋体" w:cs="Times New Roman"/>
                      <w:bCs/>
                      <w:sz w:val="24"/>
                      <w:szCs w:val="24"/>
                    </w:rPr>
                    <w:t>不良事件的严重程度评估</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_Toc217032312 \h </w:instrText>
                  </w:r>
                  <w:r>
                    <w:rPr>
                      <w:rStyle w:val="94"/>
                      <w:rFonts w:ascii="Times New Roman" w:hAnsi="Times New Roman" w:cs="Times New Roman"/>
                      <w:bCs/>
                    </w:rPr>
                    <w:fldChar w:fldCharType="separate"/>
                  </w:r>
                  <w:r>
                    <w:rPr>
                      <w:rStyle w:val="94"/>
                      <w:rFonts w:ascii="Times New Roman" w:hAnsi="Times New Roman" w:cs="Times New Roman"/>
                      <w:bCs/>
                    </w:rPr>
                    <w:t>92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358E957">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"_Toc217032313" </w:instrText>
                  </w:r>
                  <w:r>
                    <w:fldChar w:fldCharType="separate"/>
                  </w:r>
                  <w:r>
                    <w:rPr>
                      <w:rStyle w:val="94"/>
                      <w:rFonts w:ascii="Times New Roman" w:hAnsi="Times New Roman" w:eastAsia="宋体" w:cs="Times New Roman"/>
                      <w:bCs/>
                      <w:sz w:val="24"/>
                      <w:szCs w:val="24"/>
                    </w:rPr>
                    <w:t>7.3.4.2.</w:t>
                  </w:r>
                  <w:r>
                    <w:rPr>
                      <w:rStyle w:val="94"/>
                      <w:rFonts w:ascii="Times New Roman" w:hAnsi="Times New Roman" w:cs="Times New Roman"/>
                      <w:bCs/>
                    </w:rPr>
                    <w:tab/>
                  </w:r>
                  <w:r>
                    <w:rPr>
                      <w:rStyle w:val="94"/>
                      <w:rFonts w:ascii="Times New Roman" w:hAnsi="Times New Roman" w:eastAsia="宋体" w:cs="Times New Roman"/>
                      <w:bCs/>
                      <w:sz w:val="24"/>
                      <w:szCs w:val="24"/>
                    </w:rPr>
                    <w:t>不良事件因果关系判断</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_Toc217032313 \h </w:instrText>
                  </w:r>
                  <w:r>
                    <w:rPr>
                      <w:rStyle w:val="94"/>
                      <w:rFonts w:ascii="Times New Roman" w:hAnsi="Times New Roman" w:cs="Times New Roman"/>
                      <w:bCs/>
                    </w:rPr>
                    <w:fldChar w:fldCharType="separate"/>
                  </w:r>
                  <w:r>
                    <w:rPr>
                      <w:rStyle w:val="94"/>
                      <w:rFonts w:ascii="Times New Roman" w:hAnsi="Times New Roman" w:cs="Times New Roman"/>
                      <w:bCs/>
                    </w:rPr>
                    <w:t>92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4FC9F39">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"_Toc217032314" </w:instrText>
                  </w:r>
                  <w:r>
                    <w:fldChar w:fldCharType="separate"/>
                  </w:r>
                  <w:r>
                    <w:rPr>
                      <w:rStyle w:val="94"/>
                      <w:rFonts w:ascii="Times New Roman" w:hAnsi="Times New Roman" w:eastAsia="宋体" w:cs="Times New Roman"/>
                      <w:bCs/>
                      <w:sz w:val="24"/>
                      <w:szCs w:val="24"/>
                    </w:rPr>
                    <w:t>7.3.4.3.</w:t>
                  </w:r>
                  <w:r>
                    <w:rPr>
                      <w:rStyle w:val="94"/>
                      <w:rFonts w:ascii="Times New Roman" w:hAnsi="Times New Roman" w:cs="Times New Roman"/>
                      <w:bCs/>
                    </w:rPr>
                    <w:tab/>
                  </w:r>
                  <w:r>
                    <w:rPr>
                      <w:rStyle w:val="94"/>
                      <w:rFonts w:ascii="Times New Roman" w:hAnsi="Times New Roman" w:eastAsia="宋体" w:cs="Times New Roman"/>
                      <w:bCs/>
                      <w:sz w:val="24"/>
                      <w:szCs w:val="24"/>
                    </w:rPr>
                    <w:t>不良事件预期性评估</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_Toc217032314 \h </w:instrText>
                  </w:r>
                  <w:r>
                    <w:rPr>
                      <w:rStyle w:val="94"/>
                      <w:rFonts w:ascii="Times New Roman" w:hAnsi="Times New Roman" w:cs="Times New Roman"/>
                      <w:bCs/>
                    </w:rPr>
                    <w:fldChar w:fldCharType="separate"/>
                  </w:r>
                  <w:r>
                    <w:rPr>
                      <w:rStyle w:val="94"/>
                      <w:rFonts w:ascii="Times New Roman" w:hAnsi="Times New Roman" w:cs="Times New Roman"/>
                      <w:bCs/>
                    </w:rPr>
                    <w:t>93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A7527C5">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"_Toc217032315" </w:instrText>
                  </w:r>
                  <w:r>
                    <w:fldChar w:fldCharType="separate"/>
                  </w:r>
                  <w:r>
                    <w:rPr>
                      <w:rStyle w:val="94"/>
                      <w:rFonts w:ascii="Times New Roman" w:hAnsi="Times New Roman" w:eastAsia="宋体" w:cs="Times New Roman"/>
                      <w:bCs/>
                      <w:sz w:val="24"/>
                      <w:szCs w:val="24"/>
                    </w:rPr>
                    <w:t>7.3.5.</w:t>
                  </w:r>
                  <w:r>
                    <w:rPr>
                      <w:rStyle w:val="94"/>
                      <w:rFonts w:ascii="Times New Roman" w:hAnsi="Times New Roman" w:cs="Times New Roman"/>
                      <w:bCs/>
                    </w:rPr>
                    <w:tab/>
                  </w:r>
                  <w:r>
                    <w:rPr>
                      <w:rStyle w:val="94"/>
                      <w:rFonts w:ascii="Times New Roman" w:hAnsi="Times New Roman" w:eastAsia="宋体" w:cs="Times New Roman"/>
                      <w:bCs/>
                      <w:sz w:val="24"/>
                      <w:szCs w:val="24"/>
                    </w:rPr>
                    <w:t>不良事件的报告</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_Toc217032315 \h </w:instrText>
                  </w:r>
                  <w:r>
                    <w:rPr>
                      <w:rStyle w:val="94"/>
                      <w:rFonts w:ascii="Times New Roman" w:hAnsi="Times New Roman" w:cs="Times New Roman"/>
                      <w:bCs/>
                    </w:rPr>
                    <w:fldChar w:fldCharType="separate"/>
                  </w:r>
                  <w:r>
                    <w:rPr>
                      <w:rStyle w:val="94"/>
                      <w:rFonts w:ascii="Times New Roman" w:hAnsi="Times New Roman" w:cs="Times New Roman"/>
                      <w:bCs/>
                    </w:rPr>
                    <w:t>94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B83972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"_Toc217032316" </w:instrText>
                  </w:r>
                  <w:r>
                    <w:fldChar w:fldCharType="separate"/>
                  </w:r>
                  <w:r>
                    <w:rPr>
                      <w:rStyle w:val="94"/>
                      <w:rFonts w:ascii="Times New Roman" w:hAnsi="Times New Roman" w:eastAsia="宋体" w:cs="Times New Roman"/>
                      <w:bCs/>
                      <w:sz w:val="24"/>
                      <w:szCs w:val="24"/>
                    </w:rPr>
                    <w:t>7.3.5.1.</w:t>
                  </w:r>
                  <w:r>
                    <w:rPr>
                      <w:rStyle w:val="94"/>
                      <w:rFonts w:ascii="Times New Roman" w:hAnsi="Times New Roman" w:cs="Times New Roman"/>
                      <w:bCs/>
                    </w:rPr>
                    <w:tab/>
                  </w:r>
                  <w:r>
                    <w:rPr>
                      <w:rStyle w:val="94"/>
                      <w:rFonts w:ascii="Times New Roman" w:hAnsi="Times New Roman" w:eastAsia="宋体" w:cs="Times New Roman"/>
                      <w:bCs/>
                      <w:sz w:val="24"/>
                      <w:szCs w:val="24"/>
                    </w:rPr>
                    <w:t>研究者向申办者报告不良事件等信息的要求与途径</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_Toc217032316 \h </w:instrText>
                  </w:r>
                  <w:r>
                    <w:rPr>
                      <w:rStyle w:val="94"/>
                      <w:rFonts w:ascii="Times New Roman" w:hAnsi="Times New Roman" w:cs="Times New Roman"/>
                      <w:bCs/>
                    </w:rPr>
                    <w:fldChar w:fldCharType="separate"/>
                  </w:r>
                  <w:r>
                    <w:rPr>
                      <w:rStyle w:val="94"/>
                      <w:rFonts w:ascii="Times New Roman" w:hAnsi="Times New Roman" w:cs="Times New Roman"/>
                      <w:bCs/>
                    </w:rPr>
                    <w:t>94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24A3378">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"_Toc217032317" </w:instrText>
                  </w:r>
                  <w:r>
                    <w:fldChar w:fldCharType="separate"/>
                  </w:r>
                  <w:r>
                    <w:rPr>
                      <w:rStyle w:val="94"/>
                      <w:rFonts w:ascii="Times New Roman" w:hAnsi="Times New Roman" w:eastAsia="宋体" w:cs="Times New Roman"/>
                      <w:bCs/>
                      <w:sz w:val="24"/>
                      <w:szCs w:val="24"/>
                    </w:rPr>
                    <w:t>7.3.5.1.1.</w:t>
                  </w:r>
                  <w:r>
                    <w:rPr>
                      <w:rStyle w:val="94"/>
                      <w:rFonts w:ascii="Times New Roman" w:hAnsi="Times New Roman" w:cs="Times New Roman"/>
                      <w:bCs/>
                    </w:rPr>
                    <w:tab/>
                  </w:r>
                  <w:r>
                    <w:rPr>
                      <w:rStyle w:val="94"/>
                      <w:rFonts w:ascii="Times New Roman" w:hAnsi="Times New Roman" w:eastAsia="宋体" w:cs="Times New Roman"/>
                      <w:bCs/>
                      <w:sz w:val="24"/>
                      <w:szCs w:val="24"/>
                    </w:rPr>
                    <w:t>应报告的事件类型</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_Toc217032317 \h </w:instrText>
                  </w:r>
                  <w:r>
                    <w:rPr>
                      <w:rStyle w:val="94"/>
                      <w:rFonts w:ascii="Times New Roman" w:hAnsi="Times New Roman" w:cs="Times New Roman"/>
                      <w:bCs/>
                    </w:rPr>
                    <w:fldChar w:fldCharType="separate"/>
                  </w:r>
                  <w:r>
                    <w:rPr>
                      <w:rStyle w:val="94"/>
                      <w:rFonts w:ascii="Times New Roman" w:hAnsi="Times New Roman" w:cs="Times New Roman"/>
                      <w:bCs/>
                    </w:rPr>
                    <w:t>94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3A551F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"_Toc217032318" </w:instrText>
                  </w:r>
                  <w:r>
                    <w:fldChar w:fldCharType="separate"/>
                  </w:r>
                  <w:r>
                    <w:rPr>
                      <w:rStyle w:val="94"/>
                      <w:rFonts w:ascii="Times New Roman" w:hAnsi="Times New Roman" w:eastAsia="宋体" w:cs="Times New Roman"/>
                      <w:bCs/>
                      <w:sz w:val="24"/>
                      <w:szCs w:val="24"/>
                    </w:rPr>
                    <w:t>7.3.5.1.2.</w:t>
                  </w:r>
                  <w:r>
                    <w:rPr>
                      <w:rStyle w:val="94"/>
                      <w:rFonts w:ascii="Times New Roman" w:hAnsi="Times New Roman" w:cs="Times New Roman"/>
                      <w:bCs/>
                    </w:rPr>
                    <w:tab/>
                  </w:r>
                  <w:r>
                    <w:rPr>
                      <w:rStyle w:val="94"/>
                      <w:rFonts w:ascii="Times New Roman" w:hAnsi="Times New Roman" w:eastAsia="宋体" w:cs="Times New Roman"/>
                      <w:bCs/>
                      <w:sz w:val="24"/>
                      <w:szCs w:val="24"/>
                    </w:rPr>
                    <w:t>应提供的安全信息资料及要求</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_Toc217032318 \h </w:instrText>
                  </w:r>
                  <w:r>
                    <w:rPr>
                      <w:rStyle w:val="94"/>
                      <w:rFonts w:ascii="Times New Roman" w:hAnsi="Times New Roman" w:cs="Times New Roman"/>
                      <w:bCs/>
                    </w:rPr>
                    <w:fldChar w:fldCharType="separate"/>
                  </w:r>
                  <w:r>
                    <w:rPr>
                      <w:rStyle w:val="94"/>
                      <w:rFonts w:ascii="Times New Roman" w:hAnsi="Times New Roman" w:cs="Times New Roman"/>
                      <w:bCs/>
                    </w:rPr>
                    <w:t>94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8457219">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"_Toc217032319" </w:instrText>
                  </w:r>
                  <w:r>
                    <w:fldChar w:fldCharType="separate"/>
                  </w:r>
                  <w:r>
                    <w:rPr>
                      <w:rStyle w:val="94"/>
                      <w:rFonts w:ascii="Times New Roman" w:hAnsi="Times New Roman" w:eastAsia="宋体" w:cs="Times New Roman"/>
                      <w:bCs/>
                      <w:sz w:val="24"/>
                      <w:szCs w:val="24"/>
                    </w:rPr>
                    <w:t>7.3.5.1.3.</w:t>
                  </w:r>
                  <w:r>
                    <w:rPr>
                      <w:rStyle w:val="94"/>
                      <w:rFonts w:ascii="Times New Roman" w:hAnsi="Times New Roman" w:cs="Times New Roman"/>
                      <w:bCs/>
                    </w:rPr>
                    <w:tab/>
                  </w:r>
                  <w:r>
                    <w:rPr>
                      <w:rStyle w:val="94"/>
                      <w:rFonts w:ascii="Times New Roman" w:hAnsi="Times New Roman" w:eastAsia="宋体" w:cs="Times New Roman"/>
                      <w:bCs/>
                      <w:sz w:val="24"/>
                      <w:szCs w:val="24"/>
                    </w:rPr>
                    <w:t>报告途径</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_Toc217032319 \h </w:instrText>
                  </w:r>
                  <w:r>
                    <w:rPr>
                      <w:rStyle w:val="94"/>
                      <w:rFonts w:ascii="Times New Roman" w:hAnsi="Times New Roman" w:cs="Times New Roman"/>
                      <w:bCs/>
                    </w:rPr>
                    <w:fldChar w:fldCharType="separate"/>
                  </w:r>
                  <w:r>
                    <w:rPr>
                      <w:rStyle w:val="94"/>
                      <w:rFonts w:ascii="Times New Roman" w:hAnsi="Times New Roman" w:cs="Times New Roman"/>
                      <w:bCs/>
                    </w:rPr>
                    <w:t>95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B372A56">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"_Toc217032320" </w:instrText>
                  </w:r>
                  <w:r>
                    <w:fldChar w:fldCharType="separate"/>
                  </w:r>
                  <w:r>
                    <w:rPr>
                      <w:rStyle w:val="94"/>
                      <w:rFonts w:ascii="Times New Roman" w:hAnsi="Times New Roman" w:eastAsia="宋体" w:cs="Times New Roman"/>
                      <w:bCs/>
                      <w:sz w:val="24"/>
                      <w:szCs w:val="24"/>
                    </w:rPr>
                    <w:t>7.3.5.2.</w:t>
                  </w:r>
                  <w:r>
                    <w:rPr>
                      <w:rStyle w:val="94"/>
                      <w:rFonts w:ascii="Times New Roman" w:hAnsi="Times New Roman" w:cs="Times New Roman"/>
                      <w:bCs/>
                    </w:rPr>
                    <w:tab/>
                  </w:r>
                  <w:r>
                    <w:rPr>
                      <w:rStyle w:val="94"/>
                      <w:rFonts w:ascii="Times New Roman" w:hAnsi="Times New Roman" w:eastAsia="宋体" w:cs="Times New Roman"/>
                      <w:bCs/>
                      <w:sz w:val="24"/>
                      <w:szCs w:val="24"/>
                    </w:rPr>
                    <w:t>申办者的报告要求</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_Toc217032320 \h </w:instrText>
                  </w:r>
                  <w:r>
                    <w:rPr>
                      <w:rStyle w:val="94"/>
                      <w:rFonts w:ascii="Times New Roman" w:hAnsi="Times New Roman" w:cs="Times New Roman"/>
                      <w:bCs/>
                    </w:rPr>
                    <w:fldChar w:fldCharType="separate"/>
                  </w:r>
                  <w:r>
                    <w:rPr>
                      <w:rStyle w:val="94"/>
                      <w:rFonts w:ascii="Times New Roman" w:hAnsi="Times New Roman" w:cs="Times New Roman"/>
                      <w:bCs/>
                    </w:rPr>
                    <w:t>95</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E5FE575">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"_Toc217032321" </w:instrText>
                  </w:r>
                  <w:r>
                    <w:fldChar w:fldCharType="separate"/>
                  </w:r>
                  <w:r>
                    <w:rPr>
                      <w:rStyle w:val="94"/>
                      <w:rFonts w:ascii="Times New Roman" w:hAnsi="Times New Roman" w:eastAsia="宋体" w:cs="Times New Roman"/>
                      <w:bCs/>
                      <w:sz w:val="24"/>
                      <w:szCs w:val="24"/>
                    </w:rPr>
                    <w:t>7.3.6.</w:t>
                  </w:r>
                  <w:r>
                    <w:rPr>
                      <w:rStyle w:val="94"/>
                      <w:rFonts w:ascii="Times New Roman" w:hAnsi="Times New Roman" w:cs="Times New Roman"/>
                      <w:bCs/>
                    </w:rPr>
                    <w:tab/>
                  </w:r>
                  <w:r>
                    <w:rPr>
                      <w:rStyle w:val="94"/>
                      <w:rFonts w:ascii="Times New Roman" w:hAnsi="Times New Roman" w:eastAsia="宋体" w:cs="Times New Roman"/>
                      <w:bCs/>
                      <w:sz w:val="24"/>
                      <w:szCs w:val="24"/>
                    </w:rPr>
                    <w:t>不良事件的随访</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_Toc217032321 \h </w:instrText>
                  </w:r>
                  <w:r>
                    <w:rPr>
                      <w:rStyle w:val="94"/>
                      <w:rFonts w:ascii="Times New Roman" w:hAnsi="Times New Roman" w:cs="Times New Roman"/>
                      <w:bCs/>
                    </w:rPr>
                    <w:fldChar w:fldCharType="separate"/>
                  </w:r>
                  <w:r>
                    <w:rPr>
                      <w:rStyle w:val="94"/>
                      <w:rFonts w:ascii="Times New Roman" w:hAnsi="Times New Roman" w:cs="Times New Roman"/>
                      <w:bCs/>
                    </w:rPr>
                    <w:t>96</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FF28688">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"_Toc217032322" </w:instrText>
                  </w:r>
                  <w:r>
                    <w:fldChar w:fldCharType="separate"/>
                  </w:r>
                  <w:r>
                    <w:rPr>
                      <w:rStyle w:val="94"/>
                      <w:rFonts w:ascii="Times New Roman" w:hAnsi="Times New Roman" w:eastAsia="宋体" w:cs="Times New Roman"/>
                      <w:bCs/>
                      <w:sz w:val="24"/>
                      <w:szCs w:val="24"/>
                    </w:rPr>
                    <w:t>7.3.7.</w:t>
                  </w:r>
                  <w:r>
                    <w:rPr>
                      <w:rStyle w:val="94"/>
                      <w:rFonts w:ascii="Times New Roman" w:hAnsi="Times New Roman" w:cs="Times New Roman"/>
                      <w:bCs/>
                    </w:rPr>
                    <w:tab/>
                  </w:r>
                  <w:r>
                    <w:rPr>
                      <w:rStyle w:val="94"/>
                      <w:rFonts w:ascii="Times New Roman" w:hAnsi="Times New Roman" w:eastAsia="宋体" w:cs="Times New Roman"/>
                      <w:bCs/>
                      <w:sz w:val="24"/>
                      <w:szCs w:val="24"/>
                    </w:rPr>
                    <w:t>妊娠</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_Toc217032322 \h </w:instrText>
                  </w:r>
                  <w:r>
                    <w:rPr>
                      <w:rStyle w:val="94"/>
                      <w:rFonts w:ascii="Times New Roman" w:hAnsi="Times New Roman" w:cs="Times New Roman"/>
                      <w:bCs/>
                    </w:rPr>
                    <w:fldChar w:fldCharType="separate"/>
                  </w:r>
                  <w:r>
                    <w:rPr>
                      <w:rStyle w:val="94"/>
                      <w:rFonts w:ascii="Times New Roman" w:hAnsi="Times New Roman" w:cs="Times New Roman"/>
                      <w:bCs/>
                    </w:rPr>
                    <w:t>97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61FDEC2">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"_Toc217032323" </w:instrText>
                  </w:r>
                  <w:r>
                    <w:fldChar w:fldCharType="separate"/>
                  </w:r>
                  <w:r>
                    <w:rPr>
                      <w:rStyle w:val="94"/>
                      <w:rFonts w:ascii="Times New Roman" w:hAnsi="Times New Roman" w:eastAsia="宋体" w:cs="Times New Roman"/>
                      <w:bCs/>
                      <w:sz w:val="24"/>
                      <w:szCs w:val="24"/>
                    </w:rPr>
                    <w:t>7.3.7.1.</w:t>
                  </w:r>
                  <w:r>
                    <w:rPr>
                      <w:rStyle w:val="94"/>
                      <w:rFonts w:ascii="Times New Roman" w:hAnsi="Times New Roman" w:cs="Times New Roman"/>
                      <w:bCs/>
                    </w:rPr>
                    <w:tab/>
                  </w:r>
                  <w:r>
                    <w:rPr>
                      <w:rStyle w:val="94"/>
                      <w:rFonts w:ascii="Times New Roman" w:hAnsi="Times New Roman" w:eastAsia="宋体" w:cs="Times New Roman"/>
                      <w:bCs/>
                      <w:sz w:val="24"/>
                      <w:szCs w:val="24"/>
                    </w:rPr>
                    <w:t>妊娠事件的报告要求</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_Toc217032323 \h </w:instrText>
                  </w:r>
                  <w:r>
                    <w:rPr>
                      <w:rStyle w:val="94"/>
                      <w:rFonts w:ascii="Times New Roman" w:hAnsi="Times New Roman" w:cs="Times New Roman"/>
                      <w:bCs/>
                    </w:rPr>
                    <w:fldChar w:fldCharType="separate"/>
                  </w:r>
                  <w:r>
                    <w:rPr>
                      <w:rStyle w:val="94"/>
                      <w:rFonts w:ascii="Times New Roman" w:hAnsi="Times New Roman" w:cs="Times New Roman"/>
                      <w:bCs/>
                    </w:rPr>
                    <w:t>97</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FB179AB">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"_Toc217032324" </w:instrText>
                  </w:r>
                  <w:r>
                    <w:fldChar w:fldCharType="separate"/>
                  </w:r>
                  <w:r>
                    <w:rPr>
                      <w:rStyle w:val="94"/>
                      <w:rFonts w:ascii="Times New Roman" w:hAnsi="Times New Roman" w:eastAsia="宋体" w:cs="Times New Roman"/>
                      <w:bCs/>
                      <w:sz w:val="24"/>
                      <w:szCs w:val="24"/>
                    </w:rPr>
                    <w:t>7.3.7.2.</w:t>
                  </w:r>
                  <w:r>
                    <w:rPr>
                      <w:rStyle w:val="94"/>
                      <w:rFonts w:ascii="Times New Roman" w:hAnsi="Times New Roman" w:cs="Times New Roman"/>
                      <w:bCs/>
                    </w:rPr>
                    <w:tab/>
                  </w:r>
                  <w:r>
                    <w:rPr>
                      <w:rStyle w:val="94"/>
                      <w:rFonts w:ascii="Times New Roman" w:hAnsi="Times New Roman" w:eastAsia="宋体" w:cs="Times New Roman"/>
                      <w:bCs/>
                      <w:sz w:val="24"/>
                      <w:szCs w:val="24"/>
                    </w:rPr>
                    <w:t>妊娠事件的随访</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_Toc217032324 \h </w:instrText>
                  </w:r>
                  <w:r>
                    <w:rPr>
                      <w:rStyle w:val="94"/>
                      <w:rFonts w:ascii="Times New Roman" w:hAnsi="Times New Roman" w:cs="Times New Roman"/>
                      <w:bCs/>
                    </w:rPr>
                    <w:fldChar w:fldCharType="separate"/>
                  </w:r>
                  <w:r>
                    <w:rPr>
                      <w:rStyle w:val="94"/>
                      <w:rFonts w:ascii="Times New Roman" w:hAnsi="Times New Roman" w:cs="Times New Roman"/>
                      <w:bCs/>
                    </w:rPr>
                    <w:t>98</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69549A6">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"_Toc217032325" </w:instrText>
                  </w:r>
                  <w:r>
                    <w:fldChar w:fldCharType="separate"/>
                  </w:r>
                  <w:r>
                    <w:rPr>
                      <w:rStyle w:val="94"/>
                      <w:rFonts w:cs="Times New Roman"/>
                      <w:sz w:val="24"/>
                      <w:szCs w:val="24"/>
                    </w:rPr>
                    <w:t>8.</w:t>
                  </w:r>
                  <w:r>
                    <w:rPr>
                      <w:rFonts w:cs="Times New Roman"/>
                      <w:color w:val="auto"/>
                      <w:kern w:val="2"/>
                      <w:sz w:val="24"/>
                      <w:szCs w:val="24"/>
                      <w14:ligatures w14:val="standardContextual"/>
                    </w:rPr>
                    <w:tab/>
                  </w:r>
                  <w:r>
                    <w:rPr>
                      <w:rStyle w:val="94"/>
                      <w:rFonts w:cs="Times New Roman"/>
                      <w:sz w:val="24"/>
                      <w:szCs w:val="24"/>
                    </w:rPr>
                    <w:t>统计学考虑</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_Toc217032325 \h </w:instrText>
                  </w:r>
                  <w:r>
                    <w:rPr>
                      <w:rFonts w:cs="Times New Roman"/>
                      <w:sz w:val="24"/>
                      <w:szCs w:val="24"/>
                    </w:rPr>
                    <w:fldChar w:fldCharType="separate"/>
                  </w:r>
                  <w:r>
                    <w:rPr>
                      <w:rFonts w:cs="Times New Roman"/>
                      <w:sz w:val="24"/>
                      <w:szCs w:val="24"/>
                    </w:rPr>
                    <w:t>98</w:t>
                  </w:r>
                  <w:r>
                    <w:rPr>
                      <w:rFonts w:cs="Times New Roman"/>
                      <w:sz w:val="24"/>
                      <w:szCs w:val="24"/>
                    </w:rPr>
                    <w:fldChar w:fldCharType="end"/>
                  </w:r>
                  <w:r>
                    <w:rPr>
                      <w:rFonts w:cs="Times New Roman"/>
                      <w:sz w:val="24"/>
                      <w:szCs w:val="24"/>
                    </w:rPr>
                    <w:fldChar w:fldCharType="end"/>
                  </w:r>
                </w:p>
                <w:p w14:paraId="48372571">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"_Toc217032326" </w:instrText>
                  </w:r>
                  <w:r>
                    <w:fldChar w:fldCharType="separate"/>
                  </w:r>
                  <w:r>
                    <w:rPr>
                      <w:rStyle w:val="94"/>
                      <w:rFonts w:ascii="Times New Roman" w:hAnsi="Times New Roman" w:eastAsia="宋体" w:cs="Times New Roman"/>
                      <w:sz w:val="24"/>
                      <w:szCs w:val="24"/>
                    </w:rPr>
                    <w:t>8.1.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统计假设</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_Toc217032326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6A44C7A">
                  <w:pPr>
                    <w:pStyle w:val="75"/>
                    <w:tabs>
                      <w:tab w:val="left" w:pos="2127"/>
                      <w:tab w:val="right" w:leader="dot" w:pos="8780"/>
                    </w:tabs>
                    <w:spacing w:line="276" w:lineRule="auto"/>
                    <w:ind w:left="1100" w:leftChars="500"/>
                    <w:rPr>
                      <w:rFonts w:ascii="Times New Roman" w:hAnsi="Times New Roman" w:eastAsia="宋体" w:cs="Times New Roman"/>
                      <w:kern w:val="2"/>
                      <w:sz w:val="24"/>
                      <w:szCs w:val="24"/>
                      <w14:ligatures w14:val="standardContextual"/>
                    </w:rPr>
                  </w:pPr>
                  <w:r>
                    <w:fldChar w:fldCharType="begin"/>
                  </w:r>
                  <w:r>
                    <w:instrText xml:space="preserve"> HYPERLINK \l "_Toc217032327" </w:instrText>
                  </w:r>
                  <w:r>
                    <w:fldChar w:fldCharType="separate"/>
                  </w:r>
                  <w:r>
                    <w:rPr>
                      <w:rStyle w:val="94"/>
                      <w:rFonts w:ascii="Times New Roman" w:hAnsi="Times New Roman" w:eastAsia="宋体" w:cs="Times New Roman"/>
                      <w:sz w:val="24"/>
                      <w:szCs w:val="24"/>
                    </w:rPr>
                    <w:t>8.1.1.</w:t>
                  </w:r>
                  <w:r>
                    <w:rPr>
                      <w:rFonts w:ascii="Times New Roman" w:hAnsi="Times New Roman" w:eastAsia="宋体" w:cs="Times New Roman"/>
                      <w:kern w:val="2"/>
                      <w:sz w:val="24"/>
                      <w:szCs w:val="24"/>
                      <w14:ligatures w14:val="standardContextual"/>
                    </w:rPr>
                    <w:tab/>
                  </w:r>
                  <w:r>
                    <w:rPr>
                      <w:rStyle w:val="94"/>
                      <w:rFonts w:ascii="Times New Roman" w:hAnsi="Times New Roman" w:eastAsia="宋体" w:cs="Times New Roman"/>
                      <w:sz w:val="24"/>
                      <w:szCs w:val="24"/>
                    </w:rPr>
                    <w:t>多重性校正</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_Toc217032327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816916D">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"_Toc217032328" </w:instrText>
                  </w:r>
                  <w:r>
                    <w:fldChar w:fldCharType="separate"/>
                  </w:r>
                  <w:r>
                    <w:rPr>
                      <w:rStyle w:val="94"/>
                      <w:rFonts w:ascii="Times New Roman" w:hAnsi="Times New Roman" w:eastAsia="宋体" w:cs="Times New Roman"/>
                      <w:sz w:val="24"/>
                      <w:szCs w:val="24"/>
                    </w:rPr>
                    <w:t>8.2.</w:t>
                  </w:r>
                  <w:r>
                    <w:rPr>
                      <w:rStyle w:val="94"/>
                      <w:rFonts w:ascii="Times New Roman" w:hAnsi="Times New Roman" w:cs="Times New Roman"/>
                    </w:rPr>
                    <w:tab/>
                  </w:r>
                  <w:r>
                    <w:rPr>
                      <w:rStyle w:val="94"/>
                      <w:rFonts w:ascii="Times New Roman" w:hAnsi="Times New Roman" w:eastAsia="宋体" w:cs="Times New Roman"/>
                      <w:sz w:val="24"/>
                      <w:szCs w:val="24"/>
                    </w:rPr>
                    <w:t>样本量计算</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_Toc217032328 \h </w:instrText>
                  </w:r>
                  <w:r>
                    <w:rPr>
                      <w:rStyle w:val="94"/>
                      <w:rFonts w:ascii="Times New Roman" w:hAnsi="Times New Roman" w:cs="Times New Roman"/>
                    </w:rPr>
                    <w:fldChar w:fldCharType="separate"/>
                  </w:r>
                  <w:r>
                    <w:rPr>
                      <w:rStyle w:val="94"/>
                      <w:rFonts w:ascii="Times New Roman" w:hAnsi="Times New Roman" w:cs="Times New Roman"/>
                    </w:rPr>
                    <w:t>99</w:t>
                  </w:r>
                  <w:r>
                    <w:rPr>
                      <w:rStyle w:val="94"/>
                      <w:rFonts w:ascii="Times New Roman" w:hAnsi="Times New Roman" w:cs="Times New Roman"/>
                    </w:rPr>
                    <w:fldChar w:fldCharType="end"/>
                  </w:r>
                  <w:r>
                    <w:rPr>
                      <w:rStyle w:val="94"/>
                      <w:rFonts w:ascii="Times New Roman" w:hAnsi="Times New Roman" w:cs="Times New Roman"/>
                    </w:rPr>
                    <w:fldChar w:fldCharType="end"/>
                  </w:r>
                </w:p>
                <w:p w14:paraId="44D5E9C6">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"_Toc217032329" </w:instrText>
                  </w:r>
                  <w:r>
                    <w:fldChar w:fldCharType="separate"/>
                  </w:r>
                  <w:r>
                    <w:rPr>
                      <w:rStyle w:val="94"/>
                      <w:rFonts w:ascii="Times New Roman" w:hAnsi="Times New Roman" w:eastAsia="宋体" w:cs="Times New Roman"/>
                      <w:sz w:val="24"/>
                      <w:szCs w:val="24"/>
                    </w:rPr>
                    <w:t>8.3.</w:t>
                  </w:r>
                  <w:r>
                    <w:rPr>
                      <w:rStyle w:val="94"/>
                      <w:rFonts w:ascii="Times New Roman" w:hAnsi="Times New Roman" w:cs="Times New Roman"/>
                    </w:rPr>
                    <w:tab/>
                  </w:r>
                  <w:r>
                    <w:rPr>
                      <w:rStyle w:val="94"/>
                      <w:rFonts w:ascii="Times New Roman" w:hAnsi="Times New Roman" w:eastAsia="宋体" w:cs="Times New Roman"/>
                      <w:sz w:val="24"/>
                      <w:szCs w:val="24"/>
                    </w:rPr>
                    <w:t>统计分析集的定义</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_Toc217032329 \h </w:instrText>
                  </w:r>
                  <w:r>
                    <w:rPr>
                      <w:rStyle w:val="94"/>
                      <w:rFonts w:ascii="Times New Roman" w:hAnsi="Times New Roman" w:cs="Times New Roman"/>
                    </w:rPr>
                    <w:fldChar w:fldCharType="separate"/>
                  </w:r>
                  <w:r>
                    <w:rPr>
                      <w:rStyle w:val="94"/>
                      <w:rFonts w:ascii="Times New Roman" w:hAnsi="Times New Roman" w:cs="Times New Roman"/>
                    </w:rPr>
                    <w:t>100</w:t>
                  </w:r>
                  <w:r>
                    <w:rPr>
                      <w:rStyle w:val="94"/>
                      <w:rFonts w:ascii="Times New Roman" w:hAnsi="Times New Roman" w:cs="Times New Roman"/>
                    </w:rPr>
                    <w:fldChar w:fldCharType="end"/>
                  </w:r>
                  <w:r>
                    <w:rPr>
                      <w:rStyle w:val="94"/>
                      <w:rFonts w:ascii="Times New Roman" w:hAnsi="Times New Roman" w:cs="Times New Roman"/>
                    </w:rPr>
                    <w:fldChar w:fldCharType="end"/>
                  </w:r>
                </w:p>
                <w:p w14:paraId="5D762F56">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"_Toc217032330" </w:instrText>
                  </w:r>
                  <w:r>
                    <w:fldChar w:fldCharType="separate"/>
                  </w:r>
                  <w:r>
                    <w:rPr>
                      <w:rStyle w:val="94"/>
                      <w:rFonts w:ascii="Times New Roman" w:hAnsi="Times New Roman" w:eastAsia="宋体" w:cs="Times New Roman"/>
                      <w:sz w:val="24"/>
                      <w:szCs w:val="24"/>
                    </w:rPr>
                    <w:t>8.4.</w:t>
                  </w:r>
                  <w:r>
                    <w:rPr>
                      <w:rStyle w:val="94"/>
                      <w:rFonts w:ascii="Times New Roman" w:hAnsi="Times New Roman" w:cs="Times New Roman"/>
                    </w:rPr>
                    <w:tab/>
                  </w:r>
                  <w:r>
                    <w:rPr>
                      <w:rStyle w:val="94"/>
                      <w:rFonts w:ascii="Times New Roman" w:hAnsi="Times New Roman" w:eastAsia="宋体" w:cs="Times New Roman"/>
                      <w:sz w:val="24"/>
                      <w:szCs w:val="24"/>
                    </w:rPr>
                    <w:t>统计分析</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_Toc217032330 \h </w:instrText>
                  </w:r>
                  <w:r>
                    <w:rPr>
                      <w:rStyle w:val="94"/>
                      <w:rFonts w:ascii="Times New Roman" w:hAnsi="Times New Roman" w:cs="Times New Roman"/>
                    </w:rPr>
                    <w:fldChar w:fldCharType="separate"/>
                  </w:r>
                  <w:r>
                    <w:rPr>
                      <w:rStyle w:val="94"/>
                      <w:rFonts w:ascii="Times New Roman" w:hAnsi="Times New Roman" w:cs="Times New Roman"/>
                    </w:rPr>
                    <w:t>100</w:t>
                  </w:r>
                  <w:r>
                    <w:rPr>
                      <w:rStyle w:val="94"/>
                      <w:rFonts w:ascii="Times New Roman" w:hAnsi="Times New Roman" w:cs="Times New Roman"/>
                    </w:rPr>
                    <w:fldChar w:fldCharType="end"/>
                  </w:r>
                  <w:r>
                    <w:rPr>
                      <w:rStyle w:val="94"/>
                      <w:rFonts w:ascii="Times New Roman" w:hAnsi="Times New Roman" w:cs="Times New Roman"/>
                    </w:rPr>
                    <w:fldChar w:fldCharType="end"/>
                  </w:r>
                </w:p>
                <w:p w14:paraId="1A02F15A">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"_Toc217032331" </w:instrText>
                  </w:r>
                  <w:r>
                    <w:fldChar w:fldCharType="separate"/>
                  </w:r>
                  <w:r>
                    <w:rPr>
                      <w:rStyle w:val="94"/>
                      <w:rFonts w:ascii="Times New Roman" w:hAnsi="Times New Roman" w:eastAsia="宋体" w:cs="Times New Roman"/>
                      <w:bCs/>
                      <w:sz w:val="24"/>
                      <w:szCs w:val="24"/>
                    </w:rPr>
                    <w:t>8.4.1.</w:t>
                  </w:r>
                  <w:r>
                    <w:rPr>
                      <w:rStyle w:val="94"/>
                      <w:rFonts w:ascii="Times New Roman" w:hAnsi="Times New Roman" w:cs="Times New Roman"/>
                      <w:bCs/>
                    </w:rPr>
                    <w:tab/>
                  </w:r>
                  <w:r>
                    <w:rPr>
                      <w:rStyle w:val="94"/>
                      <w:rFonts w:ascii="Times New Roman" w:hAnsi="Times New Roman" w:eastAsia="宋体" w:cs="Times New Roman"/>
                      <w:bCs/>
                      <w:sz w:val="24"/>
                      <w:szCs w:val="24"/>
                    </w:rPr>
                    <w:t>一般方法</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_Toc217032331 \h </w:instrText>
                  </w:r>
                  <w:r>
                    <w:rPr>
                      <w:rStyle w:val="94"/>
                      <w:rFonts w:ascii="Times New Roman" w:hAnsi="Times New Roman" w:cs="Times New Roman"/>
                      <w:bCs/>
                    </w:rPr>
                    <w:fldChar w:fldCharType="separate"/>
                  </w:r>
                  <w:r>
                    <w:rPr>
                      <w:rStyle w:val="94"/>
                      <w:rFonts w:ascii="Times New Roman" w:hAnsi="Times New Roman" w:cs="Times New Roman"/>
                      <w:bCs/>
                    </w:rPr>
                    <w:t>100</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DF1CDE0">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"_Toc217032332" </w:instrText>
                  </w:r>
                  <w:r>
                    <w:fldChar w:fldCharType="separate"/>
                  </w:r>
                  <w:r>
                    <w:rPr>
                      <w:rStyle w:val="94"/>
                      <w:rFonts w:ascii="Times New Roman" w:hAnsi="Times New Roman" w:eastAsia="宋体" w:cs="Times New Roman"/>
                      <w:bCs/>
                      <w:sz w:val="24"/>
                      <w:szCs w:val="24"/>
                    </w:rPr>
                    <w:t>8.4.2.</w:t>
                  </w:r>
                  <w:r>
                    <w:rPr>
                      <w:rStyle w:val="94"/>
                      <w:rFonts w:ascii="Times New Roman" w:hAnsi="Times New Roman" w:cs="Times New Roman"/>
                      <w:bCs/>
                    </w:rPr>
                    <w:tab/>
                  </w:r>
                  <w:r>
                    <w:rPr>
                      <w:rStyle w:val="94"/>
                      <w:rFonts w:ascii="Times New Roman" w:hAnsi="Times New Roman" w:eastAsia="宋体" w:cs="Times New Roman"/>
                      <w:bCs/>
                      <w:sz w:val="24"/>
                      <w:szCs w:val="24"/>
                    </w:rPr>
                    <w:t>参与者入组分析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_Toc217032332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07415D1">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"_Toc217032333" </w:instrText>
                  </w:r>
                  <w:r>
                    <w:fldChar w:fldCharType="separate"/>
                  </w:r>
                  <w:r>
                    <w:rPr>
                      <w:rStyle w:val="94"/>
                      <w:rFonts w:ascii="Times New Roman" w:hAnsi="Times New Roman" w:eastAsia="宋体" w:cs="Times New Roman"/>
                      <w:bCs/>
                      <w:sz w:val="24"/>
                      <w:szCs w:val="24"/>
                    </w:rPr>
                    <w:t>8.4.3.</w:t>
                  </w:r>
                  <w:r>
                    <w:rPr>
                      <w:rStyle w:val="94"/>
                      <w:rFonts w:ascii="Times New Roman" w:hAnsi="Times New Roman" w:cs="Times New Roman"/>
                      <w:bCs/>
                    </w:rPr>
                    <w:tab/>
                  </w:r>
                  <w:r>
                    <w:rPr>
                      <w:rStyle w:val="94"/>
                      <w:rFonts w:ascii="Times New Roman" w:hAnsi="Times New Roman" w:eastAsia="宋体" w:cs="Times New Roman"/>
                      <w:bCs/>
                      <w:sz w:val="24"/>
                      <w:szCs w:val="24"/>
                    </w:rPr>
                    <w:t>人口统计学和基线特征分析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_Toc217032333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075CE1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"_Toc217032334" </w:instrText>
                  </w:r>
                  <w:r>
                    <w:fldChar w:fldCharType="separate"/>
                  </w:r>
                  <w:r>
                    <w:rPr>
                      <w:rStyle w:val="94"/>
                      <w:rFonts w:ascii="Times New Roman" w:hAnsi="Times New Roman" w:eastAsia="宋体" w:cs="Times New Roman"/>
                      <w:bCs/>
                      <w:sz w:val="24"/>
                      <w:szCs w:val="24"/>
                    </w:rPr>
                    <w:t>8.4.4.</w:t>
                  </w:r>
                  <w:r>
                    <w:rPr>
                      <w:rStyle w:val="94"/>
                      <w:rFonts w:ascii="Times New Roman" w:hAnsi="Times New Roman" w:cs="Times New Roman"/>
                      <w:bCs/>
                    </w:rPr>
                    <w:tab/>
                  </w:r>
                  <w:r>
                    <w:rPr>
                      <w:rStyle w:val="94"/>
                      <w:rFonts w:ascii="Times New Roman" w:hAnsi="Times New Roman" w:eastAsia="宋体" w:cs="Times New Roman"/>
                      <w:bCs/>
                      <w:sz w:val="24"/>
                      <w:szCs w:val="24"/>
                    </w:rPr>
                    <w:t>药物治疗与非药物治疗分析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_Toc217032334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02710A8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"_Toc217032335" </w:instrText>
                  </w:r>
                  <w:r>
                    <w:fldChar w:fldCharType="separate"/>
                  </w:r>
                  <w:r>
                    <w:rPr>
                      <w:rStyle w:val="94"/>
                      <w:rFonts w:ascii="Times New Roman" w:hAnsi="Times New Roman" w:eastAsia="宋体" w:cs="Times New Roman"/>
                      <w:bCs/>
                      <w:sz w:val="24"/>
                      <w:szCs w:val="24"/>
                    </w:rPr>
                    <w:t>8.4.5.</w:t>
                  </w:r>
                  <w:r>
                    <w:rPr>
                      <w:rStyle w:val="94"/>
                      <w:rFonts w:ascii="Times New Roman" w:hAnsi="Times New Roman" w:cs="Times New Roman"/>
                      <w:bCs/>
                    </w:rPr>
                    <w:tab/>
                  </w:r>
                  <w:r>
                    <w:rPr>
                      <w:rStyle w:val="94"/>
                      <w:rFonts w:ascii="Times New Roman" w:hAnsi="Times New Roman" w:eastAsia="宋体" w:cs="Times New Roman"/>
                      <w:bCs/>
                      <w:sz w:val="24"/>
                      <w:szCs w:val="24"/>
                    </w:rPr>
                    <w:t>疗效分析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_Toc217032335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45AE78CC">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"_Toc217032336" </w:instrText>
                  </w:r>
                  <w:r>
                    <w:fldChar w:fldCharType="separate"/>
                  </w:r>
                  <w:r>
                    <w:rPr>
                      <w:rStyle w:val="94"/>
                      <w:rFonts w:ascii="Times New Roman" w:hAnsi="Times New Roman" w:eastAsia="宋体" w:cs="Times New Roman"/>
                      <w:bCs/>
                      <w:sz w:val="24"/>
                      <w:szCs w:val="24"/>
                    </w:rPr>
                    <w:t>8.4.5.1.</w:t>
                  </w:r>
                  <w:r>
                    <w:rPr>
                      <w:rStyle w:val="94"/>
                      <w:rFonts w:ascii="Times New Roman" w:hAnsi="Times New Roman" w:cs="Times New Roman"/>
                      <w:bCs/>
                    </w:rPr>
                    <w:tab/>
                  </w:r>
                  <w:r>
                    <w:rPr>
                      <w:rStyle w:val="94"/>
                      <w:rFonts w:ascii="Times New Roman" w:hAnsi="Times New Roman" w:eastAsia="宋体" w:cs="Times New Roman"/>
                      <w:bCs/>
                      <w:sz w:val="24"/>
                      <w:szCs w:val="24"/>
                    </w:rPr>
                    <w:t>Ⅱ期临床研究阶段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_Toc217032336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515CFF14">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"_Toc217032337" </w:instrText>
                  </w:r>
                  <w:r>
                    <w:fldChar w:fldCharType="separate"/>
                  </w:r>
                  <w:r>
                    <w:rPr>
                      <w:rStyle w:val="94"/>
                      <w:rFonts w:ascii="Times New Roman" w:hAnsi="Times New Roman" w:eastAsia="宋体" w:cs="Times New Roman"/>
                      <w:bCs/>
                      <w:sz w:val="24"/>
                      <w:szCs w:val="24"/>
                    </w:rPr>
                    <w:t>8.4.5.1.1.</w:t>
                  </w:r>
                  <w:r>
                    <w:rPr>
                      <w:rStyle w:val="94"/>
                      <w:rFonts w:ascii="Times New Roman" w:hAnsi="Times New Roman" w:cs="Times New Roman"/>
                      <w:bCs/>
                    </w:rPr>
                    <w:tab/>
                  </w:r>
                  <w:r>
                    <w:rPr>
                      <w:rStyle w:val="94"/>
                      <w:rFonts w:ascii="Times New Roman" w:hAnsi="Times New Roman" w:eastAsia="宋体" w:cs="Times New Roman"/>
                      <w:bCs/>
                      <w:sz w:val="24"/>
                      <w:szCs w:val="24"/>
                    </w:rPr>
                    <w:t>主要疗效指标分析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_Toc217032337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7B2925B">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"_Toc217032338" </w:instrText>
                  </w:r>
                  <w:r>
                    <w:fldChar w:fldCharType="separate"/>
                  </w:r>
                  <w:r>
                    <w:rPr>
                      <w:rStyle w:val="94"/>
                      <w:rFonts w:ascii="Times New Roman" w:hAnsi="Times New Roman" w:eastAsia="宋体" w:cs="Times New Roman"/>
                      <w:bCs/>
                      <w:sz w:val="24"/>
                      <w:szCs w:val="24"/>
                    </w:rPr>
                    <w:t>8.4.5.1.2.</w:t>
                  </w:r>
                  <w:r>
                    <w:rPr>
                      <w:rStyle w:val="94"/>
                      <w:rFonts w:ascii="Times New Roman" w:hAnsi="Times New Roman" w:cs="Times New Roman"/>
                      <w:bCs/>
                    </w:rPr>
                    <w:tab/>
                  </w:r>
                  <w:r>
                    <w:rPr>
                      <w:rStyle w:val="94"/>
                      <w:rFonts w:ascii="Times New Roman" w:hAnsi="Times New Roman" w:eastAsia="宋体" w:cs="Times New Roman"/>
                      <w:bCs/>
                      <w:sz w:val="24"/>
                      <w:szCs w:val="24"/>
                    </w:rPr>
                    <w:t>次要疗效指标分析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_Toc217032338 \h </w:instrText>
                  </w:r>
                  <w:r>
                    <w:rPr>
                      <w:rStyle w:val="94"/>
                      <w:rFonts w:ascii="Times New Roman" w:hAnsi="Times New Roman" w:cs="Times New Roman"/>
                      <w:bCs/>
                    </w:rPr>
                    <w:fldChar w:fldCharType="separate"/>
                  </w:r>
                  <w:r>
                    <w:rPr>
                      <w:rStyle w:val="94"/>
                      <w:rFonts w:ascii="Times New Roman" w:hAnsi="Times New Roman" w:cs="Times New Roman"/>
                      <w:bCs/>
                    </w:rPr>
                    <w:t>101</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18A5A313">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"_Toc217032339" </w:instrText>
                  </w:r>
                  <w:r>
                    <w:fldChar w:fldCharType="separate"/>
                  </w:r>
                  <w:r>
                    <w:rPr>
                      <w:rStyle w:val="94"/>
                      <w:rFonts w:ascii="Times New Roman" w:hAnsi="Times New Roman" w:eastAsia="宋体" w:cs="Times New Roman"/>
                      <w:bCs/>
                      <w:sz w:val="24"/>
                      <w:szCs w:val="24"/>
                    </w:rPr>
                    <w:t>8.4.5.2.</w:t>
                  </w:r>
                  <w:r>
                    <w:rPr>
                      <w:rStyle w:val="94"/>
                      <w:rFonts w:ascii="Times New Roman" w:hAnsi="Times New Roman" w:cs="Times New Roman"/>
                      <w:bCs/>
                    </w:rPr>
                    <w:tab/>
                  </w:r>
                  <w:r>
                    <w:rPr>
                      <w:rStyle w:val="94"/>
                      <w:rFonts w:ascii="Times New Roman" w:hAnsi="Times New Roman" w:eastAsia="宋体" w:cs="Times New Roman"/>
                      <w:bCs/>
                      <w:sz w:val="24"/>
                      <w:szCs w:val="24"/>
                    </w:rPr>
                    <w:t>Ⅲ期临床研究阶段</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_Toc217032339 \h </w:instrText>
                  </w:r>
                  <w:r>
                    <w:rPr>
                      <w:rStyle w:val="94"/>
                      <w:rFonts w:ascii="Times New Roman" w:hAnsi="Times New Roman" w:cs="Times New Roman"/>
                      <w:bCs/>
                    </w:rPr>
                    <w:fldChar w:fldCharType="separate"/>
                  </w:r>
                  <w:r>
                    <w:rPr>
                      <w:rStyle w:val="94"/>
                      <w:rFonts w:ascii="Times New Roman" w:hAnsi="Times New Roman" w:cs="Times New Roman"/>
                      <w:bCs/>
                    </w:rPr>
                    <w:t>102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256DC6A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"_Toc217032340" </w:instrText>
                  </w:r>
                  <w:r>
                    <w:fldChar w:fldCharType="separate"/>
                  </w:r>
                  <w:r>
                    <w:rPr>
                      <w:rStyle w:val="94"/>
                      <w:rFonts w:ascii="Times New Roman" w:hAnsi="Times New Roman" w:eastAsia="宋体" w:cs="Times New Roman"/>
                      <w:bCs/>
                      <w:sz w:val="24"/>
                      <w:szCs w:val="24"/>
                    </w:rPr>
                    <w:t>8.4.5.2.1.</w:t>
                  </w:r>
                  <w:r>
                    <w:rPr>
                      <w:rStyle w:val="94"/>
                      <w:rFonts w:ascii="Times New Roman" w:hAnsi="Times New Roman" w:cs="Times New Roman"/>
                      <w:bCs/>
                    </w:rPr>
                    <w:tab/>
                  </w:r>
                  <w:r>
                    <w:rPr>
                      <w:rStyle w:val="94"/>
                      <w:rFonts w:ascii="Times New Roman" w:hAnsi="Times New Roman" w:eastAsia="宋体" w:cs="Times New Roman"/>
                      <w:bCs/>
                      <w:sz w:val="24"/>
                      <w:szCs w:val="24"/>
                    </w:rPr>
                    <w:t>主要估计目标分析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_Toc217032340 \h </w:instrText>
                  </w:r>
                  <w:r>
                    <w:rPr>
                      <w:rStyle w:val="94"/>
                      <w:rFonts w:ascii="Times New Roman" w:hAnsi="Times New Roman" w:cs="Times New Roman"/>
                      <w:bCs/>
                    </w:rPr>
                    <w:fldChar w:fldCharType="separate"/>
                  </w:r>
                  <w:r>
                    <w:rPr>
                      <w:rStyle w:val="94"/>
                      <w:rFonts w:ascii="Times New Roman" w:hAnsi="Times New Roman" w:cs="Times New Roman"/>
                      <w:bCs/>
                    </w:rPr>
                    <w:t>102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F6BAC37">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"_Toc217032341" </w:instrText>
                  </w:r>
                  <w:r>
                    <w:fldChar w:fldCharType="separate"/>
                  </w:r>
                  <w:r>
                    <w:rPr>
                      <w:rStyle w:val="94"/>
                      <w:rFonts w:ascii="Times New Roman" w:hAnsi="Times New Roman" w:eastAsia="宋体" w:cs="Times New Roman"/>
                      <w:bCs/>
                      <w:sz w:val="24"/>
                      <w:szCs w:val="24"/>
                    </w:rPr>
                    <w:t>8.4.5.2.2.</w:t>
                  </w:r>
                  <w:r>
                    <w:rPr>
                      <w:rStyle w:val="94"/>
                      <w:rFonts w:ascii="Times New Roman" w:hAnsi="Times New Roman" w:cs="Times New Roman"/>
                      <w:bCs/>
                    </w:rPr>
                    <w:tab/>
                  </w:r>
                  <w:r>
                    <w:rPr>
                      <w:rStyle w:val="94"/>
                      <w:rFonts w:ascii="Times New Roman" w:hAnsi="Times New Roman" w:eastAsia="宋体" w:cs="Times New Roman"/>
                      <w:bCs/>
                      <w:sz w:val="24"/>
                      <w:szCs w:val="24"/>
                    </w:rPr>
                    <w:t>次要疗效指标分析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_Toc217032341 \h </w:instrText>
                  </w:r>
                  <w:r>
                    <w:rPr>
                      <w:rStyle w:val="94"/>
                      <w:rFonts w:ascii="Times New Roman" w:hAnsi="Times New Roman" w:cs="Times New Roman"/>
                      <w:bCs/>
                    </w:rPr>
                    <w:fldChar w:fldCharType="separate"/>
                  </w:r>
                  <w:r>
                    <w:rPr>
                      <w:rStyle w:val="94"/>
                      <w:rFonts w:ascii="Times New Roman" w:hAnsi="Times New Roman" w:cs="Times New Roman"/>
                      <w:bCs/>
                    </w:rPr>
                    <w:t>102</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0BAC439">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"_Toc217032342" </w:instrText>
                  </w:r>
                  <w:r>
                    <w:fldChar w:fldCharType="separate"/>
                  </w:r>
                  <w:r>
                    <w:rPr>
                      <w:rStyle w:val="94"/>
                      <w:rFonts w:ascii="Times New Roman" w:hAnsi="Times New Roman" w:eastAsia="宋体" w:cs="Times New Roman"/>
                      <w:bCs/>
                      <w:sz w:val="24"/>
                      <w:szCs w:val="24"/>
                    </w:rPr>
                    <w:t>8.4.6.</w:t>
                  </w:r>
                  <w:r>
                    <w:rPr>
                      <w:rStyle w:val="94"/>
                      <w:rFonts w:ascii="Times New Roman" w:hAnsi="Times New Roman" w:cs="Times New Roman"/>
                      <w:bCs/>
                    </w:rPr>
                    <w:tab/>
                  </w:r>
                  <w:r>
                    <w:rPr>
                      <w:rStyle w:val="94"/>
                      <w:rFonts w:ascii="Times New Roman" w:hAnsi="Times New Roman" w:eastAsia="宋体" w:cs="Times New Roman"/>
                      <w:bCs/>
                      <w:sz w:val="24"/>
                      <w:szCs w:val="24"/>
                    </w:rPr>
                    <w:t>安全性分析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_Toc217032342 \h </w:instrText>
                  </w:r>
                  <w:r>
                    <w:rPr>
                      <w:rStyle w:val="94"/>
                      <w:rFonts w:ascii="Times New Roman" w:hAnsi="Times New Roman" w:cs="Times New Roman"/>
                      <w:bCs/>
                    </w:rPr>
                    <w:fldChar w:fldCharType="separate"/>
                  </w:r>
                  <w:r>
                    <w:rPr>
                      <w:rStyle w:val="94"/>
                      <w:rFonts w:ascii="Times New Roman" w:hAnsi="Times New Roman" w:cs="Times New Roman"/>
                      <w:bCs/>
                    </w:rPr>
                    <w:t>103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8069D7D">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"_Toc217032343" </w:instrText>
                  </w:r>
                  <w:r>
                    <w:fldChar w:fldCharType="separate"/>
                  </w:r>
                  <w:r>
                    <w:rPr>
                      <w:rStyle w:val="94"/>
                      <w:rFonts w:ascii="Times New Roman" w:hAnsi="Times New Roman" w:eastAsia="宋体" w:cs="Times New Roman"/>
                      <w:bCs/>
                      <w:sz w:val="24"/>
                      <w:szCs w:val="24"/>
                    </w:rPr>
                    <w:t>8.4.7.</w:t>
                  </w:r>
                  <w:r>
                    <w:rPr>
                      <w:rStyle w:val="94"/>
                      <w:rFonts w:ascii="Times New Roman" w:hAnsi="Times New Roman" w:cs="Times New Roman"/>
                      <w:bCs/>
                    </w:rPr>
                    <w:tab/>
                  </w:r>
                  <w:r>
                    <w:rPr>
                      <w:rStyle w:val="94"/>
                      <w:rFonts w:ascii="Times New Roman" w:hAnsi="Times New Roman" w:eastAsia="宋体" w:cs="Times New Roman"/>
                      <w:bCs/>
                      <w:sz w:val="24"/>
                      <w:szCs w:val="24"/>
                    </w:rPr>
                    <w:t>药代动力学分析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_Toc217032343 \h </w:instrText>
                  </w:r>
                  <w:r>
                    <w:rPr>
                      <w:rStyle w:val="94"/>
                      <w:rFonts w:ascii="Times New Roman" w:hAnsi="Times New Roman" w:cs="Times New Roman"/>
                      <w:bCs/>
                    </w:rPr>
                    <w:fldChar w:fldCharType="separate"/>
                  </w:r>
                  <w:r>
                    <w:rPr>
                      <w:rStyle w:val="94"/>
                      <w:rFonts w:ascii="Times New Roman" w:hAnsi="Times New Roman" w:cs="Times New Roman"/>
                      <w:bCs/>
                    </w:rPr>
                    <w:t>103</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30D4BBFF">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"_Toc217032344" </w:instrText>
                  </w:r>
                  <w:r>
                    <w:fldChar w:fldCharType="separate"/>
                  </w:r>
                  <w:r>
                    <w:rPr>
                      <w:rStyle w:val="94"/>
                      <w:rFonts w:ascii="Times New Roman" w:hAnsi="Times New Roman" w:eastAsia="宋体" w:cs="Times New Roman"/>
                      <w:bCs/>
                      <w:sz w:val="24"/>
                      <w:szCs w:val="24"/>
                    </w:rPr>
                    <w:t>8.4.8.</w:t>
                  </w:r>
                  <w:r>
                    <w:rPr>
                      <w:rStyle w:val="94"/>
                      <w:rFonts w:ascii="Times New Roman" w:hAnsi="Times New Roman" w:cs="Times New Roman"/>
                      <w:bCs/>
                    </w:rPr>
                    <w:tab/>
                  </w:r>
                  <w:r>
                    <w:rPr>
                      <w:rStyle w:val="94"/>
                      <w:rFonts w:ascii="Times New Roman" w:hAnsi="Times New Roman" w:eastAsia="宋体" w:cs="Times New Roman"/>
                      <w:bCs/>
                      <w:sz w:val="24"/>
                      <w:szCs w:val="24"/>
                    </w:rPr>
                    <w:t>群体药代动力学分析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_Toc217032344 \h </w:instrText>
                  </w:r>
                  <w:r>
                    <w:rPr>
                      <w:rStyle w:val="94"/>
                      <w:rFonts w:ascii="Times New Roman" w:hAnsi="Times New Roman" w:cs="Times New Roman"/>
                      <w:bCs/>
                    </w:rPr>
                    <w:fldChar w:fldCharType="separate"/>
                  </w:r>
                  <w:r>
                    <w:rPr>
                      <w:rStyle w:val="94"/>
                      <w:rFonts w:ascii="Times New Roman" w:hAnsi="Times New Roman" w:cs="Times New Roman"/>
                      <w:bCs/>
                    </w:rPr>
                    <w:t>104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6C3CFB94">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"_Toc217032345" </w:instrText>
                  </w:r>
                  <w:r>
                    <w:fldChar w:fldCharType="separate"/>
                  </w:r>
                  <w:r>
                    <w:rPr>
                      <w:rStyle w:val="94"/>
                      <w:rFonts w:ascii="Times New Roman" w:hAnsi="Times New Roman" w:eastAsia="宋体" w:cs="Times New Roman"/>
                      <w:bCs/>
                      <w:sz w:val="24"/>
                      <w:szCs w:val="24"/>
                    </w:rPr>
                    <w:t>8.4.9.</w:t>
                  </w:r>
                  <w:r>
                    <w:rPr>
                      <w:rStyle w:val="94"/>
                      <w:rFonts w:ascii="Times New Roman" w:hAnsi="Times New Roman" w:cs="Times New Roman"/>
                      <w:bCs/>
                    </w:rPr>
                    <w:tab/>
                  </w:r>
                  <w:r>
                    <w:rPr>
                      <w:rStyle w:val="94"/>
                      <w:rFonts w:ascii="Times New Roman" w:hAnsi="Times New Roman" w:eastAsia="宋体" w:cs="Times New Roman"/>
                      <w:bCs/>
                      <w:sz w:val="24"/>
                      <w:szCs w:val="24"/>
                    </w:rPr>
                    <w:t>暴露-效应分析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_Toc217032345 \h </w:instrText>
                  </w:r>
                  <w:r>
                    <w:rPr>
                      <w:rStyle w:val="94"/>
                      <w:rFonts w:ascii="Times New Roman" w:hAnsi="Times New Roman" w:cs="Times New Roman"/>
                      <w:bCs/>
                    </w:rPr>
                    <w:fldChar w:fldCharType="separate"/>
                  </w:r>
                  <w:r>
                    <w:rPr>
                      <w:rStyle w:val="94"/>
                      <w:rFonts w:ascii="Times New Roman" w:hAnsi="Times New Roman" w:cs="Times New Roman"/>
                      <w:bCs/>
                    </w:rPr>
                    <w:t>104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A8C43B7">
                  <w:pPr>
                    <w:pStyle w:val="75"/>
                    <w:tabs>
                      <w:tab w:val="left" w:pos="2127"/>
                      <w:tab w:val="right" w:leader="dot" w:pos="8780"/>
                    </w:tabs>
                    <w:spacing w:line="276" w:lineRule="auto"/>
                    <w:ind w:left="1100" w:leftChars="500"/>
                    <w:rPr>
                      <w:rStyle w:val="94"/>
                      <w:rFonts w:ascii="Times New Roman" w:hAnsi="Times New Roman" w:cs="Times New Roman"/>
                      <w:bCs/>
                    </w:rPr>
                  </w:pPr>
                  <w:r>
                    <w:fldChar w:fldCharType="begin"/>
                  </w:r>
                  <w:r>
                    <w:instrText xml:space="preserve"> HYPERLINK \l "_Toc217032346" </w:instrText>
                  </w:r>
                  <w:r>
                    <w:fldChar w:fldCharType="separate"/>
                  </w:r>
                  <w:r>
                    <w:rPr>
                      <w:rStyle w:val="94"/>
                      <w:rFonts w:ascii="Times New Roman" w:hAnsi="Times New Roman" w:eastAsia="宋体" w:cs="Times New Roman"/>
                      <w:bCs/>
                      <w:sz w:val="24"/>
                      <w:szCs w:val="24"/>
                    </w:rPr>
                    <w:t>8.4.10.</w:t>
                  </w:r>
                  <w:r>
                    <w:rPr>
                      <w:rStyle w:val="94"/>
                      <w:rFonts w:ascii="Times New Roman" w:hAnsi="Times New Roman" w:cs="Times New Roman"/>
                      <w:bCs/>
                    </w:rPr>
                    <w:tab/>
                  </w:r>
                  <w:r>
                    <w:rPr>
                      <w:rStyle w:val="94"/>
                      <w:rFonts w:ascii="Times New Roman" w:hAnsi="Times New Roman" w:eastAsia="宋体" w:cs="Times New Roman"/>
                      <w:bCs/>
                      <w:sz w:val="24"/>
                      <w:szCs w:val="24"/>
                    </w:rPr>
                    <w:t>期中分析</w:t>
                  </w:r>
                  <w:r>
                    <w:rPr>
                      <w:rStyle w:val="94"/>
                      <w:rFonts w:ascii="Times New Roman" w:hAnsi="Times New Roman" w:cs="Times New Roman"/>
                      <w:bCs/>
                    </w:rPr>
                    <w:tab/>
                  </w:r>
                  <w:r>
                    <w:rPr>
                      <w:rStyle w:val="94"/>
                      <w:rFonts w:ascii="Times New Roman" w:hAnsi="Times New Roman" w:cs="Times New Roman"/>
                      <w:bCs/>
                    </w:rPr>
                    <w:fldChar w:fldCharType="begin"/>
                  </w:r>
                  <w:r>
                    <w:rPr>
                      <w:rStyle w:val="94"/>
                      <w:rFonts w:ascii="Times New Roman" w:hAnsi="Times New Roman" w:cs="Times New Roman"/>
                      <w:bCs/>
                    </w:rPr>
                    <w:instrText xml:space="preserve"> PAGEREF _Toc217032346 \h </w:instrText>
                  </w:r>
                  <w:r>
                    <w:rPr>
                      <w:rStyle w:val="94"/>
                      <w:rFonts w:ascii="Times New Roman" w:hAnsi="Times New Roman" w:cs="Times New Roman"/>
                      <w:bCs/>
                    </w:rPr>
                    <w:fldChar w:fldCharType="separate"/>
                  </w:r>
                  <w:r>
                    <w:rPr>
                      <w:rStyle w:val="94"/>
                      <w:rFonts w:ascii="Times New Roman" w:hAnsi="Times New Roman" w:cs="Times New Roman"/>
                      <w:bCs/>
                    </w:rPr>
                    <w:t>104</w:t>
                  </w:r>
                  <w:r>
                    <w:rPr>
                      <w:rStyle w:val="94"/>
                      <w:rFonts w:ascii="Times New Roman" w:hAnsi="Times New Roman" w:cs="Times New Roman"/>
                      <w:bCs/>
                    </w:rPr>
                    <w:fldChar w:fldCharType="end"/>
                  </w:r>
                  <w:r>
                    <w:rPr>
                      <w:rStyle w:val="94"/>
                      <w:rFonts w:ascii="Times New Roman" w:hAnsi="Times New Roman" w:cs="Times New Roman"/>
                      <w:bCs/>
                    </w:rPr>
                    <w:fldChar w:fldCharType="end"/>
                  </w:r>
                </w:p>
                <w:p w14:paraId="720EB37F">
                  <w:pPr>
                    <w:pStyle w:val="59"/>
                    <w:tabs>
                      <w:tab w:val="left" w:pos="84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"_Toc217032347" </w:instrText>
                  </w:r>
                  <w:r>
                    <w:fldChar w:fldCharType="separate"/>
                  </w:r>
                  <w:r>
                    <w:rPr>
                      <w:rStyle w:val="94"/>
                      <w:rFonts w:cs="Times New Roman"/>
                      <w:sz w:val="24"/>
                      <w:szCs w:val="24"/>
                    </w:rPr>
                    <w:t>9.</w:t>
                  </w:r>
                  <w:r>
                    <w:rPr>
                      <w:rFonts w:cs="Times New Roman"/>
                      <w:color w:val="auto"/>
                      <w:kern w:val="2"/>
                      <w:sz w:val="24"/>
                      <w:szCs w:val="24"/>
                      <w14:ligatures w14:val="standardContextual"/>
                    </w:rPr>
                    <w:tab/>
                  </w:r>
                  <w:r>
                    <w:rPr>
                      <w:rStyle w:val="94"/>
                      <w:rFonts w:cs="Times New Roman"/>
                      <w:sz w:val="24"/>
                      <w:szCs w:val="24"/>
                    </w:rPr>
                    <w:t>数据采集与管理</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_Toc217032347 \h </w:instrText>
                  </w:r>
                  <w:r>
                    <w:rPr>
                      <w:rFonts w:cs="Times New Roman"/>
                      <w:sz w:val="24"/>
                      <w:szCs w:val="24"/>
                    </w:rPr>
                    <w:fldChar w:fldCharType="separate"/>
                  </w:r>
                  <w:r>
                    <w:rPr>
                      <w:rFonts w:cs="Times New Roman"/>
                      <w:sz w:val="24"/>
                      <w:szCs w:val="24"/>
                    </w:rPr>
                    <w:t>104</w:t>
                  </w:r>
                  <w:r>
                    <w:rPr>
                      <w:rFonts w:cs="Times New Roman"/>
                      <w:sz w:val="24"/>
                      <w:szCs w:val="24"/>
                    </w:rPr>
                    <w:fldChar w:fldCharType="end"/>
                  </w:r>
                  <w:r>
                    <w:rPr>
                      <w:rFonts w:cs="Times New Roman"/>
                      <w:sz w:val="24"/>
                      <w:szCs w:val="24"/>
                    </w:rPr>
                    <w:fldChar w:fldCharType="end"/>
                  </w:r>
                </w:p>
                <w:p w14:paraId="3908FE42">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"_Toc217032348" </w:instrText>
                  </w:r>
                  <w:r>
                    <w:fldChar w:fldCharType="separate"/>
                  </w:r>
                  <w:r>
                    <w:rPr>
                      <w:rStyle w:val="94"/>
                      <w:rFonts w:ascii="Times New Roman" w:hAnsi="Times New Roman" w:eastAsia="宋体" w:cs="Times New Roman"/>
                      <w:sz w:val="24"/>
                      <w:szCs w:val="24"/>
                    </w:rPr>
                    <w:t>9.1.</w:t>
                  </w:r>
                  <w:r>
                    <w:rPr>
                      <w:rStyle w:val="94"/>
                      <w:rFonts w:ascii="Times New Roman" w:hAnsi="Times New Roman" w:cs="Times New Roman"/>
                    </w:rPr>
                    <w:tab/>
                  </w:r>
                  <w:r>
                    <w:rPr>
                      <w:rStyle w:val="94"/>
                      <w:rFonts w:ascii="Times New Roman" w:hAnsi="Times New Roman" w:eastAsia="宋体" w:cs="Times New Roman"/>
                      <w:sz w:val="24"/>
                      <w:szCs w:val="24"/>
                    </w:rPr>
                    <w:t>数据质量保证</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_Toc217032348 \h </w:instrText>
                  </w:r>
                  <w:r>
                    <w:rPr>
                      <w:rStyle w:val="94"/>
                      <w:rFonts w:ascii="Times New Roman" w:hAnsi="Times New Roman" w:cs="Times New Roman"/>
                    </w:rPr>
                    <w:fldChar w:fldCharType="separate"/>
                  </w:r>
                  <w:r>
                    <w:rPr>
                      <w:rStyle w:val="94"/>
                      <w:rFonts w:ascii="Times New Roman" w:hAnsi="Times New Roman" w:cs="Times New Roman"/>
                    </w:rPr>
                    <w:t>104</w:t>
                  </w:r>
                  <w:r>
                    <w:rPr>
                      <w:rStyle w:val="94"/>
                      <w:rFonts w:ascii="Times New Roman" w:hAnsi="Times New Roman" w:cs="Times New Roman"/>
                    </w:rPr>
                    <w:fldChar w:fldCharType="end"/>
                  </w:r>
                  <w:r>
                    <w:rPr>
                      <w:rStyle w:val="94"/>
                      <w:rFonts w:ascii="Times New Roman" w:hAnsi="Times New Roman" w:cs="Times New Roman"/>
                    </w:rPr>
                    <w:fldChar w:fldCharType="end"/>
                  </w:r>
                </w:p>
                <w:p w14:paraId="290EEBD7">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"_Toc217032349" </w:instrText>
                  </w:r>
                  <w:r>
                    <w:fldChar w:fldCharType="separate"/>
                  </w:r>
                  <w:r>
                    <w:rPr>
                      <w:rStyle w:val="94"/>
                      <w:rFonts w:ascii="Times New Roman" w:hAnsi="Times New Roman" w:eastAsia="宋体" w:cs="Times New Roman"/>
                      <w:sz w:val="24"/>
                      <w:szCs w:val="24"/>
                    </w:rPr>
                    <w:t>9.2.</w:t>
                  </w:r>
                  <w:r>
                    <w:rPr>
                      <w:rStyle w:val="94"/>
                      <w:rFonts w:ascii="Times New Roman" w:hAnsi="Times New Roman" w:cs="Times New Roman"/>
                    </w:rPr>
                    <w:tab/>
                  </w:r>
                  <w:r>
                    <w:rPr>
                      <w:rStyle w:val="94"/>
                      <w:rFonts w:ascii="Times New Roman" w:hAnsi="Times New Roman" w:eastAsia="宋体" w:cs="Times New Roman"/>
                      <w:sz w:val="24"/>
                      <w:szCs w:val="24"/>
                    </w:rPr>
                    <w:t>电子病例报告表（eCRF）</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_Toc217032349 \h </w:instrText>
                  </w:r>
                  <w:r>
                    <w:rPr>
                      <w:rStyle w:val="94"/>
                      <w:rFonts w:ascii="Times New Roman" w:hAnsi="Times New Roman" w:cs="Times New Roman"/>
                    </w:rPr>
                    <w:fldChar w:fldCharType="separate"/>
                  </w:r>
                  <w:r>
                    <w:rPr>
                      <w:rStyle w:val="94"/>
                      <w:rFonts w:ascii="Times New Roman" w:hAnsi="Times New Roman" w:cs="Times New Roman"/>
                    </w:rPr>
                    <w:t>105</w:t>
                  </w:r>
                  <w:r>
                    <w:rPr>
                      <w:rStyle w:val="94"/>
                      <w:rFonts w:ascii="Times New Roman" w:hAnsi="Times New Roman" w:cs="Times New Roman"/>
                    </w:rPr>
                    <w:fldChar w:fldCharType="end"/>
                  </w:r>
                  <w:r>
                    <w:rPr>
                      <w:rStyle w:val="94"/>
                      <w:rFonts w:ascii="Times New Roman" w:hAnsi="Times New Roman" w:cs="Times New Roman"/>
                    </w:rPr>
                    <w:fldChar w:fldCharType="end"/>
                  </w:r>
                </w:p>
                <w:p w14:paraId="3C7A63FC">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"_Toc217032350" </w:instrText>
                  </w:r>
                  <w:r>
                    <w:fldChar w:fldCharType="separate"/>
                  </w:r>
                  <w:r>
                    <w:rPr>
                      <w:rStyle w:val="94"/>
                      <w:rFonts w:ascii="Times New Roman" w:hAnsi="Times New Roman" w:eastAsia="宋体" w:cs="Times New Roman"/>
                      <w:sz w:val="24"/>
                      <w:szCs w:val="24"/>
                    </w:rPr>
                    <w:t>9.3.</w:t>
                  </w:r>
                  <w:r>
                    <w:rPr>
                      <w:rStyle w:val="94"/>
                      <w:rFonts w:ascii="Times New Roman" w:hAnsi="Times New Roman" w:cs="Times New Roman"/>
                    </w:rPr>
                    <w:tab/>
                  </w:r>
                  <w:r>
                    <w:rPr>
                      <w:rStyle w:val="94"/>
                      <w:rFonts w:ascii="Times New Roman" w:hAnsi="Times New Roman" w:eastAsia="宋体" w:cs="Times New Roman"/>
                      <w:sz w:val="24"/>
                      <w:szCs w:val="24"/>
                    </w:rPr>
                    <w:t>源数据/源文件</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_Toc217032350 \h </w:instrText>
                  </w:r>
                  <w:r>
                    <w:rPr>
                      <w:rStyle w:val="94"/>
                      <w:rFonts w:ascii="Times New Roman" w:hAnsi="Times New Roman" w:cs="Times New Roman"/>
                    </w:rPr>
                    <w:fldChar w:fldCharType="separate"/>
                  </w:r>
                  <w:r>
                    <w:rPr>
                      <w:rStyle w:val="94"/>
                      <w:rFonts w:ascii="Times New Roman" w:hAnsi="Times New Roman" w:cs="Times New Roman"/>
                    </w:rPr>
                    <w:t>105</w:t>
                  </w:r>
                  <w:r>
                    <w:rPr>
                      <w:rStyle w:val="94"/>
                      <w:rFonts w:ascii="Times New Roman" w:hAnsi="Times New Roman" w:cs="Times New Roman"/>
                    </w:rPr>
                    <w:fldChar w:fldCharType="end"/>
                  </w:r>
                  <w:r>
                    <w:rPr>
                      <w:rStyle w:val="94"/>
                      <w:rFonts w:ascii="Times New Roman" w:hAnsi="Times New Roman" w:cs="Times New Roman"/>
                    </w:rPr>
                    <w:fldChar w:fldCharType="end"/>
                  </w:r>
                </w:p>
                <w:p w14:paraId="3E5A7BF6">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"_Toc217032351" </w:instrText>
                  </w:r>
                  <w:r>
                    <w:fldChar w:fldCharType="separate"/>
                  </w:r>
                  <w:r>
                    <w:rPr>
                      <w:rStyle w:val="94"/>
                      <w:rFonts w:ascii="Times New Roman" w:hAnsi="Times New Roman" w:eastAsia="宋体" w:cs="Times New Roman"/>
                      <w:sz w:val="24"/>
                      <w:szCs w:val="24"/>
                    </w:rPr>
                    <w:t>9.4.</w:t>
                  </w:r>
                  <w:r>
                    <w:rPr>
                      <w:rStyle w:val="94"/>
                      <w:rFonts w:ascii="Times New Roman" w:hAnsi="Times New Roman" w:cs="Times New Roman"/>
                    </w:rPr>
                    <w:tab/>
                  </w:r>
                  <w:r>
                    <w:rPr>
                      <w:rStyle w:val="94"/>
                      <w:rFonts w:ascii="Times New Roman" w:hAnsi="Times New Roman" w:eastAsia="宋体" w:cs="Times New Roman"/>
                      <w:sz w:val="24"/>
                      <w:szCs w:val="24"/>
                    </w:rPr>
                    <w:t>记录/文件的保存</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_Toc217032351 \h </w:instrText>
                  </w:r>
                  <w:r>
                    <w:rPr>
                      <w:rStyle w:val="94"/>
                      <w:rFonts w:ascii="Times New Roman" w:hAnsi="Times New Roman" w:cs="Times New Roman"/>
                    </w:rPr>
                    <w:fldChar w:fldCharType="separate"/>
                  </w:r>
                  <w:r>
                    <w:rPr>
                      <w:rStyle w:val="94"/>
                      <w:rFonts w:ascii="Times New Roman" w:hAnsi="Times New Roman" w:cs="Times New Roman"/>
                    </w:rPr>
                    <w:t>106</w:t>
                  </w:r>
                  <w:r>
                    <w:rPr>
                      <w:rStyle w:val="94"/>
                      <w:rFonts w:ascii="Times New Roman" w:hAnsi="Times New Roman" w:cs="Times New Roman"/>
                    </w:rPr>
                    <w:fldChar w:fldCharType="end"/>
                  </w:r>
                  <w:r>
                    <w:rPr>
                      <w:rStyle w:val="94"/>
                      <w:rFonts w:ascii="Times New Roman" w:hAnsi="Times New Roman" w:cs="Times New Roman"/>
                    </w:rPr>
                    <w:fldChar w:fldCharType="end"/>
                  </w:r>
                </w:p>
                <w:p w14:paraId="305255CC">
                  <w:pPr>
                    <w:pStyle w:val="59"/>
                    <w:tabs>
                      <w:tab w:val="left" w:pos="126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"_Toc217032352" </w:instrText>
                  </w:r>
                  <w:r>
                    <w:fldChar w:fldCharType="separate"/>
                  </w:r>
                  <w:r>
                    <w:rPr>
                      <w:rStyle w:val="94"/>
                      <w:rFonts w:cs="Times New Roman"/>
                      <w:sz w:val="24"/>
                      <w:szCs w:val="24"/>
                    </w:rPr>
                    <w:t>10.</w:t>
                  </w:r>
                  <w:r>
                    <w:rPr>
                      <w:rFonts w:cs="Times New Roman"/>
                      <w:color w:val="auto"/>
                      <w:kern w:val="2"/>
                      <w:sz w:val="24"/>
                      <w:szCs w:val="24"/>
                      <w14:ligatures w14:val="standardContextual"/>
                    </w:rPr>
                    <w:tab/>
                  </w:r>
                  <w:r>
                    <w:rPr>
                      <w:rStyle w:val="94"/>
                      <w:rFonts w:cs="Times New Roman"/>
                      <w:sz w:val="24"/>
                      <w:szCs w:val="24"/>
                    </w:rPr>
                    <w:t>伦理考虑</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_Toc217032352 \h </w:instrText>
                  </w:r>
                  <w:r>
                    <w:rPr>
                      <w:rFonts w:cs="Times New Roman"/>
                      <w:sz w:val="24"/>
                      <w:szCs w:val="24"/>
                    </w:rPr>
                    <w:fldChar w:fldCharType="separate"/>
                  </w:r>
                  <w:r>
                    <w:rPr>
                      <w:rFonts w:cs="Times New Roman"/>
                      <w:sz w:val="24"/>
                      <w:szCs w:val="24"/>
                    </w:rPr>
                    <w:t>106</w:t>
                  </w:r>
                  <w:r>
                    <w:rPr>
                      <w:rFonts w:cs="Times New Roman"/>
                      <w:sz w:val="24"/>
                      <w:szCs w:val="24"/>
                    </w:rPr>
                    <w:fldChar w:fldCharType="end"/>
                  </w:r>
                  <w:r>
                    <w:rPr>
                      <w:rFonts w:cs="Times New Roman"/>
                      <w:sz w:val="24"/>
                      <w:szCs w:val="24"/>
                    </w:rPr>
                    <w:fldChar w:fldCharType="end"/>
                  </w:r>
                </w:p>
                <w:p w14:paraId="61B24D3F">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"_Toc217032353" </w:instrText>
                  </w:r>
                  <w:r>
                    <w:fldChar w:fldCharType="separate"/>
                  </w:r>
                  <w:r>
                    <w:rPr>
                      <w:rStyle w:val="94"/>
                      <w:rFonts w:ascii="Times New Roman" w:hAnsi="Times New Roman" w:eastAsia="宋体" w:cs="Times New Roman"/>
                      <w:sz w:val="24"/>
                      <w:szCs w:val="24"/>
                    </w:rPr>
                    <w:t>10.1.</w:t>
                  </w:r>
                  <w:r>
                    <w:rPr>
                      <w:rStyle w:val="94"/>
                      <w:rFonts w:ascii="Times New Roman" w:hAnsi="Times New Roman" w:cs="Times New Roman"/>
                    </w:rPr>
                    <w:tab/>
                  </w:r>
                  <w:r>
                    <w:rPr>
                      <w:rStyle w:val="94"/>
                      <w:rFonts w:ascii="Times New Roman" w:hAnsi="Times New Roman" w:eastAsia="宋体" w:cs="Times New Roman"/>
                      <w:sz w:val="24"/>
                      <w:szCs w:val="24"/>
                    </w:rPr>
                    <w:t>遵守法律法规</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_Toc217032353 \h </w:instrText>
                  </w:r>
                  <w:r>
                    <w:rPr>
                      <w:rStyle w:val="94"/>
                      <w:rFonts w:ascii="Times New Roman" w:hAnsi="Times New Roman" w:cs="Times New Roman"/>
                    </w:rPr>
                    <w:fldChar w:fldCharType="separate"/>
                  </w:r>
                  <w:r>
                    <w:rPr>
                      <w:rStyle w:val="94"/>
                      <w:rFonts w:ascii="Times New Roman" w:hAnsi="Times New Roman" w:cs="Times New Roman"/>
                    </w:rPr>
                    <w:t>106</w:t>
                  </w:r>
                  <w:r>
                    <w:rPr>
                      <w:rStyle w:val="94"/>
                      <w:rFonts w:ascii="Times New Roman" w:hAnsi="Times New Roman" w:cs="Times New Roman"/>
                    </w:rPr>
                    <w:fldChar w:fldCharType="end"/>
                  </w:r>
                  <w:r>
                    <w:rPr>
                      <w:rStyle w:val="94"/>
                      <w:rFonts w:ascii="Times New Roman" w:hAnsi="Times New Roman" w:cs="Times New Roman"/>
                    </w:rPr>
                    <w:fldChar w:fldCharType="end"/>
                  </w:r>
                </w:p>
                <w:p w14:paraId="104A576F">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"_Toc217032354" </w:instrText>
                  </w:r>
                  <w:r>
                    <w:fldChar w:fldCharType="separate"/>
                  </w:r>
                  <w:r>
                    <w:rPr>
                      <w:rStyle w:val="94"/>
                      <w:rFonts w:ascii="Times New Roman" w:hAnsi="Times New Roman" w:eastAsia="宋体" w:cs="Times New Roman"/>
                      <w:sz w:val="24"/>
                      <w:szCs w:val="24"/>
                    </w:rPr>
                    <w:t>10.2.</w:t>
                  </w:r>
                  <w:r>
                    <w:rPr>
                      <w:rStyle w:val="94"/>
                      <w:rFonts w:ascii="Times New Roman" w:hAnsi="Times New Roman" w:cs="Times New Roman"/>
                    </w:rPr>
                    <w:tab/>
                  </w:r>
                  <w:r>
                    <w:rPr>
                      <w:rStyle w:val="94"/>
                      <w:rFonts w:ascii="Times New Roman" w:hAnsi="Times New Roman" w:eastAsia="宋体" w:cs="Times New Roman"/>
                      <w:sz w:val="24"/>
                      <w:szCs w:val="24"/>
                    </w:rPr>
                    <w:t>知情同意</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_Toc217032354 \h </w:instrText>
                  </w:r>
                  <w:r>
                    <w:rPr>
                      <w:rStyle w:val="94"/>
                      <w:rFonts w:ascii="Times New Roman" w:hAnsi="Times New Roman" w:cs="Times New Roman"/>
                    </w:rPr>
                    <w:fldChar w:fldCharType="separate"/>
                  </w:r>
                  <w:r>
                    <w:rPr>
                      <w:rStyle w:val="94"/>
                      <w:rFonts w:ascii="Times New Roman" w:hAnsi="Times New Roman" w:cs="Times New Roman"/>
                    </w:rPr>
                    <w:t>106</w:t>
                  </w:r>
                  <w:r>
                    <w:rPr>
                      <w:rStyle w:val="94"/>
                      <w:rFonts w:ascii="Times New Roman" w:hAnsi="Times New Roman" w:cs="Times New Roman"/>
                    </w:rPr>
                    <w:fldChar w:fldCharType="end"/>
                  </w:r>
                  <w:r>
                    <w:rPr>
                      <w:rStyle w:val="94"/>
                      <w:rFonts w:ascii="Times New Roman" w:hAnsi="Times New Roman" w:cs="Times New Roman"/>
                    </w:rPr>
                    <w:fldChar w:fldCharType="end"/>
                  </w:r>
                </w:p>
                <w:p w14:paraId="0F09063C">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"_Toc217032355" </w:instrText>
                  </w:r>
                  <w:r>
                    <w:fldChar w:fldCharType="separate"/>
                  </w:r>
                  <w:r>
                    <w:rPr>
                      <w:rStyle w:val="94"/>
                      <w:rFonts w:ascii="Times New Roman" w:hAnsi="Times New Roman" w:eastAsia="宋体" w:cs="Times New Roman"/>
                      <w:sz w:val="24"/>
                      <w:szCs w:val="24"/>
                    </w:rPr>
                    <w:t>10.3.</w:t>
                  </w:r>
                  <w:r>
                    <w:rPr>
                      <w:rStyle w:val="94"/>
                      <w:rFonts w:ascii="Times New Roman" w:hAnsi="Times New Roman" w:cs="Times New Roman"/>
                    </w:rPr>
                    <w:tab/>
                  </w:r>
                  <w:r>
                    <w:rPr>
                      <w:rStyle w:val="94"/>
                      <w:rFonts w:ascii="Times New Roman" w:hAnsi="Times New Roman" w:eastAsia="宋体" w:cs="Times New Roman"/>
                      <w:sz w:val="24"/>
                      <w:szCs w:val="24"/>
                    </w:rPr>
                    <w:t>机构审查委员会或伦理委员会</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_Toc217032355 \h </w:instrText>
                  </w:r>
                  <w:r>
                    <w:rPr>
                      <w:rStyle w:val="94"/>
                      <w:rFonts w:ascii="Times New Roman" w:hAnsi="Times New Roman" w:cs="Times New Roman"/>
                    </w:rPr>
                    <w:fldChar w:fldCharType="separate"/>
                  </w:r>
                  <w:r>
                    <w:rPr>
                      <w:rStyle w:val="94"/>
                      <w:rFonts w:ascii="Times New Roman" w:hAnsi="Times New Roman" w:cs="Times New Roman"/>
                    </w:rPr>
                    <w:t>107</w:t>
                  </w:r>
                  <w:r>
                    <w:rPr>
                      <w:rStyle w:val="94"/>
                      <w:rFonts w:ascii="Times New Roman" w:hAnsi="Times New Roman" w:cs="Times New Roman"/>
                    </w:rPr>
                    <w:fldChar w:fldCharType="end"/>
                  </w:r>
                  <w:r>
                    <w:rPr>
                      <w:rStyle w:val="94"/>
                      <w:rFonts w:ascii="Times New Roman" w:hAnsi="Times New Roman" w:cs="Times New Roman"/>
                    </w:rPr>
                    <w:fldChar w:fldCharType="end"/>
                  </w:r>
                </w:p>
                <w:p w14:paraId="6840D528">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"_Toc217032356" </w:instrText>
                  </w:r>
                  <w:r>
                    <w:fldChar w:fldCharType="separate"/>
                  </w:r>
                  <w:r>
                    <w:rPr>
                      <w:rStyle w:val="94"/>
                      <w:rFonts w:ascii="Times New Roman" w:hAnsi="Times New Roman" w:eastAsia="宋体" w:cs="Times New Roman"/>
                      <w:sz w:val="24"/>
                      <w:szCs w:val="24"/>
                    </w:rPr>
                    <w:t>10.4.</w:t>
                  </w:r>
                  <w:r>
                    <w:rPr>
                      <w:rStyle w:val="94"/>
                      <w:rFonts w:ascii="Times New Roman" w:hAnsi="Times New Roman" w:cs="Times New Roman"/>
                    </w:rPr>
                    <w:tab/>
                  </w:r>
                  <w:r>
                    <w:rPr>
                      <w:rStyle w:val="94"/>
                      <w:rFonts w:ascii="Times New Roman" w:hAnsi="Times New Roman" w:eastAsia="宋体" w:cs="Times New Roman"/>
                      <w:sz w:val="24"/>
                      <w:szCs w:val="24"/>
                    </w:rPr>
                    <w:t>保密</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_Toc217032356 \h </w:instrText>
                  </w:r>
                  <w:r>
                    <w:rPr>
                      <w:rStyle w:val="94"/>
                      <w:rFonts w:ascii="Times New Roman" w:hAnsi="Times New Roman" w:cs="Times New Roman"/>
                    </w:rPr>
                    <w:fldChar w:fldCharType="separate"/>
                  </w:r>
                  <w:r>
                    <w:rPr>
                      <w:rStyle w:val="94"/>
                      <w:rFonts w:ascii="Times New Roman" w:hAnsi="Times New Roman" w:cs="Times New Roman"/>
                    </w:rPr>
                    <w:t>107</w:t>
                  </w:r>
                  <w:r>
                    <w:rPr>
                      <w:rStyle w:val="94"/>
                      <w:rFonts w:ascii="Times New Roman" w:hAnsi="Times New Roman" w:cs="Times New Roman"/>
                    </w:rPr>
                    <w:fldChar w:fldCharType="end"/>
                  </w:r>
                  <w:r>
                    <w:rPr>
                      <w:rStyle w:val="94"/>
                      <w:rFonts w:ascii="Times New Roman" w:hAnsi="Times New Roman" w:cs="Times New Roman"/>
                    </w:rPr>
                    <w:fldChar w:fldCharType="end"/>
                  </w:r>
                </w:p>
                <w:p w14:paraId="1A3E4390">
                  <w:pPr>
                    <w:pStyle w:val="59"/>
                    <w:tabs>
                      <w:tab w:val="left" w:pos="126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"_Toc217032357" </w:instrText>
                  </w:r>
                  <w:r>
                    <w:fldChar w:fldCharType="separate"/>
                  </w:r>
                  <w:r>
                    <w:rPr>
                      <w:rStyle w:val="94"/>
                      <w:rFonts w:cs="Times New Roman"/>
                      <w:sz w:val="24"/>
                      <w:szCs w:val="24"/>
                    </w:rPr>
                    <w:t>11.</w:t>
                  </w:r>
                  <w:r>
                    <w:rPr>
                      <w:rFonts w:cs="Times New Roman"/>
                      <w:color w:val="auto"/>
                      <w:kern w:val="2"/>
                      <w:sz w:val="24"/>
                      <w:szCs w:val="24"/>
                      <w14:ligatures w14:val="standardContextual"/>
                    </w:rPr>
                    <w:tab/>
                  </w:r>
                  <w:r>
                    <w:rPr>
                      <w:rStyle w:val="94"/>
                      <w:rFonts w:cs="Times New Roman"/>
                      <w:sz w:val="24"/>
                      <w:szCs w:val="24"/>
                    </w:rPr>
                    <w:t>研究文件、监查和管理</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_Toc217032357 \h </w:instrText>
                  </w:r>
                  <w:r>
                    <w:rPr>
                      <w:rFonts w:cs="Times New Roman"/>
                      <w:sz w:val="24"/>
                      <w:szCs w:val="24"/>
                    </w:rPr>
                    <w:fldChar w:fldCharType="separate"/>
                  </w:r>
                  <w:r>
                    <w:rPr>
                      <w:rFonts w:cs="Times New Roman"/>
                      <w:sz w:val="24"/>
                      <w:szCs w:val="24"/>
                    </w:rPr>
                    <w:t>108</w:t>
                  </w:r>
                  <w:r>
                    <w:rPr>
                      <w:rFonts w:cs="Times New Roman"/>
                      <w:sz w:val="24"/>
                      <w:szCs w:val="24"/>
                    </w:rPr>
                    <w:fldChar w:fldCharType="end"/>
                  </w:r>
                  <w:r>
                    <w:rPr>
                      <w:rFonts w:cs="Times New Roman"/>
                      <w:sz w:val="24"/>
                      <w:szCs w:val="24"/>
                    </w:rPr>
                    <w:fldChar w:fldCharType="end"/>
                  </w:r>
                </w:p>
                <w:p w14:paraId="61B2B198">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"_Toc217032358" </w:instrText>
                  </w:r>
                  <w:r>
                    <w:fldChar w:fldCharType="separate"/>
                  </w:r>
                  <w:r>
                    <w:rPr>
                      <w:rStyle w:val="94"/>
                      <w:rFonts w:ascii="Times New Roman" w:hAnsi="Times New Roman" w:eastAsia="宋体" w:cs="Times New Roman"/>
                      <w:sz w:val="24"/>
                      <w:szCs w:val="24"/>
                    </w:rPr>
                    <w:t>11.1.</w:t>
                  </w:r>
                  <w:r>
                    <w:rPr>
                      <w:rStyle w:val="94"/>
                      <w:rFonts w:ascii="Times New Roman" w:hAnsi="Times New Roman" w:cs="Times New Roman"/>
                    </w:rPr>
                    <w:tab/>
                  </w:r>
                  <w:r>
                    <w:rPr>
                      <w:rStyle w:val="94"/>
                      <w:rFonts w:ascii="Times New Roman" w:hAnsi="Times New Roman" w:eastAsia="宋体" w:cs="Times New Roman"/>
                      <w:sz w:val="24"/>
                      <w:szCs w:val="24"/>
                    </w:rPr>
                    <w:t>研究文件</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_Toc217032358 \h </w:instrText>
                  </w:r>
                  <w:r>
                    <w:rPr>
                      <w:rStyle w:val="94"/>
                      <w:rFonts w:ascii="Times New Roman" w:hAnsi="Times New Roman" w:cs="Times New Roman"/>
                    </w:rPr>
                    <w:fldChar w:fldCharType="separate"/>
                  </w:r>
                  <w:r>
                    <w:rPr>
                      <w:rStyle w:val="94"/>
                      <w:rFonts w:ascii="Times New Roman" w:hAnsi="Times New Roman" w:cs="Times New Roman"/>
                    </w:rPr>
                    <w:t>108</w:t>
                  </w:r>
                  <w:r>
                    <w:rPr>
                      <w:rStyle w:val="94"/>
                      <w:rFonts w:ascii="Times New Roman" w:hAnsi="Times New Roman" w:cs="Times New Roman"/>
                    </w:rPr>
                    <w:fldChar w:fldCharType="end"/>
                  </w:r>
                  <w:r>
                    <w:rPr>
                      <w:rStyle w:val="94"/>
                      <w:rFonts w:ascii="Times New Roman" w:hAnsi="Times New Roman" w:cs="Times New Roman"/>
                    </w:rPr>
                    <w:fldChar w:fldCharType="end"/>
                  </w:r>
                </w:p>
                <w:p w14:paraId="1F53FC99">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"_Toc217032359" </w:instrText>
                  </w:r>
                  <w:r>
                    <w:fldChar w:fldCharType="separate"/>
                  </w:r>
                  <w:r>
                    <w:rPr>
                      <w:rStyle w:val="94"/>
                      <w:rFonts w:ascii="Times New Roman" w:hAnsi="Times New Roman" w:eastAsia="宋体" w:cs="Times New Roman"/>
                      <w:sz w:val="24"/>
                      <w:szCs w:val="24"/>
                    </w:rPr>
                    <w:t>11.2.</w:t>
                  </w:r>
                  <w:r>
                    <w:rPr>
                      <w:rStyle w:val="94"/>
                      <w:rFonts w:ascii="Times New Roman" w:hAnsi="Times New Roman" w:cs="Times New Roman"/>
                    </w:rPr>
                    <w:tab/>
                  </w:r>
                  <w:r>
                    <w:rPr>
                      <w:rStyle w:val="94"/>
                      <w:rFonts w:ascii="Times New Roman" w:hAnsi="Times New Roman" w:eastAsia="宋体" w:cs="Times New Roman"/>
                      <w:sz w:val="24"/>
                      <w:szCs w:val="24"/>
                    </w:rPr>
                    <w:t>方案偏离</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_Toc217032359 \h </w:instrText>
                  </w:r>
                  <w:r>
                    <w:rPr>
                      <w:rStyle w:val="94"/>
                      <w:rFonts w:ascii="Times New Roman" w:hAnsi="Times New Roman" w:cs="Times New Roman"/>
                    </w:rPr>
                    <w:fldChar w:fldCharType="separate"/>
                  </w:r>
                  <w:r>
                    <w:rPr>
                      <w:rStyle w:val="94"/>
                      <w:rFonts w:ascii="Times New Roman" w:hAnsi="Times New Roman" w:cs="Times New Roman"/>
                    </w:rPr>
                    <w:t>108</w:t>
                  </w:r>
                  <w:r>
                    <w:rPr>
                      <w:rStyle w:val="94"/>
                      <w:rFonts w:ascii="Times New Roman" w:hAnsi="Times New Roman" w:cs="Times New Roman"/>
                    </w:rPr>
                    <w:fldChar w:fldCharType="end"/>
                  </w:r>
                  <w:r>
                    <w:rPr>
                      <w:rStyle w:val="94"/>
                      <w:rFonts w:ascii="Times New Roman" w:hAnsi="Times New Roman" w:cs="Times New Roman"/>
                    </w:rPr>
                    <w:fldChar w:fldCharType="end"/>
                  </w:r>
                </w:p>
                <w:p w14:paraId="740E2E07">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"_Toc217032360" </w:instrText>
                  </w:r>
                  <w:r>
                    <w:fldChar w:fldCharType="separate"/>
                  </w:r>
                  <w:r>
                    <w:rPr>
                      <w:rStyle w:val="94"/>
                      <w:rFonts w:ascii="Times New Roman" w:hAnsi="Times New Roman" w:eastAsia="宋体" w:cs="Times New Roman"/>
                      <w:sz w:val="24"/>
                      <w:szCs w:val="24"/>
                    </w:rPr>
                    <w:t>11.3.</w:t>
                  </w:r>
                  <w:r>
                    <w:rPr>
                      <w:rStyle w:val="94"/>
                      <w:rFonts w:ascii="Times New Roman" w:hAnsi="Times New Roman" w:cs="Times New Roman"/>
                    </w:rPr>
                    <w:tab/>
                  </w:r>
                  <w:r>
                    <w:rPr>
                      <w:rStyle w:val="94"/>
                      <w:rFonts w:ascii="Times New Roman" w:hAnsi="Times New Roman" w:eastAsia="宋体" w:cs="Times New Roman"/>
                      <w:sz w:val="24"/>
                      <w:szCs w:val="24"/>
                    </w:rPr>
                    <w:t>现场监查/检查</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_Toc217032360 \h </w:instrText>
                  </w:r>
                  <w:r>
                    <w:rPr>
                      <w:rStyle w:val="94"/>
                      <w:rFonts w:ascii="Times New Roman" w:hAnsi="Times New Roman" w:cs="Times New Roman"/>
                    </w:rPr>
                    <w:fldChar w:fldCharType="separate"/>
                  </w:r>
                  <w:r>
                    <w:rPr>
                      <w:rStyle w:val="94"/>
                      <w:rFonts w:ascii="Times New Roman" w:hAnsi="Times New Roman" w:cs="Times New Roman"/>
                    </w:rPr>
                    <w:t>109</w:t>
                  </w:r>
                  <w:r>
                    <w:rPr>
                      <w:rStyle w:val="94"/>
                      <w:rFonts w:ascii="Times New Roman" w:hAnsi="Times New Roman" w:cs="Times New Roman"/>
                    </w:rPr>
                    <w:fldChar w:fldCharType="end"/>
                  </w:r>
                  <w:r>
                    <w:rPr>
                      <w:rStyle w:val="94"/>
                      <w:rFonts w:ascii="Times New Roman" w:hAnsi="Times New Roman" w:cs="Times New Roman"/>
                    </w:rPr>
                    <w:fldChar w:fldCharType="end"/>
                  </w:r>
                </w:p>
                <w:p w14:paraId="5F08C870">
                  <w:pPr>
                    <w:pStyle w:val="75"/>
                    <w:tabs>
                      <w:tab w:val="left" w:pos="1418"/>
                      <w:tab w:val="right" w:leader="dot" w:pos="8780"/>
                    </w:tabs>
                    <w:spacing w:line="276" w:lineRule="auto"/>
                    <w:ind w:left="849" w:leftChars="386"/>
                    <w:rPr>
                      <w:rStyle w:val="94"/>
                      <w:rFonts w:ascii="Times New Roman" w:hAnsi="Times New Roman" w:cs="Times New Roman"/>
                    </w:rPr>
                  </w:pPr>
                  <w:r>
                    <w:fldChar w:fldCharType="begin"/>
                  </w:r>
                  <w:r>
                    <w:instrText xml:space="preserve"> HYPERLINK \l "_Toc217032361" </w:instrText>
                  </w:r>
                  <w:r>
                    <w:fldChar w:fldCharType="separate"/>
                  </w:r>
                  <w:r>
                    <w:rPr>
                      <w:rStyle w:val="94"/>
                      <w:rFonts w:ascii="Times New Roman" w:hAnsi="Times New Roman" w:eastAsia="宋体" w:cs="Times New Roman"/>
                      <w:sz w:val="24"/>
                      <w:szCs w:val="24"/>
                    </w:rPr>
                    <w:t>11.4.</w:t>
                  </w:r>
                  <w:r>
                    <w:rPr>
                      <w:rStyle w:val="94"/>
                      <w:rFonts w:ascii="Times New Roman" w:hAnsi="Times New Roman" w:cs="Times New Roman"/>
                    </w:rPr>
                    <w:tab/>
                  </w:r>
                  <w:r>
                    <w:rPr>
                      <w:rStyle w:val="94"/>
                      <w:rFonts w:ascii="Times New Roman" w:hAnsi="Times New Roman" w:eastAsia="宋体" w:cs="Times New Roman"/>
                      <w:sz w:val="24"/>
                      <w:szCs w:val="24"/>
                    </w:rPr>
                    <w:t>管理结构</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_Toc217032361 \h </w:instrText>
                  </w:r>
                  <w:r>
                    <w:rPr>
                      <w:rStyle w:val="94"/>
                      <w:rFonts w:ascii="Times New Roman" w:hAnsi="Times New Roman" w:cs="Times New Roman"/>
                    </w:rPr>
                    <w:fldChar w:fldCharType="separate"/>
                  </w:r>
                  <w:r>
                    <w:rPr>
                      <w:rStyle w:val="94"/>
                      <w:rFonts w:ascii="Times New Roman" w:hAnsi="Times New Roman" w:cs="Times New Roman"/>
                    </w:rPr>
                    <w:t>109</w:t>
                  </w:r>
                  <w:r>
                    <w:rPr>
                      <w:rStyle w:val="94"/>
                      <w:rFonts w:ascii="Times New Roman" w:hAnsi="Times New Roman" w:cs="Times New Roman"/>
                    </w:rPr>
                    <w:fldChar w:fldCharType="end"/>
                  </w:r>
                  <w:r>
                    <w:rPr>
                      <w:rStyle w:val="94"/>
                      <w:rFonts w:ascii="Times New Roman" w:hAnsi="Times New Roman" w:cs="Times New Roman"/>
                    </w:rPr>
                    <w:fldChar w:fldCharType="end"/>
                  </w:r>
                </w:p>
                <w:p w14:paraId="6EFE614D">
                  <w:pPr>
                    <w:pStyle w:val="75"/>
                    <w:tabs>
                      <w:tab w:val="left" w:pos="1418"/>
                      <w:tab w:val="right" w:leader="dot" w:pos="8780"/>
                    </w:tabs>
                    <w:spacing w:line="276" w:lineRule="auto"/>
                    <w:ind w:left="849" w:leftChars="386"/>
                    <w:rPr>
                      <w:rFonts w:ascii="Times New Roman" w:hAnsi="Times New Roman" w:eastAsia="宋体" w:cs="Times New Roman"/>
                      <w:kern w:val="2"/>
                      <w:sz w:val="24"/>
                      <w:szCs w:val="24"/>
                      <w14:ligatures w14:val="standardContextual"/>
                    </w:rPr>
                  </w:pPr>
                  <w:r>
                    <w:fldChar w:fldCharType="begin"/>
                  </w:r>
                  <w:r>
                    <w:instrText xml:space="preserve"> HYPERLINK \l "_Toc217032362" </w:instrText>
                  </w:r>
                  <w:r>
                    <w:fldChar w:fldCharType="separate"/>
                  </w:r>
                  <w:r>
                    <w:rPr>
                      <w:rStyle w:val="94"/>
                      <w:rFonts w:ascii="Times New Roman" w:hAnsi="Times New Roman" w:eastAsia="宋体" w:cs="Times New Roman"/>
                      <w:sz w:val="24"/>
                      <w:szCs w:val="24"/>
                    </w:rPr>
                    <w:t>11.5.</w:t>
                  </w:r>
                  <w:r>
                    <w:rPr>
                      <w:rStyle w:val="94"/>
                      <w:rFonts w:ascii="Times New Roman" w:hAnsi="Times New Roman" w:cs="Times New Roman"/>
                    </w:rPr>
                    <w:tab/>
                  </w:r>
                  <w:r>
                    <w:rPr>
                      <w:rStyle w:val="94"/>
                      <w:rFonts w:ascii="Times New Roman" w:hAnsi="Times New Roman" w:eastAsia="宋体" w:cs="Times New Roman"/>
                      <w:sz w:val="24"/>
                      <w:szCs w:val="24"/>
                    </w:rPr>
                    <w:t>数据发布和商业秘密的保护</w:t>
                  </w:r>
                  <w:r>
                    <w:rPr>
                      <w:rStyle w:val="94"/>
                      <w:rFonts w:ascii="Times New Roman" w:hAnsi="Times New Roman" w:cs="Times New Roman"/>
                    </w:rPr>
                    <w:tab/>
                  </w:r>
                  <w:r>
                    <w:rPr>
                      <w:rStyle w:val="94"/>
                      <w:rFonts w:ascii="Times New Roman" w:hAnsi="Times New Roman" w:cs="Times New Roman"/>
                    </w:rPr>
                    <w:fldChar w:fldCharType="begin"/>
                  </w:r>
                  <w:r>
                    <w:rPr>
                      <w:rStyle w:val="94"/>
                      <w:rFonts w:ascii="Times New Roman" w:hAnsi="Times New Roman" w:cs="Times New Roman"/>
                    </w:rPr>
                    <w:instrText xml:space="preserve"> PAGEREF _Toc217032362 \h </w:instrText>
                  </w:r>
                  <w:r>
                    <w:rPr>
                      <w:rStyle w:val="94"/>
                      <w:rFonts w:ascii="Times New Roman" w:hAnsi="Times New Roman" w:cs="Times New Roman"/>
                    </w:rPr>
                    <w:fldChar w:fldCharType="separate"/>
                  </w:r>
                  <w:r>
                    <w:rPr>
                      <w:rStyle w:val="94"/>
                      <w:rFonts w:ascii="Times New Roman" w:hAnsi="Times New Roman" w:cs="Times New Roman"/>
                    </w:rPr>
                    <w:t>109</w:t>
                  </w:r>
                  <w:r>
                    <w:rPr>
                      <w:rStyle w:val="94"/>
                      <w:rFonts w:ascii="Times New Roman" w:hAnsi="Times New Roman" w:cs="Times New Roman"/>
                    </w:rPr>
                    <w:fldChar w:fldCharType="end"/>
                  </w:r>
                  <w:r>
                    <w:rPr>
                      <w:rStyle w:val="94"/>
                      <w:rFonts w:ascii="Times New Roman" w:hAnsi="Times New Roman" w:cs="Times New Roman"/>
                    </w:rPr>
                    <w:fldChar w:fldCharType="end"/>
                  </w:r>
                </w:p>
                <w:p w14:paraId="2FE7C767">
                  <w:pPr>
                    <w:pStyle w:val="59"/>
                    <w:tabs>
                      <w:tab w:val="left" w:pos="126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"_Toc217032363" </w:instrText>
                  </w:r>
                  <w:r>
                    <w:fldChar w:fldCharType="separate"/>
                  </w:r>
                  <w:r>
                    <w:rPr>
                      <w:rStyle w:val="94"/>
                      <w:rFonts w:cs="Times New Roman"/>
                      <w:sz w:val="24"/>
                      <w:szCs w:val="24"/>
                    </w:rPr>
                    <w:t>12.</w:t>
                  </w:r>
                  <w:r>
                    <w:rPr>
                      <w:rFonts w:cs="Times New Roman"/>
                      <w:color w:val="auto"/>
                      <w:kern w:val="2"/>
                      <w:sz w:val="24"/>
                      <w:szCs w:val="24"/>
                      <w14:ligatures w14:val="standardContextual"/>
                    </w:rPr>
                    <w:tab/>
                  </w:r>
                  <w:r>
                    <w:rPr>
                      <w:rStyle w:val="94"/>
                      <w:rFonts w:cs="Times New Roman"/>
                      <w:sz w:val="24"/>
                      <w:szCs w:val="24"/>
                    </w:rPr>
                    <w:t>方案修订</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_Toc217032363 \h </w:instrText>
                  </w:r>
                  <w:r>
                    <w:rPr>
                      <w:rFonts w:cs="Times New Roman"/>
                      <w:sz w:val="24"/>
                      <w:szCs w:val="24"/>
                    </w:rPr>
                    <w:fldChar w:fldCharType="separate"/>
                  </w:r>
                  <w:r>
                    <w:rPr>
                      <w:rFonts w:cs="Times New Roman"/>
                      <w:sz w:val="24"/>
                      <w:szCs w:val="24"/>
                    </w:rPr>
                    <w:t>110</w:t>
                  </w:r>
                  <w:r>
                    <w:rPr>
                      <w:rFonts w:cs="Times New Roman"/>
                      <w:sz w:val="24"/>
                      <w:szCs w:val="24"/>
                    </w:rPr>
                    <w:fldChar w:fldCharType="end"/>
                  </w:r>
                  <w:r>
                    <w:rPr>
                      <w:rFonts w:cs="Times New Roman"/>
                      <w:sz w:val="24"/>
                      <w:szCs w:val="24"/>
                    </w:rPr>
                    <w:fldChar w:fldCharType="end"/>
                  </w:r>
                </w:p>
                <w:p w14:paraId="69D97AC7">
                  <w:pPr>
                    <w:pStyle w:val="59"/>
                    <w:tabs>
                      <w:tab w:val="left" w:pos="1260"/>
                      <w:tab w:val="right" w:leader="dot" w:pos="8780"/>
                    </w:tabs>
                    <w:spacing w:line="276" w:lineRule="auto"/>
                    <w:ind w:firstLine="420"/>
                    <w:rPr>
                      <w:rFonts w:cs="Times New Roman"/>
                      <w:color w:val="auto"/>
                      <w:kern w:val="2"/>
                      <w:sz w:val="24"/>
                      <w:szCs w:val="24"/>
                      <w14:ligatures w14:val="standardContextual"/>
                    </w:rPr>
                  </w:pPr>
                  <w:r>
                    <w:fldChar w:fldCharType="begin"/>
                  </w:r>
                  <w:r>
                    <w:instrText xml:space="preserve"> HYPERLINK \l "_Toc217032364" </w:instrText>
                  </w:r>
                  <w:r>
                    <w:fldChar w:fldCharType="separate"/>
                  </w:r>
                  <w:r>
                    <w:rPr>
                      <w:rStyle w:val="94"/>
                      <w:rFonts w:cs="Times New Roman"/>
                      <w:sz w:val="24"/>
                      <w:szCs w:val="24"/>
                    </w:rPr>
                    <w:t>13.</w:t>
                  </w:r>
                  <w:r>
                    <w:rPr>
                      <w:rFonts w:cs="Times New Roman"/>
                      <w:color w:val="auto"/>
                      <w:kern w:val="2"/>
                      <w:sz w:val="24"/>
                      <w:szCs w:val="24"/>
                      <w14:ligatures w14:val="standardContextual"/>
                    </w:rPr>
                    <w:tab/>
                  </w:r>
                  <w:r>
                    <w:rPr>
                      <w:rStyle w:val="94"/>
                      <w:rFonts w:cs="Times New Roman"/>
                      <w:sz w:val="24"/>
                      <w:szCs w:val="24"/>
                    </w:rPr>
                    <w:t>参考文献</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_Toc217032364 \h </w:instrText>
                  </w:r>
                  <w:r>
                    <w:rPr>
                      <w:rFonts w:cs="Times New Roman"/>
                      <w:sz w:val="24"/>
                      <w:szCs w:val="24"/>
                    </w:rPr>
                    <w:fldChar w:fldCharType="separate"/>
                  </w:r>
                  <w:r>
                    <w:rPr>
                      <w:rFonts w:cs="Times New Roman"/>
                      <w:sz w:val="24"/>
                      <w:szCs w:val="24"/>
                    </w:rPr>
                    <w:t>111</w:t>
                  </w:r>
                  <w:r>
                    <w:rPr>
                      <w:rFonts w:cs="Times New Roman"/>
                      <w:sz w:val="24"/>
                      <w:szCs w:val="24"/>
                    </w:rPr>
                    <w:fldChar w:fldCharType="end"/>
                  </w:r>
                  <w:r>
                    <w:rPr>
                      <w:rFonts w:cs="Times New Roman"/>
                      <w:sz w:val="24"/>
                      <w:szCs w:val="24"/>
                    </w:rPr>
                    <w:fldChar w:fldCharType="end"/>
                  </w:r>
                </w:p>
                <w:p w14:paraId="5748259E">
                  <w:pPr>
                    <w:pStyle w:val="59"/>
                    <w:tabs>
                      <w:tab w:val="left" w:pos="1260"/>
                      <w:tab w:val="right" w:leader="dot" w:pos="8780"/>
                    </w:tabs>
                    <w:spacing w:line="276" w:lineRule="auto"/>
                    <w:ind w:firstLine="420"/>
                    <w:rPr>
                      <w:rFonts w:cs="Times New Roman" w:eastAsiaTheme="minorEastAsia"/>
                      <w:color w:val="auto"/>
                      <w:kern w:val="2"/>
                      <w:sz w:val="22"/>
                      <w:szCs w:val="24"/>
                      <w14:ligatures w14:val="standardContextual"/>
                    </w:rPr>
                  </w:pPr>
                  <w:r>
                    <w:fldChar w:fldCharType="begin"/>
                  </w:r>
                  <w:r>
                    <w:instrText xml:space="preserve"> HYPERLINK \l "_Toc217032365" </w:instrText>
                  </w:r>
                  <w:r>
                    <w:fldChar w:fldCharType="separate"/>
                  </w:r>
                  <w:r>
                    <w:rPr>
                      <w:rStyle w:val="94"/>
                      <w:rFonts w:cs="Times New Roman"/>
                      <w:sz w:val="24"/>
                      <w:szCs w:val="24"/>
                    </w:rPr>
                    <w:t>14.</w:t>
                  </w:r>
                  <w:r>
                    <w:rPr>
                      <w:rFonts w:cs="Times New Roman"/>
                      <w:color w:val="auto"/>
                      <w:kern w:val="2"/>
                      <w:sz w:val="24"/>
                      <w:szCs w:val="24"/>
                      <w14:ligatures w14:val="standardContextual"/>
                    </w:rPr>
                    <w:tab/>
                  </w:r>
                  <w:r>
                    <w:rPr>
                      <w:rStyle w:val="94"/>
                      <w:rFonts w:cs="Times New Roman"/>
                      <w:sz w:val="24"/>
                      <w:szCs w:val="24"/>
                    </w:rPr>
                    <w:t>附录</w:t>
                  </w:r>
                  <w:r>
                    <w:rPr>
                      <w:rFonts w:cs="Times New Roman"/>
                      <w:sz w:val="24"/>
                      <w:szCs w:val="24"/>
                    </w:rPr>
                    <w:tab/>
                  </w:r>
                  <w:r>
                    <w:rPr>
                      <w:rFonts w:cs="Times New Roman"/>
                      <w:sz w:val="24"/>
                      <w:szCs w:val="24"/>
                    </w:rPr>
                    <w:fldChar w:fldCharType="begin"/>
                  </w:r>
                  <w:r>
                    <w:rPr>
                      <w:rFonts w:cs="Times New Roman"/>
                      <w:sz w:val="24"/>
                      <w:szCs w:val="24"/>
                    </w:rPr>
                    <w:instrText xml:space="preserve"> PAGEREF _Toc217032365 \h </w:instrText>
                  </w:r>
                  <w:r>
                    <w:rPr>
                      <w:rFonts w:cs="Times New Roman"/>
                      <w:sz w:val="24"/>
                      <w:szCs w:val="24"/>
                    </w:rPr>
                    <w:fldChar w:fldCharType="separate"/>
                  </w:r>
                  <w:r>
                    <w:rPr>
                      <w:rFonts w:cs="Times New Roman"/>
                      <w:sz w:val="24"/>
                      <w:szCs w:val="24"/>
                    </w:rPr>
                    <w:t>112</w:t>
                  </w:r>
                  <w:r>
                    <w:rPr>
                      <w:rFonts w:cs="Times New Roman"/>
                      <w:sz w:val="24"/>
                      <w:szCs w:val="24"/>
                    </w:rPr>
                    <w:fldChar w:fldCharType="end"/>
                  </w:r>
                  <w:r>
                    <w:rPr>
                      <w:rFonts w:cs="Times New Roman"/>
                      <w:sz w:val="24"/>
                      <w:szCs w:val="24"/>
                    </w:rPr>
                    <w:fldChar w:fldCharType="end"/>
                  </w:r>
                </w:p>
                <w:p w14:paraId="18F02121">
                  <w:pPr>
                    <w:pStyle w:val="59"/>
                    <w:tabs>
                      <w:tab w:val="right" w:leader="dot" w:pos="8790"/>
                    </w:tabs>
                    <w:ind w:left="180" w:leftChars="82" w:firstLine="0" w:firstLineChars="0"/>
                    <w:rPr>
                      <w:rFonts w:cs="Times New Roman"/>
                      <w:szCs w:val="21"/>
                    </w:rPr>
                  </w:pPr>
                  <w:r>
                    <w:rPr>
                      <w:rFonts w:cs="Times New Roman"/>
                      <w:bCs/>
                      <w:sz w:val="24"/>
                      <w:szCs w:val="24"/>
                      <w:lang w:val="zh-CN"/>
                    </w:rPr>
                    <w:fldChar w:fldCharType="end"/>
                  </w:r>
                </w:p>
              </w:sdtContent>
            </w:sdt>
            <w:p w14:paraId="3FD6E13C">
              <w:pPr>
                <w:pStyle w:val="59"/>
                <w:tabs>
                  <w:tab w:val="right" w:leader="dot" w:pos="8790"/>
                </w:tabs>
                <w:ind w:firstLine="0" w:firstLineChars="0"/>
                <w:rPr>
                  <w:rFonts w:cs="Times New Roman"/>
                </w:rPr>
              </w:pPr>
            </w:p>
          </w:sdtContent>
        </w:sdt>
      </w:sdtContent>
    </w:sdt>
    <w:p w14:paraId="367C9588">
      <w:pPr>
        <w:rPr>
          <w:rFonts w:ascii="Times New Roman" w:hAnsi="Times New Roman" w:cs="Times New Roman"/>
        </w:rPr>
      </w:pPr>
      <w:r>
        <w:rPr>
          <w:rFonts w:ascii="Times New Roman" w:hAnsi="Times New Roman" w:cs="Times New Roman"/>
        </w:rPr>
        <w:br w:type="page"/>
      </w:r>
    </w:p>
    <w:p w14:paraId="75936A21">
      <w:pPr>
        <w:pStyle w:val="124"/>
        <w:ind w:firstLine="480"/>
        <w:rPr>
          <w:rFonts w:ascii="Times New Roman" w:hAnsi="Times New Roman"/>
        </w:rPr>
      </w:pPr>
    </w:p>
    <w:p w14:paraId="077B1006">
      <w:pPr>
        <w:pStyle w:val="114"/>
        <w:jc w:val="center"/>
        <w:rPr>
          <w:rStyle w:val="99"/>
          <w:rFonts w:eastAsia="黑体" w:cs="Times New Roman"/>
          <w:b w:val="0"/>
          <w:i/>
          <w:color w:val="auto"/>
          <w:sz w:val="21"/>
        </w:rPr>
      </w:pPr>
      <w:bookmarkStart w:id="1" w:name="_Toc217032194"/>
      <w:r>
        <w:rPr>
          <w:rFonts w:hint="eastAsia" w:cs="Times New Roman"/>
        </w:rPr>
        <w:t>合规</w:t>
      </w:r>
      <w:r>
        <w:rPr>
          <w:rStyle w:val="113"/>
          <w:rFonts w:hint="eastAsia" w:cs="Times New Roman"/>
          <w:sz w:val="28"/>
        </w:rPr>
        <w:t>性声明</w:t>
      </w:r>
      <w:bookmarkEnd w:id="1"/>
    </w:p>
    <w:p w14:paraId="37B53A3C">
      <w:pPr>
        <w:pStyle w:val="60"/>
        <w:spacing w:before="6" w:after="1"/>
        <w:ind w:firstLine="480"/>
        <w:rPr>
          <w:rStyle w:val="99"/>
          <w:rFonts w:cs="Times New Roman"/>
          <w:sz w:val="24"/>
          <w:szCs w:val="24"/>
        </w:rPr>
      </w:pPr>
      <w:r>
        <w:rPr>
          <w:rStyle w:val="99"/>
          <w:rFonts w:hint="eastAsia" w:cs="Times New Roman"/>
          <w:sz w:val="24"/>
          <w:szCs w:val="24"/>
        </w:rPr>
        <w:t>本研究将完全按照</w:t>
      </w:r>
      <w:r>
        <w:rPr>
          <w:rStyle w:val="99"/>
          <w:rFonts w:cs="Times New Roman"/>
          <w:sz w:val="24"/>
          <w:szCs w:val="24"/>
        </w:rPr>
        <w:t>ICH E6</w:t>
      </w:r>
      <w:r>
        <w:rPr>
          <w:rStyle w:val="99"/>
          <w:rFonts w:hint="eastAsia" w:cs="Times New Roman"/>
          <w:sz w:val="24"/>
          <w:szCs w:val="24"/>
        </w:rPr>
        <w:t>和我国</w:t>
      </w:r>
      <w:r>
        <w:rPr>
          <w:rStyle w:val="99"/>
          <w:rFonts w:cs="Times New Roman"/>
          <w:sz w:val="24"/>
          <w:szCs w:val="24"/>
        </w:rPr>
        <w:t>GCP</w:t>
      </w:r>
      <w:r>
        <w:rPr>
          <w:rStyle w:val="99"/>
          <w:rFonts w:hint="eastAsia" w:cs="Times New Roman"/>
          <w:sz w:val="24"/>
          <w:szCs w:val="24"/>
        </w:rPr>
        <w:t>指导原则、赫尔辛基宣言、相关法律法规及伦理委员会审核意见进行，以提供并加强对个人的保护。本研究将符合</w:t>
      </w:r>
      <w:r>
        <w:rPr>
          <w:rStyle w:val="99"/>
          <w:rFonts w:cs="Times New Roman"/>
          <w:sz w:val="24"/>
          <w:szCs w:val="24"/>
        </w:rPr>
        <w:t>ICH E2A</w:t>
      </w:r>
      <w:r>
        <w:rPr>
          <w:rStyle w:val="99"/>
          <w:rFonts w:hint="eastAsia" w:cs="Times New Roman"/>
          <w:sz w:val="24"/>
          <w:szCs w:val="24"/>
        </w:rPr>
        <w:t>指导原则（临床安全性数据管理：加速报告的定义和标准）。</w:t>
      </w:r>
    </w:p>
    <w:p w14:paraId="239E2F05">
      <w:pPr>
        <w:pStyle w:val="60"/>
        <w:spacing w:before="6" w:after="1"/>
        <w:ind w:firstLine="480"/>
        <w:rPr>
          <w:rStyle w:val="99"/>
          <w:rFonts w:cs="Times New Roman"/>
          <w:sz w:val="24"/>
          <w:szCs w:val="24"/>
        </w:rPr>
      </w:pPr>
      <w:r>
        <w:rPr>
          <w:rStyle w:val="99"/>
          <w:rFonts w:hint="eastAsia" w:cs="Times New Roman"/>
          <w:sz w:val="24"/>
          <w:szCs w:val="24"/>
        </w:rPr>
        <w:t>在研究开始之前，研究者应将研究方案、知情同意书以及其他必需的材料交于伦理委员会供其审阅及批准。申办者只有在接到伦理委员会的批准件后才能提供研究药物。同时必须告知伦理委员会可能会影响参与者安全和继续参加研究的后续方案增补件和在试验过程中发生的严重不良事件。研究者有责任向伦理委员会报告有关研究的进展情况。此外，研究者必须及时将与伦理委员会之间的所有的通讯副本交于申办者。伦理委员会在审阅及批准研究方案时，必须确认方案</w:t>
      </w:r>
      <w:r>
        <w:rPr>
          <w:rStyle w:val="99"/>
          <w:rFonts w:cs="Times New Roman"/>
          <w:sz w:val="24"/>
          <w:szCs w:val="24"/>
        </w:rPr>
        <w:t>/</w:t>
      </w:r>
      <w:r>
        <w:rPr>
          <w:rStyle w:val="99"/>
          <w:rFonts w:hint="eastAsia" w:cs="Times New Roman"/>
          <w:sz w:val="24"/>
          <w:szCs w:val="24"/>
        </w:rPr>
        <w:t>研究标题，方案</w:t>
      </w:r>
      <w:r>
        <w:rPr>
          <w:rStyle w:val="99"/>
          <w:rFonts w:cs="Times New Roman"/>
          <w:sz w:val="24"/>
          <w:szCs w:val="24"/>
        </w:rPr>
        <w:t>/</w:t>
      </w:r>
      <w:r>
        <w:rPr>
          <w:rStyle w:val="99"/>
          <w:rFonts w:hint="eastAsia" w:cs="Times New Roman"/>
          <w:sz w:val="24"/>
          <w:szCs w:val="24"/>
        </w:rPr>
        <w:t>研究编号，并注明已评审的方案文件及评审日期。在研究进行期间，如果研究方案、知情同意书等有任何新增修订，都应根据法规再次获得相关管理单位的书面核准意见。</w:t>
      </w:r>
    </w:p>
    <w:p w14:paraId="060EAA15">
      <w:pPr>
        <w:rPr>
          <w:rFonts w:ascii="Times New Roman" w:hAnsi="Times New Roman" w:cs="Times New Roman"/>
          <w:sz w:val="24"/>
          <w:szCs w:val="24"/>
        </w:rPr>
      </w:pPr>
    </w:p>
    <w:p w14:paraId="2A386F39">
      <w:pPr>
        <w:rPr>
          <w:rFonts w:ascii="Times New Roman" w:hAnsi="Times New Roman" w:cs="Times New Roman"/>
        </w:rPr>
        <w:sectPr>
          <w:pgSz w:w="11910" w:h="16840"/>
          <w:pgMar w:top="1701" w:right="1418" w:bottom="1418" w:left="1418" w:header="850" w:footer="850" w:gutter="284"/>
          <w:cols w:space="720" w:num="1"/>
          <w:docGrid w:linePitch="299" w:charSpace="0"/>
        </w:sectPr>
      </w:pPr>
    </w:p>
    <w:p w14:paraId="4F55FF60">
      <w:pPr>
        <w:pStyle w:val="114"/>
        <w:spacing w:before="6" w:after="1"/>
        <w:jc w:val="center"/>
        <w:rPr>
          <w:rFonts w:cs="Times New Roman"/>
        </w:rPr>
      </w:pPr>
      <w:bookmarkStart w:id="2" w:name="_Toc217032195"/>
      <w:r>
        <w:rPr>
          <w:rFonts w:hint="eastAsia" w:cs="Times New Roman"/>
        </w:rPr>
        <w:t>缩略语</w:t>
      </w:r>
      <w:bookmarkEnd w:id="2"/>
    </w:p>
    <w:tbl>
      <w:tblPr>
        <w:tblStyle w:val="96"/>
        <w:tblpPr w:leftFromText="180" w:rightFromText="180" w:vertAnchor="text" w:tblpXSpec="center" w:tblpY="1"/>
        <w:tblOverlap w:val="never"/>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3"/>
        <w:gridCol w:w="3819"/>
        <w:gridCol w:w="3337"/>
      </w:tblGrid>
      <w:tr w14:paraId="40FB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blHeader/>
        </w:trPr>
        <w:tc>
          <w:tcPr>
            <w:tcW w:w="934" w:type="pct"/>
            <w:shd w:val="clear" w:color="auto" w:fill="F1F1F1" w:themeFill="background1" w:themeFillShade="F2"/>
            <w:vAlign w:val="center"/>
          </w:tcPr>
          <w:p w14:paraId="175CD2AB">
            <w:pPr>
              <w:pStyle w:val="60"/>
              <w:spacing w:line="276" w:lineRule="auto"/>
              <w:ind w:firstLine="0" w:firstLineChars="0"/>
              <w:jc w:val="center"/>
              <w:rPr>
                <w:rFonts w:cs="Times New Roman"/>
                <w:b/>
                <w:bCs/>
              </w:rPr>
            </w:pPr>
            <w:r>
              <w:rPr>
                <w:rFonts w:hint="eastAsia" w:cs="Times New Roman"/>
                <w:b/>
                <w:bCs/>
              </w:rPr>
              <w:t>缩写</w:t>
            </w:r>
          </w:p>
        </w:tc>
        <w:tc>
          <w:tcPr>
            <w:tcW w:w="2170" w:type="pct"/>
            <w:shd w:val="clear" w:color="auto" w:fill="F1F1F1" w:themeFill="background1" w:themeFillShade="F2"/>
            <w:vAlign w:val="center"/>
          </w:tcPr>
          <w:p w14:paraId="4E17777B">
            <w:pPr>
              <w:pStyle w:val="60"/>
              <w:spacing w:line="276" w:lineRule="auto"/>
              <w:ind w:firstLine="0" w:firstLineChars="0"/>
              <w:jc w:val="center"/>
              <w:rPr>
                <w:rStyle w:val="99"/>
                <w:rFonts w:cs="Times New Roman"/>
                <w:b/>
                <w:bCs/>
                <w:sz w:val="19"/>
              </w:rPr>
            </w:pPr>
            <w:r>
              <w:rPr>
                <w:rStyle w:val="99"/>
                <w:rFonts w:hint="eastAsia" w:cs="Times New Roman"/>
                <w:b/>
                <w:bCs/>
                <w:sz w:val="19"/>
              </w:rPr>
              <w:t>英文全称</w:t>
            </w:r>
          </w:p>
        </w:tc>
        <w:tc>
          <w:tcPr>
            <w:tcW w:w="1896" w:type="pct"/>
            <w:shd w:val="clear" w:color="auto" w:fill="F1F1F1" w:themeFill="background1" w:themeFillShade="F2"/>
            <w:vAlign w:val="center"/>
          </w:tcPr>
          <w:p w14:paraId="07818100">
            <w:pPr>
              <w:pStyle w:val="60"/>
              <w:spacing w:line="276" w:lineRule="auto"/>
              <w:ind w:firstLine="1335" w:firstLineChars="700"/>
              <w:rPr>
                <w:rStyle w:val="99"/>
                <w:rFonts w:cs="Times New Roman"/>
                <w:b/>
                <w:bCs/>
                <w:sz w:val="19"/>
              </w:rPr>
            </w:pPr>
            <w:r>
              <w:rPr>
                <w:rStyle w:val="99"/>
                <w:rFonts w:hint="eastAsia" w:cs="Times New Roman"/>
                <w:b/>
                <w:bCs/>
                <w:sz w:val="19"/>
              </w:rPr>
              <w:t>中文释义</w:t>
            </w:r>
          </w:p>
        </w:tc>
      </w:tr>
      <w:tr w14:paraId="7B9F9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7A9BC27">
            <w:pPr>
              <w:pStyle w:val="60"/>
              <w:spacing w:line="276" w:lineRule="auto"/>
              <w:ind w:firstLine="0" w:firstLineChars="0"/>
              <w:jc w:val="center"/>
              <w:rPr>
                <w:rFonts w:cs="Times New Roman"/>
              </w:rPr>
            </w:pPr>
            <w:r>
              <w:rPr>
                <w:rFonts w:cs="Times New Roman"/>
              </w:rPr>
              <w:t>ADR</w:t>
            </w:r>
          </w:p>
        </w:tc>
        <w:tc>
          <w:tcPr>
            <w:tcW w:w="2170" w:type="pct"/>
            <w:vAlign w:val="center"/>
          </w:tcPr>
          <w:p w14:paraId="1AEE0C80">
            <w:pPr>
              <w:pStyle w:val="60"/>
              <w:spacing w:line="276" w:lineRule="auto"/>
              <w:ind w:firstLine="0" w:firstLineChars="0"/>
              <w:jc w:val="center"/>
              <w:rPr>
                <w:rFonts w:cs="Times New Roman"/>
              </w:rPr>
            </w:pPr>
            <w:r>
              <w:rPr>
                <w:rFonts w:cs="Times New Roman"/>
              </w:rPr>
              <w:t>Adverse Drug Reaction</w:t>
            </w:r>
          </w:p>
        </w:tc>
        <w:tc>
          <w:tcPr>
            <w:tcW w:w="1896" w:type="pct"/>
            <w:vAlign w:val="center"/>
          </w:tcPr>
          <w:p w14:paraId="4A4C2F63">
            <w:pPr>
              <w:pStyle w:val="60"/>
              <w:spacing w:line="276" w:lineRule="auto"/>
              <w:ind w:firstLine="0" w:firstLineChars="0"/>
              <w:jc w:val="center"/>
              <w:rPr>
                <w:rStyle w:val="99"/>
                <w:rFonts w:cs="Times New Roman"/>
                <w:szCs w:val="21"/>
              </w:rPr>
            </w:pPr>
            <w:r>
              <w:rPr>
                <w:rStyle w:val="99"/>
                <w:rFonts w:hint="eastAsia" w:cs="Times New Roman"/>
                <w:szCs w:val="21"/>
              </w:rPr>
              <w:t>药物不良反应</w:t>
            </w:r>
          </w:p>
        </w:tc>
      </w:tr>
      <w:tr w14:paraId="15074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FDF83F6">
            <w:pPr>
              <w:pStyle w:val="60"/>
              <w:spacing w:line="276" w:lineRule="auto"/>
              <w:ind w:firstLine="0" w:firstLineChars="0"/>
              <w:jc w:val="center"/>
              <w:rPr>
                <w:rFonts w:cs="Times New Roman"/>
              </w:rPr>
            </w:pPr>
            <w:r>
              <w:rPr>
                <w:rFonts w:cs="Times New Roman"/>
              </w:rPr>
              <w:t>AE</w:t>
            </w:r>
          </w:p>
        </w:tc>
        <w:tc>
          <w:tcPr>
            <w:tcW w:w="2170" w:type="pct"/>
            <w:vAlign w:val="center"/>
          </w:tcPr>
          <w:p w14:paraId="20DF70DC">
            <w:pPr>
              <w:pStyle w:val="60"/>
              <w:spacing w:line="276" w:lineRule="auto"/>
              <w:ind w:firstLine="0" w:firstLineChars="0"/>
              <w:jc w:val="center"/>
              <w:rPr>
                <w:rFonts w:cs="Times New Roman"/>
              </w:rPr>
            </w:pPr>
            <w:r>
              <w:rPr>
                <w:rFonts w:cs="Times New Roman"/>
              </w:rPr>
              <w:t>Adverse Event</w:t>
            </w:r>
          </w:p>
        </w:tc>
        <w:tc>
          <w:tcPr>
            <w:tcW w:w="1896" w:type="pct"/>
            <w:vAlign w:val="center"/>
          </w:tcPr>
          <w:p w14:paraId="65CDA6D1">
            <w:pPr>
              <w:pStyle w:val="60"/>
              <w:spacing w:line="276" w:lineRule="auto"/>
              <w:ind w:firstLine="0" w:firstLineChars="0"/>
              <w:jc w:val="center"/>
              <w:rPr>
                <w:rFonts w:cs="Times New Roman"/>
              </w:rPr>
            </w:pPr>
            <w:r>
              <w:rPr>
                <w:rFonts w:hint="eastAsia" w:cs="Times New Roman"/>
              </w:rPr>
              <w:t>不良事件</w:t>
            </w:r>
          </w:p>
        </w:tc>
      </w:tr>
      <w:tr w14:paraId="6F5D8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D63D168">
            <w:pPr>
              <w:pStyle w:val="60"/>
              <w:spacing w:line="276" w:lineRule="auto"/>
              <w:ind w:firstLine="0" w:firstLineChars="0"/>
              <w:jc w:val="center"/>
              <w:rPr>
                <w:rFonts w:cs="Times New Roman"/>
              </w:rPr>
            </w:pPr>
            <w:r>
              <w:rPr>
                <w:rFonts w:cs="Times New Roman"/>
              </w:rPr>
              <w:t>ALB</w:t>
            </w:r>
          </w:p>
        </w:tc>
        <w:tc>
          <w:tcPr>
            <w:tcW w:w="2170" w:type="pct"/>
            <w:vAlign w:val="center"/>
          </w:tcPr>
          <w:p w14:paraId="17ADE7BC">
            <w:pPr>
              <w:pStyle w:val="60"/>
              <w:spacing w:line="276" w:lineRule="auto"/>
              <w:ind w:firstLine="0" w:firstLineChars="0"/>
              <w:jc w:val="center"/>
              <w:rPr>
                <w:rFonts w:cs="Times New Roman"/>
              </w:rPr>
            </w:pPr>
            <w:r>
              <w:rPr>
                <w:rFonts w:cs="Times New Roman"/>
              </w:rPr>
              <w:t>Albumin</w:t>
            </w:r>
          </w:p>
        </w:tc>
        <w:tc>
          <w:tcPr>
            <w:tcW w:w="1896" w:type="pct"/>
            <w:vAlign w:val="center"/>
          </w:tcPr>
          <w:p w14:paraId="243D7DE2">
            <w:pPr>
              <w:pStyle w:val="60"/>
              <w:spacing w:line="276" w:lineRule="auto"/>
              <w:ind w:firstLine="0" w:firstLineChars="0"/>
              <w:jc w:val="center"/>
              <w:rPr>
                <w:rFonts w:cs="Times New Roman"/>
              </w:rPr>
            </w:pPr>
            <w:r>
              <w:rPr>
                <w:rFonts w:cs="Times New Roman"/>
              </w:rPr>
              <w:t>白蛋白</w:t>
            </w:r>
          </w:p>
        </w:tc>
      </w:tr>
      <w:tr w14:paraId="1F00F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AB7A770">
            <w:pPr>
              <w:pStyle w:val="60"/>
              <w:spacing w:line="276" w:lineRule="auto"/>
              <w:ind w:firstLine="0" w:firstLineChars="0"/>
              <w:jc w:val="center"/>
              <w:rPr>
                <w:rFonts w:cs="Times New Roman"/>
              </w:rPr>
            </w:pPr>
            <w:r>
              <w:rPr>
                <w:rFonts w:cs="Times New Roman"/>
              </w:rPr>
              <w:t>ALP</w:t>
            </w:r>
          </w:p>
        </w:tc>
        <w:tc>
          <w:tcPr>
            <w:tcW w:w="2170" w:type="pct"/>
            <w:vAlign w:val="center"/>
          </w:tcPr>
          <w:p w14:paraId="5E604AAD">
            <w:pPr>
              <w:pStyle w:val="60"/>
              <w:spacing w:line="276" w:lineRule="auto"/>
              <w:ind w:firstLine="0" w:firstLineChars="0"/>
              <w:jc w:val="center"/>
              <w:rPr>
                <w:rFonts w:cs="Times New Roman"/>
              </w:rPr>
            </w:pPr>
            <w:r>
              <w:rPr>
                <w:rFonts w:cs="Times New Roman"/>
              </w:rPr>
              <w:t>Alkaline Phosphatase</w:t>
            </w:r>
          </w:p>
        </w:tc>
        <w:tc>
          <w:tcPr>
            <w:tcW w:w="1896" w:type="pct"/>
            <w:vAlign w:val="center"/>
          </w:tcPr>
          <w:p w14:paraId="7334B7E6">
            <w:pPr>
              <w:pStyle w:val="60"/>
              <w:spacing w:line="276" w:lineRule="auto"/>
              <w:ind w:firstLine="0" w:firstLineChars="0"/>
              <w:jc w:val="center"/>
              <w:rPr>
                <w:rFonts w:cs="Times New Roman"/>
              </w:rPr>
            </w:pPr>
            <w:r>
              <w:rPr>
                <w:rFonts w:cs="Times New Roman"/>
              </w:rPr>
              <w:t>碱性磷酸酶</w:t>
            </w:r>
          </w:p>
        </w:tc>
      </w:tr>
      <w:tr w14:paraId="6346E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F8553FB">
            <w:pPr>
              <w:pStyle w:val="60"/>
              <w:spacing w:line="276" w:lineRule="auto"/>
              <w:ind w:firstLine="0" w:firstLineChars="0"/>
              <w:jc w:val="center"/>
              <w:rPr>
                <w:rFonts w:cs="Times New Roman"/>
              </w:rPr>
            </w:pPr>
            <w:r>
              <w:rPr>
                <w:rFonts w:cs="Times New Roman"/>
              </w:rPr>
              <w:t>ALT</w:t>
            </w:r>
          </w:p>
        </w:tc>
        <w:tc>
          <w:tcPr>
            <w:tcW w:w="2170" w:type="pct"/>
            <w:vAlign w:val="center"/>
          </w:tcPr>
          <w:p w14:paraId="56E2F69E">
            <w:pPr>
              <w:pStyle w:val="60"/>
              <w:spacing w:line="276" w:lineRule="auto"/>
              <w:ind w:firstLine="0" w:firstLineChars="0"/>
              <w:jc w:val="center"/>
              <w:rPr>
                <w:rFonts w:cs="Times New Roman"/>
              </w:rPr>
            </w:pPr>
            <w:r>
              <w:rPr>
                <w:rFonts w:cs="Times New Roman"/>
              </w:rPr>
              <w:t>Alanine Amiotransferase</w:t>
            </w:r>
          </w:p>
        </w:tc>
        <w:tc>
          <w:tcPr>
            <w:tcW w:w="1896" w:type="pct"/>
            <w:vAlign w:val="center"/>
          </w:tcPr>
          <w:p w14:paraId="7B340D75">
            <w:pPr>
              <w:pStyle w:val="60"/>
              <w:spacing w:line="276" w:lineRule="auto"/>
              <w:ind w:firstLine="0" w:firstLineChars="0"/>
              <w:jc w:val="center"/>
              <w:rPr>
                <w:rFonts w:cs="Times New Roman"/>
              </w:rPr>
            </w:pPr>
            <w:r>
              <w:rPr>
                <w:rFonts w:cs="Times New Roman"/>
              </w:rPr>
              <w:t>丙氨酸</w:t>
            </w:r>
            <w:r>
              <w:rPr>
                <w:rFonts w:hint="eastAsia" w:cs="Times New Roman"/>
              </w:rPr>
              <w:t>氨基转移</w:t>
            </w:r>
            <w:r>
              <w:rPr>
                <w:rFonts w:cs="Times New Roman"/>
              </w:rPr>
              <w:t>酶</w:t>
            </w:r>
          </w:p>
        </w:tc>
      </w:tr>
      <w:tr w14:paraId="63D38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D14B6E4">
            <w:pPr>
              <w:pStyle w:val="60"/>
              <w:spacing w:line="276" w:lineRule="auto"/>
              <w:ind w:firstLine="0" w:firstLineChars="0"/>
              <w:jc w:val="center"/>
              <w:rPr>
                <w:rFonts w:cs="Times New Roman"/>
              </w:rPr>
            </w:pPr>
            <w:r>
              <w:rPr>
                <w:rFonts w:cs="Times New Roman"/>
              </w:rPr>
              <w:t>ANCOVA</w:t>
            </w:r>
          </w:p>
        </w:tc>
        <w:tc>
          <w:tcPr>
            <w:tcW w:w="2170" w:type="pct"/>
            <w:vAlign w:val="center"/>
          </w:tcPr>
          <w:p w14:paraId="7623FC2F">
            <w:pPr>
              <w:pStyle w:val="60"/>
              <w:spacing w:line="276" w:lineRule="auto"/>
              <w:ind w:firstLine="0" w:firstLineChars="0"/>
              <w:jc w:val="center"/>
              <w:rPr>
                <w:rFonts w:cs="Times New Roman"/>
              </w:rPr>
            </w:pPr>
            <w:r>
              <w:rPr>
                <w:rFonts w:cs="Times New Roman"/>
              </w:rPr>
              <w:t>Analysis of covariance</w:t>
            </w:r>
          </w:p>
        </w:tc>
        <w:tc>
          <w:tcPr>
            <w:tcW w:w="1896" w:type="pct"/>
            <w:vAlign w:val="center"/>
          </w:tcPr>
          <w:p w14:paraId="33A0CA41">
            <w:pPr>
              <w:pStyle w:val="60"/>
              <w:spacing w:line="276" w:lineRule="auto"/>
              <w:ind w:firstLine="0" w:firstLineChars="0"/>
              <w:jc w:val="center"/>
              <w:rPr>
                <w:rFonts w:cs="Times New Roman"/>
              </w:rPr>
            </w:pPr>
            <w:r>
              <w:rPr>
                <w:rFonts w:cs="Times New Roman"/>
              </w:rPr>
              <w:t>协方差分析</w:t>
            </w:r>
          </w:p>
        </w:tc>
      </w:tr>
      <w:tr w14:paraId="20AA7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DB85D4A">
            <w:pPr>
              <w:pStyle w:val="60"/>
              <w:spacing w:line="276" w:lineRule="auto"/>
              <w:ind w:firstLine="0" w:firstLineChars="0"/>
              <w:jc w:val="center"/>
              <w:rPr>
                <w:rFonts w:cs="Times New Roman"/>
              </w:rPr>
            </w:pPr>
            <w:r>
              <w:rPr>
                <w:rFonts w:cs="Times New Roman"/>
              </w:rPr>
              <w:t>APTT</w:t>
            </w:r>
          </w:p>
        </w:tc>
        <w:tc>
          <w:tcPr>
            <w:tcW w:w="2170" w:type="pct"/>
            <w:vAlign w:val="center"/>
          </w:tcPr>
          <w:p w14:paraId="156A3E24">
            <w:pPr>
              <w:pStyle w:val="60"/>
              <w:spacing w:line="276" w:lineRule="auto"/>
              <w:ind w:firstLine="0" w:firstLineChars="0"/>
              <w:jc w:val="center"/>
              <w:rPr>
                <w:rFonts w:cs="Times New Roman"/>
              </w:rPr>
            </w:pPr>
            <w:r>
              <w:rPr>
                <w:rFonts w:cs="Times New Roman"/>
              </w:rPr>
              <w:t>Activated partial thromboplastin time</w:t>
            </w:r>
          </w:p>
        </w:tc>
        <w:tc>
          <w:tcPr>
            <w:tcW w:w="1896" w:type="pct"/>
            <w:vAlign w:val="center"/>
          </w:tcPr>
          <w:p w14:paraId="0D37462B">
            <w:pPr>
              <w:pStyle w:val="60"/>
              <w:spacing w:line="276" w:lineRule="auto"/>
              <w:ind w:firstLine="0" w:firstLineChars="0"/>
              <w:jc w:val="center"/>
              <w:rPr>
                <w:rFonts w:cs="Times New Roman"/>
              </w:rPr>
            </w:pPr>
            <w:r>
              <w:rPr>
                <w:rFonts w:cs="Times New Roman"/>
              </w:rPr>
              <w:t>活化部分凝血活酶时间</w:t>
            </w:r>
          </w:p>
        </w:tc>
      </w:tr>
      <w:tr w14:paraId="4C717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AD0D633">
            <w:pPr>
              <w:pStyle w:val="60"/>
              <w:spacing w:line="276" w:lineRule="auto"/>
              <w:ind w:firstLine="0" w:firstLineChars="0"/>
              <w:jc w:val="center"/>
              <w:rPr>
                <w:rFonts w:cs="Times New Roman"/>
              </w:rPr>
            </w:pPr>
            <w:r>
              <w:rPr>
                <w:rFonts w:cs="Times New Roman"/>
              </w:rPr>
              <w:t>AST</w:t>
            </w:r>
          </w:p>
        </w:tc>
        <w:tc>
          <w:tcPr>
            <w:tcW w:w="2170" w:type="pct"/>
            <w:vAlign w:val="center"/>
          </w:tcPr>
          <w:p w14:paraId="0CA946E9">
            <w:pPr>
              <w:pStyle w:val="60"/>
              <w:spacing w:line="276" w:lineRule="auto"/>
              <w:ind w:firstLine="0" w:firstLineChars="0"/>
              <w:jc w:val="center"/>
              <w:rPr>
                <w:rFonts w:cs="Times New Roman"/>
              </w:rPr>
            </w:pPr>
            <w:r>
              <w:rPr>
                <w:rFonts w:cs="Times New Roman"/>
              </w:rPr>
              <w:t>Aspartate Aminotransferase</w:t>
            </w:r>
          </w:p>
        </w:tc>
        <w:tc>
          <w:tcPr>
            <w:tcW w:w="1896" w:type="pct"/>
            <w:vAlign w:val="center"/>
          </w:tcPr>
          <w:p w14:paraId="42944367">
            <w:pPr>
              <w:pStyle w:val="60"/>
              <w:spacing w:line="276" w:lineRule="auto"/>
              <w:ind w:firstLine="0" w:firstLineChars="0"/>
              <w:jc w:val="center"/>
              <w:rPr>
                <w:rFonts w:cs="Times New Roman"/>
              </w:rPr>
            </w:pPr>
            <w:r>
              <w:rPr>
                <w:rFonts w:cs="Times New Roman"/>
              </w:rPr>
              <w:t>天门冬氨酸氨基转移酶</w:t>
            </w:r>
          </w:p>
        </w:tc>
      </w:tr>
      <w:tr w14:paraId="1E1A9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8F884D5">
            <w:pPr>
              <w:pStyle w:val="60"/>
              <w:spacing w:line="276" w:lineRule="auto"/>
              <w:ind w:firstLine="0" w:firstLineChars="0"/>
              <w:jc w:val="center"/>
              <w:rPr>
                <w:rFonts w:cs="Times New Roman"/>
              </w:rPr>
            </w:pPr>
            <w:r>
              <w:rPr>
                <w:rFonts w:cs="Times New Roman"/>
              </w:rPr>
              <w:t>AUC</w:t>
            </w:r>
          </w:p>
        </w:tc>
        <w:tc>
          <w:tcPr>
            <w:tcW w:w="2170" w:type="pct"/>
            <w:vAlign w:val="center"/>
          </w:tcPr>
          <w:p w14:paraId="698AB5EA">
            <w:pPr>
              <w:pStyle w:val="60"/>
              <w:spacing w:line="276" w:lineRule="auto"/>
              <w:ind w:firstLine="0" w:firstLineChars="0"/>
              <w:jc w:val="center"/>
              <w:rPr>
                <w:rFonts w:cs="Times New Roman"/>
              </w:rPr>
            </w:pPr>
            <w:r>
              <w:rPr>
                <w:rFonts w:cs="Times New Roman"/>
              </w:rPr>
              <w:t>area under the curve</w:t>
            </w:r>
          </w:p>
        </w:tc>
        <w:tc>
          <w:tcPr>
            <w:tcW w:w="1896" w:type="pct"/>
            <w:vAlign w:val="center"/>
          </w:tcPr>
          <w:p w14:paraId="6F28C2C3">
            <w:pPr>
              <w:pStyle w:val="60"/>
              <w:spacing w:line="276" w:lineRule="auto"/>
              <w:ind w:firstLine="0" w:firstLineChars="0"/>
              <w:jc w:val="center"/>
              <w:rPr>
                <w:rFonts w:cs="Times New Roman"/>
              </w:rPr>
            </w:pPr>
            <w:r>
              <w:rPr>
                <w:rFonts w:hint="eastAsia" w:cs="Times New Roman"/>
              </w:rPr>
              <w:t>药</w:t>
            </w:r>
            <w:r>
              <w:rPr>
                <w:rFonts w:cs="Times New Roman"/>
              </w:rPr>
              <w:t>-</w:t>
            </w:r>
            <w:r>
              <w:rPr>
                <w:rFonts w:hint="eastAsia" w:cs="Times New Roman"/>
              </w:rPr>
              <w:t>时曲线下面积</w:t>
            </w:r>
          </w:p>
        </w:tc>
      </w:tr>
      <w:tr w14:paraId="162F0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A8EBF05">
            <w:pPr>
              <w:pStyle w:val="60"/>
              <w:spacing w:line="276" w:lineRule="auto"/>
              <w:ind w:firstLine="0" w:firstLineChars="0"/>
              <w:jc w:val="center"/>
              <w:rPr>
                <w:rFonts w:cs="Times New Roman"/>
              </w:rPr>
            </w:pPr>
            <w:r>
              <w:rPr>
                <w:rFonts w:cs="Times New Roman"/>
              </w:rPr>
              <w:t>BCRP</w:t>
            </w:r>
          </w:p>
        </w:tc>
        <w:tc>
          <w:tcPr>
            <w:tcW w:w="2170" w:type="pct"/>
            <w:vAlign w:val="center"/>
          </w:tcPr>
          <w:p w14:paraId="43EA919C">
            <w:pPr>
              <w:pStyle w:val="60"/>
              <w:spacing w:line="276" w:lineRule="auto"/>
              <w:ind w:firstLine="0" w:firstLineChars="0"/>
              <w:jc w:val="center"/>
              <w:rPr>
                <w:rFonts w:cs="Times New Roman"/>
              </w:rPr>
            </w:pPr>
            <w:r>
              <w:rPr>
                <w:rFonts w:cs="Times New Roman"/>
              </w:rPr>
              <w:t>Breast Cancer Resistance Protein</w:t>
            </w:r>
          </w:p>
        </w:tc>
        <w:tc>
          <w:tcPr>
            <w:tcW w:w="1896" w:type="pct"/>
            <w:vAlign w:val="center"/>
          </w:tcPr>
          <w:p w14:paraId="4E978D5D">
            <w:pPr>
              <w:pStyle w:val="60"/>
              <w:spacing w:line="276" w:lineRule="auto"/>
              <w:ind w:firstLine="0" w:firstLineChars="0"/>
              <w:jc w:val="center"/>
              <w:rPr>
                <w:rFonts w:cs="Times New Roman"/>
              </w:rPr>
            </w:pPr>
            <w:r>
              <w:rPr>
                <w:rFonts w:hint="eastAsia" w:cs="Times New Roman"/>
              </w:rPr>
              <w:t>乳腺癌耐药蛋白</w:t>
            </w:r>
          </w:p>
        </w:tc>
      </w:tr>
      <w:tr w14:paraId="3FA54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6074B80">
            <w:pPr>
              <w:pStyle w:val="60"/>
              <w:spacing w:line="276" w:lineRule="auto"/>
              <w:ind w:firstLine="0" w:firstLineChars="0"/>
              <w:jc w:val="center"/>
              <w:rPr>
                <w:rFonts w:cs="Times New Roman"/>
              </w:rPr>
            </w:pPr>
            <w:r>
              <w:rPr>
                <w:rFonts w:cs="Times New Roman"/>
              </w:rPr>
              <w:t>BID</w:t>
            </w:r>
          </w:p>
        </w:tc>
        <w:tc>
          <w:tcPr>
            <w:tcW w:w="2170" w:type="pct"/>
            <w:vAlign w:val="center"/>
          </w:tcPr>
          <w:p w14:paraId="43FCABD2">
            <w:pPr>
              <w:pStyle w:val="60"/>
              <w:spacing w:line="276" w:lineRule="auto"/>
              <w:ind w:firstLine="0" w:firstLineChars="0"/>
              <w:jc w:val="center"/>
              <w:rPr>
                <w:rFonts w:cs="Times New Roman"/>
              </w:rPr>
            </w:pPr>
            <w:r>
              <w:rPr>
                <w:rFonts w:cs="Times New Roman"/>
              </w:rPr>
              <w:t>Bis In Die</w:t>
            </w:r>
          </w:p>
        </w:tc>
        <w:tc>
          <w:tcPr>
            <w:tcW w:w="1896" w:type="pct"/>
            <w:vAlign w:val="center"/>
          </w:tcPr>
          <w:p w14:paraId="4A34D858">
            <w:pPr>
              <w:pStyle w:val="60"/>
              <w:spacing w:line="276" w:lineRule="auto"/>
              <w:ind w:firstLine="0" w:firstLineChars="0"/>
              <w:jc w:val="center"/>
              <w:rPr>
                <w:rFonts w:cs="Times New Roman"/>
              </w:rPr>
            </w:pPr>
            <w:r>
              <w:rPr>
                <w:rFonts w:hint="eastAsia" w:cs="Times New Roman"/>
              </w:rPr>
              <w:t>每日</w:t>
            </w:r>
            <w:r>
              <w:rPr>
                <w:rFonts w:cs="Times New Roman"/>
              </w:rPr>
              <w:t>2</w:t>
            </w:r>
            <w:r>
              <w:rPr>
                <w:rFonts w:hint="eastAsia" w:cs="Times New Roman"/>
              </w:rPr>
              <w:t>次</w:t>
            </w:r>
          </w:p>
        </w:tc>
      </w:tr>
      <w:tr w14:paraId="162B1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813F44A">
            <w:pPr>
              <w:pStyle w:val="60"/>
              <w:spacing w:line="276" w:lineRule="auto"/>
              <w:ind w:firstLine="0" w:firstLineChars="0"/>
              <w:jc w:val="center"/>
              <w:rPr>
                <w:rFonts w:cs="Times New Roman"/>
              </w:rPr>
            </w:pPr>
            <w:r>
              <w:rPr>
                <w:rFonts w:cs="Times New Roman"/>
              </w:rPr>
              <w:t>BSA</w:t>
            </w:r>
          </w:p>
        </w:tc>
        <w:tc>
          <w:tcPr>
            <w:tcW w:w="2170" w:type="pct"/>
            <w:vAlign w:val="center"/>
          </w:tcPr>
          <w:p w14:paraId="15119E54">
            <w:pPr>
              <w:pStyle w:val="60"/>
              <w:spacing w:line="276" w:lineRule="auto"/>
              <w:ind w:firstLine="0" w:firstLineChars="0"/>
              <w:jc w:val="center"/>
              <w:rPr>
                <w:rFonts w:cs="Times New Roman"/>
              </w:rPr>
            </w:pPr>
            <w:r>
              <w:rPr>
                <w:rFonts w:cs="Times New Roman"/>
              </w:rPr>
              <w:t>Body Surface Area</w:t>
            </w:r>
          </w:p>
        </w:tc>
        <w:tc>
          <w:tcPr>
            <w:tcW w:w="1896" w:type="pct"/>
            <w:vAlign w:val="center"/>
          </w:tcPr>
          <w:p w14:paraId="4F3DB5DC">
            <w:pPr>
              <w:pStyle w:val="60"/>
              <w:spacing w:line="276" w:lineRule="auto"/>
              <w:ind w:firstLine="0" w:firstLineChars="0"/>
              <w:jc w:val="center"/>
              <w:rPr>
                <w:rFonts w:cs="Times New Roman"/>
              </w:rPr>
            </w:pPr>
            <w:r>
              <w:rPr>
                <w:rFonts w:hint="eastAsia" w:cs="Times New Roman"/>
              </w:rPr>
              <w:t>受累的体表面积</w:t>
            </w:r>
          </w:p>
        </w:tc>
      </w:tr>
      <w:tr w14:paraId="3C89A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0A7AA58">
            <w:pPr>
              <w:pStyle w:val="60"/>
              <w:spacing w:line="276" w:lineRule="auto"/>
              <w:ind w:firstLine="0" w:firstLineChars="0"/>
              <w:jc w:val="center"/>
              <w:rPr>
                <w:rFonts w:cs="Times New Roman"/>
              </w:rPr>
            </w:pPr>
            <w:r>
              <w:rPr>
                <w:rFonts w:cs="Times New Roman"/>
              </w:rPr>
              <w:t>BUN</w:t>
            </w:r>
          </w:p>
        </w:tc>
        <w:tc>
          <w:tcPr>
            <w:tcW w:w="2170" w:type="pct"/>
            <w:vAlign w:val="center"/>
          </w:tcPr>
          <w:p w14:paraId="2FE9681B">
            <w:pPr>
              <w:pStyle w:val="60"/>
              <w:spacing w:line="276" w:lineRule="auto"/>
              <w:ind w:firstLine="0" w:firstLineChars="0"/>
              <w:jc w:val="center"/>
              <w:rPr>
                <w:rFonts w:cs="Times New Roman"/>
              </w:rPr>
            </w:pPr>
            <w:r>
              <w:rPr>
                <w:rFonts w:cs="Times New Roman"/>
              </w:rPr>
              <w:t>Blood Urea Nitrogen</w:t>
            </w:r>
          </w:p>
        </w:tc>
        <w:tc>
          <w:tcPr>
            <w:tcW w:w="1896" w:type="pct"/>
            <w:vAlign w:val="center"/>
          </w:tcPr>
          <w:p w14:paraId="43368F47">
            <w:pPr>
              <w:pStyle w:val="60"/>
              <w:spacing w:line="276" w:lineRule="auto"/>
              <w:ind w:firstLine="0" w:firstLineChars="0"/>
              <w:jc w:val="center"/>
              <w:rPr>
                <w:rFonts w:cs="Times New Roman"/>
              </w:rPr>
            </w:pPr>
            <w:r>
              <w:rPr>
                <w:rFonts w:cs="Times New Roman"/>
              </w:rPr>
              <w:t>尿素氮</w:t>
            </w:r>
          </w:p>
        </w:tc>
      </w:tr>
      <w:tr w14:paraId="14419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947C3A2">
            <w:pPr>
              <w:pStyle w:val="60"/>
              <w:spacing w:line="276" w:lineRule="auto"/>
              <w:ind w:firstLine="0" w:firstLineChars="0"/>
              <w:jc w:val="center"/>
              <w:rPr>
                <w:rFonts w:cs="Times New Roman"/>
              </w:rPr>
            </w:pPr>
            <w:r>
              <w:rPr>
                <w:rFonts w:cs="Times New Roman"/>
              </w:rPr>
              <w:t>CKD-EPI</w:t>
            </w:r>
          </w:p>
        </w:tc>
        <w:tc>
          <w:tcPr>
            <w:tcW w:w="2170" w:type="pct"/>
            <w:vAlign w:val="center"/>
          </w:tcPr>
          <w:p w14:paraId="527494A3">
            <w:pPr>
              <w:pStyle w:val="60"/>
              <w:spacing w:line="276" w:lineRule="auto"/>
              <w:ind w:firstLine="0" w:firstLineChars="0"/>
              <w:jc w:val="center"/>
              <w:rPr>
                <w:rFonts w:cs="Times New Roman"/>
              </w:rPr>
            </w:pPr>
            <w:r>
              <w:rPr>
                <w:rFonts w:cs="Times New Roman"/>
              </w:rPr>
              <w:t>Chronic Kidney Disease Epidemiology Collaboration equation</w:t>
            </w:r>
          </w:p>
        </w:tc>
        <w:tc>
          <w:tcPr>
            <w:tcW w:w="1896" w:type="pct"/>
            <w:vAlign w:val="center"/>
          </w:tcPr>
          <w:p w14:paraId="286A04BE">
            <w:pPr>
              <w:pStyle w:val="60"/>
              <w:spacing w:line="276" w:lineRule="auto"/>
              <w:ind w:firstLine="0" w:firstLineChars="0"/>
              <w:jc w:val="center"/>
              <w:rPr>
                <w:rFonts w:cs="Times New Roman"/>
              </w:rPr>
            </w:pPr>
            <w:r>
              <w:rPr>
                <w:rFonts w:cs="Times New Roman"/>
              </w:rPr>
              <w:t>慢性肾脏病流行病学协作方程</w:t>
            </w:r>
          </w:p>
        </w:tc>
      </w:tr>
      <w:tr w14:paraId="145AA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D18BAE1">
            <w:pPr>
              <w:pStyle w:val="60"/>
              <w:spacing w:line="276" w:lineRule="auto"/>
              <w:ind w:firstLine="0" w:firstLineChars="0"/>
              <w:jc w:val="center"/>
              <w:rPr>
                <w:rFonts w:cs="Times New Roman"/>
              </w:rPr>
            </w:pPr>
            <w:r>
              <w:rPr>
                <w:rFonts w:cs="Times New Roman"/>
              </w:rPr>
              <w:t>C</w:t>
            </w:r>
            <w:r>
              <w:rPr>
                <w:rFonts w:cs="Times New Roman"/>
                <w:vertAlign w:val="subscript"/>
              </w:rPr>
              <w:t>max</w:t>
            </w:r>
          </w:p>
        </w:tc>
        <w:tc>
          <w:tcPr>
            <w:tcW w:w="2170" w:type="pct"/>
            <w:vAlign w:val="center"/>
          </w:tcPr>
          <w:p w14:paraId="5131206C">
            <w:pPr>
              <w:pStyle w:val="60"/>
              <w:spacing w:line="276" w:lineRule="auto"/>
              <w:ind w:firstLine="0" w:firstLineChars="0"/>
              <w:jc w:val="center"/>
              <w:rPr>
                <w:rFonts w:cs="Times New Roman"/>
              </w:rPr>
            </w:pPr>
            <w:r>
              <w:rPr>
                <w:rFonts w:cs="Times New Roman"/>
              </w:rPr>
              <w:t>Maximum Concentration</w:t>
            </w:r>
          </w:p>
        </w:tc>
        <w:tc>
          <w:tcPr>
            <w:tcW w:w="1896" w:type="pct"/>
            <w:vAlign w:val="center"/>
          </w:tcPr>
          <w:p w14:paraId="7BE83E27">
            <w:pPr>
              <w:pStyle w:val="60"/>
              <w:spacing w:line="276" w:lineRule="auto"/>
              <w:ind w:firstLine="0" w:firstLineChars="0"/>
              <w:jc w:val="center"/>
              <w:rPr>
                <w:rFonts w:cs="Times New Roman"/>
              </w:rPr>
            </w:pPr>
            <w:r>
              <w:rPr>
                <w:rFonts w:hint="eastAsia" w:cs="Times New Roman"/>
              </w:rPr>
              <w:t>最大血药浓度</w:t>
            </w:r>
          </w:p>
        </w:tc>
      </w:tr>
      <w:tr w14:paraId="0700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F33AEAE">
            <w:pPr>
              <w:pStyle w:val="60"/>
              <w:spacing w:line="276" w:lineRule="auto"/>
              <w:ind w:firstLine="0" w:firstLineChars="0"/>
              <w:jc w:val="center"/>
              <w:rPr>
                <w:rFonts w:cs="Times New Roman"/>
              </w:rPr>
            </w:pPr>
            <w:r>
              <w:rPr>
                <w:rFonts w:cs="Times New Roman"/>
              </w:rPr>
              <w:t>CPK</w:t>
            </w:r>
          </w:p>
        </w:tc>
        <w:tc>
          <w:tcPr>
            <w:tcW w:w="2170" w:type="pct"/>
            <w:vAlign w:val="center"/>
          </w:tcPr>
          <w:p w14:paraId="796E4D51">
            <w:pPr>
              <w:pStyle w:val="60"/>
              <w:spacing w:line="276" w:lineRule="auto"/>
              <w:ind w:firstLine="0" w:firstLineChars="0"/>
              <w:jc w:val="center"/>
              <w:rPr>
                <w:rFonts w:cs="Times New Roman"/>
              </w:rPr>
            </w:pPr>
            <w:r>
              <w:rPr>
                <w:rFonts w:cs="Times New Roman"/>
              </w:rPr>
              <w:t>Creatine Phosphokinase</w:t>
            </w:r>
          </w:p>
        </w:tc>
        <w:tc>
          <w:tcPr>
            <w:tcW w:w="1896" w:type="pct"/>
            <w:vAlign w:val="center"/>
          </w:tcPr>
          <w:p w14:paraId="16BA8369">
            <w:pPr>
              <w:pStyle w:val="60"/>
              <w:spacing w:line="276" w:lineRule="auto"/>
              <w:ind w:firstLine="0" w:firstLineChars="0"/>
              <w:jc w:val="center"/>
              <w:rPr>
                <w:rFonts w:cs="Times New Roman"/>
              </w:rPr>
            </w:pPr>
            <w:r>
              <w:rPr>
                <w:rFonts w:cs="Times New Roman"/>
              </w:rPr>
              <w:t>肌酸磷酸激酶</w:t>
            </w:r>
          </w:p>
        </w:tc>
      </w:tr>
      <w:tr w14:paraId="41C6C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B79CE31">
            <w:pPr>
              <w:pStyle w:val="60"/>
              <w:spacing w:line="276" w:lineRule="auto"/>
              <w:ind w:firstLine="0" w:firstLineChars="0"/>
              <w:jc w:val="center"/>
              <w:rPr>
                <w:rFonts w:cs="Times New Roman"/>
              </w:rPr>
            </w:pPr>
            <w:r>
              <w:rPr>
                <w:rFonts w:cs="Times New Roman"/>
              </w:rPr>
              <w:t>Cr</w:t>
            </w:r>
          </w:p>
        </w:tc>
        <w:tc>
          <w:tcPr>
            <w:tcW w:w="2170" w:type="pct"/>
            <w:vAlign w:val="center"/>
          </w:tcPr>
          <w:p w14:paraId="7AFCC9A7">
            <w:pPr>
              <w:pStyle w:val="60"/>
              <w:spacing w:line="276" w:lineRule="auto"/>
              <w:ind w:firstLine="0" w:firstLineChars="0"/>
              <w:jc w:val="center"/>
              <w:rPr>
                <w:rFonts w:cs="Times New Roman"/>
              </w:rPr>
            </w:pPr>
            <w:r>
              <w:rPr>
                <w:rFonts w:cs="Times New Roman"/>
              </w:rPr>
              <w:t>Creatinine</w:t>
            </w:r>
          </w:p>
        </w:tc>
        <w:tc>
          <w:tcPr>
            <w:tcW w:w="1896" w:type="pct"/>
            <w:vAlign w:val="center"/>
          </w:tcPr>
          <w:p w14:paraId="6CD02EBA">
            <w:pPr>
              <w:pStyle w:val="60"/>
              <w:spacing w:line="276" w:lineRule="auto"/>
              <w:ind w:firstLine="0" w:firstLineChars="0"/>
              <w:jc w:val="center"/>
              <w:rPr>
                <w:rFonts w:cs="Times New Roman"/>
              </w:rPr>
            </w:pPr>
            <w:r>
              <w:rPr>
                <w:rFonts w:hint="eastAsia" w:cs="Times New Roman"/>
              </w:rPr>
              <w:t>肌酐</w:t>
            </w:r>
          </w:p>
        </w:tc>
      </w:tr>
      <w:tr w14:paraId="4957C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A52A740">
            <w:pPr>
              <w:pStyle w:val="60"/>
              <w:spacing w:line="276" w:lineRule="auto"/>
              <w:ind w:firstLine="0" w:firstLineChars="0"/>
              <w:jc w:val="center"/>
              <w:rPr>
                <w:rFonts w:cs="Times New Roman"/>
              </w:rPr>
            </w:pPr>
            <w:r>
              <w:rPr>
                <w:rFonts w:cs="Times New Roman"/>
              </w:rPr>
              <w:t>CRO</w:t>
            </w:r>
          </w:p>
        </w:tc>
        <w:tc>
          <w:tcPr>
            <w:tcW w:w="2170" w:type="pct"/>
            <w:vAlign w:val="center"/>
          </w:tcPr>
          <w:p w14:paraId="0D4C1F2A">
            <w:pPr>
              <w:pStyle w:val="60"/>
              <w:spacing w:line="276" w:lineRule="auto"/>
              <w:ind w:firstLine="0" w:firstLineChars="0"/>
              <w:jc w:val="center"/>
              <w:rPr>
                <w:rFonts w:cs="Times New Roman"/>
              </w:rPr>
            </w:pPr>
            <w:r>
              <w:rPr>
                <w:rFonts w:cs="Times New Roman"/>
              </w:rPr>
              <w:t>Contract Research Organization</w:t>
            </w:r>
          </w:p>
        </w:tc>
        <w:tc>
          <w:tcPr>
            <w:tcW w:w="1896" w:type="pct"/>
            <w:vAlign w:val="center"/>
          </w:tcPr>
          <w:p w14:paraId="0C831411">
            <w:pPr>
              <w:pStyle w:val="60"/>
              <w:spacing w:line="276" w:lineRule="auto"/>
              <w:ind w:firstLine="0" w:firstLineChars="0"/>
              <w:jc w:val="center"/>
              <w:rPr>
                <w:rFonts w:cs="Times New Roman"/>
              </w:rPr>
            </w:pPr>
            <w:r>
              <w:rPr>
                <w:rFonts w:hint="eastAsia" w:cs="Times New Roman"/>
              </w:rPr>
              <w:t>合同研究组织</w:t>
            </w:r>
          </w:p>
        </w:tc>
      </w:tr>
      <w:tr w14:paraId="2D96F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7F30EC7">
            <w:pPr>
              <w:pStyle w:val="60"/>
              <w:spacing w:line="276" w:lineRule="auto"/>
              <w:ind w:firstLine="0" w:firstLineChars="0"/>
              <w:jc w:val="center"/>
              <w:rPr>
                <w:rFonts w:cs="Times New Roman"/>
              </w:rPr>
            </w:pPr>
            <w:r>
              <w:rPr>
                <w:rFonts w:cs="Times New Roman"/>
              </w:rPr>
              <w:t>CTCAE</w:t>
            </w:r>
          </w:p>
        </w:tc>
        <w:tc>
          <w:tcPr>
            <w:tcW w:w="2170" w:type="pct"/>
            <w:vAlign w:val="center"/>
          </w:tcPr>
          <w:p w14:paraId="11EA0F23">
            <w:pPr>
              <w:pStyle w:val="60"/>
              <w:spacing w:line="276" w:lineRule="auto"/>
              <w:ind w:firstLine="0" w:firstLineChars="0"/>
              <w:jc w:val="center"/>
              <w:rPr>
                <w:rFonts w:cs="Times New Roman"/>
              </w:rPr>
            </w:pPr>
            <w:r>
              <w:rPr>
                <w:rFonts w:cs="Times New Roman"/>
              </w:rPr>
              <w:t>Common Terminology Criteria</w:t>
            </w:r>
          </w:p>
          <w:p w14:paraId="3DE77C67">
            <w:pPr>
              <w:pStyle w:val="60"/>
              <w:spacing w:line="276" w:lineRule="auto"/>
              <w:ind w:firstLine="0" w:firstLineChars="0"/>
              <w:jc w:val="center"/>
              <w:rPr>
                <w:rFonts w:cs="Times New Roman"/>
              </w:rPr>
            </w:pPr>
            <w:r>
              <w:rPr>
                <w:rFonts w:cs="Times New Roman"/>
              </w:rPr>
              <w:t>for Adverse Events</w:t>
            </w:r>
          </w:p>
        </w:tc>
        <w:tc>
          <w:tcPr>
            <w:tcW w:w="1896" w:type="pct"/>
            <w:vAlign w:val="center"/>
          </w:tcPr>
          <w:p w14:paraId="0C98961A">
            <w:pPr>
              <w:pStyle w:val="60"/>
              <w:spacing w:line="276" w:lineRule="auto"/>
              <w:ind w:firstLine="0" w:firstLineChars="0"/>
              <w:jc w:val="center"/>
              <w:rPr>
                <w:rFonts w:cs="Times New Roman"/>
              </w:rPr>
            </w:pPr>
            <w:r>
              <w:rPr>
                <w:rFonts w:hint="eastAsia" w:cs="Times New Roman"/>
              </w:rPr>
              <w:t>不良事件通用术语标准</w:t>
            </w:r>
          </w:p>
        </w:tc>
      </w:tr>
      <w:tr w14:paraId="50FF3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2828B4F">
            <w:pPr>
              <w:pStyle w:val="60"/>
              <w:spacing w:line="276" w:lineRule="auto"/>
              <w:ind w:firstLine="0" w:firstLineChars="0"/>
              <w:jc w:val="center"/>
              <w:rPr>
                <w:rFonts w:cs="Times New Roman"/>
                <w:color w:val="auto"/>
              </w:rPr>
            </w:pPr>
            <w:r>
              <w:rPr>
                <w:rFonts w:cs="Times New Roman"/>
                <w:color w:val="auto"/>
              </w:rPr>
              <w:t>C</w:t>
            </w:r>
            <w:r>
              <w:rPr>
                <w:rFonts w:cs="Times New Roman"/>
                <w:color w:val="auto"/>
                <w:vertAlign w:val="subscript"/>
              </w:rPr>
              <w:t>trough</w:t>
            </w:r>
          </w:p>
        </w:tc>
        <w:tc>
          <w:tcPr>
            <w:tcW w:w="2170" w:type="pct"/>
            <w:vAlign w:val="center"/>
          </w:tcPr>
          <w:p w14:paraId="6526FFF5">
            <w:pPr>
              <w:pStyle w:val="60"/>
              <w:spacing w:line="276" w:lineRule="auto"/>
              <w:ind w:left="180" w:leftChars="82" w:firstLine="0" w:firstLineChars="0"/>
              <w:jc w:val="center"/>
              <w:rPr>
                <w:rFonts w:cs="Times New Roman"/>
                <w:color w:val="auto"/>
              </w:rPr>
            </w:pPr>
            <w:r>
              <w:rPr>
                <w:rFonts w:cs="Times New Roman"/>
                <w:color w:val="auto"/>
              </w:rPr>
              <w:t>Trough Concentration</w:t>
            </w:r>
          </w:p>
        </w:tc>
        <w:tc>
          <w:tcPr>
            <w:tcW w:w="1896" w:type="pct"/>
            <w:vAlign w:val="center"/>
          </w:tcPr>
          <w:p w14:paraId="243644EE">
            <w:pPr>
              <w:pStyle w:val="60"/>
              <w:spacing w:line="276" w:lineRule="auto"/>
              <w:ind w:left="180" w:leftChars="82" w:firstLine="0" w:firstLineChars="0"/>
              <w:jc w:val="center"/>
              <w:rPr>
                <w:rFonts w:cs="Times New Roman"/>
                <w:color w:val="auto"/>
              </w:rPr>
            </w:pPr>
            <w:r>
              <w:rPr>
                <w:rFonts w:hint="eastAsia" w:cs="Times New Roman"/>
                <w:color w:val="auto"/>
              </w:rPr>
              <w:t>谷浓度</w:t>
            </w:r>
          </w:p>
        </w:tc>
      </w:tr>
      <w:tr w14:paraId="492B5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5314B5E">
            <w:pPr>
              <w:pStyle w:val="60"/>
              <w:spacing w:line="276" w:lineRule="auto"/>
              <w:ind w:firstLine="0" w:firstLineChars="0"/>
              <w:jc w:val="center"/>
              <w:rPr>
                <w:rFonts w:cs="Times New Roman"/>
              </w:rPr>
            </w:pPr>
            <w:r>
              <w:rPr>
                <w:rFonts w:cs="Times New Roman"/>
              </w:rPr>
              <w:t>CYP450</w:t>
            </w:r>
          </w:p>
        </w:tc>
        <w:tc>
          <w:tcPr>
            <w:tcW w:w="2170" w:type="pct"/>
            <w:vAlign w:val="center"/>
          </w:tcPr>
          <w:p w14:paraId="431A8314">
            <w:pPr>
              <w:pStyle w:val="60"/>
              <w:spacing w:line="276" w:lineRule="auto"/>
              <w:ind w:firstLine="0" w:firstLineChars="0"/>
              <w:jc w:val="center"/>
              <w:rPr>
                <w:rFonts w:cs="Times New Roman"/>
              </w:rPr>
            </w:pPr>
            <w:r>
              <w:rPr>
                <w:rFonts w:cs="Times New Roman"/>
              </w:rPr>
              <w:t>Cytochrome P450</w:t>
            </w:r>
          </w:p>
        </w:tc>
        <w:tc>
          <w:tcPr>
            <w:tcW w:w="1896" w:type="pct"/>
            <w:vAlign w:val="center"/>
          </w:tcPr>
          <w:p w14:paraId="4C4CF490">
            <w:pPr>
              <w:pStyle w:val="60"/>
              <w:spacing w:line="276" w:lineRule="auto"/>
              <w:ind w:firstLine="0" w:firstLineChars="0"/>
              <w:jc w:val="center"/>
              <w:rPr>
                <w:rFonts w:cs="Times New Roman"/>
              </w:rPr>
            </w:pPr>
            <w:r>
              <w:rPr>
                <w:rFonts w:cs="Times New Roman"/>
              </w:rPr>
              <w:t>细胞色素P450</w:t>
            </w:r>
          </w:p>
        </w:tc>
      </w:tr>
      <w:tr w14:paraId="1E7E1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0C14632">
            <w:pPr>
              <w:pStyle w:val="60"/>
              <w:spacing w:line="276" w:lineRule="auto"/>
              <w:ind w:firstLine="0" w:firstLineChars="0"/>
              <w:jc w:val="center"/>
              <w:rPr>
                <w:rFonts w:cs="Times New Roman"/>
              </w:rPr>
            </w:pPr>
            <w:r>
              <w:rPr>
                <w:rFonts w:cs="Times New Roman"/>
              </w:rPr>
              <w:t>DBIL</w:t>
            </w:r>
          </w:p>
        </w:tc>
        <w:tc>
          <w:tcPr>
            <w:tcW w:w="2170" w:type="pct"/>
            <w:vAlign w:val="center"/>
          </w:tcPr>
          <w:p w14:paraId="02621802">
            <w:pPr>
              <w:pStyle w:val="60"/>
              <w:spacing w:line="276" w:lineRule="auto"/>
              <w:ind w:firstLine="0" w:firstLineChars="0"/>
              <w:jc w:val="center"/>
              <w:rPr>
                <w:rFonts w:cs="Times New Roman"/>
              </w:rPr>
            </w:pPr>
            <w:r>
              <w:rPr>
                <w:rFonts w:cs="Times New Roman"/>
              </w:rPr>
              <w:t>Direct Bilirubin</w:t>
            </w:r>
          </w:p>
        </w:tc>
        <w:tc>
          <w:tcPr>
            <w:tcW w:w="1896" w:type="pct"/>
            <w:vAlign w:val="center"/>
          </w:tcPr>
          <w:p w14:paraId="208484C8">
            <w:pPr>
              <w:pStyle w:val="60"/>
              <w:spacing w:line="276" w:lineRule="auto"/>
              <w:ind w:firstLine="0" w:firstLineChars="0"/>
              <w:jc w:val="center"/>
              <w:rPr>
                <w:rFonts w:cs="Times New Roman"/>
              </w:rPr>
            </w:pPr>
            <w:r>
              <w:rPr>
                <w:rFonts w:cs="Times New Roman"/>
              </w:rPr>
              <w:t>直接胆红素</w:t>
            </w:r>
          </w:p>
        </w:tc>
      </w:tr>
      <w:tr w14:paraId="099C1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71F78A4">
            <w:pPr>
              <w:pStyle w:val="60"/>
              <w:spacing w:line="276" w:lineRule="auto"/>
              <w:ind w:firstLine="0" w:firstLineChars="0"/>
              <w:jc w:val="center"/>
              <w:rPr>
                <w:rFonts w:cs="Times New Roman"/>
              </w:rPr>
            </w:pPr>
            <w:r>
              <w:rPr>
                <w:rFonts w:cs="Times New Roman"/>
              </w:rPr>
              <w:t>DILI</w:t>
            </w:r>
          </w:p>
        </w:tc>
        <w:tc>
          <w:tcPr>
            <w:tcW w:w="2170" w:type="pct"/>
            <w:vAlign w:val="center"/>
          </w:tcPr>
          <w:p w14:paraId="5947BD38">
            <w:pPr>
              <w:pStyle w:val="60"/>
              <w:spacing w:line="276" w:lineRule="auto"/>
              <w:ind w:firstLine="0" w:firstLineChars="0"/>
              <w:jc w:val="center"/>
              <w:rPr>
                <w:rFonts w:cs="Times New Roman"/>
              </w:rPr>
            </w:pPr>
            <w:r>
              <w:rPr>
                <w:rFonts w:cs="Times New Roman"/>
              </w:rPr>
              <w:t>Drug-Induced Liver Injury</w:t>
            </w:r>
          </w:p>
        </w:tc>
        <w:tc>
          <w:tcPr>
            <w:tcW w:w="1896" w:type="pct"/>
            <w:vAlign w:val="center"/>
          </w:tcPr>
          <w:p w14:paraId="76155773">
            <w:pPr>
              <w:pStyle w:val="60"/>
              <w:spacing w:line="276" w:lineRule="auto"/>
              <w:ind w:firstLine="0" w:firstLineChars="0"/>
              <w:jc w:val="center"/>
              <w:rPr>
                <w:rFonts w:cs="Times New Roman"/>
              </w:rPr>
            </w:pPr>
            <w:r>
              <w:rPr>
                <w:rFonts w:hint="eastAsia" w:cs="Times New Roman"/>
              </w:rPr>
              <w:t>药物性肝损伤</w:t>
            </w:r>
          </w:p>
        </w:tc>
      </w:tr>
      <w:tr w14:paraId="41C44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C222134">
            <w:pPr>
              <w:pStyle w:val="60"/>
              <w:spacing w:line="276" w:lineRule="auto"/>
              <w:ind w:firstLine="0" w:firstLineChars="0"/>
              <w:jc w:val="center"/>
              <w:rPr>
                <w:rFonts w:cs="Times New Roman"/>
              </w:rPr>
            </w:pPr>
            <w:r>
              <w:rPr>
                <w:rFonts w:cs="Times New Roman"/>
              </w:rPr>
              <w:t>DLQI</w:t>
            </w:r>
          </w:p>
        </w:tc>
        <w:tc>
          <w:tcPr>
            <w:tcW w:w="2170" w:type="pct"/>
            <w:vAlign w:val="center"/>
          </w:tcPr>
          <w:p w14:paraId="778E3A85">
            <w:pPr>
              <w:pStyle w:val="60"/>
              <w:spacing w:line="276" w:lineRule="auto"/>
              <w:ind w:firstLine="0" w:firstLineChars="0"/>
              <w:jc w:val="center"/>
              <w:rPr>
                <w:rFonts w:cs="Times New Roman"/>
              </w:rPr>
            </w:pPr>
            <w:r>
              <w:rPr>
                <w:rFonts w:cs="Times New Roman"/>
              </w:rPr>
              <w:t>Dermatology Life Quality Index</w:t>
            </w:r>
          </w:p>
        </w:tc>
        <w:tc>
          <w:tcPr>
            <w:tcW w:w="1896" w:type="pct"/>
            <w:vAlign w:val="center"/>
          </w:tcPr>
          <w:p w14:paraId="47C8865D">
            <w:pPr>
              <w:pStyle w:val="60"/>
              <w:spacing w:line="276" w:lineRule="auto"/>
              <w:ind w:firstLine="0" w:firstLineChars="0"/>
              <w:jc w:val="center"/>
              <w:rPr>
                <w:rFonts w:cs="Times New Roman"/>
              </w:rPr>
            </w:pPr>
            <w:r>
              <w:rPr>
                <w:rFonts w:hint="eastAsia" w:cs="Times New Roman"/>
              </w:rPr>
              <w:t>皮肤病学生活质量指数</w:t>
            </w:r>
          </w:p>
        </w:tc>
      </w:tr>
      <w:tr w14:paraId="2DC7A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F5A3733">
            <w:pPr>
              <w:pStyle w:val="60"/>
              <w:spacing w:line="276" w:lineRule="auto"/>
              <w:ind w:firstLine="0" w:firstLineChars="0"/>
              <w:jc w:val="center"/>
              <w:rPr>
                <w:rFonts w:cs="Times New Roman"/>
              </w:rPr>
            </w:pPr>
            <w:r>
              <w:rPr>
                <w:rFonts w:cs="Times New Roman"/>
              </w:rPr>
              <w:t>DNA</w:t>
            </w:r>
          </w:p>
        </w:tc>
        <w:tc>
          <w:tcPr>
            <w:tcW w:w="2170" w:type="pct"/>
            <w:vAlign w:val="center"/>
          </w:tcPr>
          <w:p w14:paraId="327D17AA">
            <w:pPr>
              <w:pStyle w:val="60"/>
              <w:spacing w:line="276" w:lineRule="auto"/>
              <w:ind w:firstLine="0" w:firstLineChars="0"/>
              <w:jc w:val="center"/>
              <w:rPr>
                <w:rFonts w:cs="Times New Roman"/>
              </w:rPr>
            </w:pPr>
            <w:r>
              <w:rPr>
                <w:rFonts w:cs="Times New Roman"/>
              </w:rPr>
              <w:t>DeoxyriboNucleic Acid</w:t>
            </w:r>
          </w:p>
        </w:tc>
        <w:tc>
          <w:tcPr>
            <w:tcW w:w="1896" w:type="pct"/>
            <w:vAlign w:val="center"/>
          </w:tcPr>
          <w:p w14:paraId="6763671C">
            <w:pPr>
              <w:pStyle w:val="60"/>
              <w:spacing w:line="276" w:lineRule="auto"/>
              <w:ind w:firstLine="0" w:firstLineChars="0"/>
              <w:jc w:val="center"/>
              <w:rPr>
                <w:rFonts w:cs="Times New Roman"/>
              </w:rPr>
            </w:pPr>
            <w:r>
              <w:rPr>
                <w:rFonts w:hint="eastAsia" w:cs="Times New Roman"/>
              </w:rPr>
              <w:t>脱氧核糖核酸</w:t>
            </w:r>
          </w:p>
        </w:tc>
      </w:tr>
      <w:tr w14:paraId="5EFA6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8ABE773">
            <w:pPr>
              <w:pStyle w:val="60"/>
              <w:spacing w:line="276" w:lineRule="auto"/>
              <w:ind w:firstLine="0" w:firstLineChars="0"/>
              <w:jc w:val="center"/>
              <w:rPr>
                <w:rFonts w:cs="Times New Roman"/>
              </w:rPr>
            </w:pPr>
            <w:r>
              <w:rPr>
                <w:rFonts w:cs="Times New Roman"/>
              </w:rPr>
              <w:t>EC</w:t>
            </w:r>
          </w:p>
        </w:tc>
        <w:tc>
          <w:tcPr>
            <w:tcW w:w="2170" w:type="pct"/>
            <w:vAlign w:val="center"/>
          </w:tcPr>
          <w:p w14:paraId="64CCCF34">
            <w:pPr>
              <w:pStyle w:val="60"/>
              <w:spacing w:line="276" w:lineRule="auto"/>
              <w:ind w:firstLine="0" w:firstLineChars="0"/>
              <w:jc w:val="center"/>
              <w:rPr>
                <w:rFonts w:cs="Times New Roman"/>
              </w:rPr>
            </w:pPr>
            <w:r>
              <w:rPr>
                <w:rFonts w:cs="Times New Roman"/>
              </w:rPr>
              <w:t>Ethics Committee</w:t>
            </w:r>
          </w:p>
        </w:tc>
        <w:tc>
          <w:tcPr>
            <w:tcW w:w="1896" w:type="pct"/>
            <w:vAlign w:val="center"/>
          </w:tcPr>
          <w:p w14:paraId="4AC6641B">
            <w:pPr>
              <w:pStyle w:val="60"/>
              <w:spacing w:line="276" w:lineRule="auto"/>
              <w:ind w:firstLine="0" w:firstLineChars="0"/>
              <w:jc w:val="center"/>
              <w:rPr>
                <w:rFonts w:cs="Times New Roman"/>
              </w:rPr>
            </w:pPr>
            <w:r>
              <w:rPr>
                <w:rFonts w:hint="eastAsia" w:cs="Times New Roman"/>
              </w:rPr>
              <w:t>伦理委员会</w:t>
            </w:r>
          </w:p>
        </w:tc>
      </w:tr>
      <w:tr w14:paraId="5C679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D737C57">
            <w:pPr>
              <w:pStyle w:val="60"/>
              <w:spacing w:line="276" w:lineRule="auto"/>
              <w:ind w:firstLine="0" w:firstLineChars="0"/>
              <w:jc w:val="center"/>
              <w:rPr>
                <w:rFonts w:cs="Times New Roman"/>
              </w:rPr>
            </w:pPr>
            <w:r>
              <w:rPr>
                <w:rFonts w:cs="Times New Roman"/>
              </w:rPr>
              <w:t>ECG</w:t>
            </w:r>
          </w:p>
        </w:tc>
        <w:tc>
          <w:tcPr>
            <w:tcW w:w="2170" w:type="pct"/>
            <w:vAlign w:val="center"/>
          </w:tcPr>
          <w:p w14:paraId="0B659C37">
            <w:pPr>
              <w:pStyle w:val="60"/>
              <w:spacing w:line="276" w:lineRule="auto"/>
              <w:ind w:firstLine="0" w:firstLineChars="0"/>
              <w:jc w:val="center"/>
              <w:rPr>
                <w:rFonts w:cs="Times New Roman"/>
              </w:rPr>
            </w:pPr>
            <w:r>
              <w:rPr>
                <w:rFonts w:cs="Times New Roman"/>
              </w:rPr>
              <w:t>Electrocardiogram</w:t>
            </w:r>
          </w:p>
        </w:tc>
        <w:tc>
          <w:tcPr>
            <w:tcW w:w="1896" w:type="pct"/>
            <w:vAlign w:val="center"/>
          </w:tcPr>
          <w:p w14:paraId="75CAE313">
            <w:pPr>
              <w:pStyle w:val="60"/>
              <w:spacing w:line="276" w:lineRule="auto"/>
              <w:ind w:firstLine="0" w:firstLineChars="0"/>
              <w:jc w:val="center"/>
              <w:rPr>
                <w:rFonts w:cs="Times New Roman"/>
              </w:rPr>
            </w:pPr>
            <w:r>
              <w:rPr>
                <w:rFonts w:hint="eastAsia" w:cs="Times New Roman"/>
              </w:rPr>
              <w:t>心电图</w:t>
            </w:r>
          </w:p>
        </w:tc>
      </w:tr>
      <w:tr w14:paraId="4EE88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934" w:type="pct"/>
            <w:vAlign w:val="center"/>
          </w:tcPr>
          <w:p w14:paraId="71EDFF07">
            <w:pPr>
              <w:pStyle w:val="60"/>
              <w:spacing w:line="276" w:lineRule="auto"/>
              <w:ind w:firstLine="0" w:firstLineChars="0"/>
              <w:jc w:val="center"/>
              <w:rPr>
                <w:rFonts w:cs="Times New Roman"/>
              </w:rPr>
            </w:pPr>
            <w:r>
              <w:rPr>
                <w:rFonts w:cs="Times New Roman"/>
              </w:rPr>
              <w:t>eCRF</w:t>
            </w:r>
          </w:p>
        </w:tc>
        <w:tc>
          <w:tcPr>
            <w:tcW w:w="2170" w:type="pct"/>
            <w:vAlign w:val="center"/>
          </w:tcPr>
          <w:p w14:paraId="3C7B453B">
            <w:pPr>
              <w:pStyle w:val="60"/>
              <w:spacing w:line="276" w:lineRule="auto"/>
              <w:ind w:firstLine="0" w:firstLineChars="0"/>
              <w:jc w:val="center"/>
              <w:rPr>
                <w:rFonts w:cs="Times New Roman"/>
              </w:rPr>
            </w:pPr>
            <w:r>
              <w:rPr>
                <w:rFonts w:cs="Times New Roman"/>
              </w:rPr>
              <w:t>Electronic case report form</w:t>
            </w:r>
          </w:p>
        </w:tc>
        <w:tc>
          <w:tcPr>
            <w:tcW w:w="1896" w:type="pct"/>
            <w:vAlign w:val="center"/>
          </w:tcPr>
          <w:p w14:paraId="6F6DE9DF">
            <w:pPr>
              <w:pStyle w:val="60"/>
              <w:spacing w:line="276" w:lineRule="auto"/>
              <w:ind w:firstLine="0" w:firstLineChars="0"/>
              <w:jc w:val="center"/>
              <w:rPr>
                <w:rFonts w:cs="Times New Roman"/>
              </w:rPr>
            </w:pPr>
            <w:r>
              <w:rPr>
                <w:rFonts w:hint="eastAsia" w:cs="Times New Roman"/>
              </w:rPr>
              <w:t>电子病例报告表</w:t>
            </w:r>
          </w:p>
        </w:tc>
      </w:tr>
      <w:tr w14:paraId="29F7C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F998603">
            <w:pPr>
              <w:pStyle w:val="60"/>
              <w:spacing w:line="276" w:lineRule="auto"/>
              <w:ind w:firstLine="0" w:firstLineChars="0"/>
              <w:jc w:val="center"/>
              <w:rPr>
                <w:rFonts w:cs="Times New Roman"/>
              </w:rPr>
            </w:pPr>
            <w:r>
              <w:rPr>
                <w:rFonts w:cs="Times New Roman"/>
              </w:rPr>
              <w:t>EDC</w:t>
            </w:r>
          </w:p>
        </w:tc>
        <w:tc>
          <w:tcPr>
            <w:tcW w:w="2170" w:type="pct"/>
            <w:vAlign w:val="center"/>
          </w:tcPr>
          <w:p w14:paraId="0D3623E6">
            <w:pPr>
              <w:pStyle w:val="60"/>
              <w:spacing w:line="276" w:lineRule="auto"/>
              <w:ind w:firstLine="0" w:firstLineChars="0"/>
              <w:jc w:val="center"/>
              <w:rPr>
                <w:rFonts w:cs="Times New Roman"/>
              </w:rPr>
            </w:pPr>
            <w:r>
              <w:rPr>
                <w:rFonts w:cs="Times New Roman"/>
              </w:rPr>
              <w:t>Electronic data capture</w:t>
            </w:r>
          </w:p>
        </w:tc>
        <w:tc>
          <w:tcPr>
            <w:tcW w:w="1896" w:type="pct"/>
            <w:vAlign w:val="center"/>
          </w:tcPr>
          <w:p w14:paraId="573289BB">
            <w:pPr>
              <w:pStyle w:val="60"/>
              <w:spacing w:line="276" w:lineRule="auto"/>
              <w:ind w:firstLine="0" w:firstLineChars="0"/>
              <w:jc w:val="center"/>
              <w:rPr>
                <w:rFonts w:cs="Times New Roman"/>
              </w:rPr>
            </w:pPr>
            <w:r>
              <w:rPr>
                <w:rFonts w:hint="eastAsia" w:cs="Times New Roman"/>
              </w:rPr>
              <w:t>电子数据采集系统</w:t>
            </w:r>
          </w:p>
        </w:tc>
      </w:tr>
      <w:tr w14:paraId="459CB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7594B05">
            <w:pPr>
              <w:pStyle w:val="60"/>
              <w:spacing w:line="276" w:lineRule="auto"/>
              <w:ind w:firstLine="0" w:firstLineChars="0"/>
              <w:jc w:val="center"/>
              <w:rPr>
                <w:rFonts w:cs="Times New Roman"/>
              </w:rPr>
            </w:pPr>
            <w:r>
              <w:rPr>
                <w:rFonts w:cs="Times New Roman"/>
              </w:rPr>
              <w:t>FDA</w:t>
            </w:r>
          </w:p>
        </w:tc>
        <w:tc>
          <w:tcPr>
            <w:tcW w:w="2170" w:type="pct"/>
            <w:vAlign w:val="center"/>
          </w:tcPr>
          <w:p w14:paraId="33A6CBCB">
            <w:pPr>
              <w:pStyle w:val="60"/>
              <w:spacing w:line="276" w:lineRule="auto"/>
              <w:ind w:firstLine="0" w:firstLineChars="0"/>
              <w:jc w:val="center"/>
              <w:rPr>
                <w:rFonts w:cs="Times New Roman"/>
              </w:rPr>
            </w:pPr>
            <w:r>
              <w:rPr>
                <w:rFonts w:cs="Times New Roman"/>
              </w:rPr>
              <w:t>Food and Drug Administration</w:t>
            </w:r>
          </w:p>
        </w:tc>
        <w:tc>
          <w:tcPr>
            <w:tcW w:w="1896" w:type="pct"/>
            <w:vAlign w:val="center"/>
          </w:tcPr>
          <w:p w14:paraId="1118F1FC">
            <w:pPr>
              <w:pStyle w:val="60"/>
              <w:spacing w:line="276" w:lineRule="auto"/>
              <w:ind w:firstLine="0" w:firstLineChars="0"/>
              <w:jc w:val="center"/>
              <w:rPr>
                <w:rFonts w:cs="Times New Roman"/>
              </w:rPr>
            </w:pPr>
            <w:r>
              <w:rPr>
                <w:rFonts w:hint="eastAsia" w:cs="Times New Roman"/>
              </w:rPr>
              <w:t>美国食品药物管理局</w:t>
            </w:r>
          </w:p>
        </w:tc>
      </w:tr>
      <w:tr w14:paraId="24ECE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79993E1">
            <w:pPr>
              <w:pStyle w:val="60"/>
              <w:spacing w:line="276" w:lineRule="auto"/>
              <w:ind w:firstLine="0" w:firstLineChars="0"/>
              <w:jc w:val="center"/>
              <w:rPr>
                <w:rFonts w:cs="Times New Roman"/>
              </w:rPr>
            </w:pPr>
            <w:r>
              <w:rPr>
                <w:rFonts w:cs="Times New Roman"/>
              </w:rPr>
              <w:t>FIB</w:t>
            </w:r>
          </w:p>
        </w:tc>
        <w:tc>
          <w:tcPr>
            <w:tcW w:w="2170" w:type="pct"/>
            <w:vAlign w:val="center"/>
          </w:tcPr>
          <w:p w14:paraId="33C2839A">
            <w:pPr>
              <w:pStyle w:val="60"/>
              <w:spacing w:line="276" w:lineRule="auto"/>
              <w:ind w:firstLine="0" w:firstLineChars="0"/>
              <w:jc w:val="center"/>
              <w:rPr>
                <w:rFonts w:cs="Times New Roman"/>
              </w:rPr>
            </w:pPr>
            <w:r>
              <w:rPr>
                <w:rFonts w:cs="Times New Roman"/>
              </w:rPr>
              <w:t>Fibrinogen</w:t>
            </w:r>
          </w:p>
        </w:tc>
        <w:tc>
          <w:tcPr>
            <w:tcW w:w="1896" w:type="pct"/>
            <w:vAlign w:val="center"/>
          </w:tcPr>
          <w:p w14:paraId="5276FD1B">
            <w:pPr>
              <w:pStyle w:val="60"/>
              <w:spacing w:line="276" w:lineRule="auto"/>
              <w:ind w:firstLine="0" w:firstLineChars="0"/>
              <w:jc w:val="center"/>
              <w:rPr>
                <w:rFonts w:cs="Times New Roman"/>
              </w:rPr>
            </w:pPr>
            <w:r>
              <w:rPr>
                <w:rFonts w:cs="Times New Roman"/>
              </w:rPr>
              <w:t>血浆纤维蛋白原</w:t>
            </w:r>
          </w:p>
        </w:tc>
      </w:tr>
      <w:tr w14:paraId="23A89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2775BF2">
            <w:pPr>
              <w:pStyle w:val="60"/>
              <w:spacing w:line="276" w:lineRule="auto"/>
              <w:ind w:firstLine="0" w:firstLineChars="0"/>
              <w:jc w:val="center"/>
              <w:rPr>
                <w:rFonts w:cs="Times New Roman"/>
              </w:rPr>
            </w:pPr>
            <w:r>
              <w:rPr>
                <w:rFonts w:cs="Times New Roman"/>
              </w:rPr>
              <w:t>FSH</w:t>
            </w:r>
          </w:p>
        </w:tc>
        <w:tc>
          <w:tcPr>
            <w:tcW w:w="2170" w:type="pct"/>
            <w:vAlign w:val="center"/>
          </w:tcPr>
          <w:p w14:paraId="2F85BCA3">
            <w:pPr>
              <w:pStyle w:val="60"/>
              <w:spacing w:line="276" w:lineRule="auto"/>
              <w:ind w:firstLine="0" w:firstLineChars="0"/>
              <w:jc w:val="center"/>
              <w:rPr>
                <w:rFonts w:cs="Times New Roman"/>
              </w:rPr>
            </w:pPr>
            <w:r>
              <w:rPr>
                <w:rFonts w:cs="Times New Roman"/>
              </w:rPr>
              <w:t>Follicle-stimulating hormone</w:t>
            </w:r>
          </w:p>
        </w:tc>
        <w:tc>
          <w:tcPr>
            <w:tcW w:w="1896" w:type="pct"/>
            <w:vAlign w:val="center"/>
          </w:tcPr>
          <w:p w14:paraId="25F2EE4A">
            <w:pPr>
              <w:pStyle w:val="60"/>
              <w:spacing w:line="276" w:lineRule="auto"/>
              <w:ind w:firstLine="0" w:firstLineChars="0"/>
              <w:jc w:val="center"/>
              <w:rPr>
                <w:rFonts w:cs="Times New Roman"/>
              </w:rPr>
            </w:pPr>
            <w:r>
              <w:rPr>
                <w:rFonts w:cs="Times New Roman"/>
              </w:rPr>
              <w:t>卵泡刺激素</w:t>
            </w:r>
          </w:p>
        </w:tc>
      </w:tr>
      <w:tr w14:paraId="35FAB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0DD2F68">
            <w:pPr>
              <w:pStyle w:val="60"/>
              <w:spacing w:line="276" w:lineRule="auto"/>
              <w:ind w:firstLine="0" w:firstLineChars="0"/>
              <w:jc w:val="center"/>
              <w:rPr>
                <w:rFonts w:cs="Times New Roman"/>
              </w:rPr>
            </w:pPr>
            <w:r>
              <w:rPr>
                <w:rFonts w:cs="Times New Roman"/>
              </w:rPr>
              <w:t>GCP</w:t>
            </w:r>
          </w:p>
        </w:tc>
        <w:tc>
          <w:tcPr>
            <w:tcW w:w="2170" w:type="pct"/>
            <w:vAlign w:val="center"/>
          </w:tcPr>
          <w:p w14:paraId="0E421491">
            <w:pPr>
              <w:pStyle w:val="60"/>
              <w:spacing w:line="276" w:lineRule="auto"/>
              <w:ind w:firstLine="0" w:firstLineChars="0"/>
              <w:jc w:val="center"/>
              <w:rPr>
                <w:rFonts w:cs="Times New Roman"/>
              </w:rPr>
            </w:pPr>
            <w:r>
              <w:rPr>
                <w:rFonts w:cs="Times New Roman"/>
              </w:rPr>
              <w:t>Good Clinical Practice</w:t>
            </w:r>
          </w:p>
        </w:tc>
        <w:tc>
          <w:tcPr>
            <w:tcW w:w="1896" w:type="pct"/>
            <w:vAlign w:val="center"/>
          </w:tcPr>
          <w:p w14:paraId="6817CA9D">
            <w:pPr>
              <w:pStyle w:val="60"/>
              <w:spacing w:line="276" w:lineRule="auto"/>
              <w:ind w:firstLine="0" w:firstLineChars="0"/>
              <w:jc w:val="center"/>
              <w:rPr>
                <w:rFonts w:cs="Times New Roman"/>
              </w:rPr>
            </w:pPr>
            <w:r>
              <w:rPr>
                <w:rFonts w:hint="eastAsia" w:cs="Times New Roman"/>
              </w:rPr>
              <w:t>药物临床试验质量管理规范</w:t>
            </w:r>
          </w:p>
        </w:tc>
      </w:tr>
      <w:tr w14:paraId="4EE39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B342764">
            <w:pPr>
              <w:pStyle w:val="60"/>
              <w:spacing w:line="276" w:lineRule="auto"/>
              <w:ind w:firstLine="0" w:firstLineChars="0"/>
              <w:jc w:val="center"/>
              <w:rPr>
                <w:rFonts w:cs="Times New Roman"/>
              </w:rPr>
            </w:pPr>
            <w:r>
              <w:rPr>
                <w:rFonts w:cs="Times New Roman"/>
              </w:rPr>
              <w:t>eGFR</w:t>
            </w:r>
          </w:p>
        </w:tc>
        <w:tc>
          <w:tcPr>
            <w:tcW w:w="2170" w:type="pct"/>
            <w:vAlign w:val="center"/>
          </w:tcPr>
          <w:p w14:paraId="46097781">
            <w:pPr>
              <w:pStyle w:val="60"/>
              <w:spacing w:line="276" w:lineRule="auto"/>
              <w:ind w:firstLine="0" w:firstLineChars="0"/>
              <w:jc w:val="center"/>
              <w:rPr>
                <w:rFonts w:cs="Times New Roman"/>
              </w:rPr>
            </w:pPr>
            <w:r>
              <w:rPr>
                <w:rFonts w:cs="Times New Roman"/>
                <w:bCs/>
                <w:color w:val="000000"/>
                <w:kern w:val="2"/>
                <w:szCs w:val="21"/>
              </w:rPr>
              <w:t>estimated</w:t>
            </w:r>
            <w:r>
              <w:rPr>
                <w:rFonts w:cs="Times New Roman"/>
              </w:rPr>
              <w:t xml:space="preserve"> Glomerular filtration rate</w:t>
            </w:r>
          </w:p>
        </w:tc>
        <w:tc>
          <w:tcPr>
            <w:tcW w:w="1896" w:type="pct"/>
            <w:vAlign w:val="center"/>
          </w:tcPr>
          <w:p w14:paraId="47EDB048">
            <w:pPr>
              <w:pStyle w:val="60"/>
              <w:spacing w:line="276" w:lineRule="auto"/>
              <w:ind w:firstLine="0" w:firstLineChars="0"/>
              <w:jc w:val="center"/>
              <w:rPr>
                <w:rFonts w:cs="Times New Roman"/>
              </w:rPr>
            </w:pPr>
            <w:r>
              <w:rPr>
                <w:rFonts w:hint="eastAsia" w:cs="Times New Roman"/>
              </w:rPr>
              <w:t>估算的</w:t>
            </w:r>
            <w:r>
              <w:rPr>
                <w:rFonts w:cs="Times New Roman"/>
              </w:rPr>
              <w:t>肾小球滤过率</w:t>
            </w:r>
          </w:p>
        </w:tc>
      </w:tr>
      <w:tr w14:paraId="439EF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B3EC7C6">
            <w:pPr>
              <w:pStyle w:val="60"/>
              <w:spacing w:line="276" w:lineRule="auto"/>
              <w:ind w:firstLine="0" w:firstLineChars="0"/>
              <w:jc w:val="center"/>
              <w:rPr>
                <w:rFonts w:cs="Times New Roman"/>
              </w:rPr>
            </w:pPr>
            <w:r>
              <w:rPr>
                <w:rFonts w:cs="Times New Roman"/>
              </w:rPr>
              <w:t>GGT</w:t>
            </w:r>
          </w:p>
        </w:tc>
        <w:tc>
          <w:tcPr>
            <w:tcW w:w="2170" w:type="pct"/>
            <w:vAlign w:val="center"/>
          </w:tcPr>
          <w:p w14:paraId="09367531">
            <w:pPr>
              <w:pStyle w:val="60"/>
              <w:spacing w:line="276" w:lineRule="auto"/>
              <w:ind w:firstLine="0" w:firstLineChars="0"/>
              <w:jc w:val="center"/>
              <w:rPr>
                <w:rFonts w:cs="Times New Roman"/>
              </w:rPr>
            </w:pPr>
            <w:r>
              <w:rPr>
                <w:rFonts w:cs="Times New Roman"/>
              </w:rPr>
              <w:t>Gamma-glutamyl transferase</w:t>
            </w:r>
          </w:p>
        </w:tc>
        <w:tc>
          <w:tcPr>
            <w:tcW w:w="1896" w:type="pct"/>
            <w:vAlign w:val="center"/>
          </w:tcPr>
          <w:p w14:paraId="3B028DC8">
            <w:pPr>
              <w:pStyle w:val="60"/>
              <w:spacing w:line="276" w:lineRule="auto"/>
              <w:ind w:firstLine="0" w:firstLineChars="0"/>
              <w:jc w:val="center"/>
              <w:rPr>
                <w:rFonts w:cs="Times New Roman"/>
              </w:rPr>
            </w:pPr>
            <w:r>
              <w:rPr>
                <w:rFonts w:cs="Times New Roman"/>
              </w:rPr>
              <w:t>谷氨酰转肽酶</w:t>
            </w:r>
          </w:p>
        </w:tc>
      </w:tr>
      <w:tr w14:paraId="08F0F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4ED73EA">
            <w:pPr>
              <w:pStyle w:val="60"/>
              <w:spacing w:line="276" w:lineRule="auto"/>
              <w:ind w:firstLine="0" w:firstLineChars="0"/>
              <w:jc w:val="center"/>
              <w:rPr>
                <w:rFonts w:cs="Times New Roman"/>
              </w:rPr>
            </w:pPr>
            <w:r>
              <w:rPr>
                <w:rFonts w:cs="Times New Roman"/>
              </w:rPr>
              <w:t>GLO</w:t>
            </w:r>
          </w:p>
        </w:tc>
        <w:tc>
          <w:tcPr>
            <w:tcW w:w="2170" w:type="pct"/>
            <w:vAlign w:val="center"/>
          </w:tcPr>
          <w:p w14:paraId="097394EC">
            <w:pPr>
              <w:pStyle w:val="60"/>
              <w:spacing w:line="276" w:lineRule="auto"/>
              <w:ind w:firstLine="0" w:firstLineChars="0"/>
              <w:jc w:val="center"/>
              <w:rPr>
                <w:rFonts w:cs="Times New Roman"/>
              </w:rPr>
            </w:pPr>
            <w:r>
              <w:rPr>
                <w:rFonts w:cs="Times New Roman"/>
              </w:rPr>
              <w:t>Globulin</w:t>
            </w:r>
          </w:p>
        </w:tc>
        <w:tc>
          <w:tcPr>
            <w:tcW w:w="1896" w:type="pct"/>
            <w:vAlign w:val="center"/>
          </w:tcPr>
          <w:p w14:paraId="085B9D5A">
            <w:pPr>
              <w:pStyle w:val="60"/>
              <w:spacing w:line="276" w:lineRule="auto"/>
              <w:ind w:firstLine="0" w:firstLineChars="0"/>
              <w:jc w:val="center"/>
              <w:rPr>
                <w:rFonts w:cs="Times New Roman"/>
              </w:rPr>
            </w:pPr>
            <w:r>
              <w:rPr>
                <w:rFonts w:cs="Times New Roman"/>
              </w:rPr>
              <w:t>球蛋白</w:t>
            </w:r>
          </w:p>
        </w:tc>
      </w:tr>
      <w:tr w14:paraId="640DC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8636E2F">
            <w:pPr>
              <w:pStyle w:val="60"/>
              <w:spacing w:line="276" w:lineRule="auto"/>
              <w:ind w:firstLine="0" w:firstLineChars="0"/>
              <w:jc w:val="center"/>
              <w:rPr>
                <w:rFonts w:cs="Times New Roman"/>
              </w:rPr>
            </w:pPr>
            <w:r>
              <w:rPr>
                <w:rFonts w:cs="Times New Roman"/>
              </w:rPr>
              <w:t>GLU</w:t>
            </w:r>
          </w:p>
        </w:tc>
        <w:tc>
          <w:tcPr>
            <w:tcW w:w="2170" w:type="pct"/>
            <w:vAlign w:val="center"/>
          </w:tcPr>
          <w:p w14:paraId="1CF67B17">
            <w:pPr>
              <w:pStyle w:val="60"/>
              <w:spacing w:line="276" w:lineRule="auto"/>
              <w:ind w:firstLine="0" w:firstLineChars="0"/>
              <w:jc w:val="center"/>
              <w:rPr>
                <w:rFonts w:cs="Times New Roman"/>
              </w:rPr>
            </w:pPr>
            <w:r>
              <w:rPr>
                <w:rFonts w:cs="Times New Roman"/>
              </w:rPr>
              <w:t>Glucose</w:t>
            </w:r>
          </w:p>
        </w:tc>
        <w:tc>
          <w:tcPr>
            <w:tcW w:w="1896" w:type="pct"/>
            <w:vAlign w:val="center"/>
          </w:tcPr>
          <w:p w14:paraId="4F44618A">
            <w:pPr>
              <w:pStyle w:val="60"/>
              <w:spacing w:line="276" w:lineRule="auto"/>
              <w:ind w:firstLine="0" w:firstLineChars="0"/>
              <w:jc w:val="center"/>
              <w:rPr>
                <w:rFonts w:cs="Times New Roman"/>
              </w:rPr>
            </w:pPr>
            <w:r>
              <w:rPr>
                <w:rFonts w:cs="Times New Roman"/>
              </w:rPr>
              <w:t>葡萄糖</w:t>
            </w:r>
          </w:p>
        </w:tc>
      </w:tr>
      <w:tr w14:paraId="191BF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934" w:type="pct"/>
            <w:vAlign w:val="center"/>
          </w:tcPr>
          <w:p w14:paraId="06D77587">
            <w:pPr>
              <w:pStyle w:val="60"/>
              <w:spacing w:line="276" w:lineRule="auto"/>
              <w:ind w:firstLine="0" w:firstLineChars="0"/>
              <w:jc w:val="center"/>
              <w:rPr>
                <w:rFonts w:cs="Times New Roman"/>
              </w:rPr>
            </w:pPr>
            <w:r>
              <w:rPr>
                <w:rFonts w:cs="Times New Roman"/>
              </w:rPr>
              <w:t>Hb</w:t>
            </w:r>
          </w:p>
        </w:tc>
        <w:tc>
          <w:tcPr>
            <w:tcW w:w="2170" w:type="pct"/>
            <w:vAlign w:val="center"/>
          </w:tcPr>
          <w:p w14:paraId="56F75600">
            <w:pPr>
              <w:pStyle w:val="60"/>
              <w:spacing w:line="276" w:lineRule="auto"/>
              <w:ind w:firstLine="0" w:firstLineChars="0"/>
              <w:jc w:val="center"/>
              <w:rPr>
                <w:rFonts w:cs="Times New Roman"/>
              </w:rPr>
            </w:pPr>
            <w:r>
              <w:rPr>
                <w:rFonts w:cs="Times New Roman"/>
              </w:rPr>
              <w:t>Hemoglobin</w:t>
            </w:r>
          </w:p>
        </w:tc>
        <w:tc>
          <w:tcPr>
            <w:tcW w:w="1896" w:type="pct"/>
            <w:vAlign w:val="center"/>
          </w:tcPr>
          <w:p w14:paraId="6346F01B">
            <w:pPr>
              <w:pStyle w:val="60"/>
              <w:spacing w:line="276" w:lineRule="auto"/>
              <w:ind w:firstLine="0" w:firstLineChars="0"/>
              <w:jc w:val="center"/>
              <w:rPr>
                <w:rFonts w:cs="Times New Roman"/>
              </w:rPr>
            </w:pPr>
            <w:r>
              <w:rPr>
                <w:rFonts w:cs="Times New Roman"/>
              </w:rPr>
              <w:t>血红蛋白</w:t>
            </w:r>
          </w:p>
        </w:tc>
      </w:tr>
      <w:tr w14:paraId="036ED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9188B3F">
            <w:pPr>
              <w:pStyle w:val="60"/>
              <w:spacing w:line="276" w:lineRule="auto"/>
              <w:ind w:firstLine="0" w:firstLineChars="0"/>
              <w:jc w:val="center"/>
              <w:rPr>
                <w:rFonts w:cs="Times New Roman"/>
              </w:rPr>
            </w:pPr>
            <w:r>
              <w:rPr>
                <w:rFonts w:cs="Times New Roman"/>
              </w:rPr>
              <w:t>HbA1c</w:t>
            </w:r>
          </w:p>
        </w:tc>
        <w:tc>
          <w:tcPr>
            <w:tcW w:w="2170" w:type="pct"/>
            <w:vAlign w:val="center"/>
          </w:tcPr>
          <w:p w14:paraId="74290BB8">
            <w:pPr>
              <w:pStyle w:val="60"/>
              <w:spacing w:line="276" w:lineRule="auto"/>
              <w:ind w:firstLine="0" w:firstLineChars="0"/>
              <w:jc w:val="center"/>
              <w:rPr>
                <w:rFonts w:cs="Times New Roman"/>
              </w:rPr>
            </w:pPr>
            <w:r>
              <w:rPr>
                <w:rFonts w:cs="Times New Roman"/>
              </w:rPr>
              <w:t>Glycated Haemoglobin A1c</w:t>
            </w:r>
          </w:p>
        </w:tc>
        <w:tc>
          <w:tcPr>
            <w:tcW w:w="1896" w:type="pct"/>
            <w:vAlign w:val="center"/>
          </w:tcPr>
          <w:p w14:paraId="451780B0">
            <w:pPr>
              <w:pStyle w:val="60"/>
              <w:spacing w:line="276" w:lineRule="auto"/>
              <w:ind w:firstLine="0" w:firstLineChars="0"/>
              <w:jc w:val="center"/>
              <w:rPr>
                <w:rFonts w:cs="Times New Roman"/>
              </w:rPr>
            </w:pPr>
            <w:r>
              <w:rPr>
                <w:rFonts w:cs="Times New Roman"/>
              </w:rPr>
              <w:t>糖化血红蛋白</w:t>
            </w:r>
          </w:p>
        </w:tc>
      </w:tr>
      <w:tr w14:paraId="305A7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5092E05">
            <w:pPr>
              <w:pStyle w:val="60"/>
              <w:spacing w:line="276" w:lineRule="auto"/>
              <w:ind w:firstLine="0" w:firstLineChars="0"/>
              <w:jc w:val="center"/>
              <w:rPr>
                <w:rFonts w:cs="Times New Roman"/>
              </w:rPr>
            </w:pPr>
            <w:r>
              <w:rPr>
                <w:rFonts w:cs="Times New Roman"/>
              </w:rPr>
              <w:t>HBcAb</w:t>
            </w:r>
          </w:p>
        </w:tc>
        <w:tc>
          <w:tcPr>
            <w:tcW w:w="2170" w:type="pct"/>
            <w:vAlign w:val="center"/>
          </w:tcPr>
          <w:p w14:paraId="4A110B53">
            <w:pPr>
              <w:pStyle w:val="60"/>
              <w:spacing w:line="276" w:lineRule="auto"/>
              <w:ind w:firstLine="0" w:firstLineChars="0"/>
              <w:jc w:val="center"/>
              <w:rPr>
                <w:rFonts w:cs="Times New Roman"/>
              </w:rPr>
            </w:pPr>
            <w:r>
              <w:rPr>
                <w:rFonts w:cs="Times New Roman"/>
              </w:rPr>
              <w:t>Hepatitis B surface antibody</w:t>
            </w:r>
          </w:p>
        </w:tc>
        <w:tc>
          <w:tcPr>
            <w:tcW w:w="1896" w:type="pct"/>
            <w:vAlign w:val="center"/>
          </w:tcPr>
          <w:p w14:paraId="27CBF61E">
            <w:pPr>
              <w:pStyle w:val="60"/>
              <w:spacing w:line="276" w:lineRule="auto"/>
              <w:ind w:firstLine="0" w:firstLineChars="0"/>
              <w:jc w:val="center"/>
              <w:rPr>
                <w:rFonts w:cs="Times New Roman"/>
              </w:rPr>
            </w:pPr>
            <w:r>
              <w:rPr>
                <w:rFonts w:hint="eastAsia" w:cs="Times New Roman"/>
              </w:rPr>
              <w:t>乙肝</w:t>
            </w:r>
            <w:r>
              <w:rPr>
                <w:rFonts w:cs="Times New Roman"/>
              </w:rPr>
              <w:t>核心抗体</w:t>
            </w:r>
          </w:p>
        </w:tc>
      </w:tr>
      <w:tr w14:paraId="3C8B6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9434D1F">
            <w:pPr>
              <w:pStyle w:val="60"/>
              <w:spacing w:line="276" w:lineRule="auto"/>
              <w:ind w:firstLine="0" w:firstLineChars="0"/>
              <w:jc w:val="center"/>
              <w:rPr>
                <w:rFonts w:cs="Times New Roman"/>
              </w:rPr>
            </w:pPr>
            <w:r>
              <w:rPr>
                <w:rFonts w:cs="Times New Roman"/>
              </w:rPr>
              <w:t>HBsAg</w:t>
            </w:r>
          </w:p>
        </w:tc>
        <w:tc>
          <w:tcPr>
            <w:tcW w:w="2170" w:type="pct"/>
            <w:vAlign w:val="center"/>
          </w:tcPr>
          <w:p w14:paraId="533EC56F">
            <w:pPr>
              <w:pStyle w:val="60"/>
              <w:spacing w:line="276" w:lineRule="auto"/>
              <w:ind w:firstLine="0" w:firstLineChars="0"/>
              <w:jc w:val="center"/>
              <w:rPr>
                <w:rFonts w:cs="Times New Roman"/>
              </w:rPr>
            </w:pPr>
            <w:r>
              <w:rPr>
                <w:rFonts w:cs="Times New Roman"/>
              </w:rPr>
              <w:t>Hepatitis B surface antigen</w:t>
            </w:r>
          </w:p>
        </w:tc>
        <w:tc>
          <w:tcPr>
            <w:tcW w:w="1896" w:type="pct"/>
            <w:vAlign w:val="center"/>
          </w:tcPr>
          <w:p w14:paraId="4153190D">
            <w:pPr>
              <w:pStyle w:val="60"/>
              <w:spacing w:line="276" w:lineRule="auto"/>
              <w:ind w:firstLine="0" w:firstLineChars="0"/>
              <w:jc w:val="center"/>
              <w:rPr>
                <w:rFonts w:cs="Times New Roman"/>
              </w:rPr>
            </w:pPr>
            <w:r>
              <w:rPr>
                <w:rFonts w:hint="eastAsia" w:cs="Times New Roman"/>
              </w:rPr>
              <w:t>乙肝</w:t>
            </w:r>
            <w:r>
              <w:rPr>
                <w:rFonts w:cs="Times New Roman"/>
              </w:rPr>
              <w:t>表面抗原</w:t>
            </w:r>
          </w:p>
        </w:tc>
      </w:tr>
      <w:tr w14:paraId="7E696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B3D7AB0">
            <w:pPr>
              <w:pStyle w:val="60"/>
              <w:spacing w:line="276" w:lineRule="auto"/>
              <w:ind w:firstLine="0" w:firstLineChars="0"/>
              <w:jc w:val="center"/>
              <w:rPr>
                <w:rFonts w:cs="Times New Roman"/>
              </w:rPr>
            </w:pPr>
            <w:r>
              <w:rPr>
                <w:rFonts w:cs="Times New Roman"/>
              </w:rPr>
              <w:t>HBV-DNA</w:t>
            </w:r>
          </w:p>
        </w:tc>
        <w:tc>
          <w:tcPr>
            <w:tcW w:w="2170" w:type="pct"/>
            <w:vAlign w:val="center"/>
          </w:tcPr>
          <w:p w14:paraId="42D17B01">
            <w:pPr>
              <w:pStyle w:val="60"/>
              <w:spacing w:line="276" w:lineRule="auto"/>
              <w:ind w:firstLine="0" w:firstLineChars="0"/>
              <w:jc w:val="center"/>
              <w:rPr>
                <w:rFonts w:cs="Times New Roman"/>
              </w:rPr>
            </w:pPr>
            <w:r>
              <w:rPr>
                <w:rFonts w:cs="Times New Roman"/>
              </w:rPr>
              <w:t>Hepatitis B virus Deoxyribonucleic acid</w:t>
            </w:r>
          </w:p>
        </w:tc>
        <w:tc>
          <w:tcPr>
            <w:tcW w:w="1896" w:type="pct"/>
            <w:vAlign w:val="center"/>
          </w:tcPr>
          <w:p w14:paraId="6D1DDD81">
            <w:pPr>
              <w:pStyle w:val="60"/>
              <w:spacing w:line="276" w:lineRule="auto"/>
              <w:ind w:firstLine="0" w:firstLineChars="0"/>
              <w:jc w:val="center"/>
              <w:rPr>
                <w:rFonts w:cs="Times New Roman"/>
              </w:rPr>
            </w:pPr>
            <w:r>
              <w:rPr>
                <w:rFonts w:cs="Times New Roman"/>
              </w:rPr>
              <w:t>乙型肝炎病毒脱氧核糖核酸</w:t>
            </w:r>
          </w:p>
        </w:tc>
      </w:tr>
      <w:tr w14:paraId="0EC55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50648DC">
            <w:pPr>
              <w:pStyle w:val="60"/>
              <w:spacing w:line="276" w:lineRule="auto"/>
              <w:ind w:firstLine="0" w:firstLineChars="0"/>
              <w:jc w:val="center"/>
              <w:rPr>
                <w:rFonts w:cs="Times New Roman"/>
              </w:rPr>
            </w:pPr>
            <w:r>
              <w:rPr>
                <w:rFonts w:cs="Times New Roman"/>
              </w:rPr>
              <w:t>HCT</w:t>
            </w:r>
          </w:p>
        </w:tc>
        <w:tc>
          <w:tcPr>
            <w:tcW w:w="2170" w:type="pct"/>
            <w:vAlign w:val="center"/>
          </w:tcPr>
          <w:p w14:paraId="2E96979E">
            <w:pPr>
              <w:pStyle w:val="60"/>
              <w:spacing w:line="276" w:lineRule="auto"/>
              <w:ind w:firstLine="0" w:firstLineChars="0"/>
              <w:jc w:val="center"/>
              <w:rPr>
                <w:rFonts w:cs="Times New Roman"/>
              </w:rPr>
            </w:pPr>
            <w:r>
              <w:rPr>
                <w:rFonts w:cs="Times New Roman"/>
              </w:rPr>
              <w:t>Hematocrit</w:t>
            </w:r>
          </w:p>
        </w:tc>
        <w:tc>
          <w:tcPr>
            <w:tcW w:w="1896" w:type="pct"/>
            <w:vAlign w:val="center"/>
          </w:tcPr>
          <w:p w14:paraId="724DF2C9">
            <w:pPr>
              <w:pStyle w:val="60"/>
              <w:spacing w:line="276" w:lineRule="auto"/>
              <w:ind w:firstLine="0" w:firstLineChars="0"/>
              <w:jc w:val="center"/>
              <w:rPr>
                <w:rFonts w:cs="Times New Roman"/>
              </w:rPr>
            </w:pPr>
            <w:r>
              <w:rPr>
                <w:rFonts w:cs="Times New Roman"/>
              </w:rPr>
              <w:t>血细胞比容</w:t>
            </w:r>
          </w:p>
        </w:tc>
      </w:tr>
      <w:tr w14:paraId="3B04E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A380EE2">
            <w:pPr>
              <w:pStyle w:val="60"/>
              <w:spacing w:line="276" w:lineRule="auto"/>
              <w:ind w:firstLine="0" w:firstLineChars="0"/>
              <w:jc w:val="center"/>
              <w:rPr>
                <w:rFonts w:cs="Times New Roman"/>
              </w:rPr>
            </w:pPr>
            <w:r>
              <w:rPr>
                <w:rFonts w:cs="Times New Roman"/>
              </w:rPr>
              <w:t>HCV</w:t>
            </w:r>
          </w:p>
        </w:tc>
        <w:tc>
          <w:tcPr>
            <w:tcW w:w="2170" w:type="pct"/>
            <w:vAlign w:val="center"/>
          </w:tcPr>
          <w:p w14:paraId="6552E320">
            <w:pPr>
              <w:pStyle w:val="60"/>
              <w:spacing w:line="276" w:lineRule="auto"/>
              <w:ind w:firstLine="0" w:firstLineChars="0"/>
              <w:jc w:val="center"/>
              <w:rPr>
                <w:rFonts w:cs="Times New Roman"/>
              </w:rPr>
            </w:pPr>
            <w:r>
              <w:rPr>
                <w:rFonts w:cs="Times New Roman"/>
              </w:rPr>
              <w:t>Hepatitis C Virus</w:t>
            </w:r>
          </w:p>
        </w:tc>
        <w:tc>
          <w:tcPr>
            <w:tcW w:w="1896" w:type="pct"/>
            <w:vAlign w:val="center"/>
          </w:tcPr>
          <w:p w14:paraId="54CCEC00">
            <w:pPr>
              <w:pStyle w:val="60"/>
              <w:spacing w:line="276" w:lineRule="auto"/>
              <w:ind w:firstLine="0" w:firstLineChars="0"/>
              <w:jc w:val="center"/>
              <w:rPr>
                <w:rFonts w:cs="Times New Roman"/>
              </w:rPr>
            </w:pPr>
            <w:r>
              <w:rPr>
                <w:rFonts w:cs="Times New Roman"/>
              </w:rPr>
              <w:t>丙型肝炎</w:t>
            </w:r>
            <w:r>
              <w:rPr>
                <w:rFonts w:hint="eastAsia" w:cs="Times New Roman"/>
              </w:rPr>
              <w:t>病毒</w:t>
            </w:r>
          </w:p>
        </w:tc>
      </w:tr>
      <w:tr w14:paraId="7592F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91B9851">
            <w:pPr>
              <w:pStyle w:val="60"/>
              <w:spacing w:line="276" w:lineRule="auto"/>
              <w:ind w:firstLine="0" w:firstLineChars="0"/>
              <w:jc w:val="center"/>
              <w:rPr>
                <w:rFonts w:cs="Times New Roman"/>
              </w:rPr>
            </w:pPr>
            <w:r>
              <w:rPr>
                <w:rFonts w:cs="Times New Roman"/>
              </w:rPr>
              <w:t>HCV-RNA</w:t>
            </w:r>
          </w:p>
        </w:tc>
        <w:tc>
          <w:tcPr>
            <w:tcW w:w="2170" w:type="pct"/>
            <w:vAlign w:val="center"/>
          </w:tcPr>
          <w:p w14:paraId="54ED86B4">
            <w:pPr>
              <w:pStyle w:val="60"/>
              <w:spacing w:line="276" w:lineRule="auto"/>
              <w:ind w:firstLine="0" w:firstLineChars="0"/>
              <w:jc w:val="center"/>
              <w:rPr>
                <w:rFonts w:cs="Times New Roman"/>
              </w:rPr>
            </w:pPr>
            <w:r>
              <w:rPr>
                <w:rFonts w:cs="Times New Roman"/>
              </w:rPr>
              <w:t>Hepatitis C Virus Ribonucleic Acid</w:t>
            </w:r>
          </w:p>
        </w:tc>
        <w:tc>
          <w:tcPr>
            <w:tcW w:w="1896" w:type="pct"/>
            <w:vAlign w:val="center"/>
          </w:tcPr>
          <w:p w14:paraId="5255660C">
            <w:pPr>
              <w:pStyle w:val="60"/>
              <w:spacing w:line="276" w:lineRule="auto"/>
              <w:ind w:firstLine="0" w:firstLineChars="0"/>
              <w:jc w:val="center"/>
              <w:rPr>
                <w:rFonts w:cs="Times New Roman"/>
              </w:rPr>
            </w:pPr>
            <w:r>
              <w:rPr>
                <w:rFonts w:cs="Times New Roman"/>
              </w:rPr>
              <w:t>丙型肝炎</w:t>
            </w:r>
            <w:r>
              <w:rPr>
                <w:rFonts w:hint="eastAsia" w:cs="Times New Roman"/>
              </w:rPr>
              <w:t>病毒核糖核酸</w:t>
            </w:r>
          </w:p>
        </w:tc>
      </w:tr>
      <w:tr w14:paraId="576E7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F9E624A">
            <w:pPr>
              <w:pStyle w:val="60"/>
              <w:spacing w:line="276" w:lineRule="auto"/>
              <w:ind w:firstLine="0" w:firstLineChars="0"/>
              <w:jc w:val="center"/>
              <w:rPr>
                <w:rFonts w:cs="Times New Roman"/>
              </w:rPr>
            </w:pPr>
            <w:r>
              <w:rPr>
                <w:rFonts w:cs="Times New Roman"/>
              </w:rPr>
              <w:t>HDL-C</w:t>
            </w:r>
          </w:p>
        </w:tc>
        <w:tc>
          <w:tcPr>
            <w:tcW w:w="2170" w:type="pct"/>
            <w:vAlign w:val="center"/>
          </w:tcPr>
          <w:p w14:paraId="62958BC0">
            <w:pPr>
              <w:pStyle w:val="60"/>
              <w:spacing w:line="276" w:lineRule="auto"/>
              <w:ind w:firstLine="0" w:firstLineChars="0"/>
              <w:jc w:val="center"/>
              <w:rPr>
                <w:rFonts w:cs="Times New Roman"/>
              </w:rPr>
            </w:pPr>
            <w:r>
              <w:rPr>
                <w:rFonts w:cs="Times New Roman"/>
              </w:rPr>
              <w:t>High-Density Lipoprotein Cholesterol</w:t>
            </w:r>
          </w:p>
        </w:tc>
        <w:tc>
          <w:tcPr>
            <w:tcW w:w="1896" w:type="pct"/>
            <w:vAlign w:val="center"/>
          </w:tcPr>
          <w:p w14:paraId="23936E80">
            <w:pPr>
              <w:pStyle w:val="60"/>
              <w:spacing w:line="276" w:lineRule="auto"/>
              <w:ind w:firstLine="0" w:firstLineChars="0"/>
              <w:jc w:val="center"/>
              <w:rPr>
                <w:rFonts w:cs="Times New Roman"/>
              </w:rPr>
            </w:pPr>
            <w:r>
              <w:rPr>
                <w:rFonts w:cs="Times New Roman"/>
              </w:rPr>
              <w:t>高密度脂蛋白胆固醇</w:t>
            </w:r>
          </w:p>
        </w:tc>
      </w:tr>
      <w:tr w14:paraId="0BFBD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BEAECD1">
            <w:pPr>
              <w:pStyle w:val="60"/>
              <w:spacing w:line="276" w:lineRule="auto"/>
              <w:ind w:firstLine="0" w:firstLineChars="0"/>
              <w:jc w:val="center"/>
              <w:rPr>
                <w:rFonts w:cs="Times New Roman"/>
              </w:rPr>
            </w:pPr>
            <w:r>
              <w:rPr>
                <w:rFonts w:cs="Times New Roman"/>
              </w:rPr>
              <w:t>HIV Ab</w:t>
            </w:r>
          </w:p>
        </w:tc>
        <w:tc>
          <w:tcPr>
            <w:tcW w:w="2170" w:type="pct"/>
            <w:vAlign w:val="center"/>
          </w:tcPr>
          <w:p w14:paraId="3BA80A78">
            <w:pPr>
              <w:pStyle w:val="60"/>
              <w:spacing w:line="276" w:lineRule="auto"/>
              <w:ind w:firstLine="0" w:firstLineChars="0"/>
              <w:jc w:val="center"/>
              <w:rPr>
                <w:rFonts w:cs="Times New Roman"/>
              </w:rPr>
            </w:pPr>
            <w:r>
              <w:rPr>
                <w:rFonts w:cs="Times New Roman"/>
              </w:rPr>
              <w:t>Human Immunodeficiency Virus Antibody‌</w:t>
            </w:r>
          </w:p>
        </w:tc>
        <w:tc>
          <w:tcPr>
            <w:tcW w:w="1896" w:type="pct"/>
            <w:vAlign w:val="center"/>
          </w:tcPr>
          <w:p w14:paraId="326CC3B1">
            <w:pPr>
              <w:pStyle w:val="60"/>
              <w:spacing w:line="276" w:lineRule="auto"/>
              <w:ind w:firstLine="0" w:firstLineChars="0"/>
              <w:jc w:val="center"/>
              <w:rPr>
                <w:rFonts w:cs="Times New Roman"/>
              </w:rPr>
            </w:pPr>
            <w:r>
              <w:rPr>
                <w:rFonts w:cs="Times New Roman"/>
              </w:rPr>
              <w:t>人类免疫缺陷病毒抗体</w:t>
            </w:r>
          </w:p>
        </w:tc>
      </w:tr>
      <w:tr w14:paraId="1F24D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C06D419">
            <w:pPr>
              <w:pStyle w:val="60"/>
              <w:spacing w:line="276" w:lineRule="auto"/>
              <w:ind w:firstLine="0" w:firstLineChars="0"/>
              <w:jc w:val="center"/>
              <w:rPr>
                <w:rFonts w:cs="Times New Roman"/>
              </w:rPr>
            </w:pPr>
            <w:r>
              <w:rPr>
                <w:rFonts w:cs="Times New Roman"/>
              </w:rPr>
              <w:t>ICF</w:t>
            </w:r>
          </w:p>
        </w:tc>
        <w:tc>
          <w:tcPr>
            <w:tcW w:w="2170" w:type="pct"/>
            <w:vAlign w:val="center"/>
          </w:tcPr>
          <w:p w14:paraId="47493E1E">
            <w:pPr>
              <w:pStyle w:val="60"/>
              <w:spacing w:line="276" w:lineRule="auto"/>
              <w:ind w:firstLine="0" w:firstLineChars="0"/>
              <w:jc w:val="center"/>
              <w:rPr>
                <w:rFonts w:cs="Times New Roman"/>
              </w:rPr>
            </w:pPr>
            <w:r>
              <w:rPr>
                <w:rFonts w:cs="Times New Roman"/>
              </w:rPr>
              <w:t>Informed Consent Form</w:t>
            </w:r>
          </w:p>
        </w:tc>
        <w:tc>
          <w:tcPr>
            <w:tcW w:w="1896" w:type="pct"/>
            <w:vAlign w:val="center"/>
          </w:tcPr>
          <w:p w14:paraId="010C00F4">
            <w:pPr>
              <w:pStyle w:val="60"/>
              <w:spacing w:line="276" w:lineRule="auto"/>
              <w:ind w:firstLine="0" w:firstLineChars="0"/>
              <w:jc w:val="center"/>
              <w:rPr>
                <w:rFonts w:cs="Times New Roman"/>
              </w:rPr>
            </w:pPr>
            <w:r>
              <w:rPr>
                <w:rFonts w:hint="eastAsia" w:cs="Times New Roman"/>
              </w:rPr>
              <w:t>知情同意书</w:t>
            </w:r>
          </w:p>
        </w:tc>
      </w:tr>
      <w:tr w14:paraId="74D3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4955D59">
            <w:pPr>
              <w:pStyle w:val="60"/>
              <w:spacing w:line="276" w:lineRule="auto"/>
              <w:ind w:firstLine="0" w:firstLineChars="0"/>
              <w:jc w:val="center"/>
              <w:rPr>
                <w:rFonts w:cs="Times New Roman"/>
              </w:rPr>
            </w:pPr>
            <w:r>
              <w:rPr>
                <w:rFonts w:cs="Times New Roman"/>
              </w:rPr>
              <w:t>IDMC</w:t>
            </w:r>
          </w:p>
        </w:tc>
        <w:tc>
          <w:tcPr>
            <w:tcW w:w="2170" w:type="pct"/>
            <w:vAlign w:val="center"/>
          </w:tcPr>
          <w:p w14:paraId="311AF5E3">
            <w:pPr>
              <w:pStyle w:val="60"/>
              <w:spacing w:line="276" w:lineRule="auto"/>
              <w:ind w:firstLine="0" w:firstLineChars="0"/>
              <w:jc w:val="center"/>
              <w:rPr>
                <w:rFonts w:cs="Times New Roman"/>
              </w:rPr>
            </w:pPr>
            <w:r>
              <w:rPr>
                <w:rFonts w:cs="Times New Roman"/>
              </w:rPr>
              <w:t>Independent Data Monitoring Committee</w:t>
            </w:r>
          </w:p>
        </w:tc>
        <w:tc>
          <w:tcPr>
            <w:tcW w:w="1896" w:type="pct"/>
            <w:vAlign w:val="center"/>
          </w:tcPr>
          <w:p w14:paraId="4D555631">
            <w:pPr>
              <w:pStyle w:val="60"/>
              <w:spacing w:line="276" w:lineRule="auto"/>
              <w:ind w:firstLine="0" w:firstLineChars="0"/>
              <w:jc w:val="center"/>
              <w:rPr>
                <w:rFonts w:cs="Times New Roman"/>
              </w:rPr>
            </w:pPr>
            <w:r>
              <w:rPr>
                <w:rFonts w:hint="eastAsia" w:cs="Times New Roman"/>
              </w:rPr>
              <w:t>独立数据监查委员会</w:t>
            </w:r>
          </w:p>
        </w:tc>
      </w:tr>
      <w:tr w14:paraId="41513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4BD89B4">
            <w:pPr>
              <w:pStyle w:val="60"/>
              <w:spacing w:line="276" w:lineRule="auto"/>
              <w:ind w:firstLine="0" w:firstLineChars="0"/>
              <w:jc w:val="center"/>
              <w:rPr>
                <w:rFonts w:cs="Times New Roman"/>
              </w:rPr>
            </w:pPr>
            <w:r>
              <w:rPr>
                <w:rFonts w:cs="Times New Roman"/>
              </w:rPr>
              <w:t>IFN</w:t>
            </w:r>
          </w:p>
        </w:tc>
        <w:tc>
          <w:tcPr>
            <w:tcW w:w="2170" w:type="pct"/>
            <w:vAlign w:val="center"/>
          </w:tcPr>
          <w:p w14:paraId="6150E841">
            <w:pPr>
              <w:pStyle w:val="60"/>
              <w:spacing w:line="276" w:lineRule="auto"/>
              <w:ind w:firstLine="0" w:firstLineChars="0"/>
              <w:jc w:val="center"/>
              <w:rPr>
                <w:rFonts w:cs="Times New Roman"/>
              </w:rPr>
            </w:pPr>
            <w:r>
              <w:rPr>
                <w:rFonts w:cs="Times New Roman"/>
              </w:rPr>
              <w:t>Interferon</w:t>
            </w:r>
          </w:p>
        </w:tc>
        <w:tc>
          <w:tcPr>
            <w:tcW w:w="1896" w:type="pct"/>
            <w:vAlign w:val="center"/>
          </w:tcPr>
          <w:p w14:paraId="155D3623">
            <w:pPr>
              <w:pStyle w:val="60"/>
              <w:spacing w:line="276" w:lineRule="auto"/>
              <w:ind w:firstLine="0" w:firstLineChars="0"/>
              <w:jc w:val="center"/>
              <w:rPr>
                <w:rFonts w:cs="Times New Roman"/>
              </w:rPr>
            </w:pPr>
            <w:r>
              <w:rPr>
                <w:rFonts w:hint="eastAsia" w:cs="Times New Roman"/>
              </w:rPr>
              <w:t>干扰素</w:t>
            </w:r>
          </w:p>
        </w:tc>
      </w:tr>
      <w:tr w14:paraId="10755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08DCB56">
            <w:pPr>
              <w:pStyle w:val="60"/>
              <w:spacing w:line="276" w:lineRule="auto"/>
              <w:ind w:firstLine="0" w:firstLineChars="0"/>
              <w:jc w:val="center"/>
              <w:rPr>
                <w:rFonts w:cs="Times New Roman"/>
              </w:rPr>
            </w:pPr>
            <w:r>
              <w:rPr>
                <w:rFonts w:cs="Times New Roman"/>
              </w:rPr>
              <w:t>IL</w:t>
            </w:r>
          </w:p>
        </w:tc>
        <w:tc>
          <w:tcPr>
            <w:tcW w:w="2170" w:type="pct"/>
            <w:vAlign w:val="center"/>
          </w:tcPr>
          <w:p w14:paraId="62F3EB42">
            <w:pPr>
              <w:pStyle w:val="60"/>
              <w:spacing w:line="276" w:lineRule="auto"/>
              <w:ind w:firstLine="0" w:firstLineChars="0"/>
              <w:jc w:val="center"/>
              <w:rPr>
                <w:rFonts w:cs="Times New Roman"/>
              </w:rPr>
            </w:pPr>
            <w:r>
              <w:rPr>
                <w:rFonts w:cs="Times New Roman"/>
              </w:rPr>
              <w:t>Interleukin</w:t>
            </w:r>
          </w:p>
        </w:tc>
        <w:tc>
          <w:tcPr>
            <w:tcW w:w="1896" w:type="pct"/>
            <w:vAlign w:val="center"/>
          </w:tcPr>
          <w:p w14:paraId="095D7F0A">
            <w:pPr>
              <w:pStyle w:val="60"/>
              <w:spacing w:line="276" w:lineRule="auto"/>
              <w:ind w:firstLine="0" w:firstLineChars="0"/>
              <w:jc w:val="center"/>
              <w:rPr>
                <w:rFonts w:cs="Times New Roman"/>
              </w:rPr>
            </w:pPr>
            <w:r>
              <w:rPr>
                <w:rFonts w:hint="eastAsia" w:cs="Times New Roman"/>
              </w:rPr>
              <w:t>白细胞介素</w:t>
            </w:r>
          </w:p>
        </w:tc>
      </w:tr>
      <w:tr w14:paraId="77181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F9E960B">
            <w:pPr>
              <w:pStyle w:val="60"/>
              <w:spacing w:line="276" w:lineRule="auto"/>
              <w:ind w:firstLine="0" w:firstLineChars="0"/>
              <w:jc w:val="center"/>
              <w:rPr>
                <w:rFonts w:cs="Times New Roman"/>
              </w:rPr>
            </w:pPr>
            <w:r>
              <w:rPr>
                <w:rFonts w:cs="Times New Roman"/>
              </w:rPr>
              <w:t>INR</w:t>
            </w:r>
          </w:p>
        </w:tc>
        <w:tc>
          <w:tcPr>
            <w:tcW w:w="2170" w:type="pct"/>
            <w:vAlign w:val="center"/>
          </w:tcPr>
          <w:p w14:paraId="279A7B51">
            <w:pPr>
              <w:pStyle w:val="60"/>
              <w:spacing w:line="276" w:lineRule="auto"/>
              <w:ind w:firstLine="0" w:firstLineChars="0"/>
              <w:jc w:val="center"/>
              <w:rPr>
                <w:rFonts w:cs="Times New Roman"/>
              </w:rPr>
            </w:pPr>
            <w:r>
              <w:rPr>
                <w:rFonts w:cs="Times New Roman"/>
              </w:rPr>
              <w:t>International Normalized R Ratio</w:t>
            </w:r>
          </w:p>
        </w:tc>
        <w:tc>
          <w:tcPr>
            <w:tcW w:w="1896" w:type="pct"/>
            <w:vAlign w:val="center"/>
          </w:tcPr>
          <w:p w14:paraId="341117A5">
            <w:pPr>
              <w:pStyle w:val="60"/>
              <w:spacing w:line="276" w:lineRule="auto"/>
              <w:ind w:firstLine="0" w:firstLineChars="0"/>
              <w:jc w:val="center"/>
              <w:rPr>
                <w:rFonts w:cs="Times New Roman"/>
              </w:rPr>
            </w:pPr>
            <w:r>
              <w:rPr>
                <w:rFonts w:cs="Times New Roman"/>
              </w:rPr>
              <w:t>国际标准化比值</w:t>
            </w:r>
          </w:p>
        </w:tc>
      </w:tr>
      <w:tr w14:paraId="0B574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9656272">
            <w:pPr>
              <w:pStyle w:val="60"/>
              <w:spacing w:line="276" w:lineRule="auto"/>
              <w:ind w:firstLine="0" w:firstLineChars="0"/>
              <w:jc w:val="center"/>
              <w:rPr>
                <w:rFonts w:cs="Times New Roman"/>
              </w:rPr>
            </w:pPr>
            <w:r>
              <w:rPr>
                <w:rFonts w:cs="Times New Roman"/>
              </w:rPr>
              <w:t>IRB</w:t>
            </w:r>
          </w:p>
        </w:tc>
        <w:tc>
          <w:tcPr>
            <w:tcW w:w="2170" w:type="pct"/>
            <w:vAlign w:val="center"/>
          </w:tcPr>
          <w:p w14:paraId="08B430C1">
            <w:pPr>
              <w:pStyle w:val="60"/>
              <w:spacing w:line="276" w:lineRule="auto"/>
              <w:ind w:firstLine="0" w:firstLineChars="0"/>
              <w:jc w:val="center"/>
              <w:rPr>
                <w:rFonts w:cs="Times New Roman"/>
              </w:rPr>
            </w:pPr>
            <w:r>
              <w:rPr>
                <w:rFonts w:cs="Times New Roman"/>
              </w:rPr>
              <w:t>Institutional Review Board</w:t>
            </w:r>
          </w:p>
        </w:tc>
        <w:tc>
          <w:tcPr>
            <w:tcW w:w="1896" w:type="pct"/>
            <w:vAlign w:val="center"/>
          </w:tcPr>
          <w:p w14:paraId="104A1479">
            <w:pPr>
              <w:pStyle w:val="60"/>
              <w:spacing w:line="276" w:lineRule="auto"/>
              <w:ind w:firstLine="0" w:firstLineChars="0"/>
              <w:jc w:val="center"/>
              <w:rPr>
                <w:rFonts w:cs="Times New Roman"/>
              </w:rPr>
            </w:pPr>
            <w:r>
              <w:rPr>
                <w:rFonts w:hint="eastAsia" w:cs="Times New Roman"/>
              </w:rPr>
              <w:t>机构审查委员会</w:t>
            </w:r>
          </w:p>
        </w:tc>
      </w:tr>
      <w:tr w14:paraId="511DF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28B8B47">
            <w:pPr>
              <w:pStyle w:val="60"/>
              <w:spacing w:line="276" w:lineRule="auto"/>
              <w:ind w:firstLine="0" w:firstLineChars="0"/>
              <w:jc w:val="center"/>
              <w:rPr>
                <w:rFonts w:cs="Times New Roman"/>
              </w:rPr>
            </w:pPr>
            <w:r>
              <w:rPr>
                <w:rFonts w:cs="Times New Roman"/>
              </w:rPr>
              <w:t>ITT</w:t>
            </w:r>
          </w:p>
        </w:tc>
        <w:tc>
          <w:tcPr>
            <w:tcW w:w="2170" w:type="pct"/>
            <w:vAlign w:val="center"/>
          </w:tcPr>
          <w:p w14:paraId="7C53195A">
            <w:pPr>
              <w:pStyle w:val="60"/>
              <w:spacing w:line="276" w:lineRule="auto"/>
              <w:ind w:firstLine="0" w:firstLineChars="0"/>
              <w:jc w:val="center"/>
              <w:rPr>
                <w:rFonts w:cs="Times New Roman"/>
              </w:rPr>
            </w:pPr>
            <w:r>
              <w:rPr>
                <w:rFonts w:cs="Times New Roman"/>
              </w:rPr>
              <w:t>Intention-to-Treat</w:t>
            </w:r>
          </w:p>
        </w:tc>
        <w:tc>
          <w:tcPr>
            <w:tcW w:w="1896" w:type="pct"/>
            <w:vAlign w:val="center"/>
          </w:tcPr>
          <w:p w14:paraId="3831A584">
            <w:pPr>
              <w:pStyle w:val="60"/>
              <w:spacing w:line="276" w:lineRule="auto"/>
              <w:ind w:firstLine="0" w:firstLineChars="0"/>
              <w:jc w:val="center"/>
              <w:rPr>
                <w:rFonts w:cs="Times New Roman"/>
              </w:rPr>
            </w:pPr>
            <w:r>
              <w:rPr>
                <w:rFonts w:cs="Times New Roman"/>
              </w:rPr>
              <w:t>ITT集</w:t>
            </w:r>
          </w:p>
        </w:tc>
      </w:tr>
      <w:tr w14:paraId="658E1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BC96717">
            <w:pPr>
              <w:pStyle w:val="60"/>
              <w:spacing w:line="276" w:lineRule="auto"/>
              <w:ind w:firstLine="0" w:firstLineChars="0"/>
              <w:jc w:val="center"/>
              <w:rPr>
                <w:rFonts w:cs="Times New Roman"/>
              </w:rPr>
            </w:pPr>
            <w:r>
              <w:rPr>
                <w:rFonts w:cs="Times New Roman"/>
              </w:rPr>
              <w:t>IUD</w:t>
            </w:r>
          </w:p>
        </w:tc>
        <w:tc>
          <w:tcPr>
            <w:tcW w:w="2170" w:type="pct"/>
            <w:vAlign w:val="center"/>
          </w:tcPr>
          <w:p w14:paraId="5C970CD7">
            <w:pPr>
              <w:pStyle w:val="60"/>
              <w:spacing w:line="276" w:lineRule="auto"/>
              <w:ind w:firstLine="0" w:firstLineChars="0"/>
              <w:jc w:val="center"/>
              <w:rPr>
                <w:rFonts w:cs="Times New Roman"/>
              </w:rPr>
            </w:pPr>
            <w:r>
              <w:rPr>
                <w:rFonts w:cs="Times New Roman"/>
              </w:rPr>
              <w:t>intrauterine-device</w:t>
            </w:r>
          </w:p>
        </w:tc>
        <w:tc>
          <w:tcPr>
            <w:tcW w:w="1896" w:type="pct"/>
            <w:vAlign w:val="center"/>
          </w:tcPr>
          <w:p w14:paraId="05C634A8">
            <w:pPr>
              <w:pStyle w:val="60"/>
              <w:spacing w:line="276" w:lineRule="auto"/>
              <w:ind w:firstLine="0" w:firstLineChars="0"/>
              <w:jc w:val="center"/>
              <w:rPr>
                <w:rFonts w:cs="Times New Roman"/>
              </w:rPr>
            </w:pPr>
            <w:r>
              <w:rPr>
                <w:rFonts w:cs="Times New Roman"/>
              </w:rPr>
              <w:t>宫内节育器</w:t>
            </w:r>
          </w:p>
        </w:tc>
      </w:tr>
      <w:tr w14:paraId="56CCE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4417063">
            <w:pPr>
              <w:pStyle w:val="60"/>
              <w:spacing w:line="276" w:lineRule="auto"/>
              <w:ind w:firstLine="0" w:firstLineChars="0"/>
              <w:jc w:val="center"/>
              <w:rPr>
                <w:rFonts w:cs="Times New Roman"/>
              </w:rPr>
            </w:pPr>
            <w:r>
              <w:rPr>
                <w:rFonts w:cs="Times New Roman"/>
              </w:rPr>
              <w:t>IWRS</w:t>
            </w:r>
          </w:p>
        </w:tc>
        <w:tc>
          <w:tcPr>
            <w:tcW w:w="2170" w:type="pct"/>
            <w:vAlign w:val="center"/>
          </w:tcPr>
          <w:p w14:paraId="186C792F">
            <w:pPr>
              <w:pStyle w:val="60"/>
              <w:spacing w:line="276" w:lineRule="auto"/>
              <w:ind w:firstLine="0" w:firstLineChars="0"/>
              <w:jc w:val="center"/>
              <w:rPr>
                <w:rFonts w:cs="Times New Roman"/>
              </w:rPr>
            </w:pPr>
            <w:r>
              <w:rPr>
                <w:rFonts w:cs="Times New Roman"/>
              </w:rPr>
              <w:t>Interactive Web Response System</w:t>
            </w:r>
          </w:p>
        </w:tc>
        <w:tc>
          <w:tcPr>
            <w:tcW w:w="1896" w:type="pct"/>
            <w:vAlign w:val="center"/>
          </w:tcPr>
          <w:p w14:paraId="48FDA2F3">
            <w:pPr>
              <w:pStyle w:val="60"/>
              <w:spacing w:line="276" w:lineRule="auto"/>
              <w:ind w:firstLine="0" w:firstLineChars="0"/>
              <w:jc w:val="center"/>
              <w:rPr>
                <w:rFonts w:cs="Times New Roman"/>
              </w:rPr>
            </w:pPr>
            <w:r>
              <w:rPr>
                <w:rFonts w:hint="eastAsia" w:cs="Times New Roman"/>
              </w:rPr>
              <w:t>交互式网络应答系统</w:t>
            </w:r>
          </w:p>
          <w:p w14:paraId="16569837">
            <w:pPr>
              <w:pStyle w:val="60"/>
              <w:spacing w:line="276" w:lineRule="auto"/>
              <w:ind w:firstLine="0" w:firstLineChars="0"/>
              <w:jc w:val="center"/>
              <w:rPr>
                <w:rFonts w:cs="Times New Roman"/>
              </w:rPr>
            </w:pPr>
            <w:r>
              <w:rPr>
                <w:rFonts w:hint="eastAsia" w:cs="Times New Roman"/>
              </w:rPr>
              <w:t>（中央随机系统）</w:t>
            </w:r>
          </w:p>
        </w:tc>
      </w:tr>
      <w:tr w14:paraId="35CDD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1F970E4">
            <w:pPr>
              <w:pStyle w:val="60"/>
              <w:spacing w:line="276" w:lineRule="auto"/>
              <w:ind w:firstLine="0" w:firstLineChars="0"/>
              <w:jc w:val="center"/>
              <w:rPr>
                <w:rFonts w:cs="Times New Roman"/>
              </w:rPr>
            </w:pPr>
            <w:r>
              <w:rPr>
                <w:rFonts w:cs="Times New Roman"/>
              </w:rPr>
              <w:t>JAK</w:t>
            </w:r>
          </w:p>
        </w:tc>
        <w:tc>
          <w:tcPr>
            <w:tcW w:w="2170" w:type="pct"/>
            <w:vAlign w:val="center"/>
          </w:tcPr>
          <w:p w14:paraId="45B7A6CF">
            <w:pPr>
              <w:pStyle w:val="60"/>
              <w:spacing w:line="276" w:lineRule="auto"/>
              <w:ind w:firstLine="0" w:firstLineChars="0"/>
              <w:jc w:val="center"/>
              <w:rPr>
                <w:rFonts w:cs="Times New Roman"/>
              </w:rPr>
            </w:pPr>
            <w:r>
              <w:rPr>
                <w:rFonts w:cs="Times New Roman"/>
              </w:rPr>
              <w:t>Janus Kinase</w:t>
            </w:r>
          </w:p>
        </w:tc>
        <w:tc>
          <w:tcPr>
            <w:tcW w:w="1896" w:type="pct"/>
            <w:vAlign w:val="center"/>
          </w:tcPr>
          <w:p w14:paraId="64CA7541">
            <w:pPr>
              <w:pStyle w:val="60"/>
              <w:spacing w:line="276" w:lineRule="auto"/>
              <w:ind w:firstLine="0" w:firstLineChars="0"/>
              <w:jc w:val="center"/>
              <w:rPr>
                <w:rFonts w:cs="Times New Roman"/>
              </w:rPr>
            </w:pPr>
            <w:r>
              <w:rPr>
                <w:rFonts w:cs="Times New Roman"/>
              </w:rPr>
              <w:t>Janus</w:t>
            </w:r>
            <w:r>
              <w:rPr>
                <w:rFonts w:hint="eastAsia" w:cs="Times New Roman"/>
              </w:rPr>
              <w:t>激酶</w:t>
            </w:r>
          </w:p>
        </w:tc>
      </w:tr>
      <w:tr w14:paraId="68C90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BBDAEA3">
            <w:pPr>
              <w:pStyle w:val="60"/>
              <w:spacing w:line="276" w:lineRule="auto"/>
              <w:ind w:firstLine="0" w:firstLineChars="0"/>
              <w:jc w:val="center"/>
              <w:rPr>
                <w:rFonts w:cs="Times New Roman"/>
              </w:rPr>
            </w:pPr>
            <w:r>
              <w:rPr>
                <w:rFonts w:cs="Times New Roman"/>
              </w:rPr>
              <w:t>LDH</w:t>
            </w:r>
          </w:p>
        </w:tc>
        <w:tc>
          <w:tcPr>
            <w:tcW w:w="2170" w:type="pct"/>
            <w:vAlign w:val="center"/>
          </w:tcPr>
          <w:p w14:paraId="6C352BE8">
            <w:pPr>
              <w:pStyle w:val="60"/>
              <w:spacing w:line="276" w:lineRule="auto"/>
              <w:ind w:firstLine="0" w:firstLineChars="0"/>
              <w:jc w:val="center"/>
              <w:rPr>
                <w:rFonts w:cs="Times New Roman"/>
              </w:rPr>
            </w:pPr>
            <w:r>
              <w:rPr>
                <w:rFonts w:cs="Times New Roman"/>
              </w:rPr>
              <w:t>Lactate Dehydrogenase</w:t>
            </w:r>
          </w:p>
        </w:tc>
        <w:tc>
          <w:tcPr>
            <w:tcW w:w="1896" w:type="pct"/>
            <w:vAlign w:val="center"/>
          </w:tcPr>
          <w:p w14:paraId="66B323A0">
            <w:pPr>
              <w:pStyle w:val="60"/>
              <w:spacing w:line="276" w:lineRule="auto"/>
              <w:ind w:firstLine="0" w:firstLineChars="0"/>
              <w:jc w:val="center"/>
              <w:rPr>
                <w:rFonts w:cs="Times New Roman"/>
              </w:rPr>
            </w:pPr>
            <w:r>
              <w:rPr>
                <w:rFonts w:cs="Times New Roman"/>
              </w:rPr>
              <w:t>乳酸脱氢酶</w:t>
            </w:r>
          </w:p>
        </w:tc>
      </w:tr>
      <w:tr w14:paraId="5C22E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79F7EBD">
            <w:pPr>
              <w:pStyle w:val="60"/>
              <w:spacing w:line="276" w:lineRule="auto"/>
              <w:ind w:firstLine="0" w:firstLineChars="0"/>
              <w:jc w:val="center"/>
              <w:rPr>
                <w:rFonts w:cs="Times New Roman"/>
              </w:rPr>
            </w:pPr>
            <w:r>
              <w:rPr>
                <w:rFonts w:cs="Times New Roman"/>
              </w:rPr>
              <w:t>LDL-C</w:t>
            </w:r>
          </w:p>
        </w:tc>
        <w:tc>
          <w:tcPr>
            <w:tcW w:w="2170" w:type="pct"/>
            <w:vAlign w:val="center"/>
          </w:tcPr>
          <w:p w14:paraId="3D78BC1F">
            <w:pPr>
              <w:pStyle w:val="60"/>
              <w:spacing w:line="276" w:lineRule="auto"/>
              <w:ind w:firstLine="0" w:firstLineChars="0"/>
              <w:jc w:val="center"/>
              <w:rPr>
                <w:rFonts w:cs="Times New Roman"/>
              </w:rPr>
            </w:pPr>
            <w:r>
              <w:rPr>
                <w:rFonts w:cs="Times New Roman"/>
              </w:rPr>
              <w:t>Low-Density Lipoprotein Cholesterol</w:t>
            </w:r>
          </w:p>
        </w:tc>
        <w:tc>
          <w:tcPr>
            <w:tcW w:w="1896" w:type="pct"/>
            <w:vAlign w:val="center"/>
          </w:tcPr>
          <w:p w14:paraId="0D97303D">
            <w:pPr>
              <w:pStyle w:val="60"/>
              <w:spacing w:line="276" w:lineRule="auto"/>
              <w:ind w:firstLine="0" w:firstLineChars="0"/>
              <w:jc w:val="center"/>
              <w:rPr>
                <w:rFonts w:cs="Times New Roman"/>
              </w:rPr>
            </w:pPr>
            <w:r>
              <w:rPr>
                <w:rFonts w:cs="Times New Roman"/>
              </w:rPr>
              <w:t>低密度脂蛋白胆固醇</w:t>
            </w:r>
          </w:p>
        </w:tc>
      </w:tr>
      <w:tr w14:paraId="45062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F158260">
            <w:pPr>
              <w:pStyle w:val="60"/>
              <w:spacing w:line="276" w:lineRule="auto"/>
              <w:ind w:firstLine="0" w:firstLineChars="0"/>
              <w:jc w:val="center"/>
              <w:rPr>
                <w:rFonts w:cs="Times New Roman"/>
              </w:rPr>
            </w:pPr>
            <w:r>
              <w:rPr>
                <w:rFonts w:cs="Times New Roman"/>
              </w:rPr>
              <w:t>LOCF</w:t>
            </w:r>
          </w:p>
        </w:tc>
        <w:tc>
          <w:tcPr>
            <w:tcW w:w="2170" w:type="pct"/>
            <w:vAlign w:val="center"/>
          </w:tcPr>
          <w:p w14:paraId="6E2FF742">
            <w:pPr>
              <w:pStyle w:val="60"/>
              <w:spacing w:line="276" w:lineRule="auto"/>
              <w:ind w:firstLine="0" w:firstLineChars="0"/>
              <w:jc w:val="center"/>
              <w:rPr>
                <w:rFonts w:cs="Times New Roman"/>
              </w:rPr>
            </w:pPr>
            <w:r>
              <w:rPr>
                <w:rFonts w:cs="Times New Roman"/>
                <w:lang w:eastAsia="en-US"/>
              </w:rPr>
              <w:t>Last Observational Carried Forward</w:t>
            </w:r>
          </w:p>
        </w:tc>
        <w:tc>
          <w:tcPr>
            <w:tcW w:w="1896" w:type="pct"/>
            <w:vAlign w:val="center"/>
          </w:tcPr>
          <w:p w14:paraId="6DC0B18B">
            <w:pPr>
              <w:pStyle w:val="60"/>
              <w:spacing w:line="276" w:lineRule="auto"/>
              <w:ind w:firstLine="0" w:firstLineChars="0"/>
              <w:jc w:val="center"/>
              <w:rPr>
                <w:rFonts w:cs="Times New Roman"/>
              </w:rPr>
            </w:pPr>
            <w:r>
              <w:rPr>
                <w:rFonts w:hint="eastAsia" w:cs="Times New Roman"/>
                <w:lang w:eastAsia="en-US"/>
              </w:rPr>
              <w:t>末次观察结转</w:t>
            </w:r>
          </w:p>
        </w:tc>
      </w:tr>
      <w:tr w14:paraId="2ADBB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9E9ED7A">
            <w:pPr>
              <w:pStyle w:val="60"/>
              <w:spacing w:line="276" w:lineRule="auto"/>
              <w:ind w:firstLine="0" w:firstLineChars="0"/>
              <w:jc w:val="center"/>
              <w:rPr>
                <w:rFonts w:cs="Times New Roman"/>
              </w:rPr>
            </w:pPr>
            <w:r>
              <w:rPr>
                <w:rFonts w:cs="Times New Roman"/>
              </w:rPr>
              <w:t>MACE</w:t>
            </w:r>
          </w:p>
        </w:tc>
        <w:tc>
          <w:tcPr>
            <w:tcW w:w="2170" w:type="pct"/>
            <w:vAlign w:val="center"/>
          </w:tcPr>
          <w:p w14:paraId="1912E41D">
            <w:pPr>
              <w:pStyle w:val="60"/>
              <w:spacing w:line="276" w:lineRule="auto"/>
              <w:ind w:firstLine="0" w:firstLineChars="0"/>
              <w:jc w:val="center"/>
              <w:rPr>
                <w:rFonts w:cs="Times New Roman"/>
              </w:rPr>
            </w:pPr>
            <w:r>
              <w:rPr>
                <w:rFonts w:cs="Times New Roman"/>
              </w:rPr>
              <w:t>Major Adverse Cardiovascular Events</w:t>
            </w:r>
          </w:p>
        </w:tc>
        <w:tc>
          <w:tcPr>
            <w:tcW w:w="1896" w:type="pct"/>
            <w:vAlign w:val="center"/>
          </w:tcPr>
          <w:p w14:paraId="2DC2537D">
            <w:pPr>
              <w:pStyle w:val="60"/>
              <w:spacing w:line="276" w:lineRule="auto"/>
              <w:ind w:firstLine="0" w:firstLineChars="0"/>
              <w:jc w:val="center"/>
              <w:rPr>
                <w:rFonts w:cs="Times New Roman"/>
              </w:rPr>
            </w:pPr>
            <w:r>
              <w:rPr>
                <w:rFonts w:cs="Times New Roman"/>
              </w:rPr>
              <w:t>主要心血管不良事件</w:t>
            </w:r>
          </w:p>
        </w:tc>
      </w:tr>
      <w:tr w14:paraId="193A6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224B957">
            <w:pPr>
              <w:pStyle w:val="60"/>
              <w:spacing w:line="276" w:lineRule="auto"/>
              <w:ind w:firstLine="0" w:firstLineChars="0"/>
              <w:jc w:val="center"/>
              <w:rPr>
                <w:rFonts w:cs="Times New Roman"/>
              </w:rPr>
            </w:pPr>
            <w:r>
              <w:rPr>
                <w:rFonts w:cs="Times New Roman"/>
              </w:rPr>
              <w:t>MAD</w:t>
            </w:r>
          </w:p>
        </w:tc>
        <w:tc>
          <w:tcPr>
            <w:tcW w:w="2170" w:type="pct"/>
            <w:vAlign w:val="center"/>
          </w:tcPr>
          <w:p w14:paraId="1BFDB495">
            <w:pPr>
              <w:pStyle w:val="60"/>
              <w:spacing w:line="276" w:lineRule="auto"/>
              <w:ind w:firstLine="0" w:firstLineChars="0"/>
              <w:jc w:val="center"/>
              <w:rPr>
                <w:rFonts w:cs="Times New Roman"/>
              </w:rPr>
            </w:pPr>
            <w:r>
              <w:rPr>
                <w:rFonts w:cs="Times New Roman"/>
              </w:rPr>
              <w:t>Multiple ascending dose</w:t>
            </w:r>
          </w:p>
        </w:tc>
        <w:tc>
          <w:tcPr>
            <w:tcW w:w="1896" w:type="pct"/>
            <w:vAlign w:val="center"/>
          </w:tcPr>
          <w:p w14:paraId="39E87A94">
            <w:pPr>
              <w:pStyle w:val="60"/>
              <w:spacing w:line="276" w:lineRule="auto"/>
              <w:ind w:firstLine="0" w:firstLineChars="0"/>
              <w:jc w:val="center"/>
              <w:rPr>
                <w:rFonts w:cs="Times New Roman"/>
              </w:rPr>
            </w:pPr>
            <w:r>
              <w:rPr>
                <w:rFonts w:cs="Times New Roman"/>
              </w:rPr>
              <w:t>多次剂量递增</w:t>
            </w:r>
          </w:p>
        </w:tc>
      </w:tr>
      <w:tr w14:paraId="0A713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B7659DD">
            <w:pPr>
              <w:pStyle w:val="60"/>
              <w:spacing w:line="276" w:lineRule="auto"/>
              <w:ind w:firstLine="0" w:firstLineChars="0"/>
              <w:jc w:val="center"/>
              <w:rPr>
                <w:rFonts w:cs="Times New Roman"/>
              </w:rPr>
            </w:pPr>
            <w:r>
              <w:rPr>
                <w:rFonts w:cs="Times New Roman"/>
              </w:rPr>
              <w:t>MCH</w:t>
            </w:r>
          </w:p>
        </w:tc>
        <w:tc>
          <w:tcPr>
            <w:tcW w:w="2170" w:type="pct"/>
            <w:vAlign w:val="center"/>
          </w:tcPr>
          <w:p w14:paraId="40A7CE14">
            <w:pPr>
              <w:pStyle w:val="60"/>
              <w:spacing w:line="276" w:lineRule="auto"/>
              <w:ind w:firstLine="0" w:firstLineChars="0"/>
              <w:jc w:val="center"/>
              <w:rPr>
                <w:rFonts w:cs="Times New Roman"/>
              </w:rPr>
            </w:pPr>
            <w:r>
              <w:rPr>
                <w:rFonts w:cs="Times New Roman"/>
              </w:rPr>
              <w:t>Mean corpuscular hemoglobin</w:t>
            </w:r>
          </w:p>
        </w:tc>
        <w:tc>
          <w:tcPr>
            <w:tcW w:w="1896" w:type="pct"/>
            <w:vAlign w:val="center"/>
          </w:tcPr>
          <w:p w14:paraId="60FA1572">
            <w:pPr>
              <w:pStyle w:val="60"/>
              <w:spacing w:line="276" w:lineRule="auto"/>
              <w:ind w:firstLine="0" w:firstLineChars="0"/>
              <w:jc w:val="center"/>
              <w:rPr>
                <w:rFonts w:cs="Times New Roman"/>
              </w:rPr>
            </w:pPr>
            <w:r>
              <w:rPr>
                <w:rFonts w:cs="Times New Roman"/>
              </w:rPr>
              <w:t>平均红细胞血红蛋白含量</w:t>
            </w:r>
          </w:p>
        </w:tc>
      </w:tr>
      <w:tr w14:paraId="5E299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0F337E8">
            <w:pPr>
              <w:pStyle w:val="60"/>
              <w:spacing w:line="276" w:lineRule="auto"/>
              <w:ind w:firstLine="0" w:firstLineChars="0"/>
              <w:jc w:val="center"/>
              <w:rPr>
                <w:rFonts w:cs="Times New Roman"/>
              </w:rPr>
            </w:pPr>
            <w:r>
              <w:rPr>
                <w:rFonts w:cs="Times New Roman"/>
              </w:rPr>
              <w:t>MCHC</w:t>
            </w:r>
          </w:p>
        </w:tc>
        <w:tc>
          <w:tcPr>
            <w:tcW w:w="2170" w:type="pct"/>
            <w:vAlign w:val="center"/>
          </w:tcPr>
          <w:p w14:paraId="656F482D">
            <w:pPr>
              <w:pStyle w:val="60"/>
              <w:spacing w:line="276" w:lineRule="auto"/>
              <w:ind w:firstLine="0" w:firstLineChars="0"/>
              <w:jc w:val="center"/>
              <w:rPr>
                <w:rFonts w:cs="Times New Roman"/>
              </w:rPr>
            </w:pPr>
            <w:r>
              <w:rPr>
                <w:rFonts w:cs="Times New Roman"/>
              </w:rPr>
              <w:t>Mean corpuscular hemoglobin concentration</w:t>
            </w:r>
          </w:p>
        </w:tc>
        <w:tc>
          <w:tcPr>
            <w:tcW w:w="1896" w:type="pct"/>
            <w:vAlign w:val="center"/>
          </w:tcPr>
          <w:p w14:paraId="229D81A7">
            <w:pPr>
              <w:pStyle w:val="60"/>
              <w:spacing w:line="276" w:lineRule="auto"/>
              <w:ind w:firstLine="0" w:firstLineChars="0"/>
              <w:jc w:val="center"/>
              <w:rPr>
                <w:rFonts w:cs="Times New Roman"/>
              </w:rPr>
            </w:pPr>
            <w:r>
              <w:rPr>
                <w:rFonts w:cs="Times New Roman"/>
              </w:rPr>
              <w:t>平均红细胞血红蛋白浓度</w:t>
            </w:r>
          </w:p>
        </w:tc>
      </w:tr>
      <w:tr w14:paraId="6BD16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79A8931">
            <w:pPr>
              <w:pStyle w:val="60"/>
              <w:spacing w:line="276" w:lineRule="auto"/>
              <w:ind w:firstLine="0" w:firstLineChars="0"/>
              <w:jc w:val="center"/>
              <w:rPr>
                <w:rFonts w:cs="Times New Roman"/>
              </w:rPr>
            </w:pPr>
            <w:r>
              <w:rPr>
                <w:rFonts w:cs="Times New Roman"/>
              </w:rPr>
              <w:t>MCV</w:t>
            </w:r>
          </w:p>
        </w:tc>
        <w:tc>
          <w:tcPr>
            <w:tcW w:w="2170" w:type="pct"/>
            <w:vAlign w:val="center"/>
          </w:tcPr>
          <w:p w14:paraId="4F17972D">
            <w:pPr>
              <w:pStyle w:val="60"/>
              <w:spacing w:line="276" w:lineRule="auto"/>
              <w:ind w:firstLine="0" w:firstLineChars="0"/>
              <w:jc w:val="center"/>
              <w:rPr>
                <w:rFonts w:cs="Times New Roman"/>
              </w:rPr>
            </w:pPr>
            <w:r>
              <w:rPr>
                <w:rFonts w:cs="Times New Roman"/>
              </w:rPr>
              <w:t>Mean corpuscular volume</w:t>
            </w:r>
          </w:p>
        </w:tc>
        <w:tc>
          <w:tcPr>
            <w:tcW w:w="1896" w:type="pct"/>
            <w:vAlign w:val="center"/>
          </w:tcPr>
          <w:p w14:paraId="781EB24A">
            <w:pPr>
              <w:pStyle w:val="60"/>
              <w:spacing w:line="276" w:lineRule="auto"/>
              <w:ind w:firstLine="0" w:firstLineChars="0"/>
              <w:jc w:val="center"/>
              <w:rPr>
                <w:rFonts w:cs="Times New Roman"/>
              </w:rPr>
            </w:pPr>
            <w:r>
              <w:rPr>
                <w:rFonts w:cs="Times New Roman"/>
              </w:rPr>
              <w:t>平均红细胞容积</w:t>
            </w:r>
          </w:p>
        </w:tc>
      </w:tr>
      <w:tr w14:paraId="51FD0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EBF09BD">
            <w:pPr>
              <w:pStyle w:val="60"/>
              <w:spacing w:line="276" w:lineRule="auto"/>
              <w:ind w:firstLine="0" w:firstLineChars="0"/>
              <w:jc w:val="center"/>
              <w:rPr>
                <w:rFonts w:cs="Times New Roman"/>
              </w:rPr>
            </w:pPr>
            <w:r>
              <w:rPr>
                <w:rFonts w:cs="Times New Roman"/>
              </w:rPr>
              <w:t>MedDRA</w:t>
            </w:r>
          </w:p>
        </w:tc>
        <w:tc>
          <w:tcPr>
            <w:tcW w:w="2170" w:type="pct"/>
            <w:vAlign w:val="center"/>
          </w:tcPr>
          <w:p w14:paraId="536E1EE3">
            <w:pPr>
              <w:pStyle w:val="60"/>
              <w:spacing w:line="276" w:lineRule="auto"/>
              <w:ind w:firstLine="0" w:firstLineChars="0"/>
              <w:jc w:val="center"/>
              <w:rPr>
                <w:rFonts w:cs="Times New Roman"/>
              </w:rPr>
            </w:pPr>
            <w:r>
              <w:rPr>
                <w:rFonts w:cs="Times New Roman"/>
                <w:lang w:eastAsia="en-US"/>
              </w:rPr>
              <w:t>Medical Dictionary for Regulatory Activities</w:t>
            </w:r>
          </w:p>
        </w:tc>
        <w:tc>
          <w:tcPr>
            <w:tcW w:w="1896" w:type="pct"/>
            <w:vAlign w:val="center"/>
          </w:tcPr>
          <w:p w14:paraId="7D74B62F">
            <w:pPr>
              <w:pStyle w:val="60"/>
              <w:spacing w:line="276" w:lineRule="auto"/>
              <w:ind w:firstLine="0" w:firstLineChars="0"/>
              <w:jc w:val="center"/>
              <w:rPr>
                <w:rFonts w:cs="Times New Roman"/>
              </w:rPr>
            </w:pPr>
            <w:r>
              <w:rPr>
                <w:rFonts w:cs="Times New Roman"/>
                <w:lang w:eastAsia="en-US"/>
              </w:rPr>
              <w:t>监管活动医学词典</w:t>
            </w:r>
          </w:p>
        </w:tc>
      </w:tr>
      <w:tr w14:paraId="56893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3E8BE03">
            <w:pPr>
              <w:pStyle w:val="60"/>
              <w:spacing w:line="276" w:lineRule="auto"/>
              <w:ind w:firstLine="0" w:firstLineChars="0"/>
              <w:jc w:val="center"/>
              <w:rPr>
                <w:rFonts w:cs="Times New Roman"/>
              </w:rPr>
            </w:pPr>
            <w:r>
              <w:rPr>
                <w:rFonts w:cs="Times New Roman"/>
              </w:rPr>
              <w:t>MI</w:t>
            </w:r>
          </w:p>
        </w:tc>
        <w:tc>
          <w:tcPr>
            <w:tcW w:w="2170" w:type="pct"/>
            <w:vAlign w:val="center"/>
          </w:tcPr>
          <w:p w14:paraId="616B467F">
            <w:pPr>
              <w:pStyle w:val="60"/>
              <w:spacing w:line="276" w:lineRule="auto"/>
              <w:ind w:firstLine="0" w:firstLineChars="0"/>
              <w:jc w:val="center"/>
              <w:rPr>
                <w:rFonts w:cs="Times New Roman"/>
              </w:rPr>
            </w:pPr>
            <w:r>
              <w:rPr>
                <w:rFonts w:cs="Times New Roman"/>
              </w:rPr>
              <w:t>Multiple Imputation</w:t>
            </w:r>
          </w:p>
        </w:tc>
        <w:tc>
          <w:tcPr>
            <w:tcW w:w="1896" w:type="pct"/>
            <w:vAlign w:val="center"/>
          </w:tcPr>
          <w:p w14:paraId="5096832C">
            <w:pPr>
              <w:pStyle w:val="60"/>
              <w:spacing w:line="276" w:lineRule="auto"/>
              <w:ind w:firstLine="0" w:firstLineChars="0"/>
              <w:jc w:val="center"/>
              <w:rPr>
                <w:rFonts w:cs="Times New Roman"/>
              </w:rPr>
            </w:pPr>
            <w:r>
              <w:rPr>
                <w:rFonts w:cs="Times New Roman"/>
              </w:rPr>
              <w:t>多重填补</w:t>
            </w:r>
          </w:p>
        </w:tc>
      </w:tr>
      <w:tr w14:paraId="45246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AA33BF2">
            <w:pPr>
              <w:pStyle w:val="60"/>
              <w:spacing w:line="276" w:lineRule="auto"/>
              <w:ind w:firstLine="0" w:firstLineChars="0"/>
              <w:jc w:val="center"/>
              <w:rPr>
                <w:rFonts w:cs="Times New Roman"/>
              </w:rPr>
            </w:pPr>
            <w:r>
              <w:rPr>
                <w:rFonts w:cs="Times New Roman"/>
              </w:rPr>
              <w:t>MMRM</w:t>
            </w:r>
          </w:p>
        </w:tc>
        <w:tc>
          <w:tcPr>
            <w:tcW w:w="2170" w:type="pct"/>
            <w:vAlign w:val="center"/>
          </w:tcPr>
          <w:p w14:paraId="17599C5A">
            <w:pPr>
              <w:pStyle w:val="60"/>
              <w:spacing w:line="276" w:lineRule="auto"/>
              <w:ind w:firstLine="0" w:firstLineChars="0"/>
              <w:jc w:val="center"/>
              <w:rPr>
                <w:rFonts w:cs="Times New Roman"/>
              </w:rPr>
            </w:pPr>
            <w:r>
              <w:rPr>
                <w:rFonts w:cs="Times New Roman"/>
              </w:rPr>
              <w:t>Mixed-effect models for repeated measures</w:t>
            </w:r>
          </w:p>
        </w:tc>
        <w:tc>
          <w:tcPr>
            <w:tcW w:w="1896" w:type="pct"/>
            <w:vAlign w:val="center"/>
          </w:tcPr>
          <w:p w14:paraId="0173358B">
            <w:pPr>
              <w:pStyle w:val="60"/>
              <w:spacing w:line="276" w:lineRule="auto"/>
              <w:ind w:firstLine="0" w:firstLineChars="0"/>
              <w:jc w:val="center"/>
              <w:rPr>
                <w:rFonts w:cs="Times New Roman"/>
              </w:rPr>
            </w:pPr>
            <w:r>
              <w:rPr>
                <w:rFonts w:hint="eastAsia" w:cs="Times New Roman"/>
              </w:rPr>
              <w:t>重复测量的</w:t>
            </w:r>
            <w:r>
              <w:rPr>
                <w:rFonts w:cs="Times New Roman"/>
              </w:rPr>
              <w:t>混合效应模型</w:t>
            </w:r>
          </w:p>
        </w:tc>
      </w:tr>
      <w:tr w14:paraId="69CA4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1193412">
            <w:pPr>
              <w:pStyle w:val="60"/>
              <w:spacing w:line="276" w:lineRule="auto"/>
              <w:ind w:firstLine="0" w:firstLineChars="0"/>
              <w:jc w:val="center"/>
              <w:rPr>
                <w:rFonts w:cs="Times New Roman"/>
              </w:rPr>
            </w:pPr>
            <w:r>
              <w:rPr>
                <w:rFonts w:cs="Times New Roman"/>
              </w:rPr>
              <w:t>MTD</w:t>
            </w:r>
          </w:p>
        </w:tc>
        <w:tc>
          <w:tcPr>
            <w:tcW w:w="2170" w:type="pct"/>
            <w:vAlign w:val="center"/>
          </w:tcPr>
          <w:p w14:paraId="57E286AD">
            <w:pPr>
              <w:pStyle w:val="60"/>
              <w:spacing w:line="276" w:lineRule="auto"/>
              <w:ind w:firstLine="0" w:firstLineChars="0"/>
              <w:jc w:val="center"/>
              <w:rPr>
                <w:rFonts w:cs="Times New Roman"/>
                <w:lang w:eastAsia="en-US"/>
              </w:rPr>
            </w:pPr>
            <w:r>
              <w:rPr>
                <w:rFonts w:cs="Times New Roman"/>
              </w:rPr>
              <w:t>Maximum tolerated dose</w:t>
            </w:r>
          </w:p>
        </w:tc>
        <w:tc>
          <w:tcPr>
            <w:tcW w:w="1896" w:type="pct"/>
            <w:vAlign w:val="center"/>
          </w:tcPr>
          <w:p w14:paraId="61B1FF0E">
            <w:pPr>
              <w:pStyle w:val="60"/>
              <w:spacing w:line="276" w:lineRule="auto"/>
              <w:ind w:firstLine="0" w:firstLineChars="0"/>
              <w:jc w:val="center"/>
              <w:rPr>
                <w:rFonts w:cs="Times New Roman"/>
                <w:lang w:eastAsia="en-US"/>
              </w:rPr>
            </w:pPr>
            <w:r>
              <w:rPr>
                <w:rFonts w:cs="Times New Roman"/>
              </w:rPr>
              <w:t>最大耐受剂量</w:t>
            </w:r>
          </w:p>
        </w:tc>
      </w:tr>
      <w:tr w14:paraId="66BD1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66C7CF7">
            <w:pPr>
              <w:pStyle w:val="60"/>
              <w:spacing w:line="276" w:lineRule="auto"/>
              <w:ind w:firstLine="0" w:firstLineChars="0"/>
              <w:jc w:val="center"/>
              <w:rPr>
                <w:rFonts w:cs="Times New Roman"/>
              </w:rPr>
            </w:pPr>
            <w:r>
              <w:rPr>
                <w:rFonts w:cs="Times New Roman"/>
              </w:rPr>
              <w:t>NMPA</w:t>
            </w:r>
          </w:p>
        </w:tc>
        <w:tc>
          <w:tcPr>
            <w:tcW w:w="2170" w:type="pct"/>
            <w:vAlign w:val="center"/>
          </w:tcPr>
          <w:p w14:paraId="113FE98A">
            <w:pPr>
              <w:pStyle w:val="60"/>
              <w:spacing w:line="276" w:lineRule="auto"/>
              <w:ind w:firstLine="0" w:firstLineChars="0"/>
              <w:jc w:val="center"/>
              <w:rPr>
                <w:rFonts w:cs="Times New Roman"/>
              </w:rPr>
            </w:pPr>
            <w:r>
              <w:rPr>
                <w:rFonts w:cs="Times New Roman"/>
              </w:rPr>
              <w:t>National Medical Products Administration</w:t>
            </w:r>
          </w:p>
        </w:tc>
        <w:tc>
          <w:tcPr>
            <w:tcW w:w="1896" w:type="pct"/>
            <w:vAlign w:val="center"/>
          </w:tcPr>
          <w:p w14:paraId="3FF122ED">
            <w:pPr>
              <w:pStyle w:val="60"/>
              <w:spacing w:line="276" w:lineRule="auto"/>
              <w:ind w:firstLine="0" w:firstLineChars="0"/>
              <w:jc w:val="center"/>
              <w:rPr>
                <w:rFonts w:cs="Times New Roman"/>
              </w:rPr>
            </w:pPr>
            <w:r>
              <w:rPr>
                <w:rFonts w:hint="eastAsia" w:cs="Times New Roman"/>
              </w:rPr>
              <w:t>国家药品监督管理局</w:t>
            </w:r>
          </w:p>
        </w:tc>
      </w:tr>
      <w:tr w14:paraId="6B3FF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370E13D">
            <w:pPr>
              <w:pStyle w:val="60"/>
              <w:spacing w:line="276" w:lineRule="auto"/>
              <w:ind w:firstLine="0" w:firstLineChars="0"/>
              <w:jc w:val="center"/>
              <w:rPr>
                <w:rFonts w:cs="Times New Roman"/>
              </w:rPr>
            </w:pPr>
            <w:r>
              <w:rPr>
                <w:rFonts w:cs="Times New Roman"/>
              </w:rPr>
              <w:t>NOAEL</w:t>
            </w:r>
          </w:p>
        </w:tc>
        <w:tc>
          <w:tcPr>
            <w:tcW w:w="2170" w:type="pct"/>
            <w:vAlign w:val="center"/>
          </w:tcPr>
          <w:p w14:paraId="49CAF407">
            <w:pPr>
              <w:pStyle w:val="60"/>
              <w:spacing w:line="276" w:lineRule="auto"/>
              <w:ind w:firstLine="0" w:firstLineChars="0"/>
              <w:jc w:val="center"/>
              <w:rPr>
                <w:rFonts w:cs="Times New Roman"/>
              </w:rPr>
            </w:pPr>
            <w:r>
              <w:rPr>
                <w:rFonts w:cs="Times New Roman"/>
              </w:rPr>
              <w:t>No observed adverse effect level</w:t>
            </w:r>
          </w:p>
        </w:tc>
        <w:tc>
          <w:tcPr>
            <w:tcW w:w="1896" w:type="pct"/>
            <w:vAlign w:val="center"/>
          </w:tcPr>
          <w:p w14:paraId="4534213A">
            <w:pPr>
              <w:pStyle w:val="60"/>
              <w:spacing w:line="276" w:lineRule="auto"/>
              <w:ind w:firstLine="0" w:firstLineChars="0"/>
              <w:jc w:val="center"/>
              <w:rPr>
                <w:rFonts w:cs="Times New Roman"/>
              </w:rPr>
            </w:pPr>
            <w:r>
              <w:rPr>
                <w:rFonts w:cs="Times New Roman"/>
              </w:rPr>
              <w:t>未见不良反应</w:t>
            </w:r>
            <w:r>
              <w:rPr>
                <w:rFonts w:hint="eastAsia" w:cs="Times New Roman"/>
              </w:rPr>
              <w:t>剂量水平</w:t>
            </w:r>
          </w:p>
        </w:tc>
      </w:tr>
      <w:tr w14:paraId="1ACE8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7158940">
            <w:pPr>
              <w:pStyle w:val="60"/>
              <w:spacing w:line="276" w:lineRule="auto"/>
              <w:ind w:firstLine="0" w:firstLineChars="0"/>
              <w:jc w:val="center"/>
              <w:rPr>
                <w:rFonts w:cs="Times New Roman"/>
              </w:rPr>
            </w:pPr>
            <w:r>
              <w:rPr>
                <w:rFonts w:cs="Times New Roman"/>
              </w:rPr>
              <w:t>NRI</w:t>
            </w:r>
          </w:p>
        </w:tc>
        <w:tc>
          <w:tcPr>
            <w:tcW w:w="2170" w:type="pct"/>
            <w:vAlign w:val="center"/>
          </w:tcPr>
          <w:p w14:paraId="3D6D670F">
            <w:pPr>
              <w:pStyle w:val="60"/>
              <w:spacing w:line="276" w:lineRule="auto"/>
              <w:ind w:firstLine="0" w:firstLineChars="0"/>
              <w:jc w:val="center"/>
              <w:rPr>
                <w:rFonts w:cs="Times New Roman"/>
              </w:rPr>
            </w:pPr>
            <w:r>
              <w:rPr>
                <w:rFonts w:cs="Times New Roman"/>
              </w:rPr>
              <w:t>Net Reclassification Improvement</w:t>
            </w:r>
          </w:p>
        </w:tc>
        <w:tc>
          <w:tcPr>
            <w:tcW w:w="1896" w:type="pct"/>
            <w:vAlign w:val="center"/>
          </w:tcPr>
          <w:p w14:paraId="1E310484">
            <w:pPr>
              <w:pStyle w:val="60"/>
              <w:spacing w:line="276" w:lineRule="auto"/>
              <w:ind w:firstLine="0" w:firstLineChars="0"/>
              <w:jc w:val="center"/>
              <w:rPr>
                <w:rFonts w:cs="Times New Roman"/>
              </w:rPr>
            </w:pPr>
            <w:r>
              <w:rPr>
                <w:rFonts w:hint="eastAsia" w:cs="Times New Roman"/>
              </w:rPr>
              <w:t>净重新分类改善指数</w:t>
            </w:r>
          </w:p>
        </w:tc>
      </w:tr>
      <w:tr w14:paraId="6DDFC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B1B4699">
            <w:pPr>
              <w:pStyle w:val="60"/>
              <w:spacing w:line="276" w:lineRule="auto"/>
              <w:ind w:firstLine="0" w:firstLineChars="0"/>
              <w:jc w:val="center"/>
              <w:rPr>
                <w:rFonts w:cs="Times New Roman"/>
              </w:rPr>
            </w:pPr>
            <w:r>
              <w:rPr>
                <w:rFonts w:cs="Times New Roman"/>
              </w:rPr>
              <w:t>PASI</w:t>
            </w:r>
          </w:p>
        </w:tc>
        <w:tc>
          <w:tcPr>
            <w:tcW w:w="2170" w:type="pct"/>
            <w:vAlign w:val="center"/>
          </w:tcPr>
          <w:p w14:paraId="44517E55">
            <w:pPr>
              <w:pStyle w:val="60"/>
              <w:spacing w:line="276" w:lineRule="auto"/>
              <w:ind w:firstLine="0" w:firstLineChars="0"/>
              <w:jc w:val="center"/>
              <w:rPr>
                <w:rFonts w:cs="Times New Roman"/>
              </w:rPr>
            </w:pPr>
            <w:r>
              <w:rPr>
                <w:rFonts w:cs="Times New Roman"/>
              </w:rPr>
              <w:t>Psoriasis Area and Severity Index</w:t>
            </w:r>
          </w:p>
        </w:tc>
        <w:tc>
          <w:tcPr>
            <w:tcW w:w="1896" w:type="pct"/>
            <w:vAlign w:val="center"/>
          </w:tcPr>
          <w:p w14:paraId="247E0851">
            <w:pPr>
              <w:pStyle w:val="60"/>
              <w:spacing w:line="276" w:lineRule="auto"/>
              <w:ind w:firstLine="0" w:firstLineChars="0"/>
              <w:jc w:val="center"/>
              <w:rPr>
                <w:rFonts w:cs="Times New Roman"/>
              </w:rPr>
            </w:pPr>
            <w:r>
              <w:rPr>
                <w:rFonts w:hint="eastAsia" w:cs="Times New Roman"/>
              </w:rPr>
              <w:t>银屑病面积和严重程度指数</w:t>
            </w:r>
          </w:p>
        </w:tc>
      </w:tr>
      <w:tr w14:paraId="072F9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B573FD9">
            <w:pPr>
              <w:pStyle w:val="60"/>
              <w:spacing w:line="276" w:lineRule="auto"/>
              <w:ind w:firstLine="0" w:firstLineChars="0"/>
              <w:jc w:val="center"/>
              <w:rPr>
                <w:rFonts w:cs="Times New Roman"/>
              </w:rPr>
            </w:pPr>
            <w:r>
              <w:rPr>
                <w:rFonts w:cs="Times New Roman"/>
              </w:rPr>
              <w:t>PDE4</w:t>
            </w:r>
          </w:p>
        </w:tc>
        <w:tc>
          <w:tcPr>
            <w:tcW w:w="2170" w:type="pct"/>
            <w:vAlign w:val="center"/>
          </w:tcPr>
          <w:p w14:paraId="406D4CB9">
            <w:pPr>
              <w:pStyle w:val="60"/>
              <w:spacing w:line="276" w:lineRule="auto"/>
              <w:ind w:firstLine="0" w:firstLineChars="0"/>
              <w:jc w:val="center"/>
              <w:rPr>
                <w:rFonts w:cs="Times New Roman"/>
              </w:rPr>
            </w:pPr>
            <w:r>
              <w:rPr>
                <w:rFonts w:cs="Times New Roman"/>
              </w:rPr>
              <w:t>Phosphodiesterase-4</w:t>
            </w:r>
          </w:p>
        </w:tc>
        <w:tc>
          <w:tcPr>
            <w:tcW w:w="1896" w:type="pct"/>
            <w:vAlign w:val="center"/>
          </w:tcPr>
          <w:p w14:paraId="33DE9EC5">
            <w:pPr>
              <w:pStyle w:val="60"/>
              <w:spacing w:line="276" w:lineRule="auto"/>
              <w:ind w:firstLine="0" w:firstLineChars="0"/>
              <w:jc w:val="center"/>
              <w:rPr>
                <w:rFonts w:cs="Times New Roman"/>
              </w:rPr>
            </w:pPr>
            <w:r>
              <w:rPr>
                <w:rFonts w:hint="eastAsia" w:cs="Times New Roman"/>
              </w:rPr>
              <w:t>磷酸二酯酶</w:t>
            </w:r>
            <w:r>
              <w:rPr>
                <w:rFonts w:cs="Times New Roman"/>
              </w:rPr>
              <w:t>4</w:t>
            </w:r>
          </w:p>
        </w:tc>
      </w:tr>
      <w:tr w14:paraId="27D48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C49927A">
            <w:pPr>
              <w:pStyle w:val="60"/>
              <w:spacing w:line="276" w:lineRule="auto"/>
              <w:ind w:firstLine="0" w:firstLineChars="0"/>
              <w:jc w:val="center"/>
              <w:rPr>
                <w:rFonts w:cs="Times New Roman"/>
              </w:rPr>
            </w:pPr>
            <w:r>
              <w:rPr>
                <w:rFonts w:cs="Times New Roman"/>
              </w:rPr>
              <w:t>PGA</w:t>
            </w:r>
          </w:p>
        </w:tc>
        <w:tc>
          <w:tcPr>
            <w:tcW w:w="2170" w:type="pct"/>
            <w:vAlign w:val="center"/>
          </w:tcPr>
          <w:p w14:paraId="06B2FB8D">
            <w:pPr>
              <w:pStyle w:val="60"/>
              <w:spacing w:line="276" w:lineRule="auto"/>
              <w:ind w:firstLine="0" w:firstLineChars="0"/>
              <w:jc w:val="center"/>
              <w:rPr>
                <w:rFonts w:cs="Times New Roman"/>
              </w:rPr>
            </w:pPr>
            <w:r>
              <w:rPr>
                <w:rFonts w:cs="Times New Roman"/>
              </w:rPr>
              <w:t>Physician Global Assessment</w:t>
            </w:r>
          </w:p>
        </w:tc>
        <w:tc>
          <w:tcPr>
            <w:tcW w:w="1896" w:type="pct"/>
            <w:vAlign w:val="center"/>
          </w:tcPr>
          <w:p w14:paraId="1A7E458E">
            <w:pPr>
              <w:pStyle w:val="60"/>
              <w:spacing w:line="276" w:lineRule="auto"/>
              <w:ind w:firstLine="0" w:firstLineChars="0"/>
              <w:jc w:val="center"/>
              <w:rPr>
                <w:rFonts w:cs="Times New Roman"/>
              </w:rPr>
            </w:pPr>
            <w:r>
              <w:rPr>
                <w:rFonts w:hint="eastAsia" w:cs="Times New Roman"/>
              </w:rPr>
              <w:t>医生整体评估</w:t>
            </w:r>
          </w:p>
        </w:tc>
      </w:tr>
      <w:tr w14:paraId="600A0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31C80C7">
            <w:pPr>
              <w:pStyle w:val="60"/>
              <w:spacing w:line="276" w:lineRule="auto"/>
              <w:ind w:firstLine="0" w:firstLineChars="0"/>
              <w:jc w:val="center"/>
              <w:rPr>
                <w:rFonts w:cs="Times New Roman"/>
              </w:rPr>
            </w:pPr>
            <w:r>
              <w:rPr>
                <w:rFonts w:cs="Times New Roman"/>
              </w:rPr>
              <w:t>PK</w:t>
            </w:r>
          </w:p>
        </w:tc>
        <w:tc>
          <w:tcPr>
            <w:tcW w:w="2170" w:type="pct"/>
            <w:vAlign w:val="center"/>
          </w:tcPr>
          <w:p w14:paraId="6205A452">
            <w:pPr>
              <w:pStyle w:val="60"/>
              <w:spacing w:line="276" w:lineRule="auto"/>
              <w:ind w:firstLine="0" w:firstLineChars="0"/>
              <w:jc w:val="center"/>
              <w:rPr>
                <w:rFonts w:cs="Times New Roman"/>
              </w:rPr>
            </w:pPr>
            <w:r>
              <w:rPr>
                <w:rFonts w:cs="Times New Roman"/>
              </w:rPr>
              <w:t>Pharmacokinetics</w:t>
            </w:r>
          </w:p>
        </w:tc>
        <w:tc>
          <w:tcPr>
            <w:tcW w:w="1896" w:type="pct"/>
            <w:vAlign w:val="center"/>
          </w:tcPr>
          <w:p w14:paraId="5254CB75">
            <w:pPr>
              <w:pStyle w:val="60"/>
              <w:spacing w:line="276" w:lineRule="auto"/>
              <w:ind w:firstLine="0" w:firstLineChars="0"/>
              <w:jc w:val="center"/>
              <w:rPr>
                <w:rFonts w:cs="Times New Roman"/>
              </w:rPr>
            </w:pPr>
            <w:r>
              <w:rPr>
                <w:rFonts w:hint="eastAsia" w:cs="Times New Roman"/>
              </w:rPr>
              <w:t>药代动力学</w:t>
            </w:r>
          </w:p>
        </w:tc>
      </w:tr>
      <w:tr w14:paraId="70E7A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48C84A9">
            <w:pPr>
              <w:pStyle w:val="60"/>
              <w:spacing w:line="276" w:lineRule="auto"/>
              <w:ind w:firstLine="0" w:firstLineChars="0"/>
              <w:jc w:val="center"/>
              <w:rPr>
                <w:rFonts w:cs="Times New Roman"/>
              </w:rPr>
            </w:pPr>
            <w:r>
              <w:rPr>
                <w:rFonts w:cs="Times New Roman"/>
              </w:rPr>
              <w:t>PKCS</w:t>
            </w:r>
          </w:p>
        </w:tc>
        <w:tc>
          <w:tcPr>
            <w:tcW w:w="2170" w:type="pct"/>
            <w:vAlign w:val="center"/>
          </w:tcPr>
          <w:p w14:paraId="36AA7658">
            <w:pPr>
              <w:pStyle w:val="60"/>
              <w:spacing w:line="276" w:lineRule="auto"/>
              <w:ind w:firstLine="0" w:firstLineChars="0"/>
              <w:jc w:val="center"/>
              <w:rPr>
                <w:rFonts w:cs="Times New Roman"/>
              </w:rPr>
            </w:pPr>
            <w:r>
              <w:rPr>
                <w:rFonts w:cs="Times New Roman"/>
              </w:rPr>
              <w:t>Pharmacokinetics Concentration Set</w:t>
            </w:r>
          </w:p>
        </w:tc>
        <w:tc>
          <w:tcPr>
            <w:tcW w:w="1896" w:type="pct"/>
            <w:vAlign w:val="center"/>
          </w:tcPr>
          <w:p w14:paraId="585BD24A">
            <w:pPr>
              <w:pStyle w:val="60"/>
              <w:spacing w:line="276" w:lineRule="auto"/>
              <w:ind w:firstLine="0" w:firstLineChars="0"/>
              <w:jc w:val="center"/>
              <w:rPr>
                <w:rFonts w:cs="Times New Roman"/>
              </w:rPr>
            </w:pPr>
            <w:r>
              <w:rPr>
                <w:rFonts w:cs="Times New Roman"/>
              </w:rPr>
              <w:t>药代动力学浓度集</w:t>
            </w:r>
          </w:p>
        </w:tc>
      </w:tr>
      <w:tr w14:paraId="008D8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DD36195">
            <w:pPr>
              <w:pStyle w:val="60"/>
              <w:spacing w:line="276" w:lineRule="auto"/>
              <w:ind w:firstLine="0" w:firstLineChars="0"/>
              <w:jc w:val="center"/>
              <w:rPr>
                <w:rFonts w:cs="Times New Roman"/>
              </w:rPr>
            </w:pPr>
            <w:r>
              <w:rPr>
                <w:rFonts w:cs="Times New Roman"/>
              </w:rPr>
              <w:t>PLT</w:t>
            </w:r>
          </w:p>
        </w:tc>
        <w:tc>
          <w:tcPr>
            <w:tcW w:w="2170" w:type="pct"/>
            <w:vAlign w:val="center"/>
          </w:tcPr>
          <w:p w14:paraId="0D1C8EEB">
            <w:pPr>
              <w:pStyle w:val="60"/>
              <w:spacing w:line="276" w:lineRule="auto"/>
              <w:ind w:firstLine="0" w:firstLineChars="0"/>
              <w:jc w:val="center"/>
              <w:rPr>
                <w:rFonts w:cs="Times New Roman"/>
              </w:rPr>
            </w:pPr>
            <w:r>
              <w:rPr>
                <w:rFonts w:cs="Times New Roman"/>
              </w:rPr>
              <w:t>Platelet</w:t>
            </w:r>
          </w:p>
        </w:tc>
        <w:tc>
          <w:tcPr>
            <w:tcW w:w="1896" w:type="pct"/>
            <w:vAlign w:val="center"/>
          </w:tcPr>
          <w:p w14:paraId="186AFF92">
            <w:pPr>
              <w:pStyle w:val="60"/>
              <w:spacing w:line="276" w:lineRule="auto"/>
              <w:ind w:firstLine="0" w:firstLineChars="0"/>
              <w:jc w:val="center"/>
              <w:rPr>
                <w:rFonts w:cs="Times New Roman"/>
              </w:rPr>
            </w:pPr>
            <w:r>
              <w:rPr>
                <w:rFonts w:cs="Times New Roman"/>
              </w:rPr>
              <w:t>血小板</w:t>
            </w:r>
          </w:p>
        </w:tc>
      </w:tr>
      <w:tr w14:paraId="1614F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D5EBA2A">
            <w:pPr>
              <w:pStyle w:val="60"/>
              <w:spacing w:line="276" w:lineRule="auto"/>
              <w:ind w:firstLine="0" w:firstLineChars="0"/>
              <w:jc w:val="center"/>
              <w:rPr>
                <w:rFonts w:cs="Times New Roman"/>
              </w:rPr>
            </w:pPr>
            <w:r>
              <w:rPr>
                <w:rFonts w:cs="Times New Roman"/>
              </w:rPr>
              <w:t>PT</w:t>
            </w:r>
          </w:p>
        </w:tc>
        <w:tc>
          <w:tcPr>
            <w:tcW w:w="2170" w:type="pct"/>
            <w:vAlign w:val="center"/>
          </w:tcPr>
          <w:p w14:paraId="1D08FDE8">
            <w:pPr>
              <w:pStyle w:val="60"/>
              <w:spacing w:line="276" w:lineRule="auto"/>
              <w:ind w:firstLine="0" w:firstLineChars="0"/>
              <w:jc w:val="center"/>
              <w:rPr>
                <w:rFonts w:cs="Times New Roman"/>
              </w:rPr>
            </w:pPr>
            <w:r>
              <w:rPr>
                <w:rFonts w:cs="Times New Roman"/>
              </w:rPr>
              <w:t>Prothrombin Time</w:t>
            </w:r>
          </w:p>
        </w:tc>
        <w:tc>
          <w:tcPr>
            <w:tcW w:w="1896" w:type="pct"/>
            <w:vAlign w:val="center"/>
          </w:tcPr>
          <w:p w14:paraId="47C38865">
            <w:pPr>
              <w:pStyle w:val="60"/>
              <w:spacing w:line="276" w:lineRule="auto"/>
              <w:ind w:firstLine="0" w:firstLineChars="0"/>
              <w:jc w:val="center"/>
              <w:rPr>
                <w:rFonts w:cs="Times New Roman"/>
              </w:rPr>
            </w:pPr>
            <w:r>
              <w:rPr>
                <w:rFonts w:cs="Times New Roman"/>
              </w:rPr>
              <w:t>血浆凝血酶原时间</w:t>
            </w:r>
          </w:p>
        </w:tc>
      </w:tr>
      <w:tr w14:paraId="4EB76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0B4D5B0">
            <w:pPr>
              <w:pStyle w:val="60"/>
              <w:spacing w:line="276" w:lineRule="auto"/>
              <w:ind w:firstLine="0" w:firstLineChars="0"/>
              <w:jc w:val="center"/>
              <w:rPr>
                <w:rFonts w:cs="Times New Roman"/>
              </w:rPr>
            </w:pPr>
            <w:r>
              <w:rPr>
                <w:rFonts w:cs="Times New Roman"/>
              </w:rPr>
              <w:t>PT</w:t>
            </w:r>
          </w:p>
        </w:tc>
        <w:tc>
          <w:tcPr>
            <w:tcW w:w="2170" w:type="pct"/>
            <w:vAlign w:val="center"/>
          </w:tcPr>
          <w:p w14:paraId="04CE4D19">
            <w:pPr>
              <w:pStyle w:val="60"/>
              <w:spacing w:line="276" w:lineRule="auto"/>
              <w:ind w:firstLine="0" w:firstLineChars="0"/>
              <w:jc w:val="center"/>
              <w:rPr>
                <w:rFonts w:cs="Times New Roman"/>
              </w:rPr>
            </w:pPr>
            <w:r>
              <w:rPr>
                <w:rFonts w:cs="Times New Roman"/>
                <w:lang w:eastAsia="en-US"/>
              </w:rPr>
              <w:t>Preferred Terms</w:t>
            </w:r>
          </w:p>
        </w:tc>
        <w:tc>
          <w:tcPr>
            <w:tcW w:w="1896" w:type="pct"/>
            <w:vAlign w:val="center"/>
          </w:tcPr>
          <w:p w14:paraId="0C72E943">
            <w:pPr>
              <w:pStyle w:val="60"/>
              <w:spacing w:line="276" w:lineRule="auto"/>
              <w:ind w:firstLine="0" w:firstLineChars="0"/>
              <w:jc w:val="center"/>
              <w:rPr>
                <w:rFonts w:cs="Times New Roman"/>
              </w:rPr>
            </w:pPr>
            <w:r>
              <w:rPr>
                <w:rFonts w:cs="Times New Roman"/>
              </w:rPr>
              <w:t>首选语</w:t>
            </w:r>
          </w:p>
        </w:tc>
      </w:tr>
      <w:tr w14:paraId="513EE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7561C15">
            <w:pPr>
              <w:pStyle w:val="60"/>
              <w:spacing w:line="276" w:lineRule="auto"/>
              <w:ind w:firstLine="0" w:firstLineChars="0"/>
              <w:jc w:val="center"/>
              <w:rPr>
                <w:rFonts w:cs="Times New Roman"/>
              </w:rPr>
            </w:pPr>
            <w:r>
              <w:rPr>
                <w:rFonts w:cs="Times New Roman"/>
              </w:rPr>
              <w:t>QD</w:t>
            </w:r>
          </w:p>
        </w:tc>
        <w:tc>
          <w:tcPr>
            <w:tcW w:w="2170" w:type="pct"/>
            <w:vAlign w:val="center"/>
          </w:tcPr>
          <w:p w14:paraId="478DDEC6">
            <w:pPr>
              <w:pStyle w:val="60"/>
              <w:spacing w:line="276" w:lineRule="auto"/>
              <w:ind w:firstLine="0" w:firstLineChars="0"/>
              <w:jc w:val="center"/>
              <w:rPr>
                <w:rFonts w:cs="Times New Roman"/>
                <w:lang w:eastAsia="en-US"/>
              </w:rPr>
            </w:pPr>
            <w:r>
              <w:rPr>
                <w:rFonts w:cs="Times New Roman"/>
              </w:rPr>
              <w:t>Quaque Die</w:t>
            </w:r>
          </w:p>
        </w:tc>
        <w:tc>
          <w:tcPr>
            <w:tcW w:w="1896" w:type="pct"/>
            <w:vAlign w:val="center"/>
          </w:tcPr>
          <w:p w14:paraId="438FA059">
            <w:pPr>
              <w:pStyle w:val="60"/>
              <w:spacing w:line="276" w:lineRule="auto"/>
              <w:ind w:firstLine="0" w:firstLineChars="0"/>
              <w:jc w:val="center"/>
              <w:rPr>
                <w:rFonts w:cs="Times New Roman"/>
              </w:rPr>
            </w:pPr>
            <w:r>
              <w:rPr>
                <w:rFonts w:hint="eastAsia" w:cs="Times New Roman"/>
              </w:rPr>
              <w:t>每天一次</w:t>
            </w:r>
          </w:p>
        </w:tc>
      </w:tr>
      <w:tr w14:paraId="32B25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653A6DC">
            <w:pPr>
              <w:pStyle w:val="60"/>
              <w:spacing w:line="276" w:lineRule="auto"/>
              <w:ind w:firstLine="0" w:firstLineChars="0"/>
              <w:jc w:val="center"/>
              <w:rPr>
                <w:rFonts w:cs="Times New Roman"/>
              </w:rPr>
            </w:pPr>
            <w:r>
              <w:rPr>
                <w:rFonts w:cs="Times New Roman"/>
              </w:rPr>
              <w:t>RBC</w:t>
            </w:r>
          </w:p>
        </w:tc>
        <w:tc>
          <w:tcPr>
            <w:tcW w:w="2170" w:type="pct"/>
            <w:vAlign w:val="center"/>
          </w:tcPr>
          <w:p w14:paraId="2C38F91D">
            <w:pPr>
              <w:pStyle w:val="60"/>
              <w:spacing w:line="276" w:lineRule="auto"/>
              <w:ind w:firstLine="0" w:firstLineChars="0"/>
              <w:jc w:val="center"/>
              <w:rPr>
                <w:rFonts w:cs="Times New Roman"/>
              </w:rPr>
            </w:pPr>
            <w:r>
              <w:rPr>
                <w:rFonts w:cs="Times New Roman"/>
              </w:rPr>
              <w:t>Red Blood Cell</w:t>
            </w:r>
          </w:p>
        </w:tc>
        <w:tc>
          <w:tcPr>
            <w:tcW w:w="1896" w:type="pct"/>
            <w:vAlign w:val="center"/>
          </w:tcPr>
          <w:p w14:paraId="00EF7ADB">
            <w:pPr>
              <w:pStyle w:val="60"/>
              <w:spacing w:line="276" w:lineRule="auto"/>
              <w:ind w:firstLine="0" w:firstLineChars="0"/>
              <w:jc w:val="center"/>
              <w:rPr>
                <w:rFonts w:cs="Times New Roman"/>
              </w:rPr>
            </w:pPr>
            <w:r>
              <w:rPr>
                <w:rFonts w:cs="Times New Roman"/>
              </w:rPr>
              <w:t>红细胞计数</w:t>
            </w:r>
          </w:p>
        </w:tc>
      </w:tr>
      <w:tr w14:paraId="42A63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EC94EDB">
            <w:pPr>
              <w:pStyle w:val="60"/>
              <w:spacing w:line="276" w:lineRule="auto"/>
              <w:ind w:firstLine="0" w:firstLineChars="0"/>
              <w:jc w:val="center"/>
              <w:rPr>
                <w:rFonts w:cs="Times New Roman"/>
              </w:rPr>
            </w:pPr>
            <w:r>
              <w:rPr>
                <w:rFonts w:cs="Times New Roman"/>
              </w:rPr>
              <w:t>SAD</w:t>
            </w:r>
          </w:p>
        </w:tc>
        <w:tc>
          <w:tcPr>
            <w:tcW w:w="2170" w:type="pct"/>
            <w:vAlign w:val="center"/>
          </w:tcPr>
          <w:p w14:paraId="52B3CBD2">
            <w:pPr>
              <w:pStyle w:val="60"/>
              <w:spacing w:line="276" w:lineRule="auto"/>
              <w:ind w:firstLine="0" w:firstLineChars="0"/>
              <w:jc w:val="center"/>
              <w:rPr>
                <w:rFonts w:cs="Times New Roman"/>
              </w:rPr>
            </w:pPr>
            <w:r>
              <w:rPr>
                <w:rFonts w:cs="Times New Roman"/>
              </w:rPr>
              <w:t>Single ascending dose</w:t>
            </w:r>
          </w:p>
        </w:tc>
        <w:tc>
          <w:tcPr>
            <w:tcW w:w="1896" w:type="pct"/>
            <w:vAlign w:val="center"/>
          </w:tcPr>
          <w:p w14:paraId="57C4B7A6">
            <w:pPr>
              <w:pStyle w:val="60"/>
              <w:spacing w:line="276" w:lineRule="auto"/>
              <w:ind w:firstLine="0" w:firstLineChars="0"/>
              <w:jc w:val="center"/>
              <w:rPr>
                <w:rFonts w:cs="Times New Roman"/>
              </w:rPr>
            </w:pPr>
            <w:r>
              <w:rPr>
                <w:rFonts w:cs="Times New Roman"/>
              </w:rPr>
              <w:t>单次剂量递增</w:t>
            </w:r>
          </w:p>
        </w:tc>
      </w:tr>
      <w:tr w14:paraId="29D39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3B4F763">
            <w:pPr>
              <w:pStyle w:val="60"/>
              <w:spacing w:line="276" w:lineRule="auto"/>
              <w:ind w:firstLine="0" w:firstLineChars="0"/>
              <w:jc w:val="center"/>
              <w:rPr>
                <w:rFonts w:cs="Times New Roman"/>
              </w:rPr>
            </w:pPr>
            <w:r>
              <w:rPr>
                <w:rFonts w:cs="Times New Roman"/>
              </w:rPr>
              <w:t>SAE</w:t>
            </w:r>
          </w:p>
        </w:tc>
        <w:tc>
          <w:tcPr>
            <w:tcW w:w="2170" w:type="pct"/>
            <w:vAlign w:val="center"/>
          </w:tcPr>
          <w:p w14:paraId="356A82B8">
            <w:pPr>
              <w:pStyle w:val="60"/>
              <w:spacing w:line="276" w:lineRule="auto"/>
              <w:ind w:firstLine="0" w:firstLineChars="0"/>
              <w:jc w:val="center"/>
              <w:rPr>
                <w:rFonts w:cs="Times New Roman"/>
              </w:rPr>
            </w:pPr>
            <w:r>
              <w:rPr>
                <w:rFonts w:cs="Times New Roman"/>
                <w:lang w:eastAsia="en-US"/>
              </w:rPr>
              <w:t>Serious Adverse Event</w:t>
            </w:r>
          </w:p>
        </w:tc>
        <w:tc>
          <w:tcPr>
            <w:tcW w:w="1896" w:type="pct"/>
            <w:vAlign w:val="center"/>
          </w:tcPr>
          <w:p w14:paraId="4CFEC036">
            <w:pPr>
              <w:pStyle w:val="60"/>
              <w:spacing w:line="276" w:lineRule="auto"/>
              <w:ind w:firstLine="0" w:firstLineChars="0"/>
              <w:jc w:val="center"/>
              <w:rPr>
                <w:rFonts w:cs="Times New Roman"/>
              </w:rPr>
            </w:pPr>
            <w:r>
              <w:rPr>
                <w:rFonts w:cs="Times New Roman"/>
              </w:rPr>
              <w:t>严重不良事件</w:t>
            </w:r>
          </w:p>
        </w:tc>
      </w:tr>
      <w:tr w14:paraId="51A27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7CA2BDC">
            <w:pPr>
              <w:pStyle w:val="60"/>
              <w:spacing w:line="276" w:lineRule="auto"/>
              <w:ind w:firstLine="0" w:firstLineChars="0"/>
              <w:jc w:val="center"/>
              <w:rPr>
                <w:rFonts w:cs="Times New Roman"/>
              </w:rPr>
            </w:pPr>
            <w:r>
              <w:rPr>
                <w:rFonts w:cs="Times New Roman"/>
              </w:rPr>
              <w:t>SAP</w:t>
            </w:r>
          </w:p>
        </w:tc>
        <w:tc>
          <w:tcPr>
            <w:tcW w:w="2170" w:type="pct"/>
            <w:vAlign w:val="center"/>
          </w:tcPr>
          <w:p w14:paraId="026B5A66">
            <w:pPr>
              <w:pStyle w:val="60"/>
              <w:spacing w:line="276" w:lineRule="auto"/>
              <w:ind w:firstLine="0" w:firstLineChars="0"/>
              <w:jc w:val="center"/>
              <w:rPr>
                <w:rFonts w:cs="Times New Roman"/>
                <w:lang w:eastAsia="en-US"/>
              </w:rPr>
            </w:pPr>
            <w:r>
              <w:rPr>
                <w:rFonts w:cs="Times New Roman"/>
              </w:rPr>
              <w:t>Statistical Analysis Plan</w:t>
            </w:r>
          </w:p>
        </w:tc>
        <w:tc>
          <w:tcPr>
            <w:tcW w:w="1896" w:type="pct"/>
            <w:vAlign w:val="center"/>
          </w:tcPr>
          <w:p w14:paraId="4A35EFA3">
            <w:pPr>
              <w:pStyle w:val="60"/>
              <w:spacing w:line="276" w:lineRule="auto"/>
              <w:ind w:firstLine="0" w:firstLineChars="0"/>
              <w:jc w:val="center"/>
              <w:rPr>
                <w:rFonts w:cs="Times New Roman"/>
              </w:rPr>
            </w:pPr>
            <w:r>
              <w:rPr>
                <w:rFonts w:hint="eastAsia" w:cs="Times New Roman"/>
              </w:rPr>
              <w:t>统计分析计划</w:t>
            </w:r>
          </w:p>
        </w:tc>
      </w:tr>
      <w:tr w14:paraId="314EA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B83B625">
            <w:pPr>
              <w:pStyle w:val="60"/>
              <w:spacing w:line="276" w:lineRule="auto"/>
              <w:ind w:firstLine="0" w:firstLineChars="0"/>
              <w:jc w:val="center"/>
              <w:rPr>
                <w:rFonts w:cs="Times New Roman"/>
              </w:rPr>
            </w:pPr>
            <w:r>
              <w:rPr>
                <w:rFonts w:cs="Times New Roman"/>
              </w:rPr>
              <w:t>SoA</w:t>
            </w:r>
          </w:p>
        </w:tc>
        <w:tc>
          <w:tcPr>
            <w:tcW w:w="2170" w:type="pct"/>
            <w:vAlign w:val="center"/>
          </w:tcPr>
          <w:p w14:paraId="6CC1C55C">
            <w:pPr>
              <w:pStyle w:val="60"/>
              <w:spacing w:line="276" w:lineRule="auto"/>
              <w:ind w:firstLine="0" w:firstLineChars="0"/>
              <w:jc w:val="center"/>
              <w:rPr>
                <w:rFonts w:cs="Times New Roman"/>
              </w:rPr>
            </w:pPr>
            <w:r>
              <w:rPr>
                <w:rFonts w:cs="Times New Roman"/>
              </w:rPr>
              <w:t>Schedule of activities</w:t>
            </w:r>
          </w:p>
        </w:tc>
        <w:tc>
          <w:tcPr>
            <w:tcW w:w="1896" w:type="pct"/>
            <w:vAlign w:val="center"/>
          </w:tcPr>
          <w:p w14:paraId="0DD026F4">
            <w:pPr>
              <w:pStyle w:val="60"/>
              <w:spacing w:line="276" w:lineRule="auto"/>
              <w:ind w:firstLine="0" w:firstLineChars="0"/>
              <w:jc w:val="center"/>
              <w:rPr>
                <w:rFonts w:cs="Times New Roman"/>
              </w:rPr>
            </w:pPr>
            <w:r>
              <w:rPr>
                <w:rFonts w:hint="eastAsia" w:cs="Times New Roman"/>
              </w:rPr>
              <w:t>活动时间表（研究流程表）</w:t>
            </w:r>
          </w:p>
        </w:tc>
      </w:tr>
      <w:tr w14:paraId="3437F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1E3538DF">
            <w:pPr>
              <w:pStyle w:val="60"/>
              <w:spacing w:line="276" w:lineRule="auto"/>
              <w:ind w:firstLine="0" w:firstLineChars="0"/>
              <w:jc w:val="center"/>
              <w:rPr>
                <w:rFonts w:cs="Times New Roman"/>
              </w:rPr>
            </w:pPr>
            <w:r>
              <w:rPr>
                <w:rFonts w:cs="Times New Roman"/>
              </w:rPr>
              <w:t>SOC</w:t>
            </w:r>
          </w:p>
        </w:tc>
        <w:tc>
          <w:tcPr>
            <w:tcW w:w="2170" w:type="pct"/>
            <w:vAlign w:val="center"/>
          </w:tcPr>
          <w:p w14:paraId="09C6B8AC">
            <w:pPr>
              <w:pStyle w:val="60"/>
              <w:spacing w:line="276" w:lineRule="auto"/>
              <w:ind w:firstLine="0" w:firstLineChars="0"/>
              <w:jc w:val="center"/>
              <w:rPr>
                <w:rFonts w:cs="Times New Roman"/>
              </w:rPr>
            </w:pPr>
            <w:r>
              <w:rPr>
                <w:rFonts w:cs="Times New Roman"/>
                <w:lang w:eastAsia="en-US"/>
              </w:rPr>
              <w:t>System Organ Class</w:t>
            </w:r>
          </w:p>
        </w:tc>
        <w:tc>
          <w:tcPr>
            <w:tcW w:w="1896" w:type="pct"/>
            <w:vAlign w:val="center"/>
          </w:tcPr>
          <w:p w14:paraId="4235A348">
            <w:pPr>
              <w:pStyle w:val="60"/>
              <w:spacing w:line="276" w:lineRule="auto"/>
              <w:ind w:firstLine="0" w:firstLineChars="0"/>
              <w:jc w:val="center"/>
              <w:rPr>
                <w:rFonts w:cs="Times New Roman"/>
              </w:rPr>
            </w:pPr>
            <w:r>
              <w:rPr>
                <w:rFonts w:cs="Times New Roman"/>
              </w:rPr>
              <w:t>系统器官分类</w:t>
            </w:r>
          </w:p>
        </w:tc>
      </w:tr>
      <w:tr w14:paraId="7577E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6910A51">
            <w:pPr>
              <w:pStyle w:val="60"/>
              <w:spacing w:line="276" w:lineRule="auto"/>
              <w:ind w:firstLine="0" w:firstLineChars="0"/>
              <w:jc w:val="center"/>
              <w:rPr>
                <w:rFonts w:cs="Times New Roman"/>
              </w:rPr>
            </w:pPr>
            <w:r>
              <w:rPr>
                <w:rFonts w:cs="Times New Roman"/>
              </w:rPr>
              <w:t>SOP</w:t>
            </w:r>
          </w:p>
        </w:tc>
        <w:tc>
          <w:tcPr>
            <w:tcW w:w="2170" w:type="pct"/>
            <w:vAlign w:val="center"/>
          </w:tcPr>
          <w:p w14:paraId="021B8985">
            <w:pPr>
              <w:pStyle w:val="60"/>
              <w:spacing w:line="276" w:lineRule="auto"/>
              <w:ind w:firstLine="0" w:firstLineChars="0"/>
              <w:jc w:val="center"/>
              <w:rPr>
                <w:rFonts w:cs="Times New Roman"/>
              </w:rPr>
            </w:pPr>
            <w:r>
              <w:rPr>
                <w:rFonts w:cs="Times New Roman"/>
              </w:rPr>
              <w:t>Standard Operating Procedure</w:t>
            </w:r>
          </w:p>
        </w:tc>
        <w:tc>
          <w:tcPr>
            <w:tcW w:w="1896" w:type="pct"/>
            <w:vAlign w:val="center"/>
          </w:tcPr>
          <w:p w14:paraId="3FBF388B">
            <w:pPr>
              <w:pStyle w:val="60"/>
              <w:spacing w:line="276" w:lineRule="auto"/>
              <w:ind w:firstLine="0" w:firstLineChars="0"/>
              <w:jc w:val="center"/>
              <w:rPr>
                <w:rFonts w:cs="Times New Roman"/>
              </w:rPr>
            </w:pPr>
            <w:r>
              <w:rPr>
                <w:rFonts w:hint="eastAsia" w:cs="Times New Roman"/>
              </w:rPr>
              <w:t>标准操作规程</w:t>
            </w:r>
          </w:p>
        </w:tc>
      </w:tr>
      <w:tr w14:paraId="08EA9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8E02DAD">
            <w:pPr>
              <w:pStyle w:val="60"/>
              <w:spacing w:line="276" w:lineRule="auto"/>
              <w:ind w:firstLine="0" w:firstLineChars="0"/>
              <w:jc w:val="center"/>
              <w:rPr>
                <w:rFonts w:cs="Times New Roman"/>
              </w:rPr>
            </w:pPr>
            <w:r>
              <w:rPr>
                <w:rFonts w:cs="Times New Roman"/>
              </w:rPr>
              <w:t>SS</w:t>
            </w:r>
          </w:p>
        </w:tc>
        <w:tc>
          <w:tcPr>
            <w:tcW w:w="2170" w:type="pct"/>
            <w:vAlign w:val="center"/>
          </w:tcPr>
          <w:p w14:paraId="7880E4F6">
            <w:pPr>
              <w:pStyle w:val="60"/>
              <w:spacing w:line="276" w:lineRule="auto"/>
              <w:ind w:firstLine="0" w:firstLineChars="0"/>
              <w:jc w:val="center"/>
              <w:rPr>
                <w:rFonts w:cs="Times New Roman"/>
              </w:rPr>
            </w:pPr>
            <w:r>
              <w:rPr>
                <w:rFonts w:cs="Times New Roman"/>
              </w:rPr>
              <w:t>Safety Set</w:t>
            </w:r>
          </w:p>
        </w:tc>
        <w:tc>
          <w:tcPr>
            <w:tcW w:w="1896" w:type="pct"/>
            <w:vAlign w:val="center"/>
          </w:tcPr>
          <w:p w14:paraId="29895FBE">
            <w:pPr>
              <w:pStyle w:val="60"/>
              <w:spacing w:line="276" w:lineRule="auto"/>
              <w:ind w:firstLine="0" w:firstLineChars="0"/>
              <w:jc w:val="center"/>
              <w:rPr>
                <w:rFonts w:cs="Times New Roman"/>
              </w:rPr>
            </w:pPr>
            <w:r>
              <w:rPr>
                <w:rFonts w:cs="Times New Roman"/>
              </w:rPr>
              <w:t>安全性分析集</w:t>
            </w:r>
          </w:p>
        </w:tc>
      </w:tr>
      <w:tr w14:paraId="224CB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9851471">
            <w:pPr>
              <w:pStyle w:val="60"/>
              <w:spacing w:line="276" w:lineRule="auto"/>
              <w:ind w:firstLine="0" w:firstLineChars="0"/>
              <w:jc w:val="center"/>
              <w:rPr>
                <w:rFonts w:cs="Times New Roman"/>
              </w:rPr>
            </w:pPr>
            <w:r>
              <w:rPr>
                <w:rFonts w:cs="Times New Roman"/>
              </w:rPr>
              <w:t>SSG</w:t>
            </w:r>
          </w:p>
        </w:tc>
        <w:tc>
          <w:tcPr>
            <w:tcW w:w="2170" w:type="pct"/>
            <w:vAlign w:val="center"/>
          </w:tcPr>
          <w:p w14:paraId="437BB9AF">
            <w:pPr>
              <w:pStyle w:val="60"/>
              <w:spacing w:line="276" w:lineRule="auto"/>
              <w:ind w:firstLine="0" w:firstLineChars="0"/>
              <w:jc w:val="center"/>
              <w:rPr>
                <w:rFonts w:cs="Times New Roman"/>
              </w:rPr>
            </w:pPr>
            <w:r>
              <w:rPr>
                <w:rFonts w:cs="Times New Roman"/>
              </w:rPr>
              <w:t>Statistical Sciences Group</w:t>
            </w:r>
          </w:p>
        </w:tc>
        <w:tc>
          <w:tcPr>
            <w:tcW w:w="1896" w:type="pct"/>
            <w:vAlign w:val="center"/>
          </w:tcPr>
          <w:p w14:paraId="1D429033">
            <w:pPr>
              <w:pStyle w:val="60"/>
              <w:spacing w:line="276" w:lineRule="auto"/>
              <w:ind w:firstLine="0" w:firstLineChars="0"/>
              <w:jc w:val="center"/>
              <w:rPr>
                <w:rFonts w:cs="Times New Roman"/>
              </w:rPr>
            </w:pPr>
            <w:r>
              <w:rPr>
                <w:rFonts w:hint="eastAsia" w:cs="Times New Roman"/>
              </w:rPr>
              <w:t>统计科学组</w:t>
            </w:r>
          </w:p>
        </w:tc>
      </w:tr>
      <w:tr w14:paraId="790F0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D4B0C88">
            <w:pPr>
              <w:pStyle w:val="60"/>
              <w:spacing w:line="276" w:lineRule="auto"/>
              <w:ind w:firstLine="0" w:firstLineChars="0"/>
              <w:jc w:val="center"/>
              <w:rPr>
                <w:rFonts w:cs="Times New Roman"/>
              </w:rPr>
            </w:pPr>
            <w:r>
              <w:rPr>
                <w:rFonts w:cs="Times New Roman"/>
              </w:rPr>
              <w:t>STAT</w:t>
            </w:r>
          </w:p>
        </w:tc>
        <w:tc>
          <w:tcPr>
            <w:tcW w:w="2170" w:type="pct"/>
            <w:vAlign w:val="center"/>
          </w:tcPr>
          <w:p w14:paraId="7F959A22">
            <w:pPr>
              <w:pStyle w:val="60"/>
              <w:spacing w:line="276" w:lineRule="auto"/>
              <w:ind w:firstLine="0" w:firstLineChars="0"/>
              <w:jc w:val="center"/>
              <w:rPr>
                <w:rFonts w:cs="Times New Roman"/>
              </w:rPr>
            </w:pPr>
            <w:r>
              <w:rPr>
                <w:rFonts w:cs="Times New Roman"/>
              </w:rPr>
              <w:t>Signal Transducers and Activators of Transcription</w:t>
            </w:r>
          </w:p>
        </w:tc>
        <w:tc>
          <w:tcPr>
            <w:tcW w:w="1896" w:type="pct"/>
            <w:vAlign w:val="center"/>
          </w:tcPr>
          <w:p w14:paraId="72D31518">
            <w:pPr>
              <w:pStyle w:val="60"/>
              <w:spacing w:line="276" w:lineRule="auto"/>
              <w:ind w:firstLine="0" w:firstLineChars="0"/>
              <w:jc w:val="center"/>
              <w:rPr>
                <w:rFonts w:cs="Times New Roman"/>
              </w:rPr>
            </w:pPr>
            <w:r>
              <w:rPr>
                <w:rFonts w:hint="eastAsia" w:cs="Times New Roman"/>
              </w:rPr>
              <w:t>信号传导转录活化因子</w:t>
            </w:r>
          </w:p>
        </w:tc>
      </w:tr>
      <w:tr w14:paraId="4C242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47CF4F8">
            <w:pPr>
              <w:pStyle w:val="60"/>
              <w:spacing w:line="276" w:lineRule="auto"/>
              <w:ind w:firstLine="0" w:firstLineChars="0"/>
              <w:jc w:val="center"/>
              <w:rPr>
                <w:rFonts w:cs="Times New Roman"/>
              </w:rPr>
            </w:pPr>
            <w:r>
              <w:rPr>
                <w:rFonts w:cs="Times New Roman"/>
              </w:rPr>
              <w:t>SUSAR</w:t>
            </w:r>
          </w:p>
        </w:tc>
        <w:tc>
          <w:tcPr>
            <w:tcW w:w="2170" w:type="pct"/>
            <w:vAlign w:val="center"/>
          </w:tcPr>
          <w:p w14:paraId="44398F37">
            <w:pPr>
              <w:pStyle w:val="60"/>
              <w:spacing w:line="276" w:lineRule="auto"/>
              <w:ind w:firstLine="0" w:firstLineChars="0"/>
              <w:jc w:val="center"/>
              <w:rPr>
                <w:rFonts w:cs="Times New Roman"/>
              </w:rPr>
            </w:pPr>
            <w:r>
              <w:rPr>
                <w:rFonts w:cs="Times New Roman"/>
              </w:rPr>
              <w:t>Suspected Unexpected Serious Adverse Reaction</w:t>
            </w:r>
          </w:p>
        </w:tc>
        <w:tc>
          <w:tcPr>
            <w:tcW w:w="1896" w:type="pct"/>
            <w:vAlign w:val="center"/>
          </w:tcPr>
          <w:p w14:paraId="49108EEE">
            <w:pPr>
              <w:pStyle w:val="60"/>
              <w:spacing w:line="276" w:lineRule="auto"/>
              <w:ind w:firstLine="0" w:firstLineChars="0"/>
              <w:jc w:val="center"/>
              <w:rPr>
                <w:rFonts w:cs="Times New Roman"/>
              </w:rPr>
            </w:pPr>
            <w:r>
              <w:rPr>
                <w:rFonts w:cs="Times New Roman"/>
              </w:rPr>
              <w:t>可疑且非预期严重不良反应</w:t>
            </w:r>
          </w:p>
        </w:tc>
      </w:tr>
      <w:tr w14:paraId="112F4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8661420">
            <w:pPr>
              <w:pStyle w:val="60"/>
              <w:spacing w:line="276" w:lineRule="auto"/>
              <w:ind w:firstLine="0" w:firstLineChars="0"/>
              <w:jc w:val="center"/>
              <w:rPr>
                <w:rFonts w:cs="Times New Roman"/>
              </w:rPr>
            </w:pPr>
            <w:r>
              <w:rPr>
                <w:rFonts w:cs="Times New Roman"/>
              </w:rPr>
              <w:t>TBIL</w:t>
            </w:r>
          </w:p>
        </w:tc>
        <w:tc>
          <w:tcPr>
            <w:tcW w:w="2170" w:type="pct"/>
            <w:vAlign w:val="center"/>
          </w:tcPr>
          <w:p w14:paraId="7459206C">
            <w:pPr>
              <w:pStyle w:val="60"/>
              <w:spacing w:line="276" w:lineRule="auto"/>
              <w:ind w:firstLine="0" w:firstLineChars="0"/>
              <w:jc w:val="center"/>
              <w:rPr>
                <w:rFonts w:cs="Times New Roman"/>
              </w:rPr>
            </w:pPr>
            <w:r>
              <w:rPr>
                <w:rFonts w:cs="Times New Roman"/>
              </w:rPr>
              <w:t>TotalBilirubin</w:t>
            </w:r>
          </w:p>
        </w:tc>
        <w:tc>
          <w:tcPr>
            <w:tcW w:w="1896" w:type="pct"/>
            <w:vAlign w:val="center"/>
          </w:tcPr>
          <w:p w14:paraId="0182E946">
            <w:pPr>
              <w:pStyle w:val="60"/>
              <w:spacing w:line="276" w:lineRule="auto"/>
              <w:ind w:firstLine="0" w:firstLineChars="0"/>
              <w:jc w:val="center"/>
              <w:rPr>
                <w:rFonts w:cs="Times New Roman"/>
              </w:rPr>
            </w:pPr>
            <w:r>
              <w:rPr>
                <w:rFonts w:cs="Times New Roman"/>
              </w:rPr>
              <w:t>总胆红素</w:t>
            </w:r>
          </w:p>
        </w:tc>
      </w:tr>
      <w:tr w14:paraId="48FB9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697A09BE">
            <w:pPr>
              <w:pStyle w:val="60"/>
              <w:spacing w:line="276" w:lineRule="auto"/>
              <w:ind w:firstLine="0" w:firstLineChars="0"/>
              <w:jc w:val="center"/>
              <w:rPr>
                <w:rFonts w:cs="Times New Roman"/>
              </w:rPr>
            </w:pPr>
            <w:r>
              <w:rPr>
                <w:rFonts w:cs="Times New Roman"/>
              </w:rPr>
              <w:t>TC</w:t>
            </w:r>
          </w:p>
        </w:tc>
        <w:tc>
          <w:tcPr>
            <w:tcW w:w="2170" w:type="pct"/>
            <w:vAlign w:val="center"/>
          </w:tcPr>
          <w:p w14:paraId="0072002E">
            <w:pPr>
              <w:pStyle w:val="60"/>
              <w:spacing w:line="276" w:lineRule="auto"/>
              <w:ind w:firstLine="0" w:firstLineChars="0"/>
              <w:jc w:val="center"/>
              <w:rPr>
                <w:rFonts w:cs="Times New Roman"/>
              </w:rPr>
            </w:pPr>
            <w:r>
              <w:rPr>
                <w:rFonts w:cs="Times New Roman"/>
              </w:rPr>
              <w:t>Total Cholesterol</w:t>
            </w:r>
          </w:p>
        </w:tc>
        <w:tc>
          <w:tcPr>
            <w:tcW w:w="1896" w:type="pct"/>
            <w:vAlign w:val="center"/>
          </w:tcPr>
          <w:p w14:paraId="514AE2FA">
            <w:pPr>
              <w:pStyle w:val="60"/>
              <w:spacing w:line="276" w:lineRule="auto"/>
              <w:ind w:firstLine="0" w:firstLineChars="0"/>
              <w:jc w:val="center"/>
              <w:rPr>
                <w:rFonts w:cs="Times New Roman"/>
              </w:rPr>
            </w:pPr>
            <w:r>
              <w:rPr>
                <w:rFonts w:cs="Times New Roman"/>
              </w:rPr>
              <w:t>总胆固醇</w:t>
            </w:r>
          </w:p>
        </w:tc>
      </w:tr>
      <w:tr w14:paraId="3EF6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00B9F0B">
            <w:pPr>
              <w:pStyle w:val="60"/>
              <w:spacing w:line="276" w:lineRule="auto"/>
              <w:ind w:firstLine="0" w:firstLineChars="0"/>
              <w:jc w:val="center"/>
              <w:rPr>
                <w:rFonts w:cs="Times New Roman"/>
              </w:rPr>
            </w:pPr>
            <w:r>
              <w:rPr>
                <w:rFonts w:cs="Times New Roman"/>
              </w:rPr>
              <w:t>TDI</w:t>
            </w:r>
          </w:p>
        </w:tc>
        <w:tc>
          <w:tcPr>
            <w:tcW w:w="2170" w:type="pct"/>
            <w:vAlign w:val="center"/>
          </w:tcPr>
          <w:p w14:paraId="19DF1F4E">
            <w:pPr>
              <w:pStyle w:val="60"/>
              <w:spacing w:line="276" w:lineRule="auto"/>
              <w:ind w:firstLine="0" w:firstLineChars="0"/>
              <w:jc w:val="center"/>
              <w:rPr>
                <w:rFonts w:cs="Times New Roman"/>
              </w:rPr>
            </w:pPr>
            <w:r>
              <w:rPr>
                <w:rFonts w:cs="Times New Roman"/>
              </w:rPr>
              <w:t>Time-dependent inhibition</w:t>
            </w:r>
          </w:p>
        </w:tc>
        <w:tc>
          <w:tcPr>
            <w:tcW w:w="1896" w:type="pct"/>
            <w:vAlign w:val="center"/>
          </w:tcPr>
          <w:p w14:paraId="430B98D0">
            <w:pPr>
              <w:pStyle w:val="60"/>
              <w:spacing w:line="276" w:lineRule="auto"/>
              <w:ind w:firstLine="0" w:firstLineChars="0"/>
              <w:jc w:val="center"/>
              <w:rPr>
                <w:rFonts w:cs="Times New Roman"/>
              </w:rPr>
            </w:pPr>
            <w:r>
              <w:rPr>
                <w:rFonts w:hint="eastAsia" w:cs="Times New Roman"/>
              </w:rPr>
              <w:t>时间依赖性抑制作用</w:t>
            </w:r>
          </w:p>
        </w:tc>
      </w:tr>
      <w:tr w14:paraId="022ED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772E94C">
            <w:pPr>
              <w:pStyle w:val="60"/>
              <w:spacing w:line="276" w:lineRule="auto"/>
              <w:ind w:firstLine="0" w:firstLineChars="0"/>
              <w:jc w:val="center"/>
              <w:rPr>
                <w:rFonts w:cs="Times New Roman"/>
              </w:rPr>
            </w:pPr>
            <w:r>
              <w:rPr>
                <w:rFonts w:cs="Times New Roman"/>
              </w:rPr>
              <w:t>TEAE</w:t>
            </w:r>
          </w:p>
        </w:tc>
        <w:tc>
          <w:tcPr>
            <w:tcW w:w="2170" w:type="pct"/>
            <w:vAlign w:val="center"/>
          </w:tcPr>
          <w:p w14:paraId="3F0C6DB2">
            <w:pPr>
              <w:pStyle w:val="60"/>
              <w:spacing w:line="276" w:lineRule="auto"/>
              <w:ind w:firstLine="0" w:firstLineChars="0"/>
              <w:jc w:val="center"/>
              <w:rPr>
                <w:rFonts w:cs="Times New Roman"/>
              </w:rPr>
            </w:pPr>
            <w:r>
              <w:rPr>
                <w:rFonts w:cs="Times New Roman"/>
              </w:rPr>
              <w:t>Treatment Emergent Adverse Event</w:t>
            </w:r>
          </w:p>
        </w:tc>
        <w:tc>
          <w:tcPr>
            <w:tcW w:w="1896" w:type="pct"/>
            <w:vAlign w:val="center"/>
          </w:tcPr>
          <w:p w14:paraId="00E1192D">
            <w:pPr>
              <w:pStyle w:val="60"/>
              <w:spacing w:line="276" w:lineRule="auto"/>
              <w:ind w:firstLine="0" w:firstLineChars="0"/>
              <w:jc w:val="center"/>
              <w:rPr>
                <w:rFonts w:cs="Times New Roman"/>
              </w:rPr>
            </w:pPr>
            <w:r>
              <w:rPr>
                <w:rFonts w:hint="eastAsia" w:cs="Times New Roman"/>
              </w:rPr>
              <w:t>治疗期出现的不良事件</w:t>
            </w:r>
          </w:p>
        </w:tc>
      </w:tr>
      <w:tr w14:paraId="56FF1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87CDF7B">
            <w:pPr>
              <w:pStyle w:val="60"/>
              <w:spacing w:line="276" w:lineRule="auto"/>
              <w:ind w:firstLine="0" w:firstLineChars="0"/>
              <w:jc w:val="center"/>
              <w:rPr>
                <w:rFonts w:cs="Times New Roman"/>
              </w:rPr>
            </w:pPr>
            <w:r>
              <w:rPr>
                <w:rFonts w:cs="Times New Roman"/>
              </w:rPr>
              <w:t>TG</w:t>
            </w:r>
          </w:p>
        </w:tc>
        <w:tc>
          <w:tcPr>
            <w:tcW w:w="2170" w:type="pct"/>
            <w:vAlign w:val="center"/>
          </w:tcPr>
          <w:p w14:paraId="2DC453BA">
            <w:pPr>
              <w:pStyle w:val="60"/>
              <w:spacing w:line="276" w:lineRule="auto"/>
              <w:ind w:firstLine="0" w:firstLineChars="0"/>
              <w:jc w:val="center"/>
              <w:rPr>
                <w:rFonts w:cs="Times New Roman"/>
              </w:rPr>
            </w:pPr>
            <w:r>
              <w:rPr>
                <w:rFonts w:cs="Times New Roman"/>
              </w:rPr>
              <w:t>Triglycerides</w:t>
            </w:r>
          </w:p>
        </w:tc>
        <w:tc>
          <w:tcPr>
            <w:tcW w:w="1896" w:type="pct"/>
            <w:vAlign w:val="center"/>
          </w:tcPr>
          <w:p w14:paraId="48CF4668">
            <w:pPr>
              <w:pStyle w:val="60"/>
              <w:spacing w:line="276" w:lineRule="auto"/>
              <w:ind w:firstLine="0" w:firstLineChars="0"/>
              <w:jc w:val="center"/>
              <w:rPr>
                <w:rFonts w:cs="Times New Roman"/>
              </w:rPr>
            </w:pPr>
            <w:r>
              <w:rPr>
                <w:rFonts w:cs="Times New Roman"/>
              </w:rPr>
              <w:t>甘油三酯</w:t>
            </w:r>
          </w:p>
        </w:tc>
      </w:tr>
      <w:tr w14:paraId="60FDF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2D4092C">
            <w:pPr>
              <w:pStyle w:val="60"/>
              <w:spacing w:line="276" w:lineRule="auto"/>
              <w:ind w:firstLine="0" w:firstLineChars="0"/>
              <w:jc w:val="center"/>
              <w:rPr>
                <w:rFonts w:cs="Times New Roman"/>
              </w:rPr>
            </w:pPr>
            <w:r>
              <w:rPr>
                <w:rFonts w:cs="Times New Roman"/>
              </w:rPr>
              <w:t>Th</w:t>
            </w:r>
          </w:p>
        </w:tc>
        <w:tc>
          <w:tcPr>
            <w:tcW w:w="2170" w:type="pct"/>
            <w:vAlign w:val="center"/>
          </w:tcPr>
          <w:p w14:paraId="5E7495FC">
            <w:pPr>
              <w:pStyle w:val="60"/>
              <w:spacing w:line="276" w:lineRule="auto"/>
              <w:ind w:firstLine="0" w:firstLineChars="0"/>
              <w:jc w:val="center"/>
              <w:rPr>
                <w:rFonts w:cs="Times New Roman"/>
              </w:rPr>
            </w:pPr>
            <w:r>
              <w:rPr>
                <w:rFonts w:cs="Times New Roman"/>
              </w:rPr>
              <w:t>helper T Cell</w:t>
            </w:r>
          </w:p>
        </w:tc>
        <w:tc>
          <w:tcPr>
            <w:tcW w:w="1896" w:type="pct"/>
            <w:vAlign w:val="center"/>
          </w:tcPr>
          <w:p w14:paraId="39F8E00C">
            <w:pPr>
              <w:pStyle w:val="60"/>
              <w:spacing w:line="276" w:lineRule="auto"/>
              <w:ind w:firstLine="0" w:firstLineChars="0"/>
              <w:jc w:val="center"/>
              <w:rPr>
                <w:rFonts w:cs="Times New Roman"/>
              </w:rPr>
            </w:pPr>
            <w:r>
              <w:rPr>
                <w:rFonts w:hint="eastAsia" w:cs="Times New Roman"/>
              </w:rPr>
              <w:t>辅助性</w:t>
            </w:r>
            <w:r>
              <w:rPr>
                <w:rFonts w:cs="Times New Roman"/>
              </w:rPr>
              <w:t>T</w:t>
            </w:r>
            <w:r>
              <w:rPr>
                <w:rFonts w:hint="eastAsia" w:cs="Times New Roman"/>
              </w:rPr>
              <w:t>细胞</w:t>
            </w:r>
          </w:p>
        </w:tc>
      </w:tr>
      <w:tr w14:paraId="2D016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3EC5F3B1">
            <w:pPr>
              <w:pStyle w:val="60"/>
              <w:spacing w:line="276" w:lineRule="auto"/>
              <w:ind w:firstLine="0" w:firstLineChars="0"/>
              <w:jc w:val="center"/>
              <w:rPr>
                <w:rFonts w:cs="Times New Roman"/>
              </w:rPr>
            </w:pPr>
            <w:r>
              <w:rPr>
                <w:rFonts w:cs="Times New Roman"/>
              </w:rPr>
              <w:t>TNF</w:t>
            </w:r>
          </w:p>
        </w:tc>
        <w:tc>
          <w:tcPr>
            <w:tcW w:w="2170" w:type="pct"/>
            <w:vAlign w:val="center"/>
          </w:tcPr>
          <w:p w14:paraId="3EE39DB1">
            <w:pPr>
              <w:pStyle w:val="60"/>
              <w:spacing w:line="276" w:lineRule="auto"/>
              <w:ind w:firstLine="0" w:firstLineChars="0"/>
              <w:jc w:val="center"/>
              <w:rPr>
                <w:rFonts w:cs="Times New Roman"/>
              </w:rPr>
            </w:pPr>
            <w:r>
              <w:rPr>
                <w:rFonts w:cs="Times New Roman"/>
              </w:rPr>
              <w:t>Tumor Necrosis Factor</w:t>
            </w:r>
          </w:p>
        </w:tc>
        <w:tc>
          <w:tcPr>
            <w:tcW w:w="1896" w:type="pct"/>
            <w:vAlign w:val="center"/>
          </w:tcPr>
          <w:p w14:paraId="39D9AE6B">
            <w:pPr>
              <w:pStyle w:val="60"/>
              <w:spacing w:line="276" w:lineRule="auto"/>
              <w:ind w:firstLine="0" w:firstLineChars="0"/>
              <w:jc w:val="center"/>
              <w:rPr>
                <w:rFonts w:cs="Times New Roman"/>
              </w:rPr>
            </w:pPr>
            <w:r>
              <w:rPr>
                <w:rFonts w:hint="eastAsia" w:cs="Times New Roman"/>
              </w:rPr>
              <w:t>肿瘤坏死因子</w:t>
            </w:r>
          </w:p>
        </w:tc>
      </w:tr>
      <w:tr w14:paraId="3262A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CC723AE">
            <w:pPr>
              <w:pStyle w:val="60"/>
              <w:spacing w:line="276" w:lineRule="auto"/>
              <w:ind w:firstLine="0" w:firstLineChars="0"/>
              <w:jc w:val="center"/>
              <w:rPr>
                <w:rFonts w:cs="Times New Roman"/>
              </w:rPr>
            </w:pPr>
            <w:r>
              <w:rPr>
                <w:rFonts w:cs="Times New Roman"/>
              </w:rPr>
              <w:t>TP</w:t>
            </w:r>
          </w:p>
        </w:tc>
        <w:tc>
          <w:tcPr>
            <w:tcW w:w="2170" w:type="pct"/>
            <w:vAlign w:val="center"/>
          </w:tcPr>
          <w:p w14:paraId="0086CE15">
            <w:pPr>
              <w:pStyle w:val="60"/>
              <w:spacing w:line="276" w:lineRule="auto"/>
              <w:ind w:firstLine="0" w:firstLineChars="0"/>
              <w:jc w:val="center"/>
              <w:rPr>
                <w:rFonts w:cs="Times New Roman"/>
              </w:rPr>
            </w:pPr>
            <w:r>
              <w:rPr>
                <w:rFonts w:cs="Times New Roman"/>
              </w:rPr>
              <w:t>Total Protein</w:t>
            </w:r>
          </w:p>
        </w:tc>
        <w:tc>
          <w:tcPr>
            <w:tcW w:w="1896" w:type="pct"/>
            <w:vAlign w:val="center"/>
          </w:tcPr>
          <w:p w14:paraId="06D7D600">
            <w:pPr>
              <w:pStyle w:val="60"/>
              <w:spacing w:line="276" w:lineRule="auto"/>
              <w:ind w:firstLine="0" w:firstLineChars="0"/>
              <w:jc w:val="center"/>
              <w:rPr>
                <w:rFonts w:cs="Times New Roman"/>
              </w:rPr>
            </w:pPr>
            <w:r>
              <w:rPr>
                <w:rFonts w:cs="Times New Roman"/>
              </w:rPr>
              <w:t>总蛋白</w:t>
            </w:r>
          </w:p>
        </w:tc>
      </w:tr>
      <w:tr w14:paraId="3762D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527EA8D">
            <w:pPr>
              <w:pStyle w:val="60"/>
              <w:spacing w:line="276" w:lineRule="auto"/>
              <w:ind w:firstLine="0" w:firstLineChars="0"/>
              <w:jc w:val="center"/>
              <w:rPr>
                <w:rFonts w:cs="Times New Roman"/>
              </w:rPr>
            </w:pPr>
            <w:r>
              <w:rPr>
                <w:rFonts w:cs="Times New Roman"/>
              </w:rPr>
              <w:t>TRAE</w:t>
            </w:r>
          </w:p>
        </w:tc>
        <w:tc>
          <w:tcPr>
            <w:tcW w:w="2170" w:type="pct"/>
            <w:vAlign w:val="center"/>
          </w:tcPr>
          <w:p w14:paraId="125EBE2D">
            <w:pPr>
              <w:pStyle w:val="60"/>
              <w:spacing w:line="276" w:lineRule="auto"/>
              <w:ind w:firstLine="0" w:firstLineChars="0"/>
              <w:jc w:val="center"/>
              <w:rPr>
                <w:rFonts w:cs="Times New Roman"/>
              </w:rPr>
            </w:pPr>
            <w:r>
              <w:rPr>
                <w:rFonts w:cs="Times New Roman"/>
              </w:rPr>
              <w:t>Treatment-Related Adverse Events</w:t>
            </w:r>
          </w:p>
        </w:tc>
        <w:tc>
          <w:tcPr>
            <w:tcW w:w="1896" w:type="pct"/>
            <w:vAlign w:val="center"/>
          </w:tcPr>
          <w:p w14:paraId="1B8AA7E8">
            <w:pPr>
              <w:pStyle w:val="60"/>
              <w:spacing w:line="276" w:lineRule="auto"/>
              <w:ind w:firstLine="0" w:firstLineChars="0"/>
              <w:jc w:val="center"/>
              <w:rPr>
                <w:rFonts w:cs="Times New Roman"/>
              </w:rPr>
            </w:pPr>
            <w:r>
              <w:rPr>
                <w:rFonts w:cs="Times New Roman"/>
              </w:rPr>
              <w:t>治疗相关不良反应</w:t>
            </w:r>
          </w:p>
        </w:tc>
      </w:tr>
      <w:tr w14:paraId="66A6C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F267291">
            <w:pPr>
              <w:pStyle w:val="60"/>
              <w:spacing w:line="276" w:lineRule="auto"/>
              <w:ind w:firstLine="0" w:firstLineChars="0"/>
              <w:jc w:val="center"/>
              <w:rPr>
                <w:rFonts w:cs="Times New Roman"/>
              </w:rPr>
            </w:pPr>
            <w:r>
              <w:rPr>
                <w:rFonts w:cs="Times New Roman"/>
              </w:rPr>
              <w:t>TT</w:t>
            </w:r>
          </w:p>
        </w:tc>
        <w:tc>
          <w:tcPr>
            <w:tcW w:w="2170" w:type="pct"/>
            <w:vAlign w:val="center"/>
          </w:tcPr>
          <w:p w14:paraId="7E2FF778">
            <w:pPr>
              <w:pStyle w:val="60"/>
              <w:spacing w:line="276" w:lineRule="auto"/>
              <w:ind w:firstLine="0" w:firstLineChars="0"/>
              <w:jc w:val="center"/>
              <w:rPr>
                <w:rFonts w:cs="Times New Roman"/>
              </w:rPr>
            </w:pPr>
            <w:r>
              <w:rPr>
                <w:rFonts w:cs="Times New Roman"/>
              </w:rPr>
              <w:t>Thrombin Time</w:t>
            </w:r>
          </w:p>
        </w:tc>
        <w:tc>
          <w:tcPr>
            <w:tcW w:w="1896" w:type="pct"/>
            <w:vAlign w:val="center"/>
          </w:tcPr>
          <w:p w14:paraId="5E7CBB8F">
            <w:pPr>
              <w:pStyle w:val="60"/>
              <w:spacing w:line="276" w:lineRule="auto"/>
              <w:ind w:firstLine="0" w:firstLineChars="0"/>
              <w:jc w:val="center"/>
              <w:rPr>
                <w:rFonts w:cs="Times New Roman"/>
              </w:rPr>
            </w:pPr>
            <w:r>
              <w:rPr>
                <w:rFonts w:cs="Times New Roman"/>
              </w:rPr>
              <w:t>凝血酶时间</w:t>
            </w:r>
          </w:p>
        </w:tc>
      </w:tr>
      <w:tr w14:paraId="306CE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FA63FE4">
            <w:pPr>
              <w:pStyle w:val="60"/>
              <w:spacing w:line="276" w:lineRule="auto"/>
              <w:ind w:firstLine="0" w:firstLineChars="0"/>
              <w:jc w:val="center"/>
              <w:rPr>
                <w:rFonts w:cs="Times New Roman"/>
              </w:rPr>
            </w:pPr>
            <w:r>
              <w:rPr>
                <w:rFonts w:cs="Times New Roman"/>
              </w:rPr>
              <w:t>TYK2</w:t>
            </w:r>
          </w:p>
        </w:tc>
        <w:tc>
          <w:tcPr>
            <w:tcW w:w="2170" w:type="pct"/>
            <w:vAlign w:val="center"/>
          </w:tcPr>
          <w:p w14:paraId="2E347A68">
            <w:pPr>
              <w:pStyle w:val="60"/>
              <w:spacing w:line="276" w:lineRule="auto"/>
              <w:ind w:firstLine="0" w:firstLineChars="0"/>
              <w:jc w:val="center"/>
              <w:rPr>
                <w:rFonts w:cs="Times New Roman"/>
              </w:rPr>
            </w:pPr>
            <w:r>
              <w:rPr>
                <w:rFonts w:cs="Times New Roman"/>
              </w:rPr>
              <w:t>Tyrosine kinase 2</w:t>
            </w:r>
          </w:p>
        </w:tc>
        <w:tc>
          <w:tcPr>
            <w:tcW w:w="1896" w:type="pct"/>
            <w:vAlign w:val="center"/>
          </w:tcPr>
          <w:p w14:paraId="547D44DB">
            <w:pPr>
              <w:pStyle w:val="60"/>
              <w:spacing w:line="276" w:lineRule="auto"/>
              <w:ind w:firstLine="0" w:firstLineChars="0"/>
              <w:jc w:val="center"/>
              <w:rPr>
                <w:rFonts w:cs="Times New Roman"/>
              </w:rPr>
            </w:pPr>
            <w:r>
              <w:rPr>
                <w:rFonts w:hint="eastAsia" w:cs="Times New Roman"/>
              </w:rPr>
              <w:t>酪氨酸激酶</w:t>
            </w:r>
            <w:r>
              <w:rPr>
                <w:rFonts w:cs="Times New Roman"/>
              </w:rPr>
              <w:t>2</w:t>
            </w:r>
          </w:p>
        </w:tc>
      </w:tr>
      <w:tr w14:paraId="23C71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74CD95F4">
            <w:pPr>
              <w:pStyle w:val="60"/>
              <w:spacing w:line="276" w:lineRule="auto"/>
              <w:ind w:firstLine="0" w:firstLineChars="0"/>
              <w:jc w:val="center"/>
              <w:rPr>
                <w:rFonts w:cs="Times New Roman"/>
              </w:rPr>
            </w:pPr>
            <w:r>
              <w:rPr>
                <w:rFonts w:cs="Times New Roman"/>
              </w:rPr>
              <w:t>UA</w:t>
            </w:r>
          </w:p>
        </w:tc>
        <w:tc>
          <w:tcPr>
            <w:tcW w:w="2170" w:type="pct"/>
            <w:vAlign w:val="center"/>
          </w:tcPr>
          <w:p w14:paraId="799003CE">
            <w:pPr>
              <w:pStyle w:val="60"/>
              <w:spacing w:line="276" w:lineRule="auto"/>
              <w:ind w:firstLine="0" w:firstLineChars="0"/>
              <w:jc w:val="center"/>
              <w:rPr>
                <w:rFonts w:cs="Times New Roman"/>
              </w:rPr>
            </w:pPr>
            <w:r>
              <w:rPr>
                <w:rFonts w:cs="Times New Roman"/>
              </w:rPr>
              <w:t>Urine acid</w:t>
            </w:r>
          </w:p>
        </w:tc>
        <w:tc>
          <w:tcPr>
            <w:tcW w:w="1896" w:type="pct"/>
            <w:vAlign w:val="center"/>
          </w:tcPr>
          <w:p w14:paraId="51402DCB">
            <w:pPr>
              <w:pStyle w:val="60"/>
              <w:spacing w:line="276" w:lineRule="auto"/>
              <w:ind w:firstLine="0" w:firstLineChars="0"/>
              <w:jc w:val="center"/>
              <w:rPr>
                <w:rFonts w:cs="Times New Roman"/>
              </w:rPr>
            </w:pPr>
            <w:r>
              <w:rPr>
                <w:rFonts w:hint="eastAsia" w:cs="Times New Roman"/>
              </w:rPr>
              <w:t>尿酸</w:t>
            </w:r>
          </w:p>
        </w:tc>
      </w:tr>
      <w:tr w14:paraId="0C1CF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4E4E1AB1">
            <w:pPr>
              <w:pStyle w:val="60"/>
              <w:spacing w:line="276" w:lineRule="auto"/>
              <w:ind w:firstLine="0" w:firstLineChars="0"/>
              <w:jc w:val="center"/>
              <w:rPr>
                <w:rFonts w:cs="Times New Roman"/>
              </w:rPr>
            </w:pPr>
            <w:r>
              <w:rPr>
                <w:rFonts w:cs="Times New Roman"/>
              </w:rPr>
              <w:t>ULN</w:t>
            </w:r>
          </w:p>
        </w:tc>
        <w:tc>
          <w:tcPr>
            <w:tcW w:w="2170" w:type="pct"/>
            <w:vAlign w:val="center"/>
          </w:tcPr>
          <w:p w14:paraId="378DD388">
            <w:pPr>
              <w:pStyle w:val="60"/>
              <w:spacing w:line="276" w:lineRule="auto"/>
              <w:ind w:firstLine="0" w:firstLineChars="0"/>
              <w:jc w:val="center"/>
              <w:rPr>
                <w:rFonts w:cs="Times New Roman"/>
              </w:rPr>
            </w:pPr>
            <w:r>
              <w:rPr>
                <w:rFonts w:cs="Times New Roman"/>
              </w:rPr>
              <w:t>Upper limit of normal</w:t>
            </w:r>
          </w:p>
        </w:tc>
        <w:tc>
          <w:tcPr>
            <w:tcW w:w="1896" w:type="pct"/>
            <w:vAlign w:val="center"/>
          </w:tcPr>
          <w:p w14:paraId="6AAAF933">
            <w:pPr>
              <w:pStyle w:val="60"/>
              <w:spacing w:line="276" w:lineRule="auto"/>
              <w:ind w:firstLine="0" w:firstLineChars="0"/>
              <w:jc w:val="center"/>
              <w:rPr>
                <w:rFonts w:cs="Times New Roman"/>
              </w:rPr>
            </w:pPr>
            <w:r>
              <w:rPr>
                <w:rFonts w:hint="eastAsia" w:cs="Times New Roman"/>
              </w:rPr>
              <w:t>正常值上限</w:t>
            </w:r>
          </w:p>
        </w:tc>
      </w:tr>
      <w:tr w14:paraId="336E7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5C784FE7">
            <w:pPr>
              <w:pStyle w:val="60"/>
              <w:spacing w:line="276" w:lineRule="auto"/>
              <w:ind w:firstLine="0" w:firstLineChars="0"/>
              <w:jc w:val="center"/>
              <w:rPr>
                <w:rFonts w:cs="Times New Roman"/>
              </w:rPr>
            </w:pPr>
            <w:r>
              <w:rPr>
                <w:rFonts w:cs="Times New Roman"/>
              </w:rPr>
              <w:t>VTE</w:t>
            </w:r>
          </w:p>
        </w:tc>
        <w:tc>
          <w:tcPr>
            <w:tcW w:w="2170" w:type="pct"/>
            <w:vAlign w:val="center"/>
          </w:tcPr>
          <w:p w14:paraId="12882681">
            <w:pPr>
              <w:pStyle w:val="60"/>
              <w:spacing w:line="276" w:lineRule="auto"/>
              <w:ind w:firstLine="0" w:firstLineChars="0"/>
              <w:jc w:val="center"/>
              <w:rPr>
                <w:rFonts w:cs="Times New Roman"/>
              </w:rPr>
            </w:pPr>
            <w:r>
              <w:rPr>
                <w:rFonts w:cs="Times New Roman"/>
              </w:rPr>
              <w:t>Venous Thromboembolism</w:t>
            </w:r>
          </w:p>
        </w:tc>
        <w:tc>
          <w:tcPr>
            <w:tcW w:w="1896" w:type="pct"/>
            <w:vAlign w:val="center"/>
          </w:tcPr>
          <w:p w14:paraId="1CEAAA87">
            <w:pPr>
              <w:pStyle w:val="60"/>
              <w:spacing w:line="276" w:lineRule="auto"/>
              <w:ind w:firstLine="0" w:firstLineChars="0"/>
              <w:jc w:val="center"/>
              <w:rPr>
                <w:rFonts w:cs="Times New Roman"/>
              </w:rPr>
            </w:pPr>
            <w:r>
              <w:rPr>
                <w:rFonts w:cs="Times New Roman"/>
              </w:rPr>
              <w:t>静脉血栓栓塞</w:t>
            </w:r>
          </w:p>
        </w:tc>
      </w:tr>
      <w:tr w14:paraId="25EC8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08AF2F94">
            <w:pPr>
              <w:pStyle w:val="60"/>
              <w:spacing w:line="276" w:lineRule="auto"/>
              <w:ind w:firstLine="0" w:firstLineChars="0"/>
              <w:jc w:val="center"/>
              <w:rPr>
                <w:rFonts w:cs="Times New Roman"/>
              </w:rPr>
            </w:pPr>
            <w:r>
              <w:rPr>
                <w:rFonts w:cs="Times New Roman"/>
              </w:rPr>
              <w:t>WBC</w:t>
            </w:r>
          </w:p>
        </w:tc>
        <w:tc>
          <w:tcPr>
            <w:tcW w:w="2170" w:type="pct"/>
            <w:vAlign w:val="center"/>
          </w:tcPr>
          <w:p w14:paraId="1DC078E5">
            <w:pPr>
              <w:pStyle w:val="60"/>
              <w:spacing w:line="276" w:lineRule="auto"/>
              <w:ind w:firstLine="0" w:firstLineChars="0"/>
              <w:jc w:val="center"/>
              <w:rPr>
                <w:rFonts w:cs="Times New Roman"/>
              </w:rPr>
            </w:pPr>
            <w:r>
              <w:rPr>
                <w:rFonts w:cs="Times New Roman"/>
              </w:rPr>
              <w:t>White Blood Cell</w:t>
            </w:r>
          </w:p>
        </w:tc>
        <w:tc>
          <w:tcPr>
            <w:tcW w:w="1896" w:type="pct"/>
            <w:vAlign w:val="center"/>
          </w:tcPr>
          <w:p w14:paraId="2BBB32BF">
            <w:pPr>
              <w:pStyle w:val="60"/>
              <w:spacing w:line="276" w:lineRule="auto"/>
              <w:ind w:firstLine="0" w:firstLineChars="0"/>
              <w:jc w:val="center"/>
              <w:rPr>
                <w:rFonts w:cs="Times New Roman"/>
              </w:rPr>
            </w:pPr>
            <w:r>
              <w:rPr>
                <w:rFonts w:cs="Times New Roman"/>
              </w:rPr>
              <w:t>白细胞计数</w:t>
            </w:r>
          </w:p>
        </w:tc>
      </w:tr>
      <w:tr w14:paraId="593D0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34" w:type="pct"/>
            <w:vAlign w:val="center"/>
          </w:tcPr>
          <w:p w14:paraId="2304B850">
            <w:pPr>
              <w:pStyle w:val="60"/>
              <w:spacing w:line="276" w:lineRule="auto"/>
              <w:ind w:firstLine="0" w:firstLineChars="0"/>
              <w:jc w:val="center"/>
              <w:rPr>
                <w:rFonts w:cs="Times New Roman"/>
              </w:rPr>
            </w:pPr>
            <w:r>
              <w:rPr>
                <w:rFonts w:cs="Times New Roman"/>
              </w:rPr>
              <w:t>WHO Drug</w:t>
            </w:r>
          </w:p>
        </w:tc>
        <w:tc>
          <w:tcPr>
            <w:tcW w:w="2170" w:type="pct"/>
            <w:vAlign w:val="center"/>
          </w:tcPr>
          <w:p w14:paraId="6F0EDD7E">
            <w:pPr>
              <w:pStyle w:val="60"/>
              <w:spacing w:line="276" w:lineRule="auto"/>
              <w:ind w:firstLine="0" w:firstLineChars="0"/>
              <w:jc w:val="center"/>
              <w:rPr>
                <w:rFonts w:cs="Times New Roman"/>
              </w:rPr>
            </w:pPr>
            <w:r>
              <w:rPr>
                <w:rFonts w:cs="Times New Roman"/>
              </w:rPr>
              <w:t>World Health Organization Drug Dictionaries</w:t>
            </w:r>
          </w:p>
        </w:tc>
        <w:tc>
          <w:tcPr>
            <w:tcW w:w="1896" w:type="pct"/>
            <w:vAlign w:val="center"/>
          </w:tcPr>
          <w:p w14:paraId="240C2377">
            <w:pPr>
              <w:pStyle w:val="60"/>
              <w:spacing w:line="276" w:lineRule="auto"/>
              <w:ind w:firstLine="0" w:firstLineChars="0"/>
              <w:jc w:val="center"/>
              <w:rPr>
                <w:rFonts w:cs="Times New Roman"/>
              </w:rPr>
            </w:pPr>
            <w:r>
              <w:rPr>
                <w:rFonts w:hint="eastAsia" w:cs="Times New Roman"/>
              </w:rPr>
              <w:t>世界卫生组织药物词典</w:t>
            </w:r>
          </w:p>
        </w:tc>
      </w:tr>
    </w:tbl>
    <w:p w14:paraId="311E15F0">
      <w:pPr>
        <w:rPr>
          <w:rFonts w:ascii="Times New Roman" w:hAnsi="Times New Roman" w:cs="Times New Roman"/>
        </w:rPr>
      </w:pPr>
    </w:p>
    <w:p w14:paraId="2F914788">
      <w:pPr>
        <w:spacing w:before="6" w:after="1"/>
        <w:jc w:val="both"/>
        <w:rPr>
          <w:rFonts w:ascii="Times New Roman" w:hAnsi="Times New Roman" w:cs="Times New Roman"/>
        </w:rPr>
        <w:sectPr>
          <w:pgSz w:w="11910" w:h="16840"/>
          <w:pgMar w:top="1701" w:right="1418" w:bottom="1418" w:left="1418" w:header="850" w:footer="850" w:gutter="284"/>
          <w:cols w:space="720" w:num="1"/>
          <w:docGrid w:linePitch="299" w:charSpace="0"/>
        </w:sectPr>
      </w:pPr>
    </w:p>
    <w:p w14:paraId="1DBF732F">
      <w:pPr>
        <w:pStyle w:val="114"/>
        <w:numPr>
          <w:ilvl w:val="0"/>
          <w:numId w:val="12"/>
        </w:numPr>
        <w:jc w:val="left"/>
        <w:rPr>
          <w:rFonts w:cs="Times New Roman"/>
        </w:rPr>
      </w:pPr>
      <w:r>
        <w:rPr>
          <w:rFonts w:cs="Times New Roman"/>
        </w:rPr>
        <w:t xml:space="preserve"> </w:t>
      </w:r>
      <w:bookmarkStart w:id="3" w:name="_Toc217032196"/>
      <w:r>
        <w:rPr>
          <w:rFonts w:hint="eastAsia" w:cs="Times New Roman"/>
        </w:rPr>
        <w:t>方案摘要</w:t>
      </w:r>
      <w:bookmarkEnd w:id="3"/>
    </w:p>
    <w:p w14:paraId="0A656150">
      <w:pPr>
        <w:pStyle w:val="116"/>
        <w:numPr>
          <w:ilvl w:val="1"/>
          <w:numId w:val="12"/>
        </w:numPr>
        <w:jc w:val="left"/>
        <w:rPr>
          <w:rFonts w:cs="Times New Roman"/>
        </w:rPr>
      </w:pPr>
      <w:bookmarkStart w:id="4" w:name="_Toc217032197"/>
      <w:r>
        <w:rPr>
          <w:rFonts w:hint="eastAsia" w:cs="Times New Roman"/>
        </w:rPr>
        <w:t>概要</w:t>
      </w:r>
      <w:bookmarkEnd w:id="4"/>
    </w:p>
    <w:tbl>
      <w:tblPr>
        <w:tblStyle w:val="9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7934"/>
      </w:tblGrid>
      <w:tr w14:paraId="4628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51ECFE32">
            <w:pPr>
              <w:pStyle w:val="60"/>
              <w:ind w:firstLine="0" w:firstLineChars="0"/>
              <w:rPr>
                <w:rStyle w:val="99"/>
                <w:rFonts w:cs="Times New Roman"/>
                <w:b/>
                <w:bCs/>
                <w:sz w:val="24"/>
                <w:szCs w:val="24"/>
              </w:rPr>
            </w:pPr>
            <w:r>
              <w:rPr>
                <w:rStyle w:val="99"/>
                <w:rFonts w:hint="eastAsia" w:cs="Times New Roman"/>
                <w:b/>
                <w:bCs/>
                <w:sz w:val="24"/>
                <w:szCs w:val="24"/>
              </w:rPr>
              <w:t>标题</w:t>
            </w:r>
          </w:p>
        </w:tc>
        <w:tc>
          <w:tcPr>
            <w:tcW w:w="7934" w:type="dxa"/>
            <w:noWrap/>
          </w:tcPr>
          <w:p w14:paraId="0BE0B263">
            <w:pPr>
              <w:pStyle w:val="60"/>
              <w:ind w:firstLine="0" w:firstLineChars="0"/>
              <w:rPr>
                <w:rStyle w:val="99"/>
                <w:rFonts w:cs="Times New Roman"/>
                <w:b/>
                <w:bCs/>
                <w:sz w:val="24"/>
                <w:szCs w:val="24"/>
                <w:lang w:bidi="ar"/>
              </w:rPr>
            </w:pPr>
            <w:r>
              <w:rPr>
                <w:rStyle w:val="99"/>
                <w:rFonts w:hint="eastAsia" w:cs="Times New Roman"/>
                <w:sz w:val="24"/>
                <w:szCs w:val="24"/>
              </w:rPr>
              <w:t>评价</w:t>
            </w:r>
            <w:r>
              <w:rPr>
                <w:rStyle w:val="99"/>
                <w:rFonts w:cs="Times New Roman"/>
                <w:sz w:val="24"/>
                <w:szCs w:val="24"/>
              </w:rPr>
              <w:t>CMS-D001</w:t>
            </w:r>
            <w:r>
              <w:rPr>
                <w:rStyle w:val="99"/>
                <w:rFonts w:hint="eastAsia" w:cs="Times New Roman"/>
                <w:sz w:val="24"/>
                <w:szCs w:val="24"/>
              </w:rPr>
              <w:t>片治疗中度至重度斑块状银屑病成人患者的有效性和安全性的多中心、随机、双盲、安慰剂对照Ⅱ</w:t>
            </w:r>
            <w:r>
              <w:rPr>
                <w:rStyle w:val="99"/>
                <w:rFonts w:cs="Times New Roman"/>
                <w:sz w:val="24"/>
                <w:szCs w:val="24"/>
              </w:rPr>
              <w:t>/</w:t>
            </w:r>
            <w:r>
              <w:rPr>
                <w:rStyle w:val="99"/>
                <w:rFonts w:hint="eastAsia" w:cs="Times New Roman"/>
                <w:sz w:val="24"/>
                <w:szCs w:val="24"/>
              </w:rPr>
              <w:t>Ⅲ期临床研究</w:t>
            </w:r>
          </w:p>
        </w:tc>
      </w:tr>
      <w:tr w14:paraId="5374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647DF8B4">
            <w:pPr>
              <w:pStyle w:val="60"/>
              <w:ind w:firstLine="0" w:firstLineChars="0"/>
              <w:rPr>
                <w:rStyle w:val="99"/>
                <w:rFonts w:cs="Times New Roman"/>
                <w:b/>
                <w:bCs/>
                <w:sz w:val="24"/>
                <w:szCs w:val="24"/>
              </w:rPr>
            </w:pPr>
            <w:r>
              <w:rPr>
                <w:rStyle w:val="99"/>
                <w:rFonts w:hint="eastAsia" w:cs="Times New Roman"/>
                <w:b/>
                <w:bCs/>
                <w:sz w:val="24"/>
                <w:szCs w:val="24"/>
              </w:rPr>
              <w:t>阶段</w:t>
            </w:r>
          </w:p>
        </w:tc>
        <w:tc>
          <w:tcPr>
            <w:tcW w:w="7934" w:type="dxa"/>
            <w:noWrap/>
          </w:tcPr>
          <w:p w14:paraId="4FBAFC76">
            <w:pPr>
              <w:pStyle w:val="60"/>
              <w:ind w:firstLine="0" w:firstLineChars="0"/>
              <w:rPr>
                <w:rStyle w:val="99"/>
                <w:rFonts w:cs="Times New Roman"/>
                <w:b/>
                <w:bCs/>
                <w:sz w:val="24"/>
                <w:szCs w:val="24"/>
                <w:lang w:bidi="ar"/>
              </w:rPr>
            </w:pPr>
            <w:r>
              <w:rPr>
                <w:rStyle w:val="99"/>
                <w:rFonts w:hint="eastAsia" w:cs="Times New Roman"/>
                <w:sz w:val="24"/>
                <w:szCs w:val="24"/>
                <w:lang w:bidi="ar"/>
              </w:rPr>
              <w:t>Ⅱ</w:t>
            </w:r>
            <w:r>
              <w:rPr>
                <w:rStyle w:val="99"/>
                <w:rFonts w:cs="Times New Roman"/>
                <w:sz w:val="24"/>
                <w:szCs w:val="24"/>
                <w:lang w:bidi="ar"/>
              </w:rPr>
              <w:t>/</w:t>
            </w:r>
            <w:r>
              <w:rPr>
                <w:rStyle w:val="99"/>
                <w:rFonts w:hint="eastAsia" w:cs="Times New Roman"/>
                <w:sz w:val="24"/>
                <w:szCs w:val="24"/>
                <w:lang w:bidi="ar"/>
              </w:rPr>
              <w:t>Ⅲ期</w:t>
            </w:r>
          </w:p>
        </w:tc>
      </w:tr>
      <w:tr w14:paraId="2727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00364047">
            <w:pPr>
              <w:pStyle w:val="60"/>
              <w:ind w:firstLine="0" w:firstLineChars="0"/>
              <w:rPr>
                <w:rStyle w:val="99"/>
                <w:rFonts w:eastAsia="黑体" w:cs="Times New Roman"/>
                <w:b/>
                <w:bCs/>
                <w:color w:val="auto"/>
                <w:sz w:val="24"/>
                <w:szCs w:val="24"/>
              </w:rPr>
            </w:pPr>
            <w:r>
              <w:rPr>
                <w:rStyle w:val="99"/>
                <w:rFonts w:hint="eastAsia" w:cs="Times New Roman"/>
                <w:b/>
                <w:bCs/>
                <w:sz w:val="24"/>
                <w:szCs w:val="24"/>
              </w:rPr>
              <w:t>目的</w:t>
            </w:r>
          </w:p>
        </w:tc>
        <w:tc>
          <w:tcPr>
            <w:tcW w:w="7934" w:type="dxa"/>
            <w:noWrap/>
          </w:tcPr>
          <w:p w14:paraId="4704A8A3">
            <w:pPr>
              <w:pStyle w:val="60"/>
              <w:ind w:firstLine="0" w:firstLineChars="0"/>
              <w:rPr>
                <w:rStyle w:val="99"/>
                <w:rFonts w:cs="Times New Roman"/>
                <w:b/>
                <w:bCs/>
                <w:sz w:val="24"/>
                <w:szCs w:val="24"/>
                <w:lang w:eastAsia="zh-Hans"/>
              </w:rPr>
            </w:pPr>
            <w:bookmarkStart w:id="5" w:name="_Hlk523237846"/>
            <w:r>
              <w:rPr>
                <w:rStyle w:val="99"/>
                <w:rFonts w:hint="eastAsia" w:cs="Times New Roman"/>
                <w:b/>
                <w:bCs/>
                <w:sz w:val="24"/>
                <w:szCs w:val="24"/>
                <w:lang w:bidi="ar"/>
              </w:rPr>
              <w:t>Ⅱ</w:t>
            </w:r>
            <w:r>
              <w:rPr>
                <w:rStyle w:val="99"/>
                <w:rFonts w:hint="eastAsia" w:cs="Times New Roman"/>
                <w:b/>
                <w:bCs/>
                <w:sz w:val="24"/>
                <w:szCs w:val="24"/>
                <w:lang w:eastAsia="zh-Hans"/>
              </w:rPr>
              <w:t>期临床</w:t>
            </w:r>
            <w:r>
              <w:rPr>
                <w:rStyle w:val="99"/>
                <w:rFonts w:hint="eastAsia" w:cs="Times New Roman"/>
                <w:b/>
                <w:bCs/>
                <w:sz w:val="24"/>
                <w:szCs w:val="24"/>
              </w:rPr>
              <w:t>研究</w:t>
            </w:r>
            <w:r>
              <w:rPr>
                <w:rStyle w:val="99"/>
                <w:rFonts w:hint="eastAsia" w:cs="Times New Roman"/>
                <w:b/>
                <w:bCs/>
                <w:sz w:val="24"/>
                <w:szCs w:val="24"/>
                <w:lang w:eastAsia="zh-Hans"/>
              </w:rPr>
              <w:t>阶段</w:t>
            </w:r>
          </w:p>
          <w:p w14:paraId="4DA8AB2B">
            <w:pPr>
              <w:pStyle w:val="60"/>
              <w:ind w:firstLine="0" w:firstLineChars="0"/>
              <w:rPr>
                <w:rStyle w:val="99"/>
                <w:rFonts w:cs="Times New Roman"/>
                <w:b/>
                <w:bCs/>
                <w:sz w:val="24"/>
                <w:szCs w:val="24"/>
              </w:rPr>
            </w:pPr>
            <w:r>
              <w:rPr>
                <w:rStyle w:val="99"/>
                <w:rFonts w:hint="eastAsia" w:cs="Times New Roman"/>
                <w:b/>
                <w:bCs/>
                <w:sz w:val="24"/>
                <w:szCs w:val="24"/>
              </w:rPr>
              <w:t>主要目的</w:t>
            </w:r>
          </w:p>
          <w:p w14:paraId="59647158">
            <w:pPr>
              <w:pStyle w:val="60"/>
              <w:numPr>
                <w:ilvl w:val="0"/>
                <w:numId w:val="13"/>
              </w:numPr>
              <w:ind w:firstLineChars="0"/>
              <w:rPr>
                <w:rStyle w:val="99"/>
                <w:rFonts w:cs="Times New Roman"/>
                <w:sz w:val="24"/>
                <w:szCs w:val="24"/>
              </w:rPr>
            </w:pPr>
            <w:r>
              <w:rPr>
                <w:rStyle w:val="99"/>
                <w:rFonts w:hint="eastAsia" w:cs="Times New Roman"/>
                <w:sz w:val="24"/>
                <w:szCs w:val="24"/>
                <w:lang w:eastAsia="zh-Hans"/>
              </w:rPr>
              <w:t>评价</w:t>
            </w:r>
            <w:r>
              <w:rPr>
                <w:rStyle w:val="99"/>
                <w:rFonts w:cs="Times New Roman"/>
                <w:sz w:val="24"/>
                <w:szCs w:val="24"/>
                <w:lang w:eastAsia="zh-Hans"/>
              </w:rPr>
              <w:t>CMS-D001</w:t>
            </w:r>
            <w:r>
              <w:rPr>
                <w:rStyle w:val="99"/>
                <w:rFonts w:hint="eastAsia" w:cs="Times New Roman"/>
                <w:sz w:val="24"/>
                <w:szCs w:val="24"/>
                <w:lang w:eastAsia="zh-Hans"/>
              </w:rPr>
              <w:t>片治疗中度至重度斑块状银屑病的</w:t>
            </w:r>
            <w:r>
              <w:rPr>
                <w:rStyle w:val="99"/>
                <w:rFonts w:hint="eastAsia" w:cs="Times New Roman"/>
                <w:sz w:val="24"/>
                <w:szCs w:val="24"/>
              </w:rPr>
              <w:t>初步</w:t>
            </w:r>
            <w:r>
              <w:rPr>
                <w:rStyle w:val="99"/>
                <w:rFonts w:hint="eastAsia" w:cs="Times New Roman"/>
                <w:sz w:val="24"/>
                <w:szCs w:val="24"/>
                <w:lang w:eastAsia="zh-Hans"/>
              </w:rPr>
              <w:t>有效性</w:t>
            </w:r>
            <w:r>
              <w:rPr>
                <w:rStyle w:val="99"/>
                <w:rFonts w:hint="eastAsia" w:cs="Times New Roman"/>
                <w:sz w:val="24"/>
                <w:szCs w:val="24"/>
              </w:rPr>
              <w:t>。</w:t>
            </w:r>
          </w:p>
          <w:p w14:paraId="392F3251">
            <w:pPr>
              <w:pStyle w:val="60"/>
              <w:ind w:firstLine="0" w:firstLineChars="0"/>
              <w:rPr>
                <w:rStyle w:val="99"/>
                <w:rFonts w:cs="Times New Roman"/>
                <w:b/>
                <w:bCs/>
                <w:sz w:val="24"/>
                <w:szCs w:val="24"/>
              </w:rPr>
            </w:pPr>
            <w:r>
              <w:rPr>
                <w:rStyle w:val="99"/>
                <w:rFonts w:hint="eastAsia" w:cs="Times New Roman"/>
                <w:b/>
                <w:bCs/>
                <w:sz w:val="24"/>
                <w:szCs w:val="24"/>
              </w:rPr>
              <w:t>次要目的</w:t>
            </w:r>
          </w:p>
          <w:p w14:paraId="7715F551">
            <w:pPr>
              <w:pStyle w:val="60"/>
              <w:numPr>
                <w:ilvl w:val="0"/>
                <w:numId w:val="13"/>
              </w:numPr>
              <w:ind w:firstLineChars="0"/>
              <w:rPr>
                <w:rStyle w:val="99"/>
                <w:rFonts w:cs="Times New Roman"/>
                <w:sz w:val="24"/>
                <w:szCs w:val="24"/>
              </w:rPr>
            </w:pPr>
            <w:r>
              <w:rPr>
                <w:rStyle w:val="99"/>
                <w:rFonts w:hint="eastAsia" w:cs="Times New Roman"/>
                <w:sz w:val="24"/>
                <w:szCs w:val="24"/>
              </w:rPr>
              <w:t>评价</w:t>
            </w:r>
            <w:r>
              <w:rPr>
                <w:rStyle w:val="99"/>
                <w:rFonts w:cs="Times New Roman"/>
                <w:sz w:val="24"/>
                <w:szCs w:val="24"/>
                <w:lang w:eastAsia="zh-Hans"/>
              </w:rPr>
              <w:t>CMS-D001</w:t>
            </w:r>
            <w:r>
              <w:rPr>
                <w:rStyle w:val="99"/>
                <w:rFonts w:hint="eastAsia" w:cs="Times New Roman"/>
                <w:sz w:val="24"/>
                <w:szCs w:val="24"/>
                <w:lang w:eastAsia="zh-Hans"/>
              </w:rPr>
              <w:t>片治疗中度至重度斑块状银屑病的安全性</w:t>
            </w:r>
            <w:r>
              <w:rPr>
                <w:rStyle w:val="99"/>
                <w:rFonts w:hint="eastAsia" w:cs="Times New Roman"/>
                <w:sz w:val="24"/>
                <w:szCs w:val="24"/>
              </w:rPr>
              <w:t>和耐受性；</w:t>
            </w:r>
          </w:p>
          <w:p w14:paraId="09ACE937">
            <w:pPr>
              <w:pStyle w:val="60"/>
              <w:numPr>
                <w:ilvl w:val="0"/>
                <w:numId w:val="13"/>
              </w:numPr>
              <w:ind w:firstLineChars="0"/>
              <w:rPr>
                <w:rStyle w:val="99"/>
                <w:rFonts w:cs="Times New Roman"/>
                <w:sz w:val="24"/>
                <w:szCs w:val="24"/>
              </w:rPr>
            </w:pPr>
            <w:r>
              <w:rPr>
                <w:rStyle w:val="99"/>
                <w:rFonts w:hint="eastAsia" w:cs="Times New Roman"/>
                <w:sz w:val="24"/>
                <w:szCs w:val="24"/>
              </w:rPr>
              <w:t>评价</w:t>
            </w:r>
            <w:r>
              <w:rPr>
                <w:rStyle w:val="99"/>
                <w:rFonts w:cs="Times New Roman"/>
                <w:sz w:val="24"/>
                <w:szCs w:val="24"/>
              </w:rPr>
              <w:t>CMS-D001</w:t>
            </w:r>
            <w:r>
              <w:rPr>
                <w:rStyle w:val="99"/>
                <w:rFonts w:hint="eastAsia" w:cs="Times New Roman"/>
                <w:sz w:val="24"/>
                <w:szCs w:val="24"/>
              </w:rPr>
              <w:t>及其主要代谢产物（如适用）在中度至重度斑块状银屑病中的药代动力学特征；</w:t>
            </w:r>
          </w:p>
          <w:p w14:paraId="199A6D6B">
            <w:pPr>
              <w:pStyle w:val="60"/>
              <w:numPr>
                <w:ilvl w:val="0"/>
                <w:numId w:val="13"/>
              </w:numPr>
              <w:ind w:firstLineChars="0"/>
              <w:rPr>
                <w:rStyle w:val="99"/>
                <w:rFonts w:cs="Times New Roman"/>
                <w:sz w:val="24"/>
                <w:szCs w:val="24"/>
              </w:rPr>
            </w:pPr>
            <w:r>
              <w:rPr>
                <w:rStyle w:val="99"/>
                <w:rFonts w:cs="Times New Roman"/>
                <w:sz w:val="24"/>
                <w:szCs w:val="24"/>
              </w:rPr>
              <w:t>如果数据允许，评价CMS-D001及其主要代谢产物（如适用）在中度至重度斑块状银屑病患者中的暴露-效应（E-R）关系</w:t>
            </w:r>
            <w:r>
              <w:rPr>
                <w:rStyle w:val="99"/>
                <w:rFonts w:hint="eastAsia" w:cs="Times New Roman"/>
                <w:sz w:val="24"/>
                <w:szCs w:val="24"/>
              </w:rPr>
              <w:t>。</w:t>
            </w:r>
          </w:p>
          <w:p w14:paraId="5D7D5FF8">
            <w:pPr>
              <w:pStyle w:val="60"/>
              <w:ind w:firstLine="0" w:firstLineChars="0"/>
              <w:rPr>
                <w:rStyle w:val="99"/>
                <w:rFonts w:cs="Times New Roman"/>
                <w:b/>
                <w:bCs/>
                <w:sz w:val="24"/>
                <w:szCs w:val="24"/>
              </w:rPr>
            </w:pPr>
            <w:r>
              <w:rPr>
                <w:rStyle w:val="99"/>
                <w:rFonts w:hint="eastAsia" w:cs="Times New Roman"/>
                <w:b/>
                <w:bCs/>
                <w:sz w:val="24"/>
                <w:szCs w:val="24"/>
              </w:rPr>
              <w:t>其他目的</w:t>
            </w:r>
          </w:p>
          <w:p w14:paraId="2DD789C8">
            <w:pPr>
              <w:pStyle w:val="60"/>
              <w:numPr>
                <w:ilvl w:val="0"/>
                <w:numId w:val="13"/>
              </w:numPr>
              <w:ind w:firstLineChars="0"/>
              <w:rPr>
                <w:rStyle w:val="99"/>
                <w:rFonts w:cs="Times New Roman"/>
                <w:sz w:val="24"/>
                <w:szCs w:val="24"/>
              </w:rPr>
            </w:pPr>
            <w:r>
              <w:rPr>
                <w:rStyle w:val="99"/>
                <w:rFonts w:hint="eastAsia" w:cs="Times New Roman"/>
                <w:sz w:val="24"/>
                <w:szCs w:val="24"/>
              </w:rPr>
              <w:t>探索口服CMS-D001片后的药效动力学（PD）特征。</w:t>
            </w:r>
          </w:p>
          <w:p w14:paraId="136F889A">
            <w:pPr>
              <w:pStyle w:val="60"/>
              <w:ind w:firstLine="0" w:firstLineChars="0"/>
              <w:rPr>
                <w:rStyle w:val="99"/>
                <w:rFonts w:cs="Times New Roman"/>
                <w:b/>
                <w:bCs/>
                <w:sz w:val="24"/>
                <w:szCs w:val="24"/>
                <w:lang w:eastAsia="zh-Hans" w:bidi="ar"/>
              </w:rPr>
            </w:pPr>
            <w:r>
              <w:rPr>
                <w:rStyle w:val="99"/>
                <w:rFonts w:hint="eastAsia" w:cs="Times New Roman"/>
                <w:b/>
                <w:bCs/>
                <w:sz w:val="24"/>
                <w:szCs w:val="24"/>
                <w:lang w:eastAsia="zh-Hans" w:bidi="ar"/>
              </w:rPr>
              <w:t>Ⅲ期临床</w:t>
            </w:r>
            <w:r>
              <w:rPr>
                <w:rStyle w:val="99"/>
                <w:rFonts w:hint="eastAsia" w:cs="Times New Roman"/>
                <w:b/>
                <w:bCs/>
                <w:sz w:val="24"/>
                <w:szCs w:val="24"/>
                <w:lang w:bidi="ar"/>
              </w:rPr>
              <w:t>研究</w:t>
            </w:r>
            <w:r>
              <w:rPr>
                <w:rStyle w:val="99"/>
                <w:rFonts w:hint="eastAsia" w:cs="Times New Roman"/>
                <w:b/>
                <w:bCs/>
                <w:sz w:val="24"/>
                <w:szCs w:val="24"/>
                <w:lang w:eastAsia="zh-Hans" w:bidi="ar"/>
              </w:rPr>
              <w:t>阶段</w:t>
            </w:r>
          </w:p>
          <w:p w14:paraId="1F00E8A4">
            <w:pPr>
              <w:pStyle w:val="60"/>
              <w:ind w:firstLine="0" w:firstLineChars="0"/>
              <w:rPr>
                <w:rStyle w:val="99"/>
                <w:rFonts w:cs="Times New Roman"/>
                <w:b/>
                <w:bCs/>
                <w:sz w:val="24"/>
                <w:szCs w:val="24"/>
              </w:rPr>
            </w:pPr>
            <w:r>
              <w:rPr>
                <w:rStyle w:val="99"/>
                <w:rFonts w:hint="eastAsia" w:cs="Times New Roman"/>
                <w:b/>
                <w:bCs/>
                <w:sz w:val="24"/>
                <w:szCs w:val="24"/>
              </w:rPr>
              <w:t>主要目的</w:t>
            </w:r>
          </w:p>
          <w:p w14:paraId="50455A81">
            <w:pPr>
              <w:pStyle w:val="60"/>
              <w:numPr>
                <w:ilvl w:val="0"/>
                <w:numId w:val="13"/>
              </w:numPr>
              <w:ind w:firstLineChars="0"/>
              <w:rPr>
                <w:rStyle w:val="99"/>
                <w:rFonts w:cs="Times New Roman"/>
                <w:sz w:val="24"/>
                <w:szCs w:val="24"/>
              </w:rPr>
            </w:pPr>
            <w:r>
              <w:rPr>
                <w:rStyle w:val="99"/>
                <w:rFonts w:hint="eastAsia" w:cs="Times New Roman"/>
                <w:sz w:val="24"/>
                <w:szCs w:val="24"/>
                <w:lang w:eastAsia="zh-Hans"/>
              </w:rPr>
              <w:t>评价</w:t>
            </w:r>
            <w:r>
              <w:rPr>
                <w:rStyle w:val="99"/>
                <w:rFonts w:cs="Times New Roman"/>
                <w:sz w:val="24"/>
                <w:szCs w:val="24"/>
                <w:lang w:eastAsia="zh-Hans"/>
              </w:rPr>
              <w:t>CMS-D001</w:t>
            </w:r>
            <w:r>
              <w:rPr>
                <w:rStyle w:val="99"/>
                <w:rFonts w:hint="eastAsia" w:cs="Times New Roman"/>
                <w:sz w:val="24"/>
                <w:szCs w:val="24"/>
                <w:lang w:eastAsia="zh-Hans"/>
              </w:rPr>
              <w:t>片治疗中度至重度斑块状银屑病患者的有效性</w:t>
            </w:r>
            <w:r>
              <w:rPr>
                <w:rStyle w:val="99"/>
                <w:rFonts w:hint="eastAsia" w:cs="Times New Roman"/>
                <w:sz w:val="24"/>
                <w:szCs w:val="24"/>
              </w:rPr>
              <w:t>。</w:t>
            </w:r>
          </w:p>
          <w:p w14:paraId="0979E381">
            <w:pPr>
              <w:pStyle w:val="60"/>
              <w:ind w:firstLine="0" w:firstLineChars="0"/>
              <w:rPr>
                <w:rStyle w:val="99"/>
                <w:rFonts w:cs="Times New Roman"/>
                <w:sz w:val="24"/>
                <w:szCs w:val="24"/>
              </w:rPr>
            </w:pPr>
            <w:r>
              <w:rPr>
                <w:rStyle w:val="99"/>
                <w:rFonts w:hint="eastAsia" w:cs="Times New Roman"/>
                <w:b/>
                <w:bCs/>
                <w:sz w:val="24"/>
                <w:szCs w:val="24"/>
              </w:rPr>
              <w:t>次要目的</w:t>
            </w:r>
          </w:p>
          <w:p w14:paraId="6B35E3D2">
            <w:pPr>
              <w:pStyle w:val="60"/>
              <w:numPr>
                <w:ilvl w:val="0"/>
                <w:numId w:val="13"/>
              </w:numPr>
              <w:ind w:firstLineChars="0"/>
              <w:rPr>
                <w:rStyle w:val="99"/>
                <w:rFonts w:cs="Times New Roman"/>
                <w:sz w:val="24"/>
                <w:szCs w:val="24"/>
              </w:rPr>
            </w:pPr>
            <w:r>
              <w:rPr>
                <w:rStyle w:val="99"/>
                <w:rFonts w:hint="eastAsia" w:cs="Times New Roman"/>
                <w:sz w:val="24"/>
                <w:szCs w:val="24"/>
                <w:lang w:eastAsia="zh-Hans"/>
              </w:rPr>
              <w:t>评价</w:t>
            </w:r>
            <w:r>
              <w:rPr>
                <w:rStyle w:val="99"/>
                <w:rFonts w:cs="Times New Roman"/>
                <w:sz w:val="24"/>
                <w:szCs w:val="24"/>
                <w:lang w:eastAsia="zh-Hans"/>
              </w:rPr>
              <w:t>CMS-D001</w:t>
            </w:r>
            <w:r>
              <w:rPr>
                <w:rStyle w:val="99"/>
                <w:rFonts w:hint="eastAsia" w:cs="Times New Roman"/>
                <w:sz w:val="24"/>
                <w:szCs w:val="24"/>
                <w:lang w:eastAsia="zh-Hans"/>
              </w:rPr>
              <w:t>片治疗中度至重度斑块状银屑病患者</w:t>
            </w:r>
            <w:r>
              <w:rPr>
                <w:rStyle w:val="99"/>
                <w:rFonts w:hint="eastAsia" w:cs="Times New Roman"/>
                <w:sz w:val="24"/>
                <w:szCs w:val="24"/>
              </w:rPr>
              <w:t>的安全性和</w:t>
            </w:r>
            <w:r>
              <w:rPr>
                <w:rStyle w:val="99"/>
                <w:rFonts w:hint="eastAsia" w:cs="Times New Roman"/>
                <w:sz w:val="24"/>
                <w:szCs w:val="24"/>
                <w:lang w:eastAsia="zh-Hans"/>
              </w:rPr>
              <w:t>耐受</w:t>
            </w:r>
            <w:r>
              <w:rPr>
                <w:rStyle w:val="99"/>
                <w:rFonts w:hint="eastAsia" w:cs="Times New Roman"/>
                <w:sz w:val="24"/>
                <w:szCs w:val="24"/>
              </w:rPr>
              <w:t>性</w:t>
            </w:r>
            <w:bookmarkEnd w:id="5"/>
            <w:r>
              <w:rPr>
                <w:rStyle w:val="99"/>
                <w:rFonts w:hint="eastAsia" w:cs="Times New Roman"/>
                <w:sz w:val="24"/>
                <w:szCs w:val="24"/>
              </w:rPr>
              <w:t>；</w:t>
            </w:r>
          </w:p>
          <w:p w14:paraId="61D3CD65">
            <w:pPr>
              <w:pStyle w:val="60"/>
              <w:numPr>
                <w:ilvl w:val="0"/>
                <w:numId w:val="13"/>
              </w:numPr>
              <w:ind w:firstLineChars="0"/>
              <w:rPr>
                <w:rStyle w:val="99"/>
                <w:rFonts w:cs="Times New Roman"/>
                <w:sz w:val="24"/>
                <w:szCs w:val="24"/>
              </w:rPr>
            </w:pPr>
            <w:r>
              <w:rPr>
                <w:rStyle w:val="99"/>
                <w:rFonts w:hint="eastAsia" w:cs="Times New Roman"/>
                <w:sz w:val="24"/>
                <w:szCs w:val="24"/>
              </w:rPr>
              <w:t>评价</w:t>
            </w:r>
            <w:r>
              <w:rPr>
                <w:rStyle w:val="99"/>
                <w:rFonts w:cs="Times New Roman"/>
                <w:sz w:val="24"/>
                <w:szCs w:val="24"/>
              </w:rPr>
              <w:t>CMS-D001</w:t>
            </w:r>
            <w:r>
              <w:rPr>
                <w:rStyle w:val="99"/>
                <w:rFonts w:hint="eastAsia" w:cs="Times New Roman"/>
                <w:sz w:val="24"/>
                <w:szCs w:val="24"/>
              </w:rPr>
              <w:t>及其主要代谢产物（如适用）在中度至重度斑块状银屑病中的药代动力学特征；</w:t>
            </w:r>
          </w:p>
          <w:p w14:paraId="3F9B0086">
            <w:pPr>
              <w:pStyle w:val="60"/>
              <w:numPr>
                <w:ilvl w:val="0"/>
                <w:numId w:val="13"/>
              </w:numPr>
              <w:ind w:firstLineChars="0"/>
              <w:rPr>
                <w:rStyle w:val="99"/>
                <w:rFonts w:cs="Times New Roman"/>
                <w:sz w:val="24"/>
                <w:szCs w:val="24"/>
              </w:rPr>
            </w:pPr>
            <w:r>
              <w:rPr>
                <w:rStyle w:val="99"/>
                <w:rFonts w:hint="eastAsia" w:cs="Times New Roman"/>
                <w:sz w:val="24"/>
                <w:szCs w:val="24"/>
              </w:rPr>
              <w:t>如果数据允许，评价</w:t>
            </w:r>
            <w:r>
              <w:rPr>
                <w:rStyle w:val="99"/>
                <w:rFonts w:cs="Times New Roman"/>
                <w:sz w:val="24"/>
                <w:szCs w:val="24"/>
              </w:rPr>
              <w:t>CMS-D001</w:t>
            </w:r>
            <w:r>
              <w:rPr>
                <w:rStyle w:val="99"/>
                <w:rFonts w:hint="eastAsia" w:cs="Times New Roman"/>
                <w:sz w:val="24"/>
                <w:szCs w:val="24"/>
              </w:rPr>
              <w:t>及其主要代谢产物（如适用）在中度至重度斑块状银屑病患者中的暴露</w:t>
            </w:r>
            <w:r>
              <w:rPr>
                <w:rStyle w:val="99"/>
                <w:rFonts w:cs="Times New Roman"/>
                <w:sz w:val="24"/>
                <w:szCs w:val="24"/>
              </w:rPr>
              <w:t>-</w:t>
            </w:r>
            <w:r>
              <w:rPr>
                <w:rStyle w:val="99"/>
                <w:rFonts w:hint="eastAsia" w:cs="Times New Roman"/>
                <w:sz w:val="24"/>
                <w:szCs w:val="24"/>
              </w:rPr>
              <w:t>效应（</w:t>
            </w:r>
            <w:r>
              <w:rPr>
                <w:rStyle w:val="99"/>
                <w:rFonts w:cs="Times New Roman"/>
                <w:sz w:val="24"/>
                <w:szCs w:val="24"/>
              </w:rPr>
              <w:t>E-R</w:t>
            </w:r>
            <w:r>
              <w:rPr>
                <w:rStyle w:val="99"/>
                <w:rFonts w:hint="eastAsia" w:cs="Times New Roman"/>
                <w:sz w:val="24"/>
                <w:szCs w:val="24"/>
              </w:rPr>
              <w:t>）关系。</w:t>
            </w:r>
          </w:p>
          <w:p w14:paraId="59BA3B38">
            <w:pPr>
              <w:pStyle w:val="60"/>
              <w:ind w:firstLine="0" w:firstLineChars="0"/>
              <w:rPr>
                <w:rStyle w:val="99"/>
                <w:rFonts w:cs="Times New Roman"/>
                <w:b/>
                <w:bCs/>
                <w:sz w:val="24"/>
                <w:szCs w:val="24"/>
              </w:rPr>
            </w:pPr>
            <w:r>
              <w:rPr>
                <w:rStyle w:val="99"/>
                <w:rFonts w:hint="eastAsia" w:cs="Times New Roman"/>
                <w:b/>
                <w:bCs/>
                <w:sz w:val="24"/>
                <w:szCs w:val="24"/>
              </w:rPr>
              <w:t>其他目的</w:t>
            </w:r>
          </w:p>
          <w:p w14:paraId="580B1629">
            <w:pPr>
              <w:pStyle w:val="60"/>
              <w:numPr>
                <w:ilvl w:val="0"/>
                <w:numId w:val="13"/>
              </w:numPr>
              <w:ind w:firstLineChars="0"/>
              <w:rPr>
                <w:rFonts w:cs="Times New Roman"/>
                <w:sz w:val="24"/>
                <w:szCs w:val="24"/>
              </w:rPr>
            </w:pPr>
            <w:r>
              <w:rPr>
                <w:rStyle w:val="99"/>
                <w:rFonts w:hint="eastAsia" w:cs="Times New Roman"/>
                <w:sz w:val="24"/>
                <w:szCs w:val="24"/>
              </w:rPr>
              <w:t>探索口服CMS-D001片后的药效动力学（PD）特征。</w:t>
            </w:r>
          </w:p>
        </w:tc>
      </w:tr>
      <w:tr w14:paraId="4142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5B3B8939">
            <w:pPr>
              <w:pStyle w:val="60"/>
              <w:ind w:firstLine="0" w:firstLineChars="0"/>
              <w:rPr>
                <w:rStyle w:val="99"/>
                <w:rFonts w:eastAsia="黑体" w:cs="Times New Roman"/>
                <w:b/>
                <w:bCs/>
                <w:color w:val="auto"/>
                <w:sz w:val="24"/>
                <w:szCs w:val="24"/>
              </w:rPr>
            </w:pPr>
            <w:r>
              <w:rPr>
                <w:rStyle w:val="99"/>
                <w:rFonts w:hint="eastAsia" w:cs="Times New Roman"/>
                <w:b/>
                <w:bCs/>
                <w:sz w:val="24"/>
                <w:szCs w:val="24"/>
              </w:rPr>
              <w:t>终点</w:t>
            </w:r>
          </w:p>
        </w:tc>
        <w:tc>
          <w:tcPr>
            <w:tcW w:w="7934" w:type="dxa"/>
            <w:noWrap/>
          </w:tcPr>
          <w:p w14:paraId="1201AF48">
            <w:pPr>
              <w:pStyle w:val="60"/>
              <w:ind w:firstLine="0" w:firstLineChars="0"/>
              <w:rPr>
                <w:rStyle w:val="99"/>
                <w:rFonts w:cs="Times New Roman"/>
                <w:sz w:val="24"/>
                <w:szCs w:val="24"/>
                <w:lang w:eastAsia="zh-Hans"/>
              </w:rPr>
            </w:pPr>
            <w:r>
              <w:rPr>
                <w:rStyle w:val="99"/>
                <w:rFonts w:hint="eastAsia" w:cs="Times New Roman"/>
                <w:b/>
                <w:bCs/>
                <w:sz w:val="24"/>
                <w:szCs w:val="24"/>
              </w:rPr>
              <w:t>Ⅱ</w:t>
            </w:r>
            <w:r>
              <w:rPr>
                <w:rStyle w:val="99"/>
                <w:rFonts w:hint="eastAsia" w:cs="Times New Roman"/>
                <w:b/>
                <w:bCs/>
                <w:sz w:val="24"/>
                <w:szCs w:val="24"/>
                <w:lang w:eastAsia="zh-Hans"/>
              </w:rPr>
              <w:t>期临床</w:t>
            </w:r>
            <w:r>
              <w:rPr>
                <w:rStyle w:val="99"/>
                <w:rFonts w:hint="eastAsia" w:cs="Times New Roman"/>
                <w:b/>
                <w:bCs/>
                <w:sz w:val="24"/>
                <w:szCs w:val="24"/>
              </w:rPr>
              <w:t>研究</w:t>
            </w:r>
            <w:r>
              <w:rPr>
                <w:rStyle w:val="99"/>
                <w:rFonts w:hint="eastAsia" w:cs="Times New Roman"/>
                <w:b/>
                <w:bCs/>
                <w:sz w:val="24"/>
                <w:szCs w:val="24"/>
                <w:lang w:eastAsia="zh-Hans"/>
              </w:rPr>
              <w:t>阶段</w:t>
            </w:r>
          </w:p>
          <w:p w14:paraId="5BC2A7D1">
            <w:pPr>
              <w:pStyle w:val="60"/>
              <w:ind w:firstLine="0" w:firstLineChars="0"/>
              <w:rPr>
                <w:rStyle w:val="99"/>
                <w:rFonts w:cs="Times New Roman"/>
                <w:b/>
                <w:bCs/>
                <w:sz w:val="24"/>
                <w:szCs w:val="24"/>
              </w:rPr>
            </w:pPr>
            <w:r>
              <w:rPr>
                <w:rStyle w:val="99"/>
                <w:rFonts w:hint="eastAsia" w:cs="Times New Roman"/>
                <w:b/>
                <w:bCs/>
                <w:sz w:val="24"/>
                <w:szCs w:val="24"/>
              </w:rPr>
              <w:t>主要疗效指标</w:t>
            </w:r>
          </w:p>
          <w:p w14:paraId="6472E40A">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12</w:t>
            </w:r>
            <w:r>
              <w:rPr>
                <w:rFonts w:hint="eastAsia" w:cs="Times New Roman"/>
                <w:sz w:val="24"/>
                <w:szCs w:val="24"/>
              </w:rPr>
              <w:t>周，达到银屑病面积和严重程度指数较基线至少改善</w:t>
            </w:r>
            <w:r>
              <w:rPr>
                <w:rFonts w:cs="Times New Roman"/>
                <w:sz w:val="24"/>
                <w:szCs w:val="24"/>
              </w:rPr>
              <w:t>75%</w:t>
            </w:r>
            <w:r>
              <w:rPr>
                <w:rFonts w:hint="eastAsia" w:cs="Times New Roman"/>
                <w:sz w:val="24"/>
                <w:szCs w:val="24"/>
              </w:rPr>
              <w:t>的参与者比例（</w:t>
            </w:r>
            <w:r>
              <w:rPr>
                <w:rFonts w:cs="Times New Roman"/>
                <w:sz w:val="24"/>
                <w:szCs w:val="24"/>
              </w:rPr>
              <w:t>PASI 75</w:t>
            </w:r>
            <w:r>
              <w:rPr>
                <w:rFonts w:hint="eastAsia" w:cs="Times New Roman"/>
                <w:sz w:val="24"/>
                <w:szCs w:val="24"/>
              </w:rPr>
              <w:t>应答）。</w:t>
            </w:r>
          </w:p>
          <w:p w14:paraId="4CB571B5">
            <w:pPr>
              <w:pStyle w:val="60"/>
              <w:ind w:firstLine="0" w:firstLineChars="0"/>
              <w:rPr>
                <w:rStyle w:val="99"/>
                <w:rFonts w:cs="Times New Roman"/>
                <w:b/>
                <w:bCs/>
                <w:sz w:val="24"/>
                <w:szCs w:val="24"/>
              </w:rPr>
            </w:pPr>
            <w:r>
              <w:rPr>
                <w:rStyle w:val="99"/>
                <w:rFonts w:hint="eastAsia" w:cs="Times New Roman"/>
                <w:b/>
                <w:bCs/>
                <w:sz w:val="24"/>
                <w:szCs w:val="24"/>
              </w:rPr>
              <w:t>次要疗效指标</w:t>
            </w:r>
          </w:p>
          <w:p w14:paraId="41935372">
            <w:pPr>
              <w:pStyle w:val="60"/>
              <w:numPr>
                <w:ilvl w:val="0"/>
                <w:numId w:val="13"/>
              </w:numPr>
              <w:ind w:firstLineChars="0"/>
              <w:rPr>
                <w:rFonts w:cs="Times New Roman"/>
                <w:sz w:val="24"/>
                <w:szCs w:val="24"/>
              </w:rPr>
            </w:pPr>
            <w:r>
              <w:rPr>
                <w:rFonts w:hint="eastAsia" w:cs="Times New Roman"/>
                <w:sz w:val="24"/>
                <w:szCs w:val="24"/>
                <w:lang w:eastAsia="zh-Hans"/>
              </w:rPr>
              <w:t>第</w:t>
            </w:r>
            <w:r>
              <w:rPr>
                <w:rFonts w:cs="Times New Roman"/>
                <w:sz w:val="24"/>
                <w:szCs w:val="24"/>
                <w:lang w:eastAsia="zh-Hans"/>
              </w:rPr>
              <w:t>2</w:t>
            </w:r>
            <w:r>
              <w:rPr>
                <w:rFonts w:hint="eastAsia" w:cs="Times New Roman"/>
                <w:sz w:val="24"/>
                <w:szCs w:val="24"/>
                <w:lang w:eastAsia="zh-Hans"/>
              </w:rPr>
              <w:t>、</w:t>
            </w:r>
            <w:r>
              <w:rPr>
                <w:rFonts w:cs="Times New Roman"/>
                <w:sz w:val="24"/>
                <w:szCs w:val="24"/>
                <w:lang w:eastAsia="zh-Hans"/>
              </w:rPr>
              <w:t>4</w:t>
            </w:r>
            <w:r>
              <w:rPr>
                <w:rFonts w:hint="eastAsia" w:cs="Times New Roman"/>
                <w:sz w:val="24"/>
                <w:szCs w:val="24"/>
                <w:lang w:eastAsia="zh-Hans"/>
              </w:rPr>
              <w:t>、</w:t>
            </w:r>
            <w:r>
              <w:rPr>
                <w:rFonts w:cs="Times New Roman"/>
                <w:sz w:val="24"/>
                <w:szCs w:val="24"/>
                <w:lang w:eastAsia="zh-Hans"/>
              </w:rPr>
              <w:t>8</w:t>
            </w:r>
            <w:r>
              <w:rPr>
                <w:rFonts w:hint="eastAsia" w:cs="Times New Roman"/>
                <w:sz w:val="24"/>
                <w:szCs w:val="24"/>
              </w:rPr>
              <w:t>周，</w:t>
            </w:r>
            <w:r>
              <w:rPr>
                <w:rFonts w:hint="eastAsia" w:cs="Times New Roman"/>
                <w:sz w:val="24"/>
                <w:szCs w:val="24"/>
                <w:lang w:eastAsia="zh-Hans"/>
              </w:rPr>
              <w:t>达到</w:t>
            </w:r>
            <w:r>
              <w:rPr>
                <w:rFonts w:cs="Times New Roman"/>
                <w:sz w:val="24"/>
                <w:szCs w:val="24"/>
                <w:lang w:eastAsia="zh-Hans"/>
              </w:rPr>
              <w:t>PASI</w:t>
            </w:r>
            <w:r>
              <w:rPr>
                <w:rFonts w:cs="Times New Roman"/>
                <w:sz w:val="24"/>
                <w:szCs w:val="24"/>
              </w:rPr>
              <w:t xml:space="preserve"> </w:t>
            </w:r>
            <w:r>
              <w:rPr>
                <w:rFonts w:cs="Times New Roman"/>
                <w:sz w:val="24"/>
                <w:szCs w:val="24"/>
                <w:lang w:eastAsia="zh-Hans"/>
              </w:rPr>
              <w:t>75</w:t>
            </w:r>
            <w:r>
              <w:rPr>
                <w:rFonts w:hint="eastAsia" w:cs="Times New Roman"/>
                <w:sz w:val="24"/>
                <w:szCs w:val="24"/>
                <w:lang w:eastAsia="zh-Hans"/>
              </w:rPr>
              <w:t>应答的</w:t>
            </w:r>
            <w:r>
              <w:rPr>
                <w:rFonts w:hint="eastAsia" w:cs="Times New Roman"/>
                <w:sz w:val="24"/>
                <w:szCs w:val="24"/>
              </w:rPr>
              <w:t>参与者</w:t>
            </w:r>
            <w:r>
              <w:rPr>
                <w:rFonts w:hint="eastAsia" w:cs="Times New Roman"/>
                <w:sz w:val="24"/>
                <w:szCs w:val="24"/>
                <w:lang w:eastAsia="zh-Hans"/>
              </w:rPr>
              <w:t>比例</w:t>
            </w:r>
            <w:r>
              <w:rPr>
                <w:rFonts w:hint="eastAsia" w:cs="Times New Roman"/>
                <w:sz w:val="24"/>
                <w:szCs w:val="24"/>
              </w:rPr>
              <w:t>；</w:t>
            </w:r>
          </w:p>
          <w:p w14:paraId="21086525">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周，</w:t>
            </w:r>
            <w:r>
              <w:rPr>
                <w:rFonts w:cs="Times New Roman"/>
                <w:sz w:val="24"/>
                <w:szCs w:val="24"/>
              </w:rPr>
              <w:t>PGA</w:t>
            </w:r>
            <w:r>
              <w:rPr>
                <w:rFonts w:hint="eastAsia" w:cs="Times New Roman"/>
                <w:sz w:val="24"/>
                <w:szCs w:val="24"/>
              </w:rPr>
              <w:t>评分为</w:t>
            </w:r>
            <w:r>
              <w:rPr>
                <w:rFonts w:cs="Times New Roman"/>
                <w:sz w:val="24"/>
                <w:szCs w:val="24"/>
              </w:rPr>
              <w:t>0</w:t>
            </w:r>
            <w:r>
              <w:rPr>
                <w:rFonts w:hint="eastAsia" w:cs="Times New Roman"/>
                <w:sz w:val="24"/>
                <w:szCs w:val="24"/>
              </w:rPr>
              <w:t>或</w:t>
            </w:r>
            <w:r>
              <w:rPr>
                <w:rFonts w:cs="Times New Roman"/>
                <w:sz w:val="24"/>
                <w:szCs w:val="24"/>
              </w:rPr>
              <w:t>1</w:t>
            </w:r>
            <w:r>
              <w:rPr>
                <w:rFonts w:hint="eastAsia" w:cs="Times New Roman"/>
                <w:sz w:val="24"/>
                <w:szCs w:val="24"/>
              </w:rPr>
              <w:t>的参与者比例；</w:t>
            </w:r>
          </w:p>
          <w:p w14:paraId="68BBD037">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周，达到</w:t>
            </w:r>
            <w:r>
              <w:rPr>
                <w:rFonts w:cs="Times New Roman"/>
                <w:sz w:val="24"/>
                <w:szCs w:val="24"/>
              </w:rPr>
              <w:t>PASI 50/90/100</w:t>
            </w:r>
            <w:r>
              <w:rPr>
                <w:rFonts w:hint="eastAsia" w:cs="Times New Roman"/>
                <w:sz w:val="24"/>
                <w:szCs w:val="24"/>
              </w:rPr>
              <w:t>应答的参与者比例；</w:t>
            </w:r>
          </w:p>
          <w:p w14:paraId="36F4E9C7">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周，</w:t>
            </w:r>
            <w:r>
              <w:rPr>
                <w:rFonts w:cs="Times New Roman"/>
                <w:sz w:val="24"/>
                <w:szCs w:val="24"/>
              </w:rPr>
              <w:t>PASI</w:t>
            </w:r>
            <w:r>
              <w:rPr>
                <w:rFonts w:hint="eastAsia" w:cs="Times New Roman"/>
                <w:sz w:val="24"/>
                <w:szCs w:val="24"/>
              </w:rPr>
              <w:t>较基线的变化值和百分比；</w:t>
            </w:r>
          </w:p>
          <w:p w14:paraId="136A5EBB">
            <w:pPr>
              <w:pStyle w:val="60"/>
              <w:numPr>
                <w:ilvl w:val="0"/>
                <w:numId w:val="13"/>
              </w:numPr>
              <w:ind w:firstLineChars="0"/>
              <w:rPr>
                <w:rFonts w:cs="Times New Roman"/>
                <w:sz w:val="24"/>
                <w:szCs w:val="24"/>
                <w:lang w:eastAsia="zh-Hans"/>
              </w:rPr>
            </w:pPr>
            <w:r>
              <w:rPr>
                <w:rFonts w:hint="eastAsia" w:cs="Times New Roman"/>
                <w:sz w:val="24"/>
                <w:szCs w:val="24"/>
                <w:lang w:eastAsia="zh-Hans"/>
              </w:rPr>
              <w:t>第</w:t>
            </w:r>
            <w:r>
              <w:rPr>
                <w:rFonts w:cs="Times New Roman"/>
                <w:sz w:val="24"/>
                <w:szCs w:val="24"/>
                <w:lang w:eastAsia="zh-Hans"/>
              </w:rPr>
              <w:t>2</w:t>
            </w:r>
            <w:r>
              <w:rPr>
                <w:rFonts w:hint="eastAsia" w:cs="Times New Roman"/>
                <w:sz w:val="24"/>
                <w:szCs w:val="24"/>
                <w:lang w:eastAsia="zh-Hans"/>
              </w:rPr>
              <w:t>、</w:t>
            </w:r>
            <w:r>
              <w:rPr>
                <w:rFonts w:cs="Times New Roman"/>
                <w:sz w:val="24"/>
                <w:szCs w:val="24"/>
                <w:lang w:eastAsia="zh-Hans"/>
              </w:rPr>
              <w:t>4</w:t>
            </w:r>
            <w:r>
              <w:rPr>
                <w:rFonts w:hint="eastAsia" w:cs="Times New Roman"/>
                <w:sz w:val="24"/>
                <w:szCs w:val="24"/>
                <w:lang w:eastAsia="zh-Hans"/>
              </w:rPr>
              <w:t>、</w:t>
            </w:r>
            <w:r>
              <w:rPr>
                <w:rFonts w:cs="Times New Roman"/>
                <w:sz w:val="24"/>
                <w:szCs w:val="24"/>
                <w:lang w:eastAsia="zh-Hans"/>
              </w:rPr>
              <w:t>8</w:t>
            </w:r>
            <w:r>
              <w:rPr>
                <w:rFonts w:hint="eastAsia" w:cs="Times New Roman"/>
                <w:sz w:val="24"/>
                <w:szCs w:val="24"/>
                <w:lang w:eastAsia="zh-Hans"/>
              </w:rPr>
              <w:t>、</w:t>
            </w:r>
            <w:r>
              <w:rPr>
                <w:rFonts w:cs="Times New Roman"/>
                <w:sz w:val="24"/>
                <w:szCs w:val="24"/>
                <w:lang w:eastAsia="zh-Hans"/>
              </w:rPr>
              <w:t>12</w:t>
            </w:r>
            <w:r>
              <w:rPr>
                <w:rFonts w:hint="eastAsia" w:cs="Times New Roman"/>
                <w:sz w:val="24"/>
                <w:szCs w:val="24"/>
                <w:lang w:eastAsia="zh-Hans"/>
              </w:rPr>
              <w:t>周，</w:t>
            </w:r>
            <w:r>
              <w:rPr>
                <w:rFonts w:cs="Times New Roman"/>
                <w:sz w:val="24"/>
                <w:szCs w:val="24"/>
              </w:rPr>
              <w:t>BSA</w:t>
            </w:r>
            <w:r>
              <w:rPr>
                <w:rFonts w:hint="eastAsia" w:cs="Times New Roman"/>
                <w:sz w:val="24"/>
                <w:szCs w:val="24"/>
              </w:rPr>
              <w:t>较基线的变化值和百分比；</w:t>
            </w:r>
          </w:p>
          <w:p w14:paraId="748F7EBF">
            <w:pPr>
              <w:pStyle w:val="60"/>
              <w:numPr>
                <w:ilvl w:val="0"/>
                <w:numId w:val="13"/>
              </w:numPr>
              <w:ind w:firstLineChars="0"/>
              <w:rPr>
                <w:rFonts w:cs="Times New Roman"/>
                <w:sz w:val="24"/>
                <w:szCs w:val="24"/>
              </w:rPr>
            </w:pPr>
            <w:r>
              <w:rPr>
                <w:rFonts w:hint="eastAsia" w:cs="Times New Roman"/>
                <w:sz w:val="24"/>
                <w:szCs w:val="24"/>
                <w:lang w:eastAsia="zh-Hans"/>
              </w:rPr>
              <w:t>第</w:t>
            </w:r>
            <w:r>
              <w:rPr>
                <w:rFonts w:cs="Times New Roman"/>
                <w:sz w:val="24"/>
                <w:szCs w:val="24"/>
                <w:lang w:eastAsia="zh-Hans"/>
              </w:rPr>
              <w:t>2</w:t>
            </w:r>
            <w:r>
              <w:rPr>
                <w:rFonts w:hint="eastAsia" w:cs="Times New Roman"/>
                <w:sz w:val="24"/>
                <w:szCs w:val="24"/>
                <w:lang w:eastAsia="zh-Hans"/>
              </w:rPr>
              <w:t>、</w:t>
            </w:r>
            <w:r>
              <w:rPr>
                <w:rFonts w:cs="Times New Roman"/>
                <w:sz w:val="24"/>
                <w:szCs w:val="24"/>
                <w:lang w:eastAsia="zh-Hans"/>
              </w:rPr>
              <w:t>4</w:t>
            </w:r>
            <w:r>
              <w:rPr>
                <w:rFonts w:hint="eastAsia" w:cs="Times New Roman"/>
                <w:sz w:val="24"/>
                <w:szCs w:val="24"/>
                <w:lang w:eastAsia="zh-Hans"/>
              </w:rPr>
              <w:t>、</w:t>
            </w:r>
            <w:r>
              <w:rPr>
                <w:rFonts w:cs="Times New Roman"/>
                <w:sz w:val="24"/>
                <w:szCs w:val="24"/>
                <w:lang w:eastAsia="zh-Hans"/>
              </w:rPr>
              <w:t>8</w:t>
            </w:r>
            <w:r>
              <w:rPr>
                <w:rFonts w:hint="eastAsia" w:cs="Times New Roman"/>
                <w:sz w:val="24"/>
                <w:szCs w:val="24"/>
                <w:lang w:eastAsia="zh-Hans"/>
              </w:rPr>
              <w:t>、</w:t>
            </w:r>
            <w:r>
              <w:rPr>
                <w:rFonts w:cs="Times New Roman"/>
                <w:sz w:val="24"/>
                <w:szCs w:val="24"/>
                <w:lang w:eastAsia="zh-Hans"/>
              </w:rPr>
              <w:t>12</w:t>
            </w:r>
            <w:r>
              <w:rPr>
                <w:rFonts w:hint="eastAsia" w:cs="Times New Roman"/>
                <w:sz w:val="24"/>
                <w:szCs w:val="24"/>
                <w:lang w:eastAsia="zh-Hans"/>
              </w:rPr>
              <w:t>周</w:t>
            </w:r>
            <w:r>
              <w:rPr>
                <w:rFonts w:hint="eastAsia" w:cs="Times New Roman"/>
                <w:sz w:val="24"/>
                <w:szCs w:val="24"/>
              </w:rPr>
              <w:t>，</w:t>
            </w:r>
            <w:r>
              <w:rPr>
                <w:rFonts w:hint="eastAsia" w:cs="Times New Roman"/>
                <w:sz w:val="24"/>
                <w:szCs w:val="24"/>
                <w:lang w:eastAsia="zh-Hans"/>
              </w:rPr>
              <w:t>皮肤病生活质量指数（</w:t>
            </w:r>
            <w:r>
              <w:rPr>
                <w:rFonts w:cs="Times New Roman"/>
                <w:sz w:val="24"/>
                <w:szCs w:val="24"/>
                <w:lang w:eastAsia="zh-Hans"/>
              </w:rPr>
              <w:t>DLQI</w:t>
            </w:r>
            <w:r>
              <w:rPr>
                <w:rFonts w:hint="eastAsia" w:cs="Times New Roman"/>
                <w:sz w:val="24"/>
                <w:szCs w:val="24"/>
                <w:lang w:eastAsia="zh-Hans"/>
              </w:rPr>
              <w:t>）评分与基线相比的变化</w:t>
            </w:r>
            <w:r>
              <w:rPr>
                <w:rFonts w:hint="eastAsia" w:cs="Times New Roman"/>
                <w:sz w:val="24"/>
                <w:szCs w:val="24"/>
              </w:rPr>
              <w:t>；</w:t>
            </w:r>
          </w:p>
          <w:p w14:paraId="017086C9">
            <w:pPr>
              <w:pStyle w:val="60"/>
              <w:ind w:firstLine="0" w:firstLineChars="0"/>
              <w:rPr>
                <w:rStyle w:val="99"/>
                <w:rFonts w:cs="Times New Roman"/>
                <w:b/>
                <w:bCs/>
                <w:sz w:val="24"/>
                <w:szCs w:val="24"/>
                <w:lang w:eastAsia="zh-Hans" w:bidi="ar"/>
              </w:rPr>
            </w:pPr>
            <w:r>
              <w:rPr>
                <w:rStyle w:val="99"/>
                <w:rFonts w:hint="eastAsia" w:cs="Times New Roman"/>
                <w:b/>
                <w:bCs/>
                <w:sz w:val="24"/>
                <w:szCs w:val="24"/>
                <w:lang w:eastAsia="zh-Hans" w:bidi="ar"/>
              </w:rPr>
              <w:t>安全性指标</w:t>
            </w:r>
          </w:p>
          <w:p w14:paraId="7215BD89">
            <w:pPr>
              <w:pStyle w:val="60"/>
              <w:numPr>
                <w:ilvl w:val="0"/>
                <w:numId w:val="13"/>
              </w:numPr>
              <w:ind w:firstLineChars="0"/>
              <w:rPr>
                <w:rFonts w:cs="Times New Roman"/>
                <w:sz w:val="24"/>
                <w:szCs w:val="24"/>
                <w:lang w:eastAsia="zh-Hans"/>
              </w:rPr>
            </w:pPr>
            <w:r>
              <w:rPr>
                <w:rFonts w:hint="eastAsia" w:cs="Times New Roman"/>
                <w:sz w:val="24"/>
                <w:szCs w:val="24"/>
                <w:lang w:eastAsia="zh-Hans"/>
              </w:rPr>
              <w:t>不良事件、治疗期出现的不良事件和严重不良事件的发生率；</w:t>
            </w:r>
          </w:p>
          <w:p w14:paraId="1C26FA1B">
            <w:pPr>
              <w:pStyle w:val="60"/>
              <w:numPr>
                <w:ilvl w:val="0"/>
                <w:numId w:val="13"/>
              </w:numPr>
              <w:ind w:firstLineChars="0"/>
              <w:rPr>
                <w:rFonts w:cs="Times New Roman"/>
                <w:sz w:val="24"/>
                <w:szCs w:val="24"/>
                <w:lang w:eastAsia="zh-Hans"/>
              </w:rPr>
            </w:pPr>
            <w:r>
              <w:rPr>
                <w:rFonts w:hint="eastAsia" w:cs="Times New Roman"/>
                <w:sz w:val="24"/>
                <w:szCs w:val="24"/>
                <w:lang w:eastAsia="zh-Hans"/>
              </w:rPr>
              <w:t>常规安全性参数，包括实验室检查、生命体征测量、</w:t>
            </w:r>
            <w:r>
              <w:rPr>
                <w:rFonts w:cs="Times New Roman"/>
                <w:sz w:val="24"/>
                <w:szCs w:val="24"/>
                <w:lang w:eastAsia="zh-Hans"/>
              </w:rPr>
              <w:t>12</w:t>
            </w:r>
            <w:r>
              <w:rPr>
                <w:rFonts w:hint="eastAsia" w:cs="Times New Roman"/>
                <w:sz w:val="24"/>
                <w:szCs w:val="24"/>
                <w:lang w:eastAsia="zh-Hans"/>
              </w:rPr>
              <w:t>导联心电图（</w:t>
            </w:r>
            <w:r>
              <w:rPr>
                <w:rFonts w:cs="Times New Roman"/>
                <w:sz w:val="24"/>
                <w:szCs w:val="24"/>
                <w:lang w:eastAsia="zh-Hans"/>
              </w:rPr>
              <w:t>ECG</w:t>
            </w:r>
            <w:r>
              <w:rPr>
                <w:rFonts w:hint="eastAsia" w:cs="Times New Roman"/>
                <w:sz w:val="24"/>
                <w:szCs w:val="24"/>
                <w:lang w:eastAsia="zh-Hans"/>
              </w:rPr>
              <w:t>）和体格检查等</w:t>
            </w:r>
            <w:r>
              <w:rPr>
                <w:rFonts w:hint="eastAsia" w:cs="Times New Roman"/>
                <w:sz w:val="24"/>
                <w:szCs w:val="24"/>
              </w:rPr>
              <w:t>；</w:t>
            </w:r>
          </w:p>
          <w:p w14:paraId="375CBB89">
            <w:pPr>
              <w:pStyle w:val="60"/>
              <w:ind w:firstLine="0" w:firstLineChars="0"/>
              <w:rPr>
                <w:rStyle w:val="99"/>
                <w:rFonts w:cs="Times New Roman"/>
                <w:b/>
                <w:bCs/>
                <w:sz w:val="24"/>
                <w:szCs w:val="24"/>
                <w:lang w:bidi="ar"/>
              </w:rPr>
            </w:pPr>
            <w:r>
              <w:rPr>
                <w:rStyle w:val="99"/>
                <w:rFonts w:hint="eastAsia" w:cs="Times New Roman"/>
                <w:b/>
                <w:bCs/>
                <w:sz w:val="24"/>
                <w:szCs w:val="24"/>
                <w:lang w:bidi="ar"/>
              </w:rPr>
              <w:t>药代动力学指标</w:t>
            </w:r>
          </w:p>
          <w:p w14:paraId="3E1CD7C2">
            <w:pPr>
              <w:pStyle w:val="60"/>
              <w:numPr>
                <w:ilvl w:val="0"/>
                <w:numId w:val="13"/>
              </w:numPr>
              <w:ind w:firstLineChars="0"/>
              <w:rPr>
                <w:rFonts w:cs="Times New Roman"/>
                <w:color w:val="000000"/>
                <w:kern w:val="2"/>
                <w:sz w:val="24"/>
                <w:szCs w:val="24"/>
              </w:rPr>
            </w:pPr>
            <w:r>
              <w:rPr>
                <w:rFonts w:hint="eastAsia" w:cs="Times New Roman"/>
                <w:sz w:val="24"/>
                <w:szCs w:val="24"/>
                <w:lang w:eastAsia="zh-Hans"/>
              </w:rPr>
              <w:t>评价</w:t>
            </w:r>
            <w:r>
              <w:rPr>
                <w:rStyle w:val="99"/>
                <w:rFonts w:cs="Times New Roman"/>
                <w:sz w:val="24"/>
                <w:szCs w:val="24"/>
                <w:lang w:val="zh-CN"/>
              </w:rPr>
              <w:t>CMS-D001</w:t>
            </w:r>
            <w:r>
              <w:rPr>
                <w:rStyle w:val="99"/>
                <w:rFonts w:hint="eastAsia" w:cs="Times New Roman"/>
                <w:sz w:val="24"/>
                <w:szCs w:val="24"/>
                <w:lang w:val="zh-CN" w:eastAsia="zh-Hans"/>
              </w:rPr>
              <w:t>及其主要代谢产物（如适用）</w:t>
            </w:r>
            <w:r>
              <w:rPr>
                <w:rFonts w:hint="eastAsia" w:cs="Times New Roman"/>
                <w:sz w:val="24"/>
                <w:szCs w:val="24"/>
                <w:lang w:eastAsia="zh-Hans"/>
              </w:rPr>
              <w:t>在斑块状银屑病患者中的</w:t>
            </w:r>
            <w:r>
              <w:rPr>
                <w:rFonts w:cs="Times New Roman"/>
                <w:sz w:val="24"/>
                <w:szCs w:val="24"/>
                <w:lang w:eastAsia="zh-Hans"/>
              </w:rPr>
              <w:t>PK</w:t>
            </w:r>
            <w:r>
              <w:rPr>
                <w:rFonts w:hint="eastAsia" w:cs="Times New Roman"/>
                <w:sz w:val="24"/>
                <w:szCs w:val="24"/>
                <w:lang w:eastAsia="zh-Hans"/>
              </w:rPr>
              <w:t>特征</w:t>
            </w:r>
            <w:r>
              <w:rPr>
                <w:rFonts w:hint="eastAsia" w:cs="Times New Roman"/>
                <w:sz w:val="24"/>
                <w:szCs w:val="24"/>
              </w:rPr>
              <w:t>，计算以下参数：</w:t>
            </w:r>
            <w:r>
              <w:rPr>
                <w:rFonts w:hint="eastAsia" w:cs="Times New Roman"/>
                <w:color w:val="000000"/>
                <w:kern w:val="2"/>
                <w:sz w:val="24"/>
                <w:szCs w:val="24"/>
              </w:rPr>
              <w:t>血浆谷浓度（</w:t>
            </w:r>
            <w:r>
              <w:rPr>
                <w:rFonts w:cs="Times New Roman"/>
                <w:color w:val="000000"/>
                <w:kern w:val="2"/>
                <w:sz w:val="24"/>
                <w:szCs w:val="24"/>
              </w:rPr>
              <w:t>C</w:t>
            </w:r>
            <w:r>
              <w:rPr>
                <w:rFonts w:cs="Times New Roman"/>
                <w:color w:val="000000"/>
                <w:kern w:val="2"/>
                <w:sz w:val="24"/>
                <w:szCs w:val="24"/>
                <w:vertAlign w:val="subscript"/>
              </w:rPr>
              <w:t>trough</w:t>
            </w:r>
            <w:r>
              <w:rPr>
                <w:rFonts w:hint="eastAsia" w:cs="Times New Roman"/>
                <w:color w:val="000000"/>
                <w:kern w:val="2"/>
                <w:sz w:val="24"/>
                <w:szCs w:val="24"/>
              </w:rPr>
              <w:t>）、</w:t>
            </w:r>
            <w:r>
              <w:rPr>
                <w:rFonts w:hint="eastAsia" w:cs="Times New Roman"/>
                <w:bCs/>
                <w:sz w:val="24"/>
                <w:szCs w:val="24"/>
              </w:rPr>
              <w:t>峰浓度（</w:t>
            </w:r>
            <w:r>
              <w:rPr>
                <w:rFonts w:cs="Times New Roman"/>
                <w:bCs/>
                <w:sz w:val="24"/>
                <w:szCs w:val="24"/>
              </w:rPr>
              <w:t>C</w:t>
            </w:r>
            <w:r>
              <w:rPr>
                <w:rFonts w:cs="Times New Roman"/>
                <w:sz w:val="24"/>
                <w:szCs w:val="24"/>
                <w:vertAlign w:val="subscript"/>
              </w:rPr>
              <w:t>max</w:t>
            </w:r>
            <w:r>
              <w:rPr>
                <w:rFonts w:hint="eastAsia" w:cs="Times New Roman"/>
                <w:bCs/>
                <w:sz w:val="24"/>
                <w:szCs w:val="24"/>
              </w:rPr>
              <w:t>）</w:t>
            </w:r>
            <w:r>
              <w:rPr>
                <w:rFonts w:hint="eastAsia" w:cs="Times New Roman"/>
                <w:color w:val="000000"/>
                <w:kern w:val="2"/>
                <w:sz w:val="24"/>
                <w:szCs w:val="24"/>
              </w:rPr>
              <w:t>；</w:t>
            </w:r>
          </w:p>
          <w:p w14:paraId="159168DC">
            <w:pPr>
              <w:pStyle w:val="60"/>
              <w:numPr>
                <w:ilvl w:val="0"/>
                <w:numId w:val="13"/>
              </w:numPr>
              <w:ind w:firstLineChars="0"/>
              <w:rPr>
                <w:rFonts w:cs="Times New Roman"/>
                <w:sz w:val="24"/>
                <w:szCs w:val="24"/>
              </w:rPr>
            </w:pPr>
            <w:r>
              <w:rPr>
                <w:rFonts w:hint="eastAsia" w:cs="Times New Roman"/>
                <w:sz w:val="24"/>
                <w:szCs w:val="24"/>
                <w:lang w:eastAsia="zh-Hans"/>
              </w:rPr>
              <w:t>如数据允许，还将基于群体药代动力学（</w:t>
            </w:r>
            <w:r>
              <w:rPr>
                <w:rFonts w:cs="Times New Roman"/>
                <w:sz w:val="24"/>
                <w:szCs w:val="24"/>
                <w:lang w:eastAsia="zh-Hans"/>
              </w:rPr>
              <w:t>PopPK</w:t>
            </w:r>
            <w:r>
              <w:rPr>
                <w:rFonts w:hint="eastAsia" w:cs="Times New Roman"/>
                <w:sz w:val="24"/>
                <w:szCs w:val="24"/>
                <w:lang w:eastAsia="zh-Hans"/>
              </w:rPr>
              <w:t>）分析方法，</w:t>
            </w:r>
            <w:r>
              <w:rPr>
                <w:rFonts w:hint="eastAsia" w:cs="Times New Roman"/>
                <w:sz w:val="24"/>
                <w:szCs w:val="24"/>
              </w:rPr>
              <w:t>探索</w:t>
            </w:r>
            <w:r>
              <w:rPr>
                <w:rStyle w:val="99"/>
                <w:rFonts w:cs="Times New Roman"/>
                <w:sz w:val="24"/>
                <w:szCs w:val="24"/>
                <w:lang w:val="zh-CN"/>
              </w:rPr>
              <w:t>CMS-D001</w:t>
            </w:r>
            <w:r>
              <w:rPr>
                <w:rStyle w:val="99"/>
                <w:rFonts w:hint="eastAsia" w:cs="Times New Roman"/>
                <w:sz w:val="24"/>
                <w:szCs w:val="24"/>
                <w:lang w:val="zh-CN" w:eastAsia="zh-Hans"/>
              </w:rPr>
              <w:t>及其主要代谢产物（如适用）</w:t>
            </w:r>
            <w:r>
              <w:rPr>
                <w:rFonts w:hint="eastAsia" w:cs="Times New Roman"/>
                <w:sz w:val="24"/>
                <w:szCs w:val="24"/>
                <w:lang w:eastAsia="zh-Hans"/>
              </w:rPr>
              <w:t>在斑块状银屑病患者中的</w:t>
            </w:r>
            <w:r>
              <w:rPr>
                <w:rFonts w:cs="Times New Roman"/>
                <w:sz w:val="24"/>
                <w:szCs w:val="24"/>
                <w:lang w:eastAsia="zh-Hans"/>
              </w:rPr>
              <w:t>PK</w:t>
            </w:r>
            <w:r>
              <w:rPr>
                <w:rFonts w:hint="eastAsia" w:cs="Times New Roman"/>
                <w:sz w:val="24"/>
                <w:szCs w:val="24"/>
                <w:lang w:eastAsia="zh-Hans"/>
              </w:rPr>
              <w:t>特征及暴露与疗效及不良事件之间的关系。</w:t>
            </w:r>
          </w:p>
          <w:p w14:paraId="2B68EA4D">
            <w:pPr>
              <w:pStyle w:val="60"/>
              <w:ind w:firstLine="0" w:firstLineChars="0"/>
              <w:rPr>
                <w:rStyle w:val="99"/>
                <w:rFonts w:cs="Times New Roman"/>
                <w:b/>
                <w:bCs/>
                <w:sz w:val="24"/>
                <w:szCs w:val="24"/>
                <w:lang w:bidi="ar"/>
              </w:rPr>
            </w:pPr>
            <w:r>
              <w:rPr>
                <w:rStyle w:val="99"/>
                <w:rFonts w:hint="eastAsia" w:cs="Times New Roman"/>
                <w:b/>
                <w:bCs/>
                <w:sz w:val="24"/>
                <w:szCs w:val="24"/>
                <w:lang w:bidi="ar"/>
              </w:rPr>
              <w:t>其他指标</w:t>
            </w:r>
          </w:p>
          <w:p w14:paraId="76EC13C4">
            <w:pPr>
              <w:pStyle w:val="60"/>
              <w:numPr>
                <w:ilvl w:val="0"/>
                <w:numId w:val="13"/>
              </w:numPr>
              <w:ind w:firstLineChars="0"/>
              <w:rPr>
                <w:rFonts w:cs="Times New Roman"/>
                <w:sz w:val="24"/>
                <w:szCs w:val="24"/>
                <w:lang w:eastAsia="zh-Hans"/>
              </w:rPr>
            </w:pPr>
            <w:r>
              <w:rPr>
                <w:rFonts w:hint="eastAsia" w:cs="Times New Roman"/>
                <w:sz w:val="24"/>
                <w:szCs w:val="24"/>
                <w:lang w:eastAsia="zh-Hans"/>
              </w:rPr>
              <w:t>第</w:t>
            </w:r>
            <w:r>
              <w:rPr>
                <w:rFonts w:cs="Times New Roman"/>
                <w:sz w:val="24"/>
                <w:szCs w:val="24"/>
                <w:lang w:eastAsia="zh-Hans"/>
              </w:rPr>
              <w:t>2</w:t>
            </w:r>
            <w:r>
              <w:rPr>
                <w:rFonts w:hint="eastAsia" w:cs="Times New Roman"/>
                <w:sz w:val="24"/>
                <w:szCs w:val="24"/>
                <w:lang w:eastAsia="zh-Hans"/>
              </w:rPr>
              <w:t>、</w:t>
            </w:r>
            <w:r>
              <w:rPr>
                <w:rFonts w:cs="Times New Roman"/>
                <w:sz w:val="24"/>
                <w:szCs w:val="24"/>
                <w:lang w:eastAsia="zh-Hans"/>
              </w:rPr>
              <w:t>4</w:t>
            </w:r>
            <w:r>
              <w:rPr>
                <w:rFonts w:hint="eastAsia" w:cs="Times New Roman"/>
                <w:sz w:val="24"/>
                <w:szCs w:val="24"/>
                <w:lang w:eastAsia="zh-Hans"/>
              </w:rPr>
              <w:t>、</w:t>
            </w:r>
            <w:r>
              <w:rPr>
                <w:rFonts w:cs="Times New Roman"/>
                <w:sz w:val="24"/>
                <w:szCs w:val="24"/>
                <w:lang w:eastAsia="zh-Hans"/>
              </w:rPr>
              <w:t>8</w:t>
            </w:r>
            <w:r>
              <w:rPr>
                <w:rFonts w:hint="eastAsia" w:cs="Times New Roman"/>
                <w:sz w:val="24"/>
                <w:szCs w:val="24"/>
                <w:lang w:eastAsia="zh-Hans"/>
              </w:rPr>
              <w:t>、</w:t>
            </w:r>
            <w:r>
              <w:rPr>
                <w:rFonts w:cs="Times New Roman"/>
                <w:sz w:val="24"/>
                <w:szCs w:val="24"/>
                <w:lang w:eastAsia="zh-Hans"/>
              </w:rPr>
              <w:t>12</w:t>
            </w:r>
            <w:r>
              <w:rPr>
                <w:rFonts w:hint="eastAsia" w:cs="Times New Roman"/>
                <w:sz w:val="24"/>
                <w:szCs w:val="24"/>
                <w:lang w:eastAsia="zh-Hans"/>
              </w:rPr>
              <w:t>、</w:t>
            </w:r>
            <w:r>
              <w:rPr>
                <w:rFonts w:cs="Times New Roman"/>
                <w:sz w:val="24"/>
                <w:szCs w:val="24"/>
                <w:lang w:eastAsia="zh-Hans"/>
              </w:rPr>
              <w:t>16</w:t>
            </w:r>
            <w:r>
              <w:rPr>
                <w:rFonts w:hint="eastAsia" w:cs="Times New Roman"/>
                <w:sz w:val="24"/>
                <w:szCs w:val="24"/>
                <w:lang w:eastAsia="zh-Hans"/>
              </w:rPr>
              <w:t>周，血清</w:t>
            </w:r>
            <w:r>
              <w:rPr>
                <w:rFonts w:cs="Times New Roman"/>
                <w:sz w:val="24"/>
                <w:szCs w:val="24"/>
                <w:lang w:eastAsia="zh-Hans"/>
              </w:rPr>
              <w:t>IL-17A</w:t>
            </w:r>
            <w:r>
              <w:rPr>
                <w:rFonts w:hint="eastAsia" w:cs="Times New Roman"/>
                <w:sz w:val="24"/>
                <w:szCs w:val="24"/>
                <w:lang w:eastAsia="zh-Hans"/>
              </w:rPr>
              <w:t>等生物标志物水平较基线的变化值和百分比。</w:t>
            </w:r>
          </w:p>
          <w:p w14:paraId="7533C517">
            <w:pPr>
              <w:pStyle w:val="60"/>
              <w:ind w:firstLine="0" w:firstLineChars="0"/>
              <w:rPr>
                <w:rStyle w:val="99"/>
                <w:rFonts w:cs="Times New Roman"/>
                <w:b/>
                <w:bCs/>
                <w:sz w:val="24"/>
                <w:szCs w:val="24"/>
                <w:lang w:eastAsia="zh-Hans"/>
              </w:rPr>
            </w:pPr>
            <w:r>
              <w:rPr>
                <w:rStyle w:val="99"/>
                <w:rFonts w:hint="eastAsia" w:cs="Times New Roman"/>
                <w:b/>
                <w:bCs/>
                <w:sz w:val="24"/>
                <w:szCs w:val="24"/>
                <w:lang w:eastAsia="zh-Hans" w:bidi="ar"/>
              </w:rPr>
              <w:t>Ⅲ</w:t>
            </w:r>
            <w:r>
              <w:rPr>
                <w:rStyle w:val="99"/>
                <w:rFonts w:hint="eastAsia" w:cs="Times New Roman"/>
                <w:b/>
                <w:bCs/>
                <w:sz w:val="24"/>
                <w:szCs w:val="24"/>
                <w:lang w:eastAsia="zh-Hans"/>
              </w:rPr>
              <w:t>期临床</w:t>
            </w:r>
            <w:r>
              <w:rPr>
                <w:rStyle w:val="99"/>
                <w:rFonts w:hint="eastAsia" w:cs="Times New Roman"/>
                <w:b/>
                <w:bCs/>
                <w:sz w:val="24"/>
                <w:szCs w:val="24"/>
              </w:rPr>
              <w:t>研究</w:t>
            </w:r>
            <w:r>
              <w:rPr>
                <w:rStyle w:val="99"/>
                <w:rFonts w:hint="eastAsia" w:cs="Times New Roman"/>
                <w:b/>
                <w:bCs/>
                <w:sz w:val="24"/>
                <w:szCs w:val="24"/>
                <w:lang w:eastAsia="zh-Hans"/>
              </w:rPr>
              <w:t>阶段</w:t>
            </w:r>
          </w:p>
          <w:p w14:paraId="614BC875">
            <w:pPr>
              <w:pStyle w:val="60"/>
              <w:ind w:firstLine="0" w:firstLineChars="0"/>
              <w:rPr>
                <w:rStyle w:val="99"/>
                <w:rFonts w:cs="Times New Roman"/>
                <w:b/>
                <w:bCs/>
                <w:sz w:val="24"/>
                <w:szCs w:val="24"/>
                <w:lang w:bidi="ar"/>
              </w:rPr>
            </w:pPr>
            <w:r>
              <w:rPr>
                <w:rStyle w:val="99"/>
                <w:rFonts w:hint="eastAsia" w:cs="Times New Roman"/>
                <w:b/>
                <w:bCs/>
                <w:sz w:val="24"/>
                <w:szCs w:val="24"/>
                <w:lang w:bidi="ar"/>
              </w:rPr>
              <w:t>主要疗效指标</w:t>
            </w:r>
          </w:p>
          <w:p w14:paraId="49B9F9D7">
            <w:pPr>
              <w:pStyle w:val="60"/>
              <w:numPr>
                <w:ilvl w:val="0"/>
                <w:numId w:val="13"/>
              </w:numPr>
              <w:ind w:firstLineChars="0"/>
              <w:rPr>
                <w:rFonts w:cs="Times New Roman"/>
                <w:sz w:val="24"/>
                <w:szCs w:val="24"/>
                <w:lang w:eastAsia="zh-Hans"/>
              </w:rPr>
            </w:pPr>
            <w:r>
              <w:rPr>
                <w:rFonts w:hint="eastAsia" w:cs="Times New Roman"/>
                <w:sz w:val="24"/>
                <w:szCs w:val="24"/>
                <w:lang w:eastAsia="zh-Hans"/>
              </w:rPr>
              <w:t>第</w:t>
            </w:r>
            <w:r>
              <w:rPr>
                <w:rFonts w:cs="Times New Roman"/>
                <w:sz w:val="24"/>
                <w:szCs w:val="24"/>
                <w:lang w:eastAsia="zh-Hans"/>
              </w:rPr>
              <w:t>16</w:t>
            </w:r>
            <w:r>
              <w:rPr>
                <w:rFonts w:hint="eastAsia" w:cs="Times New Roman"/>
                <w:sz w:val="24"/>
                <w:szCs w:val="24"/>
                <w:lang w:eastAsia="zh-Hans"/>
              </w:rPr>
              <w:t>周</w:t>
            </w:r>
            <w:r>
              <w:rPr>
                <w:rFonts w:hint="eastAsia" w:cs="Times New Roman"/>
                <w:sz w:val="24"/>
                <w:szCs w:val="24"/>
              </w:rPr>
              <w:t>，</w:t>
            </w:r>
            <w:r>
              <w:rPr>
                <w:rFonts w:hint="eastAsia" w:cs="Times New Roman"/>
                <w:sz w:val="24"/>
                <w:szCs w:val="24"/>
                <w:lang w:eastAsia="zh-Hans"/>
              </w:rPr>
              <w:t>达到银屑病面积和严重程度指数较基线至少改善</w:t>
            </w:r>
            <w:r>
              <w:rPr>
                <w:rFonts w:cs="Times New Roman"/>
                <w:sz w:val="24"/>
                <w:szCs w:val="24"/>
                <w:lang w:eastAsia="zh-Hans"/>
              </w:rPr>
              <w:t>75%</w:t>
            </w:r>
            <w:r>
              <w:rPr>
                <w:rFonts w:hint="eastAsia" w:cs="Times New Roman"/>
                <w:sz w:val="24"/>
                <w:szCs w:val="24"/>
                <w:lang w:eastAsia="zh-Hans"/>
              </w:rPr>
              <w:t>的</w:t>
            </w:r>
            <w:r>
              <w:rPr>
                <w:rFonts w:hint="eastAsia" w:cs="Times New Roman"/>
                <w:sz w:val="24"/>
                <w:szCs w:val="24"/>
              </w:rPr>
              <w:t>参与者</w:t>
            </w:r>
            <w:r>
              <w:rPr>
                <w:rFonts w:hint="eastAsia" w:cs="Times New Roman"/>
                <w:sz w:val="24"/>
                <w:szCs w:val="24"/>
                <w:lang w:eastAsia="zh-Hans"/>
              </w:rPr>
              <w:t>比例（</w:t>
            </w:r>
            <w:r>
              <w:rPr>
                <w:rFonts w:cs="Times New Roman"/>
                <w:sz w:val="24"/>
                <w:szCs w:val="24"/>
                <w:lang w:eastAsia="zh-Hans"/>
              </w:rPr>
              <w:t>PASI</w:t>
            </w:r>
            <w:r>
              <w:rPr>
                <w:rFonts w:cs="Times New Roman"/>
                <w:sz w:val="24"/>
                <w:szCs w:val="24"/>
              </w:rPr>
              <w:t xml:space="preserve"> </w:t>
            </w:r>
            <w:r>
              <w:rPr>
                <w:rFonts w:cs="Times New Roman"/>
                <w:sz w:val="24"/>
                <w:szCs w:val="24"/>
                <w:lang w:eastAsia="zh-Hans"/>
              </w:rPr>
              <w:t>75</w:t>
            </w:r>
            <w:r>
              <w:rPr>
                <w:rFonts w:hint="eastAsia" w:cs="Times New Roman"/>
                <w:sz w:val="24"/>
                <w:szCs w:val="24"/>
                <w:lang w:eastAsia="zh-Hans"/>
              </w:rPr>
              <w:t>应答）；</w:t>
            </w:r>
          </w:p>
          <w:p w14:paraId="2747CAB1">
            <w:pPr>
              <w:pStyle w:val="60"/>
              <w:numPr>
                <w:ilvl w:val="0"/>
                <w:numId w:val="13"/>
              </w:numPr>
              <w:ind w:firstLineChars="0"/>
              <w:rPr>
                <w:rFonts w:cs="Times New Roman"/>
                <w:sz w:val="24"/>
                <w:szCs w:val="24"/>
                <w:lang w:eastAsia="zh-Hans"/>
              </w:rPr>
            </w:pPr>
            <w:r>
              <w:rPr>
                <w:rFonts w:hint="eastAsia" w:cs="Times New Roman"/>
                <w:sz w:val="24"/>
                <w:szCs w:val="24"/>
                <w:lang w:eastAsia="zh-Hans"/>
              </w:rPr>
              <w:t>第</w:t>
            </w:r>
            <w:r>
              <w:rPr>
                <w:rFonts w:cs="Times New Roman"/>
                <w:sz w:val="24"/>
                <w:szCs w:val="24"/>
                <w:lang w:eastAsia="zh-Hans"/>
              </w:rPr>
              <w:t>16</w:t>
            </w:r>
            <w:r>
              <w:rPr>
                <w:rFonts w:hint="eastAsia" w:cs="Times New Roman"/>
                <w:sz w:val="24"/>
                <w:szCs w:val="24"/>
                <w:lang w:eastAsia="zh-Hans"/>
              </w:rPr>
              <w:t>周</w:t>
            </w:r>
            <w:r>
              <w:rPr>
                <w:rFonts w:hint="eastAsia" w:cs="Times New Roman"/>
                <w:sz w:val="24"/>
                <w:szCs w:val="24"/>
              </w:rPr>
              <w:t>，</w:t>
            </w:r>
            <w:r>
              <w:rPr>
                <w:rFonts w:hint="eastAsia" w:cs="Times New Roman"/>
                <w:sz w:val="24"/>
                <w:szCs w:val="24"/>
                <w:lang w:eastAsia="zh-Hans"/>
              </w:rPr>
              <w:t>达到</w:t>
            </w:r>
            <w:r>
              <w:rPr>
                <w:rFonts w:cs="Times New Roman"/>
                <w:sz w:val="24"/>
                <w:szCs w:val="24"/>
                <w:lang w:eastAsia="zh-Hans"/>
              </w:rPr>
              <w:t>PGA</w:t>
            </w:r>
            <w:r>
              <w:rPr>
                <w:rFonts w:hint="eastAsia" w:cs="Times New Roman"/>
                <w:sz w:val="24"/>
                <w:szCs w:val="24"/>
                <w:lang w:eastAsia="zh-Hans"/>
              </w:rPr>
              <w:t>评分为</w:t>
            </w:r>
            <w:r>
              <w:rPr>
                <w:rFonts w:cs="Times New Roman"/>
                <w:sz w:val="24"/>
                <w:szCs w:val="24"/>
                <w:lang w:eastAsia="zh-Hans"/>
              </w:rPr>
              <w:t>0</w:t>
            </w:r>
            <w:r>
              <w:rPr>
                <w:rFonts w:hint="eastAsia" w:cs="Times New Roman"/>
                <w:sz w:val="24"/>
                <w:szCs w:val="24"/>
                <w:lang w:eastAsia="zh-Hans"/>
              </w:rPr>
              <w:t>或</w:t>
            </w:r>
            <w:r>
              <w:rPr>
                <w:rFonts w:cs="Times New Roman"/>
                <w:sz w:val="24"/>
                <w:szCs w:val="24"/>
                <w:lang w:eastAsia="zh-Hans"/>
              </w:rPr>
              <w:t>1</w:t>
            </w:r>
            <w:r>
              <w:rPr>
                <w:rFonts w:hint="eastAsia" w:cs="Times New Roman"/>
                <w:sz w:val="24"/>
                <w:szCs w:val="24"/>
                <w:lang w:eastAsia="zh-Hans"/>
              </w:rPr>
              <w:t>的</w:t>
            </w:r>
            <w:r>
              <w:rPr>
                <w:rFonts w:hint="eastAsia" w:cs="Times New Roman"/>
                <w:sz w:val="24"/>
                <w:szCs w:val="24"/>
              </w:rPr>
              <w:t>参与者</w:t>
            </w:r>
            <w:r>
              <w:rPr>
                <w:rFonts w:hint="eastAsia" w:cs="Times New Roman"/>
                <w:sz w:val="24"/>
                <w:szCs w:val="24"/>
                <w:lang w:eastAsia="zh-Hans"/>
              </w:rPr>
              <w:t>比例</w:t>
            </w:r>
            <w:r>
              <w:rPr>
                <w:rFonts w:hint="eastAsia" w:cs="Times New Roman"/>
                <w:sz w:val="24"/>
                <w:szCs w:val="24"/>
              </w:rPr>
              <w:t>（</w:t>
            </w:r>
            <w:r>
              <w:rPr>
                <w:rFonts w:cs="Times New Roman"/>
                <w:sz w:val="24"/>
                <w:szCs w:val="24"/>
              </w:rPr>
              <w:t>PGA-TS</w:t>
            </w:r>
            <w:r>
              <w:rPr>
                <w:rFonts w:hint="eastAsia" w:cs="Times New Roman"/>
                <w:sz w:val="24"/>
                <w:szCs w:val="24"/>
              </w:rPr>
              <w:t>）</w:t>
            </w:r>
            <w:r>
              <w:rPr>
                <w:rFonts w:hint="eastAsia" w:cs="Times New Roman"/>
                <w:sz w:val="24"/>
                <w:szCs w:val="24"/>
                <w:lang w:eastAsia="zh-Hans"/>
              </w:rPr>
              <w:t>；</w:t>
            </w:r>
          </w:p>
          <w:p w14:paraId="3CE2E129">
            <w:pPr>
              <w:pStyle w:val="60"/>
              <w:ind w:firstLine="0" w:firstLineChars="0"/>
              <w:rPr>
                <w:rStyle w:val="99"/>
                <w:rFonts w:cs="Times New Roman"/>
                <w:b/>
                <w:bCs/>
                <w:sz w:val="24"/>
                <w:szCs w:val="24"/>
              </w:rPr>
            </w:pPr>
            <w:r>
              <w:rPr>
                <w:rStyle w:val="99"/>
                <w:rFonts w:hint="eastAsia" w:cs="Times New Roman"/>
                <w:b/>
                <w:bCs/>
                <w:sz w:val="24"/>
                <w:szCs w:val="24"/>
              </w:rPr>
              <w:t>次要疗效指标</w:t>
            </w:r>
          </w:p>
          <w:p w14:paraId="6F4F088B">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周及</w:t>
            </w:r>
            <w:r>
              <w:rPr>
                <w:rFonts w:hint="eastAsia" w:cs="Times New Roman"/>
                <w:sz w:val="24"/>
                <w:szCs w:val="24"/>
                <w:lang w:eastAsia="zh-Hans"/>
              </w:rPr>
              <w:t>扩展期各访视点</w:t>
            </w:r>
            <w:r>
              <w:rPr>
                <w:rFonts w:hint="eastAsia" w:cs="Times New Roman"/>
                <w:sz w:val="24"/>
                <w:szCs w:val="24"/>
              </w:rPr>
              <w:t>，达到</w:t>
            </w:r>
            <w:r>
              <w:rPr>
                <w:rFonts w:cs="Times New Roman"/>
                <w:sz w:val="24"/>
                <w:szCs w:val="24"/>
              </w:rPr>
              <w:t>PASI 75</w:t>
            </w:r>
            <w:r>
              <w:rPr>
                <w:rFonts w:hint="eastAsia" w:cs="Times New Roman"/>
                <w:sz w:val="24"/>
                <w:szCs w:val="24"/>
              </w:rPr>
              <w:t>应答的参与者比例；</w:t>
            </w:r>
          </w:p>
          <w:p w14:paraId="34CFA479">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w:t>
            </w:r>
            <w:r>
              <w:rPr>
                <w:rFonts w:cs="Times New Roman"/>
                <w:sz w:val="24"/>
                <w:szCs w:val="24"/>
              </w:rPr>
              <w:t>16</w:t>
            </w:r>
            <w:r>
              <w:rPr>
                <w:rFonts w:hint="eastAsia" w:cs="Times New Roman"/>
                <w:sz w:val="24"/>
                <w:szCs w:val="24"/>
              </w:rPr>
              <w:t>周及</w:t>
            </w:r>
            <w:r>
              <w:rPr>
                <w:rFonts w:hint="eastAsia" w:cs="Times New Roman"/>
                <w:sz w:val="24"/>
                <w:szCs w:val="24"/>
                <w:lang w:eastAsia="zh-Hans"/>
              </w:rPr>
              <w:t>扩展期各访视点</w:t>
            </w:r>
            <w:r>
              <w:rPr>
                <w:rFonts w:hint="eastAsia" w:cs="Times New Roman"/>
                <w:sz w:val="24"/>
                <w:szCs w:val="24"/>
              </w:rPr>
              <w:t>，达到</w:t>
            </w:r>
            <w:r>
              <w:rPr>
                <w:rFonts w:cs="Times New Roman"/>
                <w:sz w:val="24"/>
                <w:szCs w:val="24"/>
              </w:rPr>
              <w:t>PASI 90/100</w:t>
            </w:r>
            <w:r>
              <w:rPr>
                <w:rFonts w:hint="eastAsia" w:cs="Times New Roman"/>
                <w:sz w:val="24"/>
                <w:szCs w:val="24"/>
              </w:rPr>
              <w:t>应答的参与者比例；</w:t>
            </w:r>
          </w:p>
          <w:p w14:paraId="12E96D22">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周及</w:t>
            </w:r>
            <w:r>
              <w:rPr>
                <w:rFonts w:hint="eastAsia" w:cs="Times New Roman"/>
                <w:sz w:val="24"/>
                <w:szCs w:val="24"/>
                <w:lang w:eastAsia="zh-Hans"/>
              </w:rPr>
              <w:t>扩展期各访视点</w:t>
            </w:r>
            <w:r>
              <w:rPr>
                <w:rFonts w:hint="eastAsia" w:cs="Times New Roman"/>
                <w:sz w:val="24"/>
                <w:szCs w:val="24"/>
              </w:rPr>
              <w:t>，</w:t>
            </w:r>
            <w:r>
              <w:rPr>
                <w:rFonts w:cs="Times New Roman"/>
                <w:sz w:val="24"/>
                <w:szCs w:val="24"/>
              </w:rPr>
              <w:t>PGA</w:t>
            </w:r>
            <w:r>
              <w:rPr>
                <w:rFonts w:hint="eastAsia" w:cs="Times New Roman"/>
                <w:sz w:val="24"/>
                <w:szCs w:val="24"/>
              </w:rPr>
              <w:t>评分为</w:t>
            </w:r>
            <w:r>
              <w:rPr>
                <w:rFonts w:cs="Times New Roman"/>
                <w:sz w:val="24"/>
                <w:szCs w:val="24"/>
              </w:rPr>
              <w:t>0</w:t>
            </w:r>
            <w:r>
              <w:rPr>
                <w:rFonts w:hint="eastAsia" w:cs="Times New Roman"/>
                <w:sz w:val="24"/>
                <w:szCs w:val="24"/>
              </w:rPr>
              <w:t>或</w:t>
            </w:r>
            <w:r>
              <w:rPr>
                <w:rFonts w:cs="Times New Roman"/>
                <w:sz w:val="24"/>
                <w:szCs w:val="24"/>
              </w:rPr>
              <w:t>1</w:t>
            </w:r>
            <w:r>
              <w:rPr>
                <w:rFonts w:hint="eastAsia" w:cs="Times New Roman"/>
                <w:sz w:val="24"/>
                <w:szCs w:val="24"/>
              </w:rPr>
              <w:t>的参与者比例；</w:t>
            </w:r>
          </w:p>
          <w:p w14:paraId="32034988">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w:t>
            </w:r>
            <w:r>
              <w:rPr>
                <w:rFonts w:cs="Times New Roman"/>
                <w:sz w:val="24"/>
                <w:szCs w:val="24"/>
              </w:rPr>
              <w:t>16</w:t>
            </w:r>
            <w:r>
              <w:rPr>
                <w:rFonts w:hint="eastAsia" w:cs="Times New Roman"/>
                <w:sz w:val="24"/>
                <w:szCs w:val="24"/>
              </w:rPr>
              <w:t>周及</w:t>
            </w:r>
            <w:r>
              <w:rPr>
                <w:rFonts w:hint="eastAsia" w:cs="Times New Roman"/>
                <w:sz w:val="24"/>
                <w:szCs w:val="24"/>
                <w:lang w:eastAsia="zh-Hans"/>
              </w:rPr>
              <w:t>扩展期各访视点</w:t>
            </w:r>
            <w:r>
              <w:rPr>
                <w:rFonts w:hint="eastAsia" w:cs="Times New Roman"/>
                <w:sz w:val="24"/>
                <w:szCs w:val="24"/>
              </w:rPr>
              <w:t>，</w:t>
            </w:r>
            <w:r>
              <w:rPr>
                <w:rFonts w:cs="Times New Roman"/>
                <w:sz w:val="24"/>
                <w:szCs w:val="24"/>
              </w:rPr>
              <w:t>PASI</w:t>
            </w:r>
            <w:r>
              <w:rPr>
                <w:rFonts w:hint="eastAsia" w:cs="Times New Roman"/>
                <w:sz w:val="24"/>
                <w:szCs w:val="24"/>
              </w:rPr>
              <w:t>评分相对于基线的变化和相对于基线的变化百分比；</w:t>
            </w:r>
          </w:p>
          <w:p w14:paraId="094529F3">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w:t>
            </w:r>
            <w:r>
              <w:rPr>
                <w:rFonts w:cs="Times New Roman"/>
                <w:sz w:val="24"/>
                <w:szCs w:val="24"/>
              </w:rPr>
              <w:t>16</w:t>
            </w:r>
            <w:r>
              <w:rPr>
                <w:rFonts w:hint="eastAsia" w:cs="Times New Roman"/>
                <w:sz w:val="24"/>
                <w:szCs w:val="24"/>
              </w:rPr>
              <w:t>周及</w:t>
            </w:r>
            <w:r>
              <w:rPr>
                <w:rFonts w:hint="eastAsia" w:cs="Times New Roman"/>
                <w:sz w:val="24"/>
                <w:szCs w:val="24"/>
                <w:lang w:eastAsia="zh-Hans"/>
              </w:rPr>
              <w:t>扩展期各访视点</w:t>
            </w:r>
            <w:r>
              <w:rPr>
                <w:rFonts w:hint="eastAsia" w:cs="Times New Roman"/>
                <w:sz w:val="24"/>
                <w:szCs w:val="24"/>
              </w:rPr>
              <w:t>，</w:t>
            </w:r>
            <w:r>
              <w:rPr>
                <w:rFonts w:cs="Times New Roman"/>
                <w:sz w:val="24"/>
                <w:szCs w:val="24"/>
              </w:rPr>
              <w:t>BSA</w:t>
            </w:r>
            <w:r>
              <w:rPr>
                <w:rFonts w:hint="eastAsia" w:cs="Times New Roman"/>
                <w:sz w:val="24"/>
                <w:szCs w:val="24"/>
              </w:rPr>
              <w:t>相对于基线的变化和相对于基线变化的百分比；</w:t>
            </w:r>
          </w:p>
          <w:p w14:paraId="3CF4584D">
            <w:pPr>
              <w:pStyle w:val="60"/>
              <w:numPr>
                <w:ilvl w:val="0"/>
                <w:numId w:val="13"/>
              </w:numPr>
              <w:ind w:firstLineChars="0"/>
              <w:rPr>
                <w:rFonts w:cs="Times New Roman"/>
                <w:sz w:val="24"/>
                <w:szCs w:val="24"/>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w:t>
            </w:r>
            <w:r>
              <w:rPr>
                <w:rFonts w:cs="Times New Roman"/>
                <w:sz w:val="24"/>
                <w:szCs w:val="24"/>
              </w:rPr>
              <w:t>16</w:t>
            </w:r>
            <w:r>
              <w:rPr>
                <w:rFonts w:hint="eastAsia" w:cs="Times New Roman"/>
                <w:sz w:val="24"/>
                <w:szCs w:val="24"/>
              </w:rPr>
              <w:t>周及</w:t>
            </w:r>
            <w:r>
              <w:rPr>
                <w:rFonts w:hint="eastAsia" w:cs="Times New Roman"/>
                <w:sz w:val="24"/>
                <w:szCs w:val="24"/>
                <w:lang w:eastAsia="zh-Hans"/>
              </w:rPr>
              <w:t>扩展期各访视点</w:t>
            </w:r>
            <w:r>
              <w:rPr>
                <w:rFonts w:hint="eastAsia" w:cs="Times New Roman"/>
                <w:sz w:val="24"/>
                <w:szCs w:val="24"/>
              </w:rPr>
              <w:t>，</w:t>
            </w:r>
            <w:r>
              <w:rPr>
                <w:rFonts w:cs="Times New Roman"/>
                <w:sz w:val="24"/>
                <w:szCs w:val="24"/>
              </w:rPr>
              <w:t>DLQI</w:t>
            </w:r>
            <w:r>
              <w:rPr>
                <w:rFonts w:hint="eastAsia" w:cs="Times New Roman"/>
                <w:sz w:val="24"/>
                <w:szCs w:val="24"/>
              </w:rPr>
              <w:t>评分与基线相比的变化；</w:t>
            </w:r>
          </w:p>
          <w:p w14:paraId="316A85AF">
            <w:pPr>
              <w:pStyle w:val="60"/>
              <w:ind w:firstLine="0" w:firstLineChars="0"/>
              <w:rPr>
                <w:rStyle w:val="99"/>
                <w:rFonts w:cs="Times New Roman"/>
                <w:b/>
                <w:bCs/>
                <w:sz w:val="24"/>
                <w:szCs w:val="24"/>
                <w:lang w:eastAsia="zh-Hans" w:bidi="ar"/>
              </w:rPr>
            </w:pPr>
            <w:r>
              <w:rPr>
                <w:rStyle w:val="99"/>
                <w:rFonts w:hint="eastAsia" w:cs="Times New Roman"/>
                <w:b/>
                <w:bCs/>
                <w:sz w:val="24"/>
                <w:szCs w:val="24"/>
                <w:lang w:eastAsia="zh-Hans" w:bidi="ar"/>
              </w:rPr>
              <w:t>安全性指标</w:t>
            </w:r>
          </w:p>
          <w:p w14:paraId="55438DF3">
            <w:pPr>
              <w:pStyle w:val="60"/>
              <w:numPr>
                <w:ilvl w:val="0"/>
                <w:numId w:val="13"/>
              </w:numPr>
              <w:ind w:firstLineChars="0"/>
              <w:rPr>
                <w:rFonts w:cs="Times New Roman"/>
                <w:sz w:val="24"/>
                <w:szCs w:val="24"/>
                <w:lang w:eastAsia="zh-Hans"/>
              </w:rPr>
            </w:pPr>
            <w:r>
              <w:rPr>
                <w:rFonts w:hint="eastAsia" w:cs="Times New Roman"/>
                <w:sz w:val="24"/>
                <w:szCs w:val="24"/>
                <w:lang w:eastAsia="zh-Hans"/>
              </w:rPr>
              <w:t>不良事件、治疗期出现的不良事件和严重不良事件的发生率；</w:t>
            </w:r>
          </w:p>
          <w:p w14:paraId="2D9B9436">
            <w:pPr>
              <w:pStyle w:val="60"/>
              <w:numPr>
                <w:ilvl w:val="0"/>
                <w:numId w:val="13"/>
              </w:numPr>
              <w:ind w:firstLineChars="0"/>
              <w:rPr>
                <w:rFonts w:cs="Times New Roman"/>
                <w:sz w:val="24"/>
                <w:szCs w:val="24"/>
                <w:lang w:eastAsia="zh-Hans"/>
              </w:rPr>
            </w:pPr>
            <w:r>
              <w:rPr>
                <w:rFonts w:hint="eastAsia" w:cs="Times New Roman"/>
                <w:sz w:val="24"/>
                <w:szCs w:val="24"/>
                <w:lang w:eastAsia="zh-Hans"/>
              </w:rPr>
              <w:t>常规安全性参数，包括实验室检查、生命体征测量、</w:t>
            </w:r>
            <w:r>
              <w:rPr>
                <w:rFonts w:cs="Times New Roman"/>
                <w:sz w:val="24"/>
                <w:szCs w:val="24"/>
                <w:lang w:eastAsia="zh-Hans"/>
              </w:rPr>
              <w:t>12</w:t>
            </w:r>
            <w:r>
              <w:rPr>
                <w:rFonts w:hint="eastAsia" w:cs="Times New Roman"/>
                <w:sz w:val="24"/>
                <w:szCs w:val="24"/>
                <w:lang w:eastAsia="zh-Hans"/>
              </w:rPr>
              <w:t>导联心电图（</w:t>
            </w:r>
            <w:r>
              <w:rPr>
                <w:rFonts w:cs="Times New Roman"/>
                <w:sz w:val="24"/>
                <w:szCs w:val="24"/>
                <w:lang w:eastAsia="zh-Hans"/>
              </w:rPr>
              <w:t>ECG</w:t>
            </w:r>
            <w:r>
              <w:rPr>
                <w:rFonts w:hint="eastAsia" w:cs="Times New Roman"/>
                <w:sz w:val="24"/>
                <w:szCs w:val="24"/>
                <w:lang w:eastAsia="zh-Hans"/>
              </w:rPr>
              <w:t>）和体格检查等</w:t>
            </w:r>
            <w:r>
              <w:rPr>
                <w:rFonts w:hint="eastAsia" w:cs="Times New Roman"/>
                <w:sz w:val="24"/>
                <w:szCs w:val="24"/>
              </w:rPr>
              <w:t>；</w:t>
            </w:r>
          </w:p>
          <w:p w14:paraId="681430E2">
            <w:pPr>
              <w:pStyle w:val="60"/>
              <w:ind w:firstLine="0" w:firstLineChars="0"/>
              <w:rPr>
                <w:rStyle w:val="99"/>
                <w:rFonts w:cs="Times New Roman"/>
                <w:b/>
                <w:bCs/>
                <w:sz w:val="24"/>
                <w:szCs w:val="24"/>
                <w:lang w:bidi="ar"/>
              </w:rPr>
            </w:pPr>
            <w:r>
              <w:rPr>
                <w:rStyle w:val="99"/>
                <w:rFonts w:hint="eastAsia" w:cs="Times New Roman"/>
                <w:b/>
                <w:bCs/>
                <w:sz w:val="24"/>
                <w:szCs w:val="24"/>
                <w:lang w:bidi="ar"/>
              </w:rPr>
              <w:t>药代动力学指标</w:t>
            </w:r>
          </w:p>
          <w:p w14:paraId="4EA858DD">
            <w:pPr>
              <w:pStyle w:val="60"/>
              <w:numPr>
                <w:ilvl w:val="0"/>
                <w:numId w:val="13"/>
              </w:numPr>
              <w:ind w:firstLineChars="0"/>
              <w:rPr>
                <w:rFonts w:cs="Times New Roman"/>
                <w:sz w:val="24"/>
                <w:szCs w:val="24"/>
              </w:rPr>
            </w:pPr>
            <w:r>
              <w:rPr>
                <w:rFonts w:hint="eastAsia" w:cs="Times New Roman"/>
                <w:sz w:val="24"/>
                <w:szCs w:val="24"/>
                <w:lang w:eastAsia="zh-Hans"/>
              </w:rPr>
              <w:t>评价</w:t>
            </w:r>
            <w:r>
              <w:rPr>
                <w:rStyle w:val="99"/>
                <w:rFonts w:cs="Times New Roman"/>
                <w:sz w:val="24"/>
                <w:szCs w:val="24"/>
                <w:lang w:val="zh-CN"/>
              </w:rPr>
              <w:t>CMS-D001</w:t>
            </w:r>
            <w:r>
              <w:rPr>
                <w:rStyle w:val="99"/>
                <w:rFonts w:hint="eastAsia" w:cs="Times New Roman"/>
                <w:sz w:val="24"/>
                <w:szCs w:val="24"/>
                <w:lang w:val="zh-CN" w:eastAsia="zh-Hans"/>
              </w:rPr>
              <w:t>及其主要代谢产物（如适用）</w:t>
            </w:r>
            <w:r>
              <w:rPr>
                <w:rFonts w:hint="eastAsia" w:cs="Times New Roman"/>
                <w:sz w:val="24"/>
                <w:szCs w:val="24"/>
                <w:lang w:eastAsia="zh-Hans"/>
              </w:rPr>
              <w:t>在斑块状银屑病患者中的</w:t>
            </w:r>
            <w:r>
              <w:rPr>
                <w:rFonts w:cs="Times New Roman"/>
                <w:sz w:val="24"/>
                <w:szCs w:val="24"/>
                <w:lang w:eastAsia="zh-Hans"/>
              </w:rPr>
              <w:t>PK</w:t>
            </w:r>
            <w:r>
              <w:rPr>
                <w:rFonts w:hint="eastAsia" w:cs="Times New Roman"/>
                <w:sz w:val="24"/>
                <w:szCs w:val="24"/>
                <w:lang w:eastAsia="zh-Hans"/>
              </w:rPr>
              <w:t>特征</w:t>
            </w:r>
            <w:r>
              <w:rPr>
                <w:rFonts w:hint="eastAsia" w:cs="Times New Roman"/>
                <w:sz w:val="24"/>
                <w:szCs w:val="24"/>
              </w:rPr>
              <w:t>，计算以下参数：</w:t>
            </w:r>
            <w:r>
              <w:rPr>
                <w:rFonts w:cs="Times New Roman"/>
                <w:color w:val="000000"/>
                <w:kern w:val="2"/>
                <w:sz w:val="24"/>
                <w:szCs w:val="24"/>
              </w:rPr>
              <w:t>C</w:t>
            </w:r>
            <w:r>
              <w:rPr>
                <w:rFonts w:cs="Times New Roman"/>
                <w:color w:val="000000"/>
                <w:kern w:val="2"/>
                <w:sz w:val="24"/>
                <w:szCs w:val="24"/>
                <w:vertAlign w:val="subscript"/>
              </w:rPr>
              <w:t>trough</w:t>
            </w:r>
            <w:r>
              <w:rPr>
                <w:rFonts w:hint="eastAsia" w:cs="Times New Roman"/>
                <w:sz w:val="24"/>
                <w:szCs w:val="24"/>
              </w:rPr>
              <w:t>；</w:t>
            </w:r>
          </w:p>
          <w:p w14:paraId="7B4673B8">
            <w:pPr>
              <w:pStyle w:val="60"/>
              <w:numPr>
                <w:ilvl w:val="0"/>
                <w:numId w:val="13"/>
              </w:numPr>
              <w:ind w:firstLineChars="0"/>
              <w:rPr>
                <w:rFonts w:cs="Times New Roman"/>
                <w:sz w:val="24"/>
                <w:szCs w:val="24"/>
              </w:rPr>
            </w:pPr>
            <w:bookmarkStart w:id="6" w:name="OLE_LINK5"/>
            <w:r>
              <w:rPr>
                <w:rFonts w:hint="eastAsia" w:cs="Times New Roman"/>
                <w:sz w:val="24"/>
                <w:szCs w:val="24"/>
                <w:lang w:eastAsia="zh-Hans"/>
              </w:rPr>
              <w:t>如数据允许，还将基于</w:t>
            </w:r>
            <w:r>
              <w:rPr>
                <w:rFonts w:cs="Times New Roman"/>
                <w:sz w:val="24"/>
                <w:szCs w:val="24"/>
                <w:lang w:eastAsia="zh-Hans"/>
              </w:rPr>
              <w:t>PopPK</w:t>
            </w:r>
            <w:r>
              <w:rPr>
                <w:rFonts w:hint="eastAsia" w:cs="Times New Roman"/>
                <w:sz w:val="24"/>
                <w:szCs w:val="24"/>
                <w:lang w:eastAsia="zh-Hans"/>
              </w:rPr>
              <w:t>分析方法，探索</w:t>
            </w:r>
            <w:r>
              <w:rPr>
                <w:rStyle w:val="99"/>
                <w:rFonts w:cs="Times New Roman"/>
                <w:sz w:val="24"/>
                <w:szCs w:val="24"/>
                <w:lang w:val="zh-CN"/>
              </w:rPr>
              <w:t>CMS-D001</w:t>
            </w:r>
            <w:r>
              <w:rPr>
                <w:rStyle w:val="99"/>
                <w:rFonts w:hint="eastAsia" w:cs="Times New Roman"/>
                <w:sz w:val="24"/>
                <w:szCs w:val="24"/>
                <w:lang w:val="zh-CN" w:eastAsia="zh-Hans"/>
              </w:rPr>
              <w:t>及其主要代谢产物（如适用）</w:t>
            </w:r>
            <w:r>
              <w:rPr>
                <w:rFonts w:hint="eastAsia" w:cs="Times New Roman"/>
                <w:sz w:val="24"/>
                <w:szCs w:val="24"/>
                <w:lang w:eastAsia="zh-Hans"/>
              </w:rPr>
              <w:t>在斑块状银屑病患者中的</w:t>
            </w:r>
            <w:r>
              <w:rPr>
                <w:rFonts w:cs="Times New Roman"/>
                <w:sz w:val="24"/>
                <w:szCs w:val="24"/>
                <w:lang w:eastAsia="zh-Hans"/>
              </w:rPr>
              <w:t>PK</w:t>
            </w:r>
            <w:r>
              <w:rPr>
                <w:rFonts w:hint="eastAsia" w:cs="Times New Roman"/>
                <w:sz w:val="24"/>
                <w:szCs w:val="24"/>
                <w:lang w:eastAsia="zh-Hans"/>
              </w:rPr>
              <w:t>特征及暴露与疗效及不良事件之间的关系。</w:t>
            </w:r>
            <w:bookmarkEnd w:id="6"/>
          </w:p>
          <w:p w14:paraId="16EE50B2">
            <w:pPr>
              <w:pStyle w:val="60"/>
              <w:ind w:firstLine="0" w:firstLineChars="0"/>
              <w:rPr>
                <w:rStyle w:val="99"/>
                <w:rFonts w:cs="Times New Roman"/>
                <w:b/>
                <w:bCs/>
                <w:sz w:val="24"/>
                <w:szCs w:val="24"/>
                <w:lang w:bidi="ar"/>
              </w:rPr>
            </w:pPr>
            <w:r>
              <w:rPr>
                <w:rStyle w:val="99"/>
                <w:rFonts w:hint="eastAsia" w:cs="Times New Roman"/>
                <w:b/>
                <w:bCs/>
                <w:sz w:val="24"/>
                <w:szCs w:val="24"/>
                <w:lang w:bidi="ar"/>
              </w:rPr>
              <w:t>其他指标</w:t>
            </w:r>
          </w:p>
          <w:p w14:paraId="558E82F1">
            <w:pPr>
              <w:pStyle w:val="60"/>
              <w:numPr>
                <w:ilvl w:val="0"/>
                <w:numId w:val="13"/>
              </w:numPr>
              <w:ind w:firstLineChars="0"/>
              <w:rPr>
                <w:rFonts w:cs="Times New Roman"/>
                <w:sz w:val="24"/>
                <w:szCs w:val="24"/>
                <w:lang w:eastAsia="zh-Hans"/>
              </w:rPr>
            </w:pPr>
            <w:r>
              <w:rPr>
                <w:rFonts w:hint="eastAsia" w:cs="Times New Roman"/>
                <w:sz w:val="24"/>
                <w:szCs w:val="24"/>
              </w:rPr>
              <w:t>第</w:t>
            </w:r>
            <w:r>
              <w:rPr>
                <w:rFonts w:cs="Times New Roman"/>
                <w:sz w:val="24"/>
                <w:szCs w:val="24"/>
              </w:rPr>
              <w:t>2</w:t>
            </w:r>
            <w:r>
              <w:rPr>
                <w:rFonts w:hint="eastAsia" w:cs="Times New Roman"/>
                <w:sz w:val="24"/>
                <w:szCs w:val="24"/>
              </w:rPr>
              <w:t>、</w:t>
            </w:r>
            <w:r>
              <w:rPr>
                <w:rFonts w:cs="Times New Roman"/>
                <w:sz w:val="24"/>
                <w:szCs w:val="24"/>
              </w:rPr>
              <w:t>4</w:t>
            </w:r>
            <w:r>
              <w:rPr>
                <w:rFonts w:hint="eastAsia" w:cs="Times New Roman"/>
                <w:sz w:val="24"/>
                <w:szCs w:val="24"/>
              </w:rPr>
              <w:t>、</w:t>
            </w:r>
            <w:r>
              <w:rPr>
                <w:rFonts w:cs="Times New Roman"/>
                <w:sz w:val="24"/>
                <w:szCs w:val="24"/>
              </w:rPr>
              <w:t>8</w:t>
            </w:r>
            <w:r>
              <w:rPr>
                <w:rFonts w:hint="eastAsia" w:cs="Times New Roman"/>
                <w:sz w:val="24"/>
                <w:szCs w:val="24"/>
              </w:rPr>
              <w:t>、</w:t>
            </w:r>
            <w:r>
              <w:rPr>
                <w:rFonts w:cs="Times New Roman"/>
                <w:sz w:val="24"/>
                <w:szCs w:val="24"/>
              </w:rPr>
              <w:t>12</w:t>
            </w:r>
            <w:r>
              <w:rPr>
                <w:rFonts w:hint="eastAsia" w:cs="Times New Roman"/>
                <w:sz w:val="24"/>
                <w:szCs w:val="24"/>
              </w:rPr>
              <w:t>、</w:t>
            </w:r>
            <w:r>
              <w:rPr>
                <w:rFonts w:cs="Times New Roman"/>
                <w:sz w:val="24"/>
                <w:szCs w:val="24"/>
              </w:rPr>
              <w:t>16</w:t>
            </w:r>
            <w:r>
              <w:rPr>
                <w:rFonts w:hint="eastAsia" w:cs="Times New Roman"/>
                <w:sz w:val="24"/>
                <w:szCs w:val="24"/>
              </w:rPr>
              <w:t>、</w:t>
            </w:r>
            <w:r>
              <w:rPr>
                <w:rFonts w:cs="Times New Roman"/>
                <w:sz w:val="24"/>
                <w:szCs w:val="24"/>
              </w:rPr>
              <w:t>20</w:t>
            </w:r>
            <w:r>
              <w:rPr>
                <w:rFonts w:hint="eastAsia" w:cs="Times New Roman"/>
                <w:sz w:val="24"/>
                <w:szCs w:val="24"/>
              </w:rPr>
              <w:t>、</w:t>
            </w:r>
            <w:r>
              <w:rPr>
                <w:rFonts w:cs="Times New Roman"/>
                <w:sz w:val="24"/>
                <w:szCs w:val="24"/>
              </w:rPr>
              <w:t>28</w:t>
            </w:r>
            <w:r>
              <w:rPr>
                <w:rFonts w:hint="eastAsia" w:cs="Times New Roman"/>
                <w:sz w:val="24"/>
                <w:szCs w:val="24"/>
              </w:rPr>
              <w:t>、</w:t>
            </w:r>
            <w:r>
              <w:rPr>
                <w:rFonts w:cs="Times New Roman"/>
                <w:sz w:val="24"/>
                <w:szCs w:val="24"/>
              </w:rPr>
              <w:t>36</w:t>
            </w:r>
            <w:r>
              <w:rPr>
                <w:rFonts w:hint="eastAsia" w:cs="Times New Roman"/>
                <w:sz w:val="24"/>
                <w:szCs w:val="24"/>
              </w:rPr>
              <w:t>、</w:t>
            </w:r>
            <w:r>
              <w:rPr>
                <w:rFonts w:cs="Times New Roman"/>
                <w:sz w:val="24"/>
                <w:szCs w:val="24"/>
              </w:rPr>
              <w:t>44</w:t>
            </w:r>
            <w:r>
              <w:rPr>
                <w:rFonts w:hint="eastAsia" w:cs="Times New Roman"/>
                <w:sz w:val="24"/>
                <w:szCs w:val="24"/>
              </w:rPr>
              <w:t>、</w:t>
            </w:r>
            <w:r>
              <w:rPr>
                <w:rFonts w:cs="Times New Roman"/>
                <w:sz w:val="24"/>
                <w:szCs w:val="24"/>
              </w:rPr>
              <w:t>52</w:t>
            </w:r>
            <w:r>
              <w:rPr>
                <w:rFonts w:hint="eastAsia" w:cs="Times New Roman"/>
                <w:sz w:val="24"/>
                <w:szCs w:val="24"/>
              </w:rPr>
              <w:t>周，血清</w:t>
            </w:r>
            <w:r>
              <w:rPr>
                <w:rFonts w:cs="Times New Roman"/>
                <w:sz w:val="24"/>
                <w:szCs w:val="24"/>
              </w:rPr>
              <w:t>IL-17A</w:t>
            </w:r>
            <w:r>
              <w:rPr>
                <w:rFonts w:hint="eastAsia" w:cs="Times New Roman"/>
                <w:sz w:val="24"/>
                <w:szCs w:val="24"/>
                <w:lang w:eastAsia="zh-Hans"/>
              </w:rPr>
              <w:t>等生物标志物</w:t>
            </w:r>
            <w:r>
              <w:rPr>
                <w:rFonts w:hint="eastAsia" w:cs="Times New Roman"/>
                <w:sz w:val="24"/>
                <w:szCs w:val="24"/>
              </w:rPr>
              <w:t>水平较基线的变化值和百分比</w:t>
            </w:r>
            <w:r>
              <w:rPr>
                <w:rFonts w:hint="eastAsia" w:cs="Times New Roman"/>
                <w:sz w:val="24"/>
                <w:szCs w:val="24"/>
                <w:lang w:eastAsia="zh-Hans"/>
              </w:rPr>
              <w:t>。</w:t>
            </w:r>
          </w:p>
        </w:tc>
      </w:tr>
      <w:tr w14:paraId="6DC1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1B6A972A">
            <w:pPr>
              <w:pStyle w:val="60"/>
              <w:ind w:firstLine="0" w:firstLineChars="0"/>
              <w:rPr>
                <w:rStyle w:val="99"/>
                <w:rFonts w:cs="Times New Roman"/>
                <w:b/>
                <w:bCs/>
                <w:sz w:val="24"/>
                <w:szCs w:val="24"/>
              </w:rPr>
            </w:pPr>
            <w:r>
              <w:rPr>
                <w:rStyle w:val="99"/>
                <w:rFonts w:hint="eastAsia" w:cs="Times New Roman"/>
                <w:b/>
                <w:bCs/>
                <w:sz w:val="24"/>
                <w:szCs w:val="24"/>
              </w:rPr>
              <w:t>试验设计</w:t>
            </w:r>
          </w:p>
        </w:tc>
        <w:tc>
          <w:tcPr>
            <w:tcW w:w="7934" w:type="dxa"/>
            <w:noWrap/>
          </w:tcPr>
          <w:p w14:paraId="2533E6ED">
            <w:pPr>
              <w:pStyle w:val="60"/>
              <w:ind w:firstLine="480"/>
              <w:rPr>
                <w:rStyle w:val="99"/>
                <w:rFonts w:cs="Times New Roman"/>
                <w:sz w:val="24"/>
                <w:szCs w:val="24"/>
              </w:rPr>
            </w:pPr>
            <w:r>
              <w:rPr>
                <w:rStyle w:val="99"/>
                <w:rFonts w:hint="eastAsia" w:cs="Times New Roman"/>
                <w:sz w:val="24"/>
                <w:szCs w:val="24"/>
              </w:rPr>
              <w:t>本研究采用多中心、随机、双盲、安慰剂对照的Ⅱ</w:t>
            </w:r>
            <w:r>
              <w:rPr>
                <w:rStyle w:val="99"/>
                <w:rFonts w:cs="Times New Roman"/>
                <w:sz w:val="24"/>
                <w:szCs w:val="24"/>
              </w:rPr>
              <w:t>/</w:t>
            </w:r>
            <w:r>
              <w:rPr>
                <w:rStyle w:val="99"/>
                <w:rFonts w:hint="eastAsia" w:cs="Times New Roman"/>
                <w:sz w:val="24"/>
                <w:szCs w:val="24"/>
              </w:rPr>
              <w:t>Ⅲ期操作无缝适应性设计，评价</w:t>
            </w:r>
            <w:r>
              <w:rPr>
                <w:rStyle w:val="99"/>
                <w:rFonts w:cs="Times New Roman"/>
                <w:sz w:val="24"/>
                <w:szCs w:val="24"/>
              </w:rPr>
              <w:t>CMS-D001</w:t>
            </w:r>
            <w:r>
              <w:rPr>
                <w:rStyle w:val="99"/>
                <w:rFonts w:hint="eastAsia" w:cs="Times New Roman"/>
                <w:sz w:val="24"/>
                <w:szCs w:val="24"/>
              </w:rPr>
              <w:t>片治疗中度至重度斑块状银屑病患者的有效性、安全性和耐受性。试验由两个部分组成，包括Ⅱ期临床研究阶段和Ⅲ期临床研究阶段。</w:t>
            </w:r>
          </w:p>
          <w:p w14:paraId="0E141CFA">
            <w:pPr>
              <w:spacing w:line="360" w:lineRule="auto"/>
              <w:jc w:val="both"/>
              <w:rPr>
                <w:rFonts w:ascii="Times New Roman" w:hAnsi="Times New Roman" w:eastAsia="宋体" w:cs="Times New Roman"/>
                <w:b/>
                <w:bCs/>
                <w:color w:val="000000"/>
                <w:sz w:val="24"/>
                <w:szCs w:val="24"/>
                <w:u w:val="single"/>
                <w:lang w:eastAsia="zh-Hans"/>
              </w:rPr>
            </w:pPr>
            <w:r>
              <w:rPr>
                <w:rFonts w:hint="eastAsia" w:ascii="Times New Roman" w:hAnsi="Times New Roman" w:eastAsia="宋体" w:cs="Times New Roman"/>
                <w:b/>
                <w:bCs/>
                <w:color w:val="000000"/>
                <w:sz w:val="24"/>
                <w:szCs w:val="24"/>
                <w:u w:val="single"/>
                <w:lang w:eastAsia="zh-Hans"/>
              </w:rPr>
              <w:t>Ⅱ期临床</w:t>
            </w:r>
            <w:r>
              <w:rPr>
                <w:rFonts w:hint="eastAsia" w:ascii="Times New Roman" w:hAnsi="Times New Roman" w:eastAsia="宋体" w:cs="Times New Roman"/>
                <w:b/>
                <w:bCs/>
                <w:color w:val="000000"/>
                <w:sz w:val="24"/>
                <w:szCs w:val="24"/>
                <w:u w:val="single"/>
              </w:rPr>
              <w:t>研究</w:t>
            </w:r>
            <w:r>
              <w:rPr>
                <w:rFonts w:hint="eastAsia" w:ascii="Times New Roman" w:hAnsi="Times New Roman" w:eastAsia="宋体" w:cs="Times New Roman"/>
                <w:b/>
                <w:bCs/>
                <w:color w:val="000000"/>
                <w:sz w:val="24"/>
                <w:szCs w:val="24"/>
                <w:u w:val="single"/>
                <w:lang w:eastAsia="zh-Hans"/>
              </w:rPr>
              <w:t>阶段</w:t>
            </w:r>
          </w:p>
          <w:p w14:paraId="5F442D81">
            <w:pPr>
              <w:autoSpaceDE/>
              <w:autoSpaceDN/>
              <w:spacing w:line="360" w:lineRule="auto"/>
              <w:ind w:firstLine="480" w:firstLineChars="200"/>
              <w:jc w:val="both"/>
              <w:rPr>
                <w:rFonts w:ascii="Times New Roman" w:hAnsi="Times New Roman" w:eastAsia="宋体" w:cs="Times New Roman"/>
                <w:color w:val="000000"/>
                <w:kern w:val="2"/>
                <w:sz w:val="24"/>
                <w:szCs w:val="24"/>
              </w:rPr>
            </w:pPr>
            <w:r>
              <w:rPr>
                <w:rFonts w:hint="eastAsia" w:ascii="Times New Roman" w:hAnsi="Times New Roman" w:eastAsia="宋体" w:cs="Times New Roman"/>
                <w:color w:val="000000"/>
                <w:kern w:val="2"/>
                <w:sz w:val="24"/>
                <w:szCs w:val="24"/>
              </w:rPr>
              <w:t>Ⅱ期临床研究阶段计划入组约</w:t>
            </w:r>
            <w:r>
              <w:rPr>
                <w:rFonts w:ascii="Times New Roman" w:hAnsi="Times New Roman" w:eastAsia="宋体" w:cs="Times New Roman"/>
                <w:color w:val="000000"/>
                <w:kern w:val="2"/>
                <w:sz w:val="24"/>
                <w:szCs w:val="24"/>
              </w:rPr>
              <w:t>120</w:t>
            </w:r>
            <w:r>
              <w:rPr>
                <w:rFonts w:hint="eastAsia" w:ascii="Times New Roman" w:hAnsi="Times New Roman" w:eastAsia="宋体" w:cs="Times New Roman"/>
                <w:color w:val="000000"/>
                <w:kern w:val="2"/>
                <w:sz w:val="24"/>
                <w:szCs w:val="24"/>
              </w:rPr>
              <w:t>例中度至重度斑块状银屑病患者。在签署知情同意书后，研究者将根据本研究入排标准的要求对参与者进行合格性评估。参与者按筛选的先后次序分别获得筛选号，经历最长为</w:t>
            </w:r>
            <w:r>
              <w:rPr>
                <w:rFonts w:ascii="Times New Roman" w:hAnsi="Times New Roman" w:eastAsia="宋体" w:cs="Times New Roman"/>
                <w:color w:val="000000"/>
                <w:kern w:val="2"/>
                <w:sz w:val="24"/>
                <w:szCs w:val="24"/>
              </w:rPr>
              <w:t>4</w:t>
            </w:r>
            <w:r>
              <w:rPr>
                <w:rFonts w:hint="eastAsia" w:ascii="Times New Roman" w:hAnsi="Times New Roman" w:eastAsia="宋体" w:cs="Times New Roman"/>
                <w:color w:val="000000"/>
                <w:kern w:val="2"/>
                <w:sz w:val="24"/>
                <w:szCs w:val="24"/>
              </w:rPr>
              <w:t>周的筛选期评估后，符合所有入选标准同时不符合任何排除标准的参与者视为合格。</w:t>
            </w:r>
          </w:p>
          <w:p w14:paraId="14BB5AC1">
            <w:pPr>
              <w:autoSpaceDE/>
              <w:autoSpaceDN/>
              <w:spacing w:line="360" w:lineRule="auto"/>
              <w:ind w:firstLine="480" w:firstLineChars="200"/>
              <w:jc w:val="both"/>
              <w:rPr>
                <w:rFonts w:ascii="Times New Roman" w:hAnsi="Times New Roman" w:eastAsia="宋体" w:cs="Times New Roman"/>
                <w:color w:val="000000"/>
                <w:kern w:val="2"/>
                <w:sz w:val="24"/>
                <w:szCs w:val="24"/>
              </w:rPr>
            </w:pPr>
            <w:r>
              <w:rPr>
                <w:rFonts w:hint="eastAsia" w:ascii="Times New Roman" w:hAnsi="Times New Roman" w:eastAsia="宋体" w:cs="Times New Roman"/>
                <w:color w:val="000000"/>
                <w:kern w:val="2"/>
                <w:sz w:val="24"/>
                <w:szCs w:val="24"/>
              </w:rPr>
              <w:t>合格的参与者将以银屑病严重程度（</w:t>
            </w:r>
            <w:r>
              <w:rPr>
                <w:rFonts w:ascii="Times New Roman" w:hAnsi="Times New Roman" w:eastAsia="宋体" w:cs="Times New Roman"/>
                <w:color w:val="000000"/>
                <w:kern w:val="2"/>
                <w:sz w:val="24"/>
                <w:szCs w:val="24"/>
              </w:rPr>
              <w:t>PGA</w:t>
            </w:r>
            <w:r>
              <w:rPr>
                <w:rFonts w:hint="eastAsia" w:ascii="Times New Roman" w:hAnsi="Times New Roman" w:eastAsia="宋体" w:cs="Times New Roman"/>
                <w:color w:val="000000"/>
                <w:kern w:val="2"/>
                <w:sz w:val="24"/>
                <w:szCs w:val="24"/>
              </w:rPr>
              <w:t>评分</w:t>
            </w:r>
            <w:r>
              <w:rPr>
                <w:rFonts w:ascii="Times New Roman" w:hAnsi="Times New Roman" w:eastAsia="宋体" w:cs="Times New Roman"/>
                <w:color w:val="000000"/>
                <w:kern w:val="2"/>
                <w:sz w:val="24"/>
                <w:szCs w:val="24"/>
              </w:rPr>
              <w:t>3/4</w:t>
            </w:r>
            <w:r>
              <w:rPr>
                <w:rFonts w:hint="eastAsia" w:ascii="Times New Roman" w:hAnsi="Times New Roman" w:eastAsia="宋体" w:cs="Times New Roman"/>
                <w:color w:val="000000"/>
                <w:kern w:val="2"/>
                <w:sz w:val="24"/>
                <w:szCs w:val="24"/>
              </w:rPr>
              <w:t>）作为分层因素，按照</w:t>
            </w:r>
            <w:r>
              <w:rPr>
                <w:rFonts w:ascii="Times New Roman" w:hAnsi="Times New Roman" w:eastAsia="宋体" w:cs="Times New Roman"/>
                <w:color w:val="000000"/>
                <w:kern w:val="2"/>
                <w:sz w:val="24"/>
                <w:szCs w:val="24"/>
              </w:rPr>
              <w:t>1:1:1</w:t>
            </w:r>
            <w:r>
              <w:rPr>
                <w:rFonts w:hint="eastAsia" w:ascii="Times New Roman" w:hAnsi="Times New Roman" w:eastAsia="宋体" w:cs="Times New Roman"/>
                <w:color w:val="000000"/>
                <w:kern w:val="2"/>
                <w:sz w:val="24"/>
                <w:szCs w:val="24"/>
              </w:rPr>
              <w:t>的比例随机分配至试验组</w:t>
            </w:r>
            <w:r>
              <w:rPr>
                <w:rFonts w:ascii="Times New Roman" w:hAnsi="Times New Roman" w:eastAsia="宋体" w:cs="Times New Roman"/>
                <w:color w:val="000000"/>
                <w:kern w:val="2"/>
                <w:sz w:val="24"/>
                <w:szCs w:val="24"/>
              </w:rPr>
              <w:t>1</w:t>
            </w:r>
            <w:r>
              <w:rPr>
                <w:rFonts w:hint="eastAsia" w:ascii="Times New Roman" w:hAnsi="Times New Roman" w:eastAsia="宋体" w:cs="Times New Roman"/>
                <w:color w:val="000000"/>
                <w:kern w:val="2"/>
                <w:sz w:val="24"/>
                <w:szCs w:val="24"/>
              </w:rPr>
              <w:t>、试验组</w:t>
            </w:r>
            <w:r>
              <w:rPr>
                <w:rFonts w:ascii="Times New Roman" w:hAnsi="Times New Roman" w:eastAsia="宋体" w:cs="Times New Roman"/>
                <w:color w:val="000000"/>
                <w:kern w:val="2"/>
                <w:sz w:val="24"/>
                <w:szCs w:val="24"/>
              </w:rPr>
              <w:t>2</w:t>
            </w:r>
            <w:r>
              <w:rPr>
                <w:rFonts w:hint="eastAsia" w:ascii="Times New Roman" w:hAnsi="Times New Roman" w:eastAsia="宋体" w:cs="Times New Roman"/>
                <w:color w:val="000000"/>
                <w:kern w:val="2"/>
                <w:sz w:val="24"/>
                <w:szCs w:val="24"/>
              </w:rPr>
              <w:t>和</w:t>
            </w:r>
            <w:r>
              <w:rPr>
                <w:rFonts w:hint="eastAsia" w:ascii="Times New Roman" w:hAnsi="Times New Roman" w:eastAsia="宋体" w:cs="Times New Roman"/>
                <w:color w:val="000000"/>
                <w:kern w:val="2"/>
                <w:sz w:val="24"/>
                <w:szCs w:val="24"/>
                <w:lang w:eastAsia="zh-Hans"/>
              </w:rPr>
              <w:t>安慰剂</w:t>
            </w:r>
            <w:r>
              <w:rPr>
                <w:rFonts w:hint="eastAsia" w:ascii="Times New Roman" w:hAnsi="Times New Roman" w:eastAsia="宋体" w:cs="Times New Roman"/>
                <w:color w:val="000000"/>
                <w:kern w:val="2"/>
                <w:sz w:val="24"/>
                <w:szCs w:val="24"/>
              </w:rPr>
              <w:t>组，进入</w:t>
            </w:r>
            <w:r>
              <w:rPr>
                <w:rFonts w:ascii="Times New Roman" w:hAnsi="Times New Roman" w:eastAsia="宋体" w:cs="Times New Roman"/>
                <w:color w:val="000000"/>
                <w:kern w:val="2"/>
                <w:sz w:val="24"/>
                <w:szCs w:val="24"/>
              </w:rPr>
              <w:t>12</w:t>
            </w:r>
            <w:r>
              <w:rPr>
                <w:rFonts w:hint="eastAsia" w:ascii="Times New Roman" w:hAnsi="Times New Roman" w:eastAsia="宋体" w:cs="Times New Roman"/>
                <w:color w:val="000000"/>
                <w:kern w:val="2"/>
                <w:sz w:val="24"/>
                <w:szCs w:val="24"/>
              </w:rPr>
              <w:t>周的双盲治疗期，每组</w:t>
            </w:r>
            <w:r>
              <w:rPr>
                <w:rFonts w:ascii="Times New Roman" w:hAnsi="Times New Roman" w:eastAsia="宋体" w:cs="Times New Roman"/>
                <w:color w:val="000000"/>
                <w:kern w:val="2"/>
                <w:sz w:val="24"/>
                <w:szCs w:val="24"/>
              </w:rPr>
              <w:t>40</w:t>
            </w:r>
            <w:r>
              <w:rPr>
                <w:rFonts w:hint="eastAsia" w:ascii="Times New Roman" w:hAnsi="Times New Roman" w:eastAsia="宋体" w:cs="Times New Roman"/>
                <w:color w:val="000000"/>
                <w:kern w:val="2"/>
                <w:sz w:val="24"/>
                <w:szCs w:val="24"/>
              </w:rPr>
              <w:t>例参与者，给药方案如下：</w:t>
            </w:r>
          </w:p>
          <w:p w14:paraId="2F4F19D6">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试验组</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lang w:eastAsia="zh-Hans"/>
              </w:rPr>
              <w:t>CMS-D001</w:t>
            </w:r>
            <w:r>
              <w:rPr>
                <w:rFonts w:hint="eastAsia" w:ascii="Times New Roman" w:hAnsi="Times New Roman" w:eastAsia="宋体" w:cs="Times New Roman"/>
                <w:kern w:val="2"/>
                <w:sz w:val="24"/>
                <w:szCs w:val="24"/>
                <w:lang w:eastAsia="zh-Hans"/>
              </w:rPr>
              <w:t>片</w:t>
            </w:r>
            <w:r>
              <w:rPr>
                <w:rFonts w:ascii="Times New Roman" w:hAnsi="Times New Roman" w:eastAsia="宋体" w:cs="Times New Roman"/>
                <w:kern w:val="2"/>
                <w:sz w:val="24"/>
                <w:szCs w:val="24"/>
                <w:lang w:eastAsia="zh-Hans"/>
              </w:rPr>
              <w:t xml:space="preserve"> </w:t>
            </w:r>
            <w:r>
              <w:rPr>
                <w:rFonts w:ascii="Times New Roman" w:hAnsi="Times New Roman" w:eastAsia="宋体" w:cs="Times New Roman"/>
                <w:kern w:val="2"/>
                <w:sz w:val="24"/>
                <w:szCs w:val="24"/>
              </w:rPr>
              <w:t>50 mg</w:t>
            </w:r>
            <w:r>
              <w:rPr>
                <w:rFonts w:hint="eastAsia" w:ascii="Times New Roman" w:hAnsi="Times New Roman" w:eastAsia="宋体" w:cs="Times New Roman"/>
                <w:kern w:val="2"/>
                <w:sz w:val="24"/>
                <w:szCs w:val="24"/>
                <w:lang w:eastAsia="zh-Hans"/>
              </w:rPr>
              <w:t>，</w:t>
            </w:r>
            <w:r>
              <w:rPr>
                <w:rFonts w:hint="eastAsia" w:ascii="Times New Roman" w:hAnsi="Times New Roman" w:eastAsia="宋体" w:cs="Times New Roman"/>
                <w:kern w:val="2"/>
                <w:sz w:val="24"/>
                <w:szCs w:val="24"/>
              </w:rPr>
              <w:t>每天一次，服用</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w:t>
            </w:r>
          </w:p>
          <w:p w14:paraId="6450B33F">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试验组</w:t>
            </w:r>
            <w:r>
              <w:rPr>
                <w:rFonts w:ascii="Times New Roman" w:hAnsi="Times New Roman" w:eastAsia="宋体" w:cs="Times New Roman"/>
                <w:kern w:val="2"/>
                <w:sz w:val="24"/>
                <w:szCs w:val="24"/>
              </w:rPr>
              <w:t>2</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lang w:eastAsia="zh-Hans"/>
              </w:rPr>
              <w:t>CMS-D001</w:t>
            </w:r>
            <w:r>
              <w:rPr>
                <w:rFonts w:hint="eastAsia" w:ascii="Times New Roman" w:hAnsi="Times New Roman" w:eastAsia="宋体" w:cs="Times New Roman"/>
                <w:kern w:val="2"/>
                <w:sz w:val="24"/>
                <w:szCs w:val="24"/>
                <w:lang w:eastAsia="zh-Hans"/>
              </w:rPr>
              <w:t>片</w:t>
            </w:r>
            <w:r>
              <w:rPr>
                <w:rFonts w:ascii="Times New Roman" w:hAnsi="Times New Roman" w:eastAsia="宋体" w:cs="Times New Roman"/>
                <w:kern w:val="2"/>
                <w:sz w:val="24"/>
                <w:szCs w:val="24"/>
              </w:rPr>
              <w:t xml:space="preserve"> 100 mg</w:t>
            </w:r>
            <w:r>
              <w:rPr>
                <w:rFonts w:hint="eastAsia" w:ascii="Times New Roman" w:hAnsi="Times New Roman" w:eastAsia="宋体" w:cs="Times New Roman"/>
                <w:kern w:val="2"/>
                <w:sz w:val="24"/>
                <w:szCs w:val="24"/>
              </w:rPr>
              <w:t>，每天一次，服用</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w:t>
            </w:r>
          </w:p>
          <w:p w14:paraId="090E105A">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安慰剂组：</w:t>
            </w:r>
            <w:r>
              <w:rPr>
                <w:rFonts w:hint="eastAsia" w:ascii="Times New Roman" w:hAnsi="Times New Roman" w:eastAsia="宋体" w:cs="Times New Roman"/>
                <w:kern w:val="2"/>
                <w:sz w:val="24"/>
                <w:szCs w:val="24"/>
                <w:lang w:eastAsia="zh-Hans"/>
              </w:rPr>
              <w:t>安慰剂（不含</w:t>
            </w:r>
            <w:r>
              <w:rPr>
                <w:rFonts w:ascii="Times New Roman" w:hAnsi="Times New Roman" w:eastAsia="宋体" w:cs="Times New Roman"/>
                <w:kern w:val="2"/>
                <w:sz w:val="24"/>
                <w:szCs w:val="24"/>
                <w:lang w:eastAsia="zh-Hans"/>
              </w:rPr>
              <w:t>CMS-D001</w:t>
            </w:r>
            <w:r>
              <w:rPr>
                <w:rFonts w:hint="eastAsia" w:ascii="Times New Roman" w:hAnsi="Times New Roman" w:eastAsia="宋体" w:cs="Times New Roman"/>
                <w:kern w:val="2"/>
                <w:sz w:val="24"/>
                <w:szCs w:val="24"/>
                <w:lang w:eastAsia="zh-Hans"/>
              </w:rPr>
              <w:t>活性成</w:t>
            </w:r>
            <w:r>
              <w:rPr>
                <w:rFonts w:hint="eastAsia" w:ascii="Times New Roman" w:hAnsi="Times New Roman" w:eastAsia="宋体" w:cs="Times New Roman"/>
                <w:kern w:val="2"/>
                <w:sz w:val="24"/>
                <w:szCs w:val="24"/>
              </w:rPr>
              <w:t>份</w:t>
            </w:r>
            <w:r>
              <w:rPr>
                <w:rFonts w:hint="eastAsia" w:ascii="Times New Roman" w:hAnsi="Times New Roman" w:eastAsia="宋体" w:cs="Times New Roman"/>
                <w:kern w:val="2"/>
                <w:sz w:val="24"/>
                <w:szCs w:val="24"/>
                <w:lang w:eastAsia="zh-Hans"/>
              </w:rPr>
              <w:t>）</w:t>
            </w:r>
            <w:r>
              <w:rPr>
                <w:rFonts w:hint="eastAsia" w:ascii="Times New Roman" w:hAnsi="Times New Roman" w:eastAsia="宋体" w:cs="Times New Roman"/>
                <w:kern w:val="2"/>
                <w:sz w:val="24"/>
                <w:szCs w:val="24"/>
              </w:rPr>
              <w:t>，每天一次，服用</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w:t>
            </w:r>
          </w:p>
          <w:p w14:paraId="51746445">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在参与者完成双盲治疗期给药后，将继续随访至第</w:t>
            </w:r>
            <w:r>
              <w:rPr>
                <w:rFonts w:ascii="Times New Roman" w:hAnsi="Times New Roman" w:eastAsia="宋体" w:cs="Times New Roman"/>
                <w:kern w:val="2"/>
                <w:sz w:val="24"/>
                <w:szCs w:val="24"/>
              </w:rPr>
              <w:t>16</w:t>
            </w:r>
            <w:r>
              <w:rPr>
                <w:rFonts w:hint="eastAsia" w:ascii="Times New Roman" w:hAnsi="Times New Roman" w:eastAsia="宋体" w:cs="Times New Roman"/>
                <w:kern w:val="2"/>
                <w:sz w:val="24"/>
                <w:szCs w:val="24"/>
              </w:rPr>
              <w:t>周。</w:t>
            </w:r>
          </w:p>
          <w:p w14:paraId="399E8AB7">
            <w:pPr>
              <w:spacing w:line="360" w:lineRule="auto"/>
              <w:jc w:val="both"/>
              <w:rPr>
                <w:rFonts w:ascii="Times New Roman" w:hAnsi="Times New Roman" w:eastAsia="宋体" w:cs="Times New Roman"/>
                <w:b/>
                <w:bCs/>
                <w:color w:val="000000"/>
                <w:sz w:val="24"/>
                <w:szCs w:val="24"/>
                <w:u w:val="single"/>
              </w:rPr>
            </w:pPr>
            <w:r>
              <w:rPr>
                <w:rFonts w:hint="eastAsia" w:ascii="Times New Roman" w:hAnsi="Times New Roman" w:eastAsia="宋体" w:cs="Times New Roman"/>
                <w:b/>
                <w:bCs/>
                <w:color w:val="000000"/>
                <w:sz w:val="24"/>
                <w:szCs w:val="24"/>
                <w:u w:val="single"/>
              </w:rPr>
              <w:t>期中分析</w:t>
            </w:r>
          </w:p>
          <w:p w14:paraId="09FA4BBB">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期中分析将</w:t>
            </w:r>
            <w:r>
              <w:rPr>
                <w:rFonts w:hint="eastAsia" w:ascii="Times New Roman" w:hAnsi="Times New Roman" w:eastAsia="宋体" w:cs="Times New Roman"/>
                <w:sz w:val="24"/>
                <w:szCs w:val="24"/>
              </w:rPr>
              <w:t>在</w:t>
            </w:r>
            <w:r>
              <w:rPr>
                <w:rFonts w:hint="eastAsia" w:ascii="Times New Roman" w:hAnsi="Times New Roman" w:eastAsia="宋体" w:cs="Times New Roman"/>
                <w:color w:val="000000"/>
                <w:kern w:val="2"/>
                <w:sz w:val="24"/>
                <w:szCs w:val="24"/>
              </w:rPr>
              <w:t>Ⅱ</w:t>
            </w:r>
            <w:r>
              <w:rPr>
                <w:rFonts w:hint="eastAsia" w:ascii="Times New Roman" w:hAnsi="Times New Roman" w:eastAsia="宋体" w:cs="Times New Roman"/>
                <w:sz w:val="24"/>
                <w:szCs w:val="24"/>
              </w:rPr>
              <w:t>期约</w:t>
            </w:r>
            <w:r>
              <w:rPr>
                <w:rFonts w:ascii="Times New Roman" w:hAnsi="Times New Roman" w:eastAsia="宋体" w:cs="Times New Roman"/>
                <w:sz w:val="24"/>
                <w:szCs w:val="24"/>
              </w:rPr>
              <w:t>5</w:t>
            </w:r>
            <w:r>
              <w:rPr>
                <w:rFonts w:ascii="Times New Roman" w:hAnsi="Times New Roman" w:cs="Times New Roman"/>
                <w:sz w:val="24"/>
                <w:szCs w:val="24"/>
              </w:rPr>
              <w:t>0</w:t>
            </w:r>
            <w:r>
              <w:rPr>
                <w:rFonts w:ascii="Times New Roman" w:hAnsi="Times New Roman" w:eastAsia="宋体" w:cs="Times New Roman"/>
                <w:sz w:val="24"/>
                <w:szCs w:val="24"/>
              </w:rPr>
              <w:t>%</w:t>
            </w:r>
            <w:r>
              <w:rPr>
                <w:rFonts w:hint="eastAsia" w:ascii="Times New Roman" w:hAnsi="Times New Roman" w:eastAsia="宋体" w:cs="Times New Roman"/>
                <w:sz w:val="24"/>
                <w:szCs w:val="24"/>
              </w:rPr>
              <w:t>参与者完成第</w:t>
            </w:r>
            <w:r>
              <w:rPr>
                <w:rFonts w:ascii="Times New Roman" w:hAnsi="Times New Roman" w:eastAsia="宋体" w:cs="Times New Roman"/>
                <w:sz w:val="24"/>
                <w:szCs w:val="24"/>
              </w:rPr>
              <w:t>12</w:t>
            </w:r>
            <w:r>
              <w:rPr>
                <w:rFonts w:hint="eastAsia" w:ascii="Times New Roman" w:hAnsi="Times New Roman" w:eastAsia="宋体" w:cs="Times New Roman"/>
                <w:sz w:val="24"/>
                <w:szCs w:val="24"/>
              </w:rPr>
              <w:t>周访视后进行，在</w:t>
            </w:r>
            <w:r>
              <w:rPr>
                <w:rFonts w:hint="eastAsia" w:ascii="Times New Roman" w:hAnsi="Times New Roman" w:eastAsia="宋体" w:cs="Times New Roman"/>
                <w:color w:val="000000"/>
                <w:sz w:val="24"/>
                <w:szCs w:val="24"/>
              </w:rPr>
              <w:t>有效性和安全性评估的基础上，对</w:t>
            </w:r>
            <w:r>
              <w:rPr>
                <w:rFonts w:hint="eastAsia" w:ascii="Times New Roman" w:hAnsi="Times New Roman" w:eastAsia="宋体" w:cs="Times New Roman"/>
                <w:color w:val="000000"/>
                <w:kern w:val="2"/>
                <w:sz w:val="24"/>
                <w:szCs w:val="24"/>
              </w:rPr>
              <w:t>Ⅱ</w:t>
            </w:r>
            <w:r>
              <w:rPr>
                <w:rFonts w:hint="eastAsia" w:ascii="Times New Roman" w:hAnsi="Times New Roman" w:eastAsia="宋体" w:cs="Times New Roman"/>
                <w:sz w:val="24"/>
                <w:szCs w:val="24"/>
              </w:rPr>
              <w:t>期研究数据进行评估。</w:t>
            </w:r>
            <w:r>
              <w:rPr>
                <w:rFonts w:hint="eastAsia" w:ascii="Times New Roman" w:hAnsi="Times New Roman" w:eastAsia="宋体" w:cs="Times New Roman"/>
                <w:color w:val="000000"/>
                <w:sz w:val="24"/>
                <w:szCs w:val="24"/>
              </w:rPr>
              <w:t>数据将由独立统计支持团队（</w:t>
            </w:r>
            <w:r>
              <w:rPr>
                <w:rFonts w:ascii="Times New Roman" w:hAnsi="Times New Roman" w:eastAsia="宋体" w:cs="Times New Roman"/>
                <w:color w:val="000000"/>
                <w:sz w:val="24"/>
                <w:szCs w:val="24"/>
              </w:rPr>
              <w:t>SSG</w:t>
            </w:r>
            <w:r>
              <w:rPr>
                <w:rFonts w:hint="eastAsia" w:ascii="Times New Roman" w:hAnsi="Times New Roman" w:eastAsia="宋体" w:cs="Times New Roman"/>
                <w:color w:val="000000"/>
                <w:sz w:val="24"/>
                <w:szCs w:val="24"/>
              </w:rPr>
              <w:t>）分析。分析结果将由独立的数据监查委员会（</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）进行审查。</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基于期中分析结果</w:t>
            </w:r>
            <w:r>
              <w:rPr>
                <w:rFonts w:hint="eastAsia" w:ascii="Times New Roman" w:hAnsi="Times New Roman" w:eastAsia="宋体" w:cs="Times New Roman"/>
                <w:sz w:val="24"/>
                <w:szCs w:val="24"/>
              </w:rPr>
              <w:t>（包括主要疗效终点、关键安全性事件等）</w:t>
            </w:r>
            <w:r>
              <w:rPr>
                <w:rFonts w:hint="eastAsia" w:ascii="Times New Roman" w:hAnsi="Times New Roman" w:eastAsia="宋体" w:cs="Times New Roman"/>
                <w:color w:val="000000"/>
                <w:sz w:val="24"/>
                <w:szCs w:val="24"/>
              </w:rPr>
              <w:t>，建议Ⅲ期研究的剂量；可能基于安全性和或有效性原因而建议某剂量组不再入选新的参与者。最终决定将取决于申办方。</w:t>
            </w:r>
          </w:p>
          <w:p w14:paraId="7C493AB9">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期中分析的结果将严格限制申办方或者研究管理相关人员获得，直到</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决策完成，更多细节将在</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章程中提供。</w:t>
            </w:r>
          </w:p>
          <w:p w14:paraId="47BF45C1">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期中分析将主要通过对</w:t>
            </w:r>
            <w:r>
              <w:rPr>
                <w:rFonts w:ascii="Times New Roman" w:hAnsi="Times New Roman" w:eastAsia="宋体" w:cs="Times New Roman"/>
                <w:sz w:val="24"/>
                <w:szCs w:val="24"/>
                <w:lang w:eastAsia="zh-Hans"/>
              </w:rPr>
              <w:t>CMS-D001</w:t>
            </w:r>
            <w:r>
              <w:rPr>
                <w:rFonts w:hint="eastAsia" w:ascii="Times New Roman" w:hAnsi="Times New Roman" w:eastAsia="宋体" w:cs="Times New Roman"/>
                <w:sz w:val="24"/>
                <w:szCs w:val="24"/>
                <w:lang w:eastAsia="zh-Hans"/>
              </w:rPr>
              <w:t>片</w:t>
            </w:r>
            <w:r>
              <w:rPr>
                <w:rFonts w:ascii="Times New Roman" w:hAnsi="Times New Roman" w:eastAsia="宋体" w:cs="Times New Roman"/>
                <w:sz w:val="24"/>
                <w:szCs w:val="24"/>
              </w:rPr>
              <w:t xml:space="preserve"> 50 mg QD</w:t>
            </w:r>
            <w:r>
              <w:rPr>
                <w:rFonts w:hint="eastAsia" w:ascii="Times New Roman" w:hAnsi="Times New Roman" w:eastAsia="宋体" w:cs="Times New Roman"/>
                <w:color w:val="000000"/>
                <w:sz w:val="24"/>
                <w:szCs w:val="24"/>
              </w:rPr>
              <w:t>、</w:t>
            </w:r>
            <w:r>
              <w:rPr>
                <w:rFonts w:ascii="Times New Roman" w:hAnsi="Times New Roman" w:eastAsia="宋体" w:cs="Times New Roman"/>
                <w:sz w:val="24"/>
                <w:szCs w:val="24"/>
              </w:rPr>
              <w:t>100 mg QD</w:t>
            </w:r>
            <w:r>
              <w:rPr>
                <w:rFonts w:hint="eastAsia" w:ascii="Times New Roman" w:hAnsi="Times New Roman" w:eastAsia="宋体" w:cs="Times New Roman"/>
                <w:color w:val="000000"/>
                <w:sz w:val="24"/>
                <w:szCs w:val="24"/>
              </w:rPr>
              <w:t>和安慰剂对照组之间包括但不限于以下指标的比较分析：</w:t>
            </w:r>
          </w:p>
          <w:p w14:paraId="2FB89BAC">
            <w:pPr>
              <w:numPr>
                <w:ilvl w:val="0"/>
                <w:numId w:val="14"/>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有效性指标：</w:t>
            </w:r>
          </w:p>
          <w:p w14:paraId="7A69A597">
            <w:pPr>
              <w:numPr>
                <w:ilvl w:val="0"/>
                <w:numId w:val="15"/>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周达到银屑病面积和严重程度指数较基线至少改善</w:t>
            </w:r>
            <w:r>
              <w:rPr>
                <w:rFonts w:ascii="Times New Roman" w:hAnsi="Times New Roman" w:eastAsia="宋体" w:cs="Times New Roman"/>
                <w:color w:val="000000"/>
                <w:sz w:val="24"/>
                <w:szCs w:val="24"/>
                <w:lang w:eastAsia="zh-Hans"/>
              </w:rPr>
              <w:t>75%</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ascii="Times New Roman" w:hAnsi="Times New Roman" w:eastAsia="宋体" w:cs="Times New Roman"/>
                <w:color w:val="000000"/>
                <w:sz w:val="24"/>
                <w:szCs w:val="24"/>
                <w:lang w:eastAsia="zh-Hans"/>
              </w:rPr>
              <w:t>PASI</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lang w:eastAsia="zh-Hans"/>
              </w:rPr>
              <w:t>75</w:t>
            </w:r>
            <w:r>
              <w:rPr>
                <w:rFonts w:hint="eastAsia" w:ascii="Times New Roman" w:hAnsi="Times New Roman" w:eastAsia="宋体" w:cs="Times New Roman"/>
                <w:color w:val="000000"/>
                <w:sz w:val="24"/>
                <w:szCs w:val="24"/>
                <w:lang w:eastAsia="zh-Hans"/>
              </w:rPr>
              <w:t>应答）</w:t>
            </w:r>
            <w:r>
              <w:rPr>
                <w:rFonts w:hint="eastAsia" w:ascii="Times New Roman" w:hAnsi="Times New Roman" w:eastAsia="宋体" w:cs="Times New Roman"/>
                <w:color w:val="000000"/>
                <w:sz w:val="24"/>
                <w:szCs w:val="24"/>
              </w:rPr>
              <w:t>；</w:t>
            </w:r>
          </w:p>
          <w:p w14:paraId="3F96A9F1">
            <w:pPr>
              <w:numPr>
                <w:ilvl w:val="0"/>
                <w:numId w:val="15"/>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周获得医师整体评估（</w:t>
            </w:r>
            <w:r>
              <w:rPr>
                <w:rFonts w:ascii="Times New Roman" w:hAnsi="Times New Roman" w:eastAsia="宋体" w:cs="Times New Roman"/>
                <w:color w:val="000000"/>
                <w:sz w:val="24"/>
                <w:szCs w:val="24"/>
                <w:lang w:eastAsia="zh-Hans"/>
              </w:rPr>
              <w:t>PGA</w:t>
            </w:r>
            <w:r>
              <w:rPr>
                <w:rFonts w:hint="eastAsia" w:ascii="Times New Roman" w:hAnsi="Times New Roman" w:eastAsia="宋体" w:cs="Times New Roman"/>
                <w:color w:val="000000"/>
                <w:sz w:val="24"/>
                <w:szCs w:val="24"/>
                <w:lang w:eastAsia="zh-Hans"/>
              </w:rPr>
              <w:t>）达到清除（</w:t>
            </w:r>
            <w:r>
              <w:rPr>
                <w:rFonts w:ascii="Times New Roman" w:hAnsi="Times New Roman" w:eastAsia="宋体" w:cs="Times New Roman"/>
                <w:color w:val="000000"/>
                <w:sz w:val="24"/>
                <w:szCs w:val="24"/>
                <w:lang w:eastAsia="zh-Hans"/>
              </w:rPr>
              <w:t>0</w:t>
            </w:r>
            <w:r>
              <w:rPr>
                <w:rFonts w:hint="eastAsia" w:ascii="Times New Roman" w:hAnsi="Times New Roman" w:eastAsia="宋体" w:cs="Times New Roman"/>
                <w:color w:val="000000"/>
                <w:sz w:val="24"/>
                <w:szCs w:val="24"/>
                <w:lang w:eastAsia="zh-Hans"/>
              </w:rPr>
              <w:t>）或几乎清除（</w:t>
            </w:r>
            <w:r>
              <w:rPr>
                <w:rFonts w:ascii="Times New Roman" w:hAnsi="Times New Roman" w:eastAsia="宋体" w:cs="Times New Roman"/>
                <w:color w:val="000000"/>
                <w:sz w:val="24"/>
                <w:szCs w:val="24"/>
                <w:lang w:eastAsia="zh-Hans"/>
              </w:rPr>
              <w:t>1</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hint="eastAsia" w:ascii="Times New Roman" w:hAnsi="Times New Roman" w:eastAsia="宋体" w:cs="Times New Roman"/>
                <w:color w:val="000000"/>
                <w:sz w:val="24"/>
                <w:szCs w:val="24"/>
              </w:rPr>
              <w:t>；</w:t>
            </w:r>
          </w:p>
          <w:p w14:paraId="4D9ED255">
            <w:pPr>
              <w:numPr>
                <w:ilvl w:val="0"/>
                <w:numId w:val="15"/>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周达到银屑病面积和严重程度指数较基线至少改善</w:t>
            </w:r>
            <w:r>
              <w:rPr>
                <w:rFonts w:ascii="Times New Roman" w:hAnsi="Times New Roman" w:eastAsia="宋体" w:cs="Times New Roman"/>
                <w:color w:val="000000"/>
                <w:sz w:val="24"/>
                <w:szCs w:val="24"/>
              </w:rPr>
              <w:t>50</w:t>
            </w:r>
            <w:r>
              <w:rPr>
                <w:rFonts w:ascii="Times New Roman" w:hAnsi="Times New Roman" w:eastAsia="宋体" w:cs="Times New Roman"/>
                <w:color w:val="000000"/>
                <w:sz w:val="24"/>
                <w:szCs w:val="24"/>
                <w:lang w:eastAsia="zh-Hans"/>
              </w:rPr>
              <w:t>%</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ascii="Times New Roman" w:hAnsi="Times New Roman" w:eastAsia="宋体" w:cs="Times New Roman"/>
                <w:color w:val="000000"/>
                <w:sz w:val="24"/>
                <w:szCs w:val="24"/>
                <w:lang w:eastAsia="zh-Hans"/>
              </w:rPr>
              <w:t>PASI</w:t>
            </w:r>
            <w:r>
              <w:rPr>
                <w:rFonts w:ascii="Times New Roman" w:hAnsi="Times New Roman" w:eastAsia="宋体" w:cs="Times New Roman"/>
                <w:color w:val="000000"/>
                <w:sz w:val="24"/>
                <w:szCs w:val="24"/>
              </w:rPr>
              <w:t xml:space="preserve"> 50</w:t>
            </w:r>
            <w:r>
              <w:rPr>
                <w:rFonts w:hint="eastAsia" w:ascii="Times New Roman" w:hAnsi="Times New Roman" w:eastAsia="宋体" w:cs="Times New Roman"/>
                <w:color w:val="000000"/>
                <w:sz w:val="24"/>
                <w:szCs w:val="24"/>
                <w:lang w:eastAsia="zh-Hans"/>
              </w:rPr>
              <w:t>应答）</w:t>
            </w:r>
            <w:r>
              <w:rPr>
                <w:rFonts w:hint="eastAsia" w:ascii="Times New Roman" w:hAnsi="Times New Roman" w:eastAsia="宋体" w:cs="Times New Roman"/>
                <w:color w:val="000000"/>
                <w:sz w:val="24"/>
                <w:szCs w:val="24"/>
              </w:rPr>
              <w:t>；</w:t>
            </w:r>
          </w:p>
          <w:p w14:paraId="387E70C4">
            <w:pPr>
              <w:numPr>
                <w:ilvl w:val="0"/>
                <w:numId w:val="15"/>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周达到银屑病面积和严重程度指数较基线至少改善</w:t>
            </w:r>
            <w:r>
              <w:rPr>
                <w:rFonts w:ascii="Times New Roman" w:hAnsi="Times New Roman" w:eastAsia="宋体" w:cs="Times New Roman"/>
                <w:color w:val="000000"/>
                <w:sz w:val="24"/>
                <w:szCs w:val="24"/>
              </w:rPr>
              <w:t>90</w:t>
            </w:r>
            <w:r>
              <w:rPr>
                <w:rFonts w:ascii="Times New Roman" w:hAnsi="Times New Roman" w:eastAsia="宋体" w:cs="Times New Roman"/>
                <w:color w:val="000000"/>
                <w:sz w:val="24"/>
                <w:szCs w:val="24"/>
                <w:lang w:eastAsia="zh-Hans"/>
              </w:rPr>
              <w:t>%</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ascii="Times New Roman" w:hAnsi="Times New Roman" w:eastAsia="宋体" w:cs="Times New Roman"/>
                <w:color w:val="000000"/>
                <w:sz w:val="24"/>
                <w:szCs w:val="24"/>
                <w:lang w:eastAsia="zh-Hans"/>
              </w:rPr>
              <w:t>PASI</w:t>
            </w:r>
            <w:r>
              <w:rPr>
                <w:rFonts w:ascii="Times New Roman" w:hAnsi="Times New Roman" w:eastAsia="宋体" w:cs="Times New Roman"/>
                <w:color w:val="000000"/>
                <w:sz w:val="24"/>
                <w:szCs w:val="24"/>
              </w:rPr>
              <w:t xml:space="preserve"> 90</w:t>
            </w:r>
            <w:r>
              <w:rPr>
                <w:rFonts w:hint="eastAsia" w:ascii="Times New Roman" w:hAnsi="Times New Roman" w:eastAsia="宋体" w:cs="Times New Roman"/>
                <w:color w:val="000000"/>
                <w:sz w:val="24"/>
                <w:szCs w:val="24"/>
                <w:lang w:eastAsia="zh-Hans"/>
              </w:rPr>
              <w:t>应答）</w:t>
            </w:r>
            <w:r>
              <w:rPr>
                <w:rFonts w:hint="eastAsia" w:ascii="Times New Roman" w:hAnsi="Times New Roman" w:eastAsia="宋体" w:cs="Times New Roman"/>
                <w:color w:val="000000"/>
                <w:sz w:val="24"/>
                <w:szCs w:val="24"/>
              </w:rPr>
              <w:t>；</w:t>
            </w:r>
          </w:p>
          <w:p w14:paraId="322FE4A9">
            <w:pPr>
              <w:numPr>
                <w:ilvl w:val="0"/>
                <w:numId w:val="14"/>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安全性指标：</w:t>
            </w:r>
          </w:p>
          <w:p w14:paraId="6C9B7319">
            <w:pPr>
              <w:numPr>
                <w:ilvl w:val="0"/>
                <w:numId w:val="16"/>
              </w:num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不良事件和严重不良事件。</w:t>
            </w:r>
          </w:p>
          <w:p w14:paraId="7D7C1F0F">
            <w:pPr>
              <w:spacing w:line="360" w:lineRule="auto"/>
              <w:jc w:val="both"/>
              <w:rPr>
                <w:rFonts w:ascii="Times New Roman" w:hAnsi="Times New Roman" w:eastAsia="宋体" w:cs="Times New Roman"/>
                <w:b/>
                <w:bCs/>
                <w:color w:val="000000"/>
                <w:sz w:val="24"/>
                <w:szCs w:val="24"/>
                <w:u w:val="single"/>
              </w:rPr>
            </w:pPr>
            <w:r>
              <w:rPr>
                <w:rFonts w:hint="eastAsia" w:ascii="Times New Roman" w:hAnsi="Times New Roman" w:eastAsia="宋体" w:cs="Times New Roman"/>
                <w:b/>
                <w:bCs/>
                <w:color w:val="000000"/>
                <w:sz w:val="24"/>
                <w:szCs w:val="24"/>
                <w:u w:val="single"/>
                <w:lang w:eastAsia="zh-Hans"/>
              </w:rPr>
              <w:t>Ⅲ期临床</w:t>
            </w:r>
            <w:r>
              <w:rPr>
                <w:rFonts w:hint="eastAsia" w:ascii="Times New Roman" w:hAnsi="Times New Roman" w:eastAsia="宋体" w:cs="Times New Roman"/>
                <w:b/>
                <w:bCs/>
                <w:color w:val="000000"/>
                <w:sz w:val="24"/>
                <w:szCs w:val="24"/>
                <w:u w:val="single"/>
              </w:rPr>
              <w:t>研究阶段</w:t>
            </w:r>
          </w:p>
          <w:p w14:paraId="12901C0E">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Ⅲ期临床试验计划</w:t>
            </w:r>
            <w:r>
              <w:rPr>
                <w:rFonts w:hint="eastAsia" w:ascii="Times New Roman" w:hAnsi="Times New Roman" w:eastAsia="宋体" w:cs="Times New Roman"/>
                <w:color w:val="000000"/>
                <w:sz w:val="24"/>
                <w:szCs w:val="24"/>
              </w:rPr>
              <w:t>在Ⅱ期临床试验完成入组后，按照Ⅱ期剂量组（或基于Ⅱ期研究结果确定的推荐剂量组）和安慰剂组继续纳入</w:t>
            </w:r>
            <w:r>
              <w:rPr>
                <w:rFonts w:hint="eastAsia" w:ascii="Times New Roman" w:hAnsi="Times New Roman" w:eastAsia="宋体" w:cs="Times New Roman"/>
                <w:color w:val="000000"/>
                <w:sz w:val="24"/>
                <w:szCs w:val="24"/>
                <w:lang w:eastAsia="zh-Hans"/>
              </w:rPr>
              <w:t>Ⅲ</w:t>
            </w:r>
            <w:r>
              <w:rPr>
                <w:rFonts w:hint="eastAsia" w:ascii="Times New Roman" w:hAnsi="Times New Roman" w:eastAsia="宋体" w:cs="Times New Roman"/>
                <w:color w:val="000000"/>
                <w:sz w:val="24"/>
                <w:szCs w:val="24"/>
              </w:rPr>
              <w:t>期参与者</w:t>
            </w:r>
            <w:r>
              <w:rPr>
                <w:rFonts w:hint="eastAsia" w:ascii="Times New Roman" w:hAnsi="Times New Roman" w:eastAsia="宋体" w:cs="Times New Roman"/>
                <w:color w:val="000000"/>
                <w:sz w:val="24"/>
                <w:szCs w:val="24"/>
                <w:lang w:eastAsia="zh-Hans"/>
              </w:rPr>
              <w:t>，计划入组</w:t>
            </w:r>
            <w:r>
              <w:rPr>
                <w:rFonts w:ascii="Times New Roman" w:hAnsi="Times New Roman" w:eastAsia="宋体" w:cs="Times New Roman"/>
                <w:color w:val="000000"/>
                <w:sz w:val="24"/>
                <w:szCs w:val="24"/>
              </w:rPr>
              <w:t>420</w:t>
            </w:r>
            <w:r>
              <w:rPr>
                <w:rFonts w:hint="eastAsia" w:ascii="Times New Roman" w:hAnsi="Times New Roman" w:eastAsia="宋体" w:cs="Times New Roman"/>
                <w:color w:val="000000"/>
                <w:sz w:val="24"/>
                <w:szCs w:val="24"/>
              </w:rPr>
              <w:t>例中度至重度的斑块状银屑病参与</w:t>
            </w:r>
            <w:r>
              <w:rPr>
                <w:rFonts w:hint="eastAsia" w:ascii="Times New Roman" w:hAnsi="Times New Roman" w:eastAsia="宋体" w:cs="Times New Roman"/>
                <w:color w:val="000000"/>
                <w:sz w:val="24"/>
                <w:szCs w:val="24"/>
                <w:lang w:eastAsia="zh-Hans"/>
              </w:rPr>
              <w:t>者。</w:t>
            </w:r>
          </w:p>
          <w:p w14:paraId="056AD82D">
            <w:pPr>
              <w:spacing w:line="360" w:lineRule="auto"/>
              <w:ind w:firstLine="480" w:firstLineChars="200"/>
              <w:jc w:val="both"/>
              <w:rPr>
                <w:rFonts w:ascii="Times New Roman" w:hAnsi="Times New Roman" w:eastAsia="宋体" w:cs="Times New Roman"/>
                <w:color w:val="000000"/>
                <w:kern w:val="2"/>
                <w:sz w:val="24"/>
                <w:szCs w:val="24"/>
              </w:rPr>
            </w:pPr>
            <w:r>
              <w:rPr>
                <w:rFonts w:hint="eastAsia" w:ascii="Times New Roman" w:hAnsi="Times New Roman" w:eastAsia="宋体" w:cs="Times New Roman"/>
                <w:color w:val="000000"/>
                <w:kern w:val="2"/>
                <w:sz w:val="24"/>
                <w:szCs w:val="24"/>
              </w:rPr>
              <w:t>在签署知情同意书后，研究者将根据本研究入排标准的要求对患者进行合格性评估。参与者按筛选的先后次序分别获得筛选号，经历最长为</w:t>
            </w:r>
            <w:r>
              <w:rPr>
                <w:rFonts w:ascii="Times New Roman" w:hAnsi="Times New Roman" w:eastAsia="宋体" w:cs="Times New Roman"/>
                <w:color w:val="000000"/>
                <w:kern w:val="2"/>
                <w:sz w:val="24"/>
                <w:szCs w:val="24"/>
              </w:rPr>
              <w:t>4</w:t>
            </w:r>
            <w:r>
              <w:rPr>
                <w:rFonts w:hint="eastAsia" w:ascii="Times New Roman" w:hAnsi="Times New Roman" w:eastAsia="宋体" w:cs="Times New Roman"/>
                <w:color w:val="000000"/>
                <w:kern w:val="2"/>
                <w:sz w:val="24"/>
                <w:szCs w:val="24"/>
              </w:rPr>
              <w:t>周的筛选期评估后，符合所有入选标准同时不符合任何排除标准的参与者视为合格。</w:t>
            </w:r>
          </w:p>
          <w:p w14:paraId="5F8081C8">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Ⅲ期临床</w:t>
            </w:r>
            <w:r>
              <w:rPr>
                <w:rFonts w:hint="eastAsia" w:ascii="Times New Roman" w:hAnsi="Times New Roman" w:eastAsia="宋体" w:cs="Times New Roman"/>
                <w:color w:val="000000"/>
                <w:sz w:val="24"/>
                <w:szCs w:val="24"/>
              </w:rPr>
              <w:t>研究阶段</w:t>
            </w:r>
            <w:r>
              <w:rPr>
                <w:rFonts w:hint="eastAsia" w:ascii="Times New Roman" w:hAnsi="Times New Roman" w:eastAsia="宋体" w:cs="Times New Roman"/>
                <w:color w:val="000000"/>
                <w:sz w:val="24"/>
                <w:szCs w:val="24"/>
                <w:lang w:eastAsia="zh-Hans"/>
              </w:rPr>
              <w:t>分为基础</w:t>
            </w:r>
            <w:r>
              <w:rPr>
                <w:rFonts w:hint="eastAsia" w:ascii="Times New Roman" w:hAnsi="Times New Roman" w:eastAsia="宋体" w:cs="Times New Roman"/>
                <w:color w:val="000000"/>
                <w:sz w:val="24"/>
                <w:szCs w:val="24"/>
              </w:rPr>
              <w:t>期</w:t>
            </w: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0-16</w:t>
            </w:r>
            <w:r>
              <w:rPr>
                <w:rFonts w:hint="eastAsia" w:ascii="Times New Roman" w:hAnsi="Times New Roman" w:eastAsia="宋体" w:cs="Times New Roman"/>
                <w:color w:val="000000"/>
                <w:sz w:val="24"/>
                <w:szCs w:val="24"/>
                <w:lang w:eastAsia="zh-Hans"/>
              </w:rPr>
              <w:t>周）和扩展</w:t>
            </w:r>
            <w:r>
              <w:rPr>
                <w:rFonts w:hint="eastAsia" w:ascii="Times New Roman" w:hAnsi="Times New Roman" w:eastAsia="宋体" w:cs="Times New Roman"/>
                <w:color w:val="000000"/>
                <w:sz w:val="24"/>
                <w:szCs w:val="24"/>
              </w:rPr>
              <w:t>期</w:t>
            </w: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sz w:val="24"/>
                <w:szCs w:val="24"/>
              </w:rPr>
              <w:t>7</w:t>
            </w:r>
            <w:r>
              <w:rPr>
                <w:rFonts w:ascii="Times New Roman" w:hAnsi="Times New Roman" w:eastAsia="宋体" w:cs="Times New Roman"/>
                <w:color w:val="000000"/>
                <w:sz w:val="24"/>
                <w:szCs w:val="24"/>
                <w:lang w:eastAsia="zh-Hans"/>
              </w:rPr>
              <w:t>-52</w:t>
            </w:r>
            <w:r>
              <w:rPr>
                <w:rFonts w:hint="eastAsia" w:ascii="Times New Roman" w:hAnsi="Times New Roman" w:eastAsia="宋体" w:cs="Times New Roman"/>
                <w:color w:val="000000"/>
                <w:sz w:val="24"/>
                <w:szCs w:val="24"/>
                <w:lang w:eastAsia="zh-Hans"/>
              </w:rPr>
              <w:t>周）。</w:t>
            </w:r>
          </w:p>
          <w:p w14:paraId="00439AF7">
            <w:pPr>
              <w:spacing w:line="360" w:lineRule="auto"/>
              <w:jc w:val="both"/>
              <w:rPr>
                <w:rFonts w:ascii="Times New Roman" w:hAnsi="Times New Roman" w:eastAsia="宋体" w:cs="Times New Roman"/>
                <w:b/>
                <w:bCs/>
                <w:color w:val="000000"/>
                <w:sz w:val="24"/>
                <w:szCs w:val="24"/>
                <w:highlight w:val="yellow"/>
              </w:rPr>
            </w:pPr>
            <w:r>
              <w:rPr>
                <w:rFonts w:hint="eastAsia" w:ascii="Times New Roman" w:hAnsi="Times New Roman" w:eastAsia="宋体" w:cs="Times New Roman"/>
                <w:b/>
                <w:bCs/>
                <w:color w:val="000000"/>
                <w:sz w:val="24"/>
                <w:szCs w:val="24"/>
                <w:lang w:eastAsia="zh-Hans"/>
              </w:rPr>
              <w:t>基础</w:t>
            </w:r>
            <w:r>
              <w:rPr>
                <w:rFonts w:hint="eastAsia" w:ascii="Times New Roman" w:hAnsi="Times New Roman" w:eastAsia="宋体" w:cs="Times New Roman"/>
                <w:b/>
                <w:bCs/>
                <w:color w:val="000000"/>
                <w:sz w:val="24"/>
                <w:szCs w:val="24"/>
              </w:rPr>
              <w:t>期</w:t>
            </w:r>
          </w:p>
          <w:p w14:paraId="0B587896">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kern w:val="2"/>
                <w:sz w:val="24"/>
                <w:szCs w:val="24"/>
              </w:rPr>
              <w:t>筛选合格的</w:t>
            </w:r>
            <w:r>
              <w:rPr>
                <w:rFonts w:hint="eastAsia" w:ascii="Times New Roman" w:hAnsi="Times New Roman" w:eastAsia="宋体" w:cs="Times New Roman"/>
                <w:color w:val="000000"/>
                <w:kern w:val="2"/>
                <w:sz w:val="24"/>
                <w:szCs w:val="24"/>
                <w:lang w:eastAsia="zh-Hans"/>
              </w:rPr>
              <w:t>参与者将以</w:t>
            </w:r>
            <w:r>
              <w:rPr>
                <w:rFonts w:hint="eastAsia" w:ascii="Times New Roman" w:hAnsi="Times New Roman" w:eastAsia="宋体" w:cs="Times New Roman"/>
                <w:color w:val="000000"/>
                <w:kern w:val="2"/>
                <w:sz w:val="24"/>
                <w:szCs w:val="24"/>
              </w:rPr>
              <w:t>银屑病严重程度（</w:t>
            </w:r>
            <w:r>
              <w:rPr>
                <w:rFonts w:ascii="Times New Roman" w:hAnsi="Times New Roman" w:eastAsia="宋体" w:cs="Times New Roman"/>
                <w:color w:val="000000"/>
                <w:kern w:val="2"/>
                <w:sz w:val="24"/>
                <w:szCs w:val="24"/>
              </w:rPr>
              <w:t>PGA</w:t>
            </w:r>
            <w:r>
              <w:rPr>
                <w:rFonts w:hint="eastAsia" w:ascii="Times New Roman" w:hAnsi="Times New Roman" w:eastAsia="宋体" w:cs="Times New Roman"/>
                <w:color w:val="000000"/>
                <w:kern w:val="2"/>
                <w:sz w:val="24"/>
                <w:szCs w:val="24"/>
              </w:rPr>
              <w:t>评分</w:t>
            </w:r>
            <w:r>
              <w:rPr>
                <w:rFonts w:ascii="Times New Roman" w:hAnsi="Times New Roman" w:eastAsia="宋体" w:cs="Times New Roman"/>
                <w:color w:val="000000"/>
                <w:kern w:val="2"/>
                <w:sz w:val="24"/>
                <w:szCs w:val="24"/>
              </w:rPr>
              <w:t>3/4</w:t>
            </w:r>
            <w:r>
              <w:rPr>
                <w:rFonts w:hint="eastAsia" w:ascii="Times New Roman" w:hAnsi="Times New Roman" w:eastAsia="宋体" w:cs="Times New Roman"/>
                <w:color w:val="000000"/>
                <w:kern w:val="2"/>
                <w:sz w:val="24"/>
                <w:szCs w:val="24"/>
              </w:rPr>
              <w:t>）</w:t>
            </w:r>
            <w:r>
              <w:rPr>
                <w:rFonts w:hint="eastAsia" w:ascii="Times New Roman" w:hAnsi="Times New Roman" w:eastAsia="宋体" w:cs="Times New Roman"/>
                <w:color w:val="000000"/>
                <w:kern w:val="2"/>
                <w:sz w:val="24"/>
                <w:szCs w:val="24"/>
                <w:lang w:eastAsia="zh-Hans"/>
              </w:rPr>
              <w:t>作为分层因素，按照</w:t>
            </w:r>
            <w:r>
              <w:rPr>
                <w:rFonts w:ascii="Times New Roman" w:hAnsi="Times New Roman" w:eastAsia="宋体" w:cs="Times New Roman"/>
                <w:color w:val="000000"/>
                <w:kern w:val="2"/>
                <w:sz w:val="24"/>
                <w:szCs w:val="24"/>
                <w:lang w:eastAsia="zh-Hans"/>
              </w:rPr>
              <w:t>2:2:1</w:t>
            </w:r>
            <w:r>
              <w:rPr>
                <w:rFonts w:hint="eastAsia" w:ascii="Times New Roman" w:hAnsi="Times New Roman" w:eastAsia="宋体" w:cs="Times New Roman"/>
                <w:color w:val="000000"/>
                <w:kern w:val="2"/>
                <w:sz w:val="24"/>
                <w:szCs w:val="24"/>
                <w:lang w:eastAsia="zh-Hans"/>
              </w:rPr>
              <w:t>的比例随机分配至</w:t>
            </w:r>
            <w:r>
              <w:rPr>
                <w:rFonts w:ascii="Times New Roman" w:hAnsi="Times New Roman" w:eastAsia="宋体" w:cs="Times New Roman"/>
                <w:color w:val="000000"/>
                <w:sz w:val="24"/>
                <w:szCs w:val="24"/>
              </w:rPr>
              <w:t>CMS-D001</w:t>
            </w:r>
            <w:r>
              <w:rPr>
                <w:rFonts w:hint="eastAsia" w:ascii="Times New Roman" w:hAnsi="Times New Roman" w:eastAsia="宋体" w:cs="Times New Roman"/>
                <w:color w:val="000000"/>
                <w:sz w:val="24"/>
                <w:szCs w:val="24"/>
              </w:rPr>
              <w:t>片</w:t>
            </w:r>
            <w:r>
              <w:rPr>
                <w:rFonts w:ascii="Times New Roman" w:hAnsi="Times New Roman" w:eastAsia="宋体" w:cs="Times New Roman"/>
                <w:color w:val="000000"/>
                <w:sz w:val="24"/>
                <w:szCs w:val="24"/>
              </w:rPr>
              <w:t xml:space="preserve"> 50 mg QD</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100 mg QD</w:t>
            </w:r>
            <w:r>
              <w:rPr>
                <w:rFonts w:hint="eastAsia" w:ascii="Times New Roman" w:hAnsi="Times New Roman" w:eastAsia="宋体" w:cs="Times New Roman"/>
                <w:color w:val="000000"/>
                <w:sz w:val="24"/>
                <w:szCs w:val="24"/>
              </w:rPr>
              <w:t>和</w:t>
            </w:r>
            <w:r>
              <w:rPr>
                <w:rFonts w:hint="eastAsia" w:ascii="Times New Roman" w:hAnsi="Times New Roman" w:eastAsia="宋体" w:cs="Times New Roman"/>
                <w:color w:val="000000"/>
                <w:sz w:val="24"/>
                <w:szCs w:val="24"/>
                <w:lang w:eastAsia="zh-Hans"/>
              </w:rPr>
              <w:t>安慰剂</w:t>
            </w:r>
            <w:r>
              <w:rPr>
                <w:rFonts w:hint="eastAsia" w:ascii="Times New Roman" w:hAnsi="Times New Roman" w:eastAsia="宋体" w:cs="Times New Roman"/>
                <w:color w:val="000000"/>
                <w:sz w:val="24"/>
                <w:szCs w:val="24"/>
              </w:rPr>
              <w:t>对照组，试验药物组每组最多</w:t>
            </w:r>
            <w:r>
              <w:rPr>
                <w:rFonts w:ascii="Times New Roman" w:hAnsi="Times New Roman" w:eastAsia="宋体" w:cs="Times New Roman"/>
                <w:color w:val="000000"/>
                <w:sz w:val="24"/>
                <w:szCs w:val="24"/>
              </w:rPr>
              <w:t>168</w:t>
            </w:r>
            <w:r>
              <w:rPr>
                <w:rFonts w:hint="eastAsia" w:ascii="Times New Roman" w:hAnsi="Times New Roman" w:eastAsia="宋体" w:cs="Times New Roman"/>
                <w:color w:val="000000"/>
                <w:sz w:val="24"/>
                <w:szCs w:val="24"/>
              </w:rPr>
              <w:t>例参与者，安慰剂组每组最多</w:t>
            </w:r>
            <w:r>
              <w:rPr>
                <w:rFonts w:ascii="Times New Roman" w:hAnsi="Times New Roman" w:eastAsia="宋体" w:cs="Times New Roman"/>
                <w:color w:val="000000"/>
                <w:sz w:val="24"/>
                <w:szCs w:val="24"/>
              </w:rPr>
              <w:t>84</w:t>
            </w:r>
            <w:r>
              <w:rPr>
                <w:rFonts w:hint="eastAsia" w:ascii="Times New Roman" w:hAnsi="Times New Roman" w:eastAsia="宋体" w:cs="Times New Roman"/>
                <w:color w:val="000000"/>
                <w:sz w:val="24"/>
                <w:szCs w:val="24"/>
              </w:rPr>
              <w:t>例参与者。根据</w:t>
            </w:r>
            <w:r>
              <w:rPr>
                <w:rFonts w:ascii="Times New Roman" w:hAnsi="Times New Roman" w:eastAsia="宋体" w:cs="Times New Roman"/>
                <w:color w:val="000000"/>
                <w:sz w:val="24"/>
                <w:szCs w:val="24"/>
              </w:rPr>
              <w:t>II</w:t>
            </w:r>
            <w:r>
              <w:rPr>
                <w:rFonts w:hint="eastAsia" w:ascii="Times New Roman" w:hAnsi="Times New Roman" w:eastAsia="宋体" w:cs="Times New Roman"/>
                <w:color w:val="000000"/>
                <w:sz w:val="24"/>
                <w:szCs w:val="24"/>
              </w:rPr>
              <w:t>期期中分析的结果，可能会终止</w:t>
            </w:r>
            <w:r>
              <w:rPr>
                <w:rFonts w:ascii="Times New Roman" w:hAnsi="Times New Roman" w:eastAsia="宋体" w:cs="Times New Roman"/>
                <w:color w:val="000000"/>
                <w:sz w:val="24"/>
                <w:szCs w:val="24"/>
              </w:rPr>
              <w:t>CMS-D001</w:t>
            </w:r>
            <w:r>
              <w:rPr>
                <w:rFonts w:hint="eastAsia" w:ascii="Times New Roman" w:hAnsi="Times New Roman" w:eastAsia="宋体" w:cs="Times New Roman"/>
                <w:color w:val="000000"/>
                <w:sz w:val="24"/>
                <w:szCs w:val="24"/>
              </w:rPr>
              <w:t>片的一个剂量组的继续入组，该剂量已入组的参与者将维持之前剂量组给药直至研究结束。</w:t>
            </w:r>
          </w:p>
          <w:p w14:paraId="36737112">
            <w:p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试验组</w:t>
            </w:r>
            <w:r>
              <w:rPr>
                <w:rFonts w:ascii="Times New Roman" w:hAnsi="Times New Roman" w:eastAsia="宋体" w:cs="Times New Roman"/>
                <w:color w:val="000000"/>
                <w:sz w:val="24"/>
                <w:szCs w:val="24"/>
              </w:rPr>
              <w:t>1</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lang w:eastAsia="zh-Hans"/>
              </w:rPr>
              <w:t xml:space="preserve"> </w:t>
            </w:r>
            <w:r>
              <w:rPr>
                <w:rFonts w:ascii="Times New Roman" w:hAnsi="Times New Roman" w:eastAsia="宋体" w:cs="Times New Roman"/>
                <w:color w:val="000000"/>
                <w:sz w:val="24"/>
                <w:szCs w:val="24"/>
              </w:rPr>
              <w:t>50 mg</w:t>
            </w:r>
            <w:r>
              <w:rPr>
                <w:rFonts w:hint="eastAsia" w:ascii="Times New Roman" w:hAnsi="Times New Roman" w:eastAsia="宋体" w:cs="Times New Roman"/>
                <w:color w:val="000000"/>
                <w:sz w:val="24"/>
                <w:szCs w:val="24"/>
                <w:lang w:eastAsia="zh-Hans"/>
              </w:rPr>
              <w:t>，</w:t>
            </w:r>
            <w:r>
              <w:rPr>
                <w:rFonts w:hint="eastAsia" w:ascii="Times New Roman" w:hAnsi="Times New Roman" w:eastAsia="宋体" w:cs="Times New Roman"/>
                <w:color w:val="000000"/>
                <w:sz w:val="24"/>
                <w:szCs w:val="24"/>
              </w:rPr>
              <w:t>每日</w:t>
            </w:r>
            <w:r>
              <w:rPr>
                <w:rFonts w:ascii="Times New Roman" w:hAnsi="Times New Roman" w:eastAsia="宋体" w:cs="Times New Roman"/>
                <w:color w:val="000000"/>
                <w:sz w:val="24"/>
                <w:szCs w:val="24"/>
              </w:rPr>
              <w:t>1</w:t>
            </w:r>
            <w:r>
              <w:rPr>
                <w:rFonts w:hint="eastAsia" w:ascii="Times New Roman" w:hAnsi="Times New Roman" w:eastAsia="宋体" w:cs="Times New Roman"/>
                <w:color w:val="000000"/>
                <w:sz w:val="24"/>
                <w:szCs w:val="24"/>
              </w:rPr>
              <w:t>次；</w:t>
            </w:r>
          </w:p>
          <w:p w14:paraId="232C546B">
            <w:p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试验组</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rPr>
              <w:t xml:space="preserve"> 100 mg</w:t>
            </w:r>
            <w:r>
              <w:rPr>
                <w:rFonts w:hint="eastAsia" w:ascii="Times New Roman" w:hAnsi="Times New Roman" w:eastAsia="宋体" w:cs="Times New Roman"/>
                <w:color w:val="000000"/>
                <w:sz w:val="24"/>
                <w:szCs w:val="24"/>
              </w:rPr>
              <w:t>，每日</w:t>
            </w:r>
            <w:r>
              <w:rPr>
                <w:rFonts w:ascii="Times New Roman" w:hAnsi="Times New Roman" w:eastAsia="宋体" w:cs="Times New Roman"/>
                <w:color w:val="000000"/>
                <w:sz w:val="24"/>
                <w:szCs w:val="24"/>
              </w:rPr>
              <w:t>1</w:t>
            </w:r>
            <w:r>
              <w:rPr>
                <w:rFonts w:hint="eastAsia" w:ascii="Times New Roman" w:hAnsi="Times New Roman" w:eastAsia="宋体" w:cs="Times New Roman"/>
                <w:color w:val="000000"/>
                <w:sz w:val="24"/>
                <w:szCs w:val="24"/>
              </w:rPr>
              <w:t>次；</w:t>
            </w:r>
          </w:p>
          <w:p w14:paraId="615FF29F">
            <w:p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lang w:eastAsia="zh-Hans"/>
              </w:rPr>
              <w:t>安慰剂组：安慰剂（不含</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活性成份）</w:t>
            </w:r>
            <w:r>
              <w:rPr>
                <w:rFonts w:hint="eastAsia" w:ascii="Times New Roman" w:hAnsi="Times New Roman" w:eastAsia="宋体" w:cs="Times New Roman"/>
                <w:color w:val="000000"/>
                <w:sz w:val="24"/>
                <w:szCs w:val="24"/>
              </w:rPr>
              <w:t>，每日</w:t>
            </w:r>
            <w:r>
              <w:rPr>
                <w:rFonts w:ascii="Times New Roman" w:hAnsi="Times New Roman" w:eastAsia="宋体" w:cs="Times New Roman"/>
                <w:color w:val="000000"/>
                <w:sz w:val="24"/>
                <w:szCs w:val="24"/>
              </w:rPr>
              <w:t>1</w:t>
            </w:r>
            <w:r>
              <w:rPr>
                <w:rFonts w:hint="eastAsia" w:ascii="Times New Roman" w:hAnsi="Times New Roman" w:eastAsia="宋体" w:cs="Times New Roman"/>
                <w:color w:val="000000"/>
                <w:sz w:val="24"/>
                <w:szCs w:val="24"/>
              </w:rPr>
              <w:t>次；</w:t>
            </w:r>
          </w:p>
          <w:p w14:paraId="10C7F960">
            <w:p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注：试验组剂量可能基于Ⅱ期研究结果进行调整。</w:t>
            </w:r>
          </w:p>
          <w:p w14:paraId="0062292A">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参与者将</w:t>
            </w:r>
            <w:r>
              <w:rPr>
                <w:rFonts w:hint="eastAsia" w:ascii="Times New Roman" w:hAnsi="Times New Roman" w:eastAsia="宋体" w:cs="Times New Roman"/>
                <w:color w:val="000000"/>
                <w:sz w:val="24"/>
                <w:szCs w:val="24"/>
                <w:lang w:eastAsia="zh-Hans"/>
              </w:rPr>
              <w:t>持续服用</w:t>
            </w:r>
            <w:r>
              <w:rPr>
                <w:rFonts w:ascii="Times New Roman" w:hAnsi="Times New Roman" w:eastAsia="宋体" w:cs="Times New Roman"/>
                <w:color w:val="000000"/>
                <w:sz w:val="24"/>
                <w:szCs w:val="24"/>
                <w:lang w:eastAsia="zh-Hans"/>
              </w:rPr>
              <w:t>16</w:t>
            </w:r>
            <w:r>
              <w:rPr>
                <w:rFonts w:hint="eastAsia" w:ascii="Times New Roman" w:hAnsi="Times New Roman" w:eastAsia="宋体" w:cs="Times New Roman"/>
                <w:color w:val="000000"/>
                <w:sz w:val="24"/>
                <w:szCs w:val="24"/>
                <w:lang w:eastAsia="zh-Hans"/>
              </w:rPr>
              <w:t>周。研究者将按照本研究的规定对</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进行有效性、安全性及耐受性评价。基础研究结束即进行基础研究数据清理、锁库</w:t>
            </w:r>
            <w:r>
              <w:rPr>
                <w:rFonts w:hint="eastAsia" w:ascii="Times New Roman" w:hAnsi="Times New Roman" w:eastAsia="宋体" w:cs="Times New Roman"/>
                <w:color w:val="000000"/>
                <w:sz w:val="24"/>
                <w:szCs w:val="24"/>
              </w:rPr>
              <w:t>及基础期数据分析</w:t>
            </w:r>
            <w:r>
              <w:rPr>
                <w:rFonts w:hint="eastAsia" w:ascii="Times New Roman" w:hAnsi="Times New Roman" w:eastAsia="宋体" w:cs="Times New Roman"/>
                <w:color w:val="000000"/>
                <w:sz w:val="24"/>
                <w:szCs w:val="24"/>
                <w:lang w:eastAsia="zh-Hans"/>
              </w:rPr>
              <w:t>等程序。</w:t>
            </w:r>
          </w:p>
          <w:p w14:paraId="79C250D7">
            <w:pPr>
              <w:spacing w:line="360" w:lineRule="auto"/>
              <w:jc w:val="both"/>
              <w:rPr>
                <w:rFonts w:ascii="Times New Roman" w:hAnsi="Times New Roman" w:eastAsia="宋体" w:cs="Times New Roman"/>
                <w:b/>
                <w:bCs/>
                <w:color w:val="000000"/>
                <w:sz w:val="24"/>
                <w:szCs w:val="24"/>
                <w:highlight w:val="yellow"/>
                <w:lang w:eastAsia="zh-Hans"/>
              </w:rPr>
            </w:pPr>
            <w:r>
              <w:rPr>
                <w:rFonts w:hint="eastAsia" w:ascii="Times New Roman" w:hAnsi="Times New Roman" w:eastAsia="宋体" w:cs="Times New Roman"/>
                <w:b/>
                <w:bCs/>
                <w:color w:val="000000"/>
                <w:sz w:val="24"/>
                <w:szCs w:val="24"/>
                <w:lang w:eastAsia="zh-Hans"/>
              </w:rPr>
              <w:t>扩展期</w:t>
            </w:r>
          </w:p>
          <w:p w14:paraId="24EDEFFF">
            <w:pPr>
              <w:spacing w:line="360" w:lineRule="auto"/>
              <w:ind w:firstLine="42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lang w:eastAsia="zh-Hans"/>
              </w:rPr>
              <w:t>在完成基础期研究后，</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将继续进行扩展期研究</w:t>
            </w:r>
            <w:r>
              <w:rPr>
                <w:rFonts w:hint="eastAsia" w:ascii="Times New Roman" w:hAnsi="Times New Roman" w:eastAsia="宋体" w:cs="Times New Roman"/>
                <w:color w:val="000000"/>
                <w:sz w:val="24"/>
                <w:szCs w:val="24"/>
              </w:rPr>
              <w:t>。</w:t>
            </w:r>
          </w:p>
          <w:p w14:paraId="29257E15">
            <w:pPr>
              <w:numPr>
                <w:ilvl w:val="0"/>
                <w:numId w:val="17"/>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试验组</w:t>
            </w:r>
            <w:r>
              <w:rPr>
                <w:rFonts w:hint="eastAsia" w:ascii="Times New Roman" w:hAnsi="Times New Roman" w:eastAsia="宋体" w:cs="Times New Roman"/>
                <w:color w:val="000000"/>
                <w:sz w:val="24"/>
                <w:szCs w:val="24"/>
              </w:rPr>
              <w:t>：参与者将继续接受原剂量组</w:t>
            </w:r>
            <w:r>
              <w:rPr>
                <w:rFonts w:ascii="Times New Roman" w:hAnsi="Times New Roman" w:eastAsia="宋体" w:cs="Times New Roman"/>
                <w:color w:val="000000"/>
                <w:sz w:val="24"/>
                <w:szCs w:val="24"/>
              </w:rPr>
              <w:t>QD</w:t>
            </w:r>
            <w:r>
              <w:rPr>
                <w:rFonts w:hint="eastAsia" w:ascii="Times New Roman" w:hAnsi="Times New Roman" w:eastAsia="宋体" w:cs="Times New Roman"/>
                <w:color w:val="000000"/>
                <w:sz w:val="24"/>
                <w:szCs w:val="24"/>
              </w:rPr>
              <w:t>给药</w:t>
            </w:r>
            <w:r>
              <w:rPr>
                <w:rFonts w:hint="eastAsia" w:ascii="Times New Roman" w:hAnsi="Times New Roman" w:eastAsia="宋体" w:cs="Times New Roman"/>
                <w:color w:val="000000"/>
                <w:sz w:val="24"/>
                <w:szCs w:val="24"/>
                <w:lang w:eastAsia="zh-Hans"/>
              </w:rPr>
              <w:t>，持续服用至第</w:t>
            </w:r>
            <w:r>
              <w:rPr>
                <w:rFonts w:ascii="Times New Roman" w:hAnsi="Times New Roman" w:eastAsia="宋体" w:cs="Times New Roman"/>
                <w:color w:val="000000"/>
                <w:sz w:val="24"/>
                <w:szCs w:val="24"/>
                <w:lang w:eastAsia="zh-Hans"/>
              </w:rPr>
              <w:t>52</w:t>
            </w:r>
            <w:r>
              <w:rPr>
                <w:rFonts w:hint="eastAsia" w:ascii="Times New Roman" w:hAnsi="Times New Roman" w:eastAsia="宋体" w:cs="Times New Roman"/>
                <w:color w:val="000000"/>
                <w:sz w:val="24"/>
                <w:szCs w:val="24"/>
                <w:lang w:eastAsia="zh-Hans"/>
              </w:rPr>
              <w:t>周</w:t>
            </w:r>
            <w:r>
              <w:rPr>
                <w:rFonts w:hint="eastAsia" w:ascii="Times New Roman" w:hAnsi="Times New Roman" w:eastAsia="宋体" w:cs="Times New Roman"/>
                <w:color w:val="000000"/>
                <w:sz w:val="24"/>
                <w:szCs w:val="24"/>
              </w:rPr>
              <w:t>；</w:t>
            </w:r>
          </w:p>
          <w:p w14:paraId="29EFEAC9">
            <w:pPr>
              <w:numPr>
                <w:ilvl w:val="0"/>
                <w:numId w:val="17"/>
              </w:numPr>
              <w:spacing w:line="360" w:lineRule="auto"/>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安慰剂：参与者将按照</w:t>
            </w:r>
            <w:r>
              <w:rPr>
                <w:rFonts w:ascii="Times New Roman" w:hAnsi="Times New Roman" w:eastAsia="宋体" w:cs="Times New Roman"/>
                <w:color w:val="000000"/>
                <w:sz w:val="24"/>
                <w:szCs w:val="24"/>
              </w:rPr>
              <w:t>1:1</w:t>
            </w:r>
            <w:r>
              <w:rPr>
                <w:rFonts w:hint="eastAsia" w:ascii="Times New Roman" w:hAnsi="Times New Roman" w:eastAsia="宋体" w:cs="Times New Roman"/>
                <w:color w:val="000000"/>
                <w:sz w:val="24"/>
                <w:szCs w:val="24"/>
              </w:rPr>
              <w:t>的比例分配至</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rPr>
              <w:t xml:space="preserve"> 50mg</w:t>
            </w:r>
            <w:r>
              <w:rPr>
                <w:rFonts w:hint="eastAsia" w:ascii="Times New Roman" w:hAnsi="Times New Roman" w:eastAsia="宋体" w:cs="Times New Roman"/>
                <w:color w:val="000000"/>
                <w:sz w:val="24"/>
                <w:szCs w:val="24"/>
              </w:rPr>
              <w:t>或</w:t>
            </w:r>
            <w:r>
              <w:rPr>
                <w:rFonts w:ascii="Times New Roman" w:hAnsi="Times New Roman" w:eastAsia="宋体" w:cs="Times New Roman"/>
                <w:color w:val="000000"/>
                <w:sz w:val="24"/>
                <w:szCs w:val="24"/>
              </w:rPr>
              <w:t>100mg</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QD</w:t>
            </w:r>
            <w:r>
              <w:rPr>
                <w:rFonts w:hint="eastAsia" w:ascii="Times New Roman" w:hAnsi="Times New Roman" w:eastAsia="宋体" w:cs="Times New Roman"/>
                <w:color w:val="000000"/>
                <w:sz w:val="24"/>
                <w:szCs w:val="24"/>
              </w:rPr>
              <w:t>给药，</w:t>
            </w:r>
            <w:r>
              <w:rPr>
                <w:rFonts w:hint="eastAsia" w:ascii="Times New Roman" w:hAnsi="Times New Roman" w:eastAsia="宋体" w:cs="Times New Roman"/>
                <w:color w:val="000000"/>
                <w:sz w:val="24"/>
                <w:szCs w:val="24"/>
                <w:lang w:eastAsia="zh-Hans"/>
              </w:rPr>
              <w:t>持续服用至第</w:t>
            </w:r>
            <w:r>
              <w:rPr>
                <w:rFonts w:ascii="Times New Roman" w:hAnsi="Times New Roman" w:eastAsia="宋体" w:cs="Times New Roman"/>
                <w:color w:val="000000"/>
                <w:sz w:val="24"/>
                <w:szCs w:val="24"/>
                <w:lang w:eastAsia="zh-Hans"/>
              </w:rPr>
              <w:t>52</w:t>
            </w:r>
            <w:r>
              <w:rPr>
                <w:rFonts w:hint="eastAsia" w:ascii="Times New Roman" w:hAnsi="Times New Roman" w:eastAsia="宋体" w:cs="Times New Roman"/>
                <w:color w:val="000000"/>
                <w:sz w:val="24"/>
                <w:szCs w:val="24"/>
                <w:lang w:eastAsia="zh-Hans"/>
              </w:rPr>
              <w:t>周</w:t>
            </w:r>
            <w:r>
              <w:rPr>
                <w:rFonts w:hint="eastAsia" w:ascii="Times New Roman" w:hAnsi="Times New Roman" w:eastAsia="宋体" w:cs="Times New Roman"/>
                <w:color w:val="000000"/>
                <w:sz w:val="24"/>
                <w:szCs w:val="24"/>
              </w:rPr>
              <w:t>（或根据</w:t>
            </w:r>
            <w:r>
              <w:rPr>
                <w:rFonts w:ascii="Times New Roman" w:hAnsi="Times New Roman" w:eastAsia="宋体" w:cs="Times New Roman"/>
                <w:color w:val="000000"/>
                <w:sz w:val="24"/>
                <w:szCs w:val="24"/>
              </w:rPr>
              <w:t>II</w:t>
            </w:r>
            <w:r>
              <w:rPr>
                <w:rFonts w:hint="eastAsia" w:ascii="Times New Roman" w:hAnsi="Times New Roman" w:eastAsia="宋体" w:cs="Times New Roman"/>
                <w:color w:val="000000"/>
                <w:sz w:val="24"/>
                <w:szCs w:val="24"/>
              </w:rPr>
              <w:t>期的期中分析结果，安慰剂组仅转入推荐的Ⅲ期剂量组）。</w:t>
            </w:r>
          </w:p>
          <w:p w14:paraId="60069E8A">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研究</w:t>
            </w:r>
            <w:r>
              <w:rPr>
                <w:rFonts w:hint="eastAsia" w:ascii="Times New Roman" w:hAnsi="Times New Roman" w:eastAsia="宋体" w:cs="Times New Roman"/>
                <w:color w:val="000000"/>
                <w:sz w:val="24"/>
                <w:szCs w:val="24"/>
                <w:lang w:eastAsia="zh-Hans"/>
              </w:rPr>
              <w:t>结束</w:t>
            </w:r>
            <w:r>
              <w:rPr>
                <w:rFonts w:hint="eastAsia"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Hans"/>
              </w:rPr>
              <w:t>研究者将按照本研究的规定对</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进行有效性、安全性和耐受性评价。</w:t>
            </w:r>
          </w:p>
          <w:p w14:paraId="33FFCA93">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当</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完成</w:t>
            </w:r>
            <w:r>
              <w:rPr>
                <w:rFonts w:hint="eastAsia" w:ascii="Times New Roman" w:hAnsi="Times New Roman" w:eastAsia="宋体" w:cs="Times New Roman"/>
                <w:color w:val="000000"/>
                <w:sz w:val="24"/>
                <w:szCs w:val="24"/>
              </w:rPr>
              <w:t>扩展期研究</w:t>
            </w:r>
            <w:r>
              <w:rPr>
                <w:rFonts w:hint="eastAsia" w:ascii="Times New Roman" w:hAnsi="Times New Roman" w:eastAsia="宋体" w:cs="Times New Roman"/>
                <w:color w:val="000000"/>
                <w:sz w:val="24"/>
                <w:szCs w:val="24"/>
                <w:lang w:eastAsia="zh-Hans"/>
              </w:rPr>
              <w:t>后</w:t>
            </w:r>
            <w:r>
              <w:rPr>
                <w:rFonts w:ascii="Times New Roman" w:hAnsi="Times New Roman" w:eastAsia="宋体" w:cs="Times New Roman"/>
                <w:color w:val="000000"/>
                <w:sz w:val="24"/>
                <w:szCs w:val="24"/>
              </w:rPr>
              <w:t>4</w:t>
            </w:r>
            <w:r>
              <w:rPr>
                <w:rFonts w:hint="eastAsia" w:ascii="Times New Roman" w:hAnsi="Times New Roman" w:eastAsia="宋体" w:cs="Times New Roman"/>
                <w:color w:val="000000"/>
                <w:sz w:val="24"/>
                <w:szCs w:val="24"/>
                <w:lang w:eastAsia="zh-Hans"/>
              </w:rPr>
              <w:t>周，将进行一次电话访视，以收集安全性信息，完成电话访视后研究结束。</w:t>
            </w:r>
          </w:p>
          <w:p w14:paraId="65C35DB9">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color w:val="000000"/>
                <w:sz w:val="24"/>
                <w:szCs w:val="24"/>
                <w:lang w:eastAsia="zh-Hans"/>
              </w:rPr>
              <w:t>当安全性随访结束时，且整个研究的全部数据录入数据库，经数据审核及清理、锁定后，对整个试验进行分析。</w:t>
            </w:r>
          </w:p>
        </w:tc>
      </w:tr>
      <w:tr w14:paraId="558C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168E2636">
            <w:pPr>
              <w:pStyle w:val="60"/>
              <w:ind w:firstLine="0" w:firstLineChars="0"/>
              <w:rPr>
                <w:rStyle w:val="99"/>
                <w:rFonts w:cs="Times New Roman"/>
                <w:b/>
                <w:bCs/>
                <w:sz w:val="24"/>
                <w:szCs w:val="24"/>
              </w:rPr>
            </w:pPr>
            <w:r>
              <w:rPr>
                <w:rStyle w:val="99"/>
                <w:rFonts w:hint="eastAsia" w:cs="Times New Roman"/>
                <w:b/>
                <w:bCs/>
                <w:sz w:val="24"/>
                <w:szCs w:val="24"/>
              </w:rPr>
              <w:t>参与者参与试验的持续时间</w:t>
            </w:r>
          </w:p>
        </w:tc>
        <w:tc>
          <w:tcPr>
            <w:tcW w:w="7934" w:type="dxa"/>
            <w:noWrap/>
          </w:tcPr>
          <w:p w14:paraId="73030D2B">
            <w:pPr>
              <w:spacing w:line="360" w:lineRule="auto"/>
              <w:jc w:val="both"/>
              <w:rPr>
                <w:rFonts w:ascii="Times New Roman" w:hAnsi="Times New Roman" w:eastAsia="宋体" w:cs="Times New Roman"/>
                <w:b/>
                <w:bCs/>
                <w:color w:val="000000"/>
                <w:sz w:val="24"/>
                <w:szCs w:val="24"/>
                <w:u w:val="single"/>
              </w:rPr>
            </w:pPr>
            <w:r>
              <w:rPr>
                <w:rFonts w:hint="eastAsia" w:ascii="Times New Roman" w:hAnsi="Times New Roman" w:eastAsia="宋体" w:cs="Times New Roman"/>
                <w:b/>
                <w:bCs/>
                <w:color w:val="000000"/>
                <w:sz w:val="24"/>
                <w:szCs w:val="24"/>
                <w:u w:val="single"/>
                <w:lang w:eastAsia="zh-Hans"/>
              </w:rPr>
              <w:t>Ⅱ期临床</w:t>
            </w:r>
            <w:r>
              <w:rPr>
                <w:rFonts w:hint="eastAsia" w:ascii="Times New Roman" w:hAnsi="Times New Roman" w:eastAsia="宋体" w:cs="Times New Roman"/>
                <w:b/>
                <w:bCs/>
                <w:color w:val="000000"/>
                <w:sz w:val="24"/>
                <w:szCs w:val="24"/>
                <w:u w:val="single"/>
              </w:rPr>
              <w:t>研究阶段</w:t>
            </w:r>
          </w:p>
          <w:p w14:paraId="49D4A9CF">
            <w:pPr>
              <w:pStyle w:val="60"/>
              <w:ind w:left="220" w:leftChars="100" w:firstLine="0" w:firstLineChars="0"/>
              <w:rPr>
                <w:rStyle w:val="99"/>
                <w:rFonts w:cs="Times New Roman"/>
                <w:sz w:val="24"/>
                <w:szCs w:val="24"/>
              </w:rPr>
            </w:pPr>
            <w:r>
              <w:rPr>
                <w:rStyle w:val="99"/>
                <w:rFonts w:hint="eastAsia" w:cs="Times New Roman"/>
                <w:sz w:val="24"/>
                <w:szCs w:val="24"/>
              </w:rPr>
              <w:t>每位参与者最长参与研究时间约</w:t>
            </w:r>
            <w:r>
              <w:rPr>
                <w:rStyle w:val="99"/>
                <w:rFonts w:cs="Times New Roman"/>
                <w:sz w:val="24"/>
                <w:szCs w:val="24"/>
              </w:rPr>
              <w:t>20</w:t>
            </w:r>
            <w:r>
              <w:rPr>
                <w:rStyle w:val="99"/>
                <w:rFonts w:hint="eastAsia" w:cs="Times New Roman"/>
                <w:sz w:val="24"/>
                <w:szCs w:val="24"/>
              </w:rPr>
              <w:t>周，包括：</w:t>
            </w:r>
          </w:p>
          <w:p w14:paraId="6A6368A3">
            <w:pPr>
              <w:pStyle w:val="60"/>
              <w:ind w:left="220" w:leftChars="100" w:firstLine="0" w:firstLineChars="0"/>
              <w:rPr>
                <w:rStyle w:val="99"/>
                <w:rFonts w:cs="Times New Roman"/>
                <w:sz w:val="24"/>
                <w:szCs w:val="24"/>
              </w:rPr>
            </w:pPr>
            <w:r>
              <w:rPr>
                <w:rStyle w:val="99"/>
                <w:rFonts w:hint="eastAsia" w:cs="Times New Roman"/>
                <w:sz w:val="24"/>
                <w:szCs w:val="24"/>
              </w:rPr>
              <w:t>筛选期：第</w:t>
            </w:r>
            <w:r>
              <w:rPr>
                <w:rStyle w:val="99"/>
                <w:rFonts w:cs="Times New Roman"/>
                <w:sz w:val="24"/>
                <w:szCs w:val="24"/>
              </w:rPr>
              <w:t>-4</w:t>
            </w:r>
            <w:r>
              <w:rPr>
                <w:rStyle w:val="99"/>
                <w:rFonts w:hint="eastAsia" w:cs="Times New Roman"/>
                <w:sz w:val="24"/>
                <w:szCs w:val="24"/>
              </w:rPr>
              <w:t>周</w:t>
            </w:r>
            <w:r>
              <w:rPr>
                <w:rStyle w:val="99"/>
                <w:rFonts w:cs="Times New Roman"/>
                <w:sz w:val="24"/>
                <w:szCs w:val="24"/>
              </w:rPr>
              <w:t>~</w:t>
            </w:r>
            <w:r>
              <w:rPr>
                <w:rStyle w:val="99"/>
                <w:rFonts w:hint="eastAsia" w:cs="Times New Roman"/>
                <w:sz w:val="24"/>
                <w:szCs w:val="24"/>
              </w:rPr>
              <w:t>第-</w:t>
            </w:r>
            <w:r>
              <w:rPr>
                <w:rStyle w:val="99"/>
                <w:rFonts w:cs="Times New Roman"/>
                <w:sz w:val="24"/>
                <w:szCs w:val="24"/>
              </w:rPr>
              <w:t>1</w:t>
            </w:r>
            <w:r>
              <w:rPr>
                <w:rStyle w:val="99"/>
                <w:rFonts w:hint="eastAsia" w:cs="Times New Roman"/>
                <w:sz w:val="24"/>
                <w:szCs w:val="24"/>
              </w:rPr>
              <w:t>天；</w:t>
            </w:r>
          </w:p>
          <w:p w14:paraId="240833F4">
            <w:pPr>
              <w:pStyle w:val="60"/>
              <w:ind w:left="220" w:leftChars="100" w:firstLine="0" w:firstLineChars="0"/>
              <w:rPr>
                <w:rStyle w:val="99"/>
                <w:rFonts w:cs="Times New Roman"/>
                <w:sz w:val="24"/>
                <w:szCs w:val="24"/>
              </w:rPr>
            </w:pPr>
            <w:r>
              <w:rPr>
                <w:rStyle w:val="99"/>
                <w:rFonts w:hint="eastAsia" w:cs="Times New Roman"/>
                <w:sz w:val="24"/>
                <w:szCs w:val="24"/>
              </w:rPr>
              <w:t>治疗期：</w:t>
            </w:r>
            <w:r>
              <w:rPr>
                <w:rStyle w:val="99"/>
                <w:rFonts w:cs="Times New Roman"/>
                <w:sz w:val="24"/>
                <w:szCs w:val="24"/>
              </w:rPr>
              <w:t>12</w:t>
            </w:r>
            <w:r>
              <w:rPr>
                <w:rStyle w:val="99"/>
                <w:rFonts w:hint="eastAsia" w:cs="Times New Roman"/>
                <w:sz w:val="24"/>
                <w:szCs w:val="24"/>
              </w:rPr>
              <w:t>周；</w:t>
            </w:r>
          </w:p>
          <w:p w14:paraId="0F05CC6A">
            <w:pPr>
              <w:pStyle w:val="60"/>
              <w:ind w:left="220" w:leftChars="100" w:firstLine="0" w:firstLineChars="0"/>
              <w:rPr>
                <w:rStyle w:val="99"/>
                <w:rFonts w:cs="Times New Roman"/>
                <w:sz w:val="24"/>
                <w:szCs w:val="24"/>
              </w:rPr>
            </w:pPr>
            <w:r>
              <w:rPr>
                <w:rStyle w:val="99"/>
                <w:rFonts w:hint="eastAsia" w:cs="Times New Roman"/>
                <w:sz w:val="24"/>
                <w:szCs w:val="24"/>
              </w:rPr>
              <w:t>安全性随访：</w:t>
            </w:r>
            <w:r>
              <w:rPr>
                <w:rStyle w:val="99"/>
                <w:rFonts w:cs="Times New Roman"/>
                <w:sz w:val="24"/>
                <w:szCs w:val="24"/>
              </w:rPr>
              <w:t>4</w:t>
            </w:r>
            <w:r>
              <w:rPr>
                <w:rStyle w:val="99"/>
                <w:rFonts w:hint="eastAsia" w:cs="Times New Roman"/>
                <w:sz w:val="24"/>
                <w:szCs w:val="24"/>
              </w:rPr>
              <w:t>周。</w:t>
            </w:r>
          </w:p>
          <w:p w14:paraId="11265EB5">
            <w:pPr>
              <w:spacing w:line="360" w:lineRule="auto"/>
              <w:jc w:val="both"/>
              <w:rPr>
                <w:rFonts w:ascii="Times New Roman" w:hAnsi="Times New Roman" w:eastAsia="宋体" w:cs="Times New Roman"/>
                <w:b/>
                <w:bCs/>
                <w:color w:val="000000"/>
                <w:sz w:val="24"/>
                <w:szCs w:val="24"/>
                <w:u w:val="single"/>
              </w:rPr>
            </w:pPr>
            <w:r>
              <w:rPr>
                <w:rFonts w:hint="eastAsia" w:ascii="Times New Roman" w:hAnsi="Times New Roman" w:eastAsia="宋体" w:cs="Times New Roman"/>
                <w:b/>
                <w:bCs/>
                <w:color w:val="000000"/>
                <w:sz w:val="24"/>
                <w:szCs w:val="24"/>
                <w:u w:val="single"/>
                <w:lang w:eastAsia="zh-Hans"/>
              </w:rPr>
              <w:t>Ⅲ期临床</w:t>
            </w:r>
            <w:r>
              <w:rPr>
                <w:rFonts w:hint="eastAsia" w:ascii="Times New Roman" w:hAnsi="Times New Roman" w:eastAsia="宋体" w:cs="Times New Roman"/>
                <w:b/>
                <w:bCs/>
                <w:color w:val="000000"/>
                <w:sz w:val="24"/>
                <w:szCs w:val="24"/>
                <w:u w:val="single"/>
              </w:rPr>
              <w:t>研究阶段</w:t>
            </w:r>
          </w:p>
          <w:p w14:paraId="263BCEBF">
            <w:pPr>
              <w:pStyle w:val="60"/>
              <w:ind w:left="220" w:leftChars="100" w:firstLine="0" w:firstLineChars="0"/>
              <w:rPr>
                <w:rStyle w:val="99"/>
                <w:rFonts w:cs="Times New Roman"/>
                <w:sz w:val="24"/>
                <w:szCs w:val="24"/>
              </w:rPr>
            </w:pPr>
            <w:r>
              <w:rPr>
                <w:rStyle w:val="99"/>
                <w:rFonts w:hint="eastAsia" w:cs="Times New Roman"/>
                <w:sz w:val="24"/>
                <w:szCs w:val="24"/>
              </w:rPr>
              <w:t>每位参与者最长参与研究时间约</w:t>
            </w:r>
            <w:r>
              <w:rPr>
                <w:rStyle w:val="99"/>
                <w:rFonts w:cs="Times New Roman"/>
                <w:sz w:val="24"/>
                <w:szCs w:val="24"/>
              </w:rPr>
              <w:t>60</w:t>
            </w:r>
            <w:r>
              <w:rPr>
                <w:rStyle w:val="99"/>
                <w:rFonts w:hint="eastAsia" w:cs="Times New Roman"/>
                <w:sz w:val="24"/>
                <w:szCs w:val="24"/>
              </w:rPr>
              <w:t>周，包括：</w:t>
            </w:r>
          </w:p>
          <w:p w14:paraId="539D979A">
            <w:pPr>
              <w:pStyle w:val="60"/>
              <w:ind w:left="220" w:leftChars="100" w:firstLine="0" w:firstLineChars="0"/>
              <w:rPr>
                <w:rStyle w:val="99"/>
                <w:rFonts w:cs="Times New Roman"/>
                <w:sz w:val="24"/>
                <w:szCs w:val="24"/>
              </w:rPr>
            </w:pPr>
            <w:r>
              <w:rPr>
                <w:rStyle w:val="99"/>
                <w:rFonts w:hint="eastAsia" w:cs="Times New Roman"/>
                <w:sz w:val="24"/>
                <w:szCs w:val="24"/>
              </w:rPr>
              <w:t>筛选期：第</w:t>
            </w:r>
            <w:r>
              <w:rPr>
                <w:rStyle w:val="99"/>
                <w:rFonts w:cs="Times New Roman"/>
                <w:sz w:val="24"/>
                <w:szCs w:val="24"/>
              </w:rPr>
              <w:t>-4</w:t>
            </w:r>
            <w:r>
              <w:rPr>
                <w:rStyle w:val="99"/>
                <w:rFonts w:hint="eastAsia" w:cs="Times New Roman"/>
                <w:sz w:val="24"/>
                <w:szCs w:val="24"/>
              </w:rPr>
              <w:t>周</w:t>
            </w:r>
            <w:r>
              <w:rPr>
                <w:rStyle w:val="99"/>
                <w:rFonts w:cs="Times New Roman"/>
                <w:sz w:val="24"/>
                <w:szCs w:val="24"/>
              </w:rPr>
              <w:t>~</w:t>
            </w:r>
            <w:r>
              <w:rPr>
                <w:rStyle w:val="99"/>
                <w:rFonts w:hint="eastAsia" w:cs="Times New Roman"/>
                <w:sz w:val="24"/>
                <w:szCs w:val="24"/>
              </w:rPr>
              <w:t>第-</w:t>
            </w:r>
            <w:r>
              <w:rPr>
                <w:rStyle w:val="99"/>
                <w:rFonts w:cs="Times New Roman"/>
                <w:sz w:val="24"/>
                <w:szCs w:val="24"/>
              </w:rPr>
              <w:t>1</w:t>
            </w:r>
            <w:r>
              <w:rPr>
                <w:rStyle w:val="99"/>
                <w:rFonts w:hint="eastAsia" w:cs="Times New Roman"/>
                <w:sz w:val="24"/>
                <w:szCs w:val="24"/>
              </w:rPr>
              <w:t>天；</w:t>
            </w:r>
          </w:p>
          <w:p w14:paraId="09A80F1B">
            <w:pPr>
              <w:pStyle w:val="60"/>
              <w:ind w:left="220" w:leftChars="100" w:firstLine="0" w:firstLineChars="0"/>
              <w:rPr>
                <w:rStyle w:val="99"/>
                <w:rFonts w:cs="Times New Roman"/>
                <w:sz w:val="24"/>
                <w:szCs w:val="24"/>
              </w:rPr>
            </w:pPr>
            <w:r>
              <w:rPr>
                <w:rStyle w:val="99"/>
                <w:rFonts w:hint="eastAsia" w:cs="Times New Roman"/>
                <w:sz w:val="24"/>
                <w:szCs w:val="24"/>
              </w:rPr>
              <w:t>基础期：</w:t>
            </w:r>
            <w:r>
              <w:rPr>
                <w:rStyle w:val="99"/>
                <w:rFonts w:cs="Times New Roman"/>
                <w:sz w:val="24"/>
                <w:szCs w:val="24"/>
              </w:rPr>
              <w:t>16</w:t>
            </w:r>
            <w:r>
              <w:rPr>
                <w:rStyle w:val="99"/>
                <w:rFonts w:hint="eastAsia" w:cs="Times New Roman"/>
                <w:sz w:val="24"/>
                <w:szCs w:val="24"/>
              </w:rPr>
              <w:t>周；</w:t>
            </w:r>
          </w:p>
          <w:p w14:paraId="572C4399">
            <w:pPr>
              <w:pStyle w:val="60"/>
              <w:ind w:left="220" w:leftChars="100" w:firstLine="0" w:firstLineChars="0"/>
              <w:rPr>
                <w:rStyle w:val="99"/>
                <w:rFonts w:cs="Times New Roman"/>
                <w:sz w:val="24"/>
                <w:szCs w:val="24"/>
              </w:rPr>
            </w:pPr>
            <w:r>
              <w:rPr>
                <w:rStyle w:val="99"/>
                <w:rFonts w:hint="eastAsia" w:cs="Times New Roman"/>
                <w:sz w:val="24"/>
                <w:szCs w:val="24"/>
              </w:rPr>
              <w:t>扩展期：</w:t>
            </w:r>
            <w:r>
              <w:rPr>
                <w:rStyle w:val="99"/>
                <w:rFonts w:cs="Times New Roman"/>
                <w:sz w:val="24"/>
                <w:szCs w:val="24"/>
              </w:rPr>
              <w:t>36</w:t>
            </w:r>
            <w:r>
              <w:rPr>
                <w:rStyle w:val="99"/>
                <w:rFonts w:hint="eastAsia" w:cs="Times New Roman"/>
                <w:sz w:val="24"/>
                <w:szCs w:val="24"/>
              </w:rPr>
              <w:t>周；</w:t>
            </w:r>
          </w:p>
          <w:p w14:paraId="1C050774">
            <w:pPr>
              <w:pStyle w:val="60"/>
              <w:ind w:left="220" w:leftChars="100" w:firstLine="0" w:firstLineChars="0"/>
              <w:rPr>
                <w:rFonts w:cs="Times New Roman"/>
                <w:sz w:val="24"/>
                <w:szCs w:val="24"/>
              </w:rPr>
            </w:pPr>
            <w:r>
              <w:rPr>
                <w:rStyle w:val="99"/>
                <w:rFonts w:hint="eastAsia" w:cs="Times New Roman"/>
                <w:sz w:val="24"/>
                <w:szCs w:val="24"/>
              </w:rPr>
              <w:t>安全性随访：</w:t>
            </w:r>
            <w:r>
              <w:rPr>
                <w:rStyle w:val="99"/>
                <w:rFonts w:cs="Times New Roman"/>
                <w:sz w:val="24"/>
                <w:szCs w:val="24"/>
              </w:rPr>
              <w:t>4</w:t>
            </w:r>
            <w:r>
              <w:rPr>
                <w:rStyle w:val="99"/>
                <w:rFonts w:hint="eastAsia" w:cs="Times New Roman"/>
                <w:sz w:val="24"/>
                <w:szCs w:val="24"/>
              </w:rPr>
              <w:t>周。</w:t>
            </w:r>
          </w:p>
        </w:tc>
      </w:tr>
      <w:tr w14:paraId="155F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0B0423B1">
            <w:pPr>
              <w:pStyle w:val="60"/>
              <w:ind w:firstLine="0" w:firstLineChars="0"/>
              <w:rPr>
                <w:rStyle w:val="99"/>
                <w:rFonts w:eastAsia="黑体" w:cs="Times New Roman"/>
                <w:b/>
                <w:bCs/>
                <w:color w:val="auto"/>
                <w:sz w:val="24"/>
                <w:szCs w:val="24"/>
              </w:rPr>
            </w:pPr>
            <w:r>
              <w:rPr>
                <w:rStyle w:val="99"/>
                <w:rFonts w:hint="eastAsia" w:cs="Times New Roman"/>
                <w:b/>
                <w:bCs/>
                <w:sz w:val="24"/>
                <w:szCs w:val="24"/>
              </w:rPr>
              <w:t>研究人群</w:t>
            </w:r>
          </w:p>
        </w:tc>
        <w:tc>
          <w:tcPr>
            <w:tcW w:w="7934" w:type="dxa"/>
            <w:noWrap/>
          </w:tcPr>
          <w:p w14:paraId="102294C6">
            <w:pPr>
              <w:pStyle w:val="60"/>
              <w:ind w:firstLine="0" w:firstLineChars="0"/>
              <w:rPr>
                <w:rStyle w:val="99"/>
                <w:rFonts w:cs="Times New Roman"/>
                <w:i/>
                <w:iCs/>
                <w:sz w:val="24"/>
                <w:szCs w:val="24"/>
              </w:rPr>
            </w:pPr>
            <w:r>
              <w:rPr>
                <w:rFonts w:hint="eastAsia" w:cs="Times New Roman"/>
                <w:sz w:val="24"/>
                <w:szCs w:val="24"/>
              </w:rPr>
              <w:t>中度至重度银屑病成人患者</w:t>
            </w:r>
          </w:p>
        </w:tc>
      </w:tr>
      <w:tr w14:paraId="4EDD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19F165E2">
            <w:pPr>
              <w:pStyle w:val="60"/>
              <w:ind w:firstLine="0" w:firstLineChars="0"/>
              <w:rPr>
                <w:rStyle w:val="99"/>
                <w:rFonts w:cs="Times New Roman"/>
                <w:b/>
                <w:bCs/>
                <w:sz w:val="24"/>
                <w:szCs w:val="24"/>
              </w:rPr>
            </w:pPr>
            <w:r>
              <w:rPr>
                <w:rStyle w:val="99"/>
                <w:rFonts w:hint="eastAsia" w:cs="Times New Roman"/>
                <w:b/>
                <w:bCs/>
                <w:sz w:val="24"/>
                <w:szCs w:val="24"/>
              </w:rPr>
              <w:t>参与者入选</w:t>
            </w:r>
            <w:r>
              <w:rPr>
                <w:rStyle w:val="99"/>
                <w:rFonts w:cs="Times New Roman"/>
                <w:b/>
                <w:bCs/>
                <w:sz w:val="24"/>
                <w:szCs w:val="24"/>
              </w:rPr>
              <w:t>/</w:t>
            </w:r>
            <w:r>
              <w:rPr>
                <w:rStyle w:val="99"/>
                <w:rFonts w:hint="eastAsia" w:cs="Times New Roman"/>
                <w:b/>
                <w:bCs/>
                <w:sz w:val="24"/>
                <w:szCs w:val="24"/>
              </w:rPr>
              <w:t>排除标准</w:t>
            </w:r>
          </w:p>
        </w:tc>
        <w:tc>
          <w:tcPr>
            <w:tcW w:w="7934" w:type="dxa"/>
            <w:noWrap/>
          </w:tcPr>
          <w:p w14:paraId="193A6DFE">
            <w:pPr>
              <w:pStyle w:val="60"/>
              <w:ind w:firstLine="0" w:firstLineChars="0"/>
              <w:rPr>
                <w:rStyle w:val="99"/>
                <w:rFonts w:cs="Times New Roman"/>
                <w:b/>
                <w:bCs/>
                <w:sz w:val="24"/>
                <w:szCs w:val="24"/>
              </w:rPr>
            </w:pPr>
            <w:r>
              <w:rPr>
                <w:rStyle w:val="99"/>
                <w:rFonts w:hint="eastAsia" w:cs="Times New Roman"/>
                <w:b/>
                <w:bCs/>
                <w:sz w:val="24"/>
                <w:szCs w:val="24"/>
              </w:rPr>
              <w:t>入选标准：</w:t>
            </w:r>
          </w:p>
          <w:p w14:paraId="3E96DFA8">
            <w:pPr>
              <w:pStyle w:val="60"/>
              <w:widowControl/>
              <w:ind w:firstLine="0" w:firstLineChars="0"/>
              <w:rPr>
                <w:rStyle w:val="99"/>
                <w:rFonts w:cs="Times New Roman"/>
                <w:sz w:val="24"/>
                <w:szCs w:val="24"/>
              </w:rPr>
            </w:pPr>
            <w:r>
              <w:rPr>
                <w:rStyle w:val="99"/>
                <w:rFonts w:hint="eastAsia" w:cs="Times New Roman"/>
                <w:sz w:val="24"/>
                <w:szCs w:val="24"/>
              </w:rPr>
              <w:t>参与者必须符合下列所有标准才能参加试验：</w:t>
            </w:r>
          </w:p>
          <w:p w14:paraId="486DDAE6">
            <w:pPr>
              <w:numPr>
                <w:ilvl w:val="0"/>
                <w:numId w:val="18"/>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自愿签署知情同意书（</w:t>
            </w:r>
            <w:r>
              <w:rPr>
                <w:rFonts w:ascii="Times New Roman" w:hAnsi="Times New Roman" w:eastAsia="宋体" w:cs="Times New Roman"/>
                <w:bCs/>
                <w:sz w:val="24"/>
                <w:szCs w:val="24"/>
              </w:rPr>
              <w:t>ICF</w:t>
            </w:r>
            <w:r>
              <w:rPr>
                <w:rFonts w:hint="eastAsia" w:ascii="Times New Roman" w:hAnsi="Times New Roman" w:eastAsia="宋体" w:cs="Times New Roman"/>
                <w:bCs/>
                <w:sz w:val="24"/>
                <w:szCs w:val="24"/>
              </w:rPr>
              <w:t>），能够和研究者进行良好的沟通，并且理解和遵守本研究的各项要求和限制条件；</w:t>
            </w:r>
          </w:p>
          <w:p w14:paraId="2827E502">
            <w:pPr>
              <w:numPr>
                <w:ilvl w:val="0"/>
                <w:numId w:val="18"/>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签署</w:t>
            </w:r>
            <w:r>
              <w:rPr>
                <w:rFonts w:ascii="Times New Roman" w:hAnsi="Times New Roman" w:eastAsia="宋体" w:cs="Times New Roman"/>
                <w:bCs/>
                <w:sz w:val="24"/>
                <w:szCs w:val="24"/>
              </w:rPr>
              <w:t>ICF</w:t>
            </w:r>
            <w:r>
              <w:rPr>
                <w:rFonts w:hint="eastAsia" w:ascii="Times New Roman" w:hAnsi="Times New Roman" w:eastAsia="宋体" w:cs="Times New Roman"/>
                <w:bCs/>
                <w:sz w:val="24"/>
                <w:szCs w:val="24"/>
              </w:rPr>
              <w:t>时年龄≥</w:t>
            </w:r>
            <w:r>
              <w:rPr>
                <w:rFonts w:ascii="Times New Roman" w:hAnsi="Times New Roman" w:eastAsia="宋体" w:cs="Times New Roman"/>
                <w:bCs/>
                <w:sz w:val="24"/>
                <w:szCs w:val="24"/>
              </w:rPr>
              <w:t>18</w:t>
            </w:r>
            <w:r>
              <w:rPr>
                <w:rFonts w:hint="eastAsia" w:ascii="Times New Roman" w:hAnsi="Times New Roman" w:eastAsia="宋体" w:cs="Times New Roman"/>
                <w:bCs/>
                <w:sz w:val="24"/>
                <w:szCs w:val="24"/>
              </w:rPr>
              <w:t>周岁且≤</w:t>
            </w:r>
            <w:r>
              <w:rPr>
                <w:rFonts w:ascii="Times New Roman" w:hAnsi="Times New Roman" w:eastAsia="宋体" w:cs="Times New Roman"/>
                <w:bCs/>
                <w:sz w:val="24"/>
                <w:szCs w:val="24"/>
              </w:rPr>
              <w:t>75</w:t>
            </w:r>
            <w:r>
              <w:rPr>
                <w:rFonts w:hint="eastAsia" w:ascii="Times New Roman" w:hAnsi="Times New Roman" w:eastAsia="宋体" w:cs="Times New Roman"/>
                <w:bCs/>
                <w:sz w:val="24"/>
                <w:szCs w:val="24"/>
              </w:rPr>
              <w:t>周岁，性别不限；</w:t>
            </w:r>
          </w:p>
          <w:p w14:paraId="347C0952">
            <w:pPr>
              <w:numPr>
                <w:ilvl w:val="0"/>
                <w:numId w:val="18"/>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筛选时，由研究者评估患有斑块状银屑病，病史≥</w:t>
            </w:r>
            <w:r>
              <w:rPr>
                <w:rFonts w:ascii="Times New Roman" w:hAnsi="Times New Roman" w:eastAsia="宋体" w:cs="Times New Roman"/>
                <w:bCs/>
                <w:sz w:val="24"/>
                <w:szCs w:val="24"/>
              </w:rPr>
              <w:t>6</w:t>
            </w:r>
            <w:r>
              <w:rPr>
                <w:rFonts w:hint="eastAsia" w:ascii="Times New Roman" w:hAnsi="Times New Roman" w:eastAsia="宋体" w:cs="Times New Roman"/>
                <w:bCs/>
                <w:sz w:val="24"/>
                <w:szCs w:val="24"/>
              </w:rPr>
              <w:t>个月，且处于稳定期；</w:t>
            </w:r>
          </w:p>
          <w:p w14:paraId="2C050570">
            <w:pPr>
              <w:numPr>
                <w:ilvl w:val="0"/>
                <w:numId w:val="18"/>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筛选和基线时研究者评估斑块状银屑病病情满足以下要求：</w:t>
            </w:r>
          </w:p>
          <w:p w14:paraId="661D5069">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银屑病面积与严重程度指数（</w:t>
            </w:r>
            <w:r>
              <w:rPr>
                <w:rFonts w:ascii="Times New Roman" w:hAnsi="Times New Roman" w:eastAsia="宋体" w:cs="Times New Roman"/>
                <w:bCs/>
                <w:sz w:val="24"/>
                <w:szCs w:val="24"/>
              </w:rPr>
              <w:t>PASI</w:t>
            </w:r>
            <w:r>
              <w:rPr>
                <w:rFonts w:hint="eastAsia" w:ascii="Times New Roman" w:hAnsi="Times New Roman" w:eastAsia="宋体" w:cs="Times New Roman"/>
                <w:bCs/>
                <w:sz w:val="24"/>
                <w:szCs w:val="24"/>
              </w:rPr>
              <w:t>）评分≥</w:t>
            </w:r>
            <w:r>
              <w:rPr>
                <w:rFonts w:ascii="Times New Roman" w:hAnsi="Times New Roman" w:eastAsia="宋体" w:cs="Times New Roman"/>
                <w:bCs/>
                <w:sz w:val="24"/>
                <w:szCs w:val="24"/>
              </w:rPr>
              <w:t>12</w:t>
            </w:r>
            <w:r>
              <w:rPr>
                <w:rFonts w:hint="eastAsia" w:ascii="Times New Roman" w:hAnsi="Times New Roman" w:eastAsia="宋体" w:cs="Times New Roman"/>
                <w:bCs/>
                <w:sz w:val="24"/>
                <w:szCs w:val="24"/>
              </w:rPr>
              <w:t>分；</w:t>
            </w:r>
          </w:p>
          <w:p w14:paraId="5E015243">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医生整体评价（</w:t>
            </w:r>
            <w:r>
              <w:rPr>
                <w:rFonts w:ascii="Times New Roman" w:hAnsi="Times New Roman" w:eastAsia="宋体" w:cs="Times New Roman"/>
                <w:bCs/>
                <w:sz w:val="24"/>
                <w:szCs w:val="24"/>
              </w:rPr>
              <w:t>PGA</w:t>
            </w:r>
            <w:r>
              <w:rPr>
                <w:rFonts w:hint="eastAsia" w:ascii="Times New Roman" w:hAnsi="Times New Roman" w:eastAsia="宋体" w:cs="Times New Roman"/>
                <w:bCs/>
                <w:sz w:val="24"/>
                <w:szCs w:val="24"/>
              </w:rPr>
              <w:t>）评分≥</w:t>
            </w: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分；</w:t>
            </w:r>
          </w:p>
          <w:p w14:paraId="5F311274">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受累的体表面积（</w:t>
            </w:r>
            <w:r>
              <w:rPr>
                <w:rFonts w:ascii="Times New Roman" w:hAnsi="Times New Roman" w:eastAsia="宋体" w:cs="Times New Roman"/>
                <w:bCs/>
                <w:sz w:val="24"/>
                <w:szCs w:val="24"/>
              </w:rPr>
              <w:t>BSA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10%</w:t>
            </w:r>
            <w:r>
              <w:rPr>
                <w:rFonts w:hint="eastAsia" w:ascii="Times New Roman" w:hAnsi="Times New Roman" w:eastAsia="宋体" w:cs="Times New Roman"/>
                <w:bCs/>
                <w:sz w:val="24"/>
                <w:szCs w:val="24"/>
              </w:rPr>
              <w:t>；</w:t>
            </w:r>
          </w:p>
          <w:p w14:paraId="4685757B">
            <w:pPr>
              <w:numPr>
                <w:ilvl w:val="0"/>
                <w:numId w:val="18"/>
              </w:numPr>
              <w:spacing w:line="360" w:lineRule="auto"/>
              <w:jc w:val="both"/>
              <w:rPr>
                <w:rStyle w:val="99"/>
                <w:rFonts w:ascii="Times New Roman" w:hAnsi="Times New Roman" w:cs="Times New Roman"/>
                <w:b/>
                <w:bCs/>
                <w:sz w:val="24"/>
                <w:szCs w:val="24"/>
              </w:rPr>
            </w:pPr>
            <w:r>
              <w:rPr>
                <w:rFonts w:hint="eastAsia" w:ascii="Times New Roman" w:hAnsi="Times New Roman" w:eastAsia="宋体" w:cs="Times New Roman"/>
                <w:bCs/>
                <w:sz w:val="24"/>
                <w:szCs w:val="24"/>
              </w:rPr>
              <w:t>研究者判断符合光疗或系统性治疗条件；</w:t>
            </w:r>
          </w:p>
          <w:p w14:paraId="23C9B722">
            <w:pPr>
              <w:numPr>
                <w:ilvl w:val="0"/>
                <w:numId w:val="18"/>
              </w:numPr>
              <w:spacing w:line="360" w:lineRule="auto"/>
              <w:jc w:val="both"/>
              <w:rPr>
                <w:rStyle w:val="99"/>
                <w:rFonts w:ascii="Times New Roman" w:hAnsi="Times New Roman" w:cs="Times New Roman"/>
                <w:b/>
                <w:bCs/>
                <w:sz w:val="24"/>
                <w:szCs w:val="24"/>
              </w:rPr>
            </w:pPr>
            <w:r>
              <w:rPr>
                <w:rFonts w:hint="eastAsia" w:ascii="Times New Roman" w:hAnsi="Times New Roman" w:eastAsia="宋体" w:cs="Times New Roman"/>
                <w:bCs/>
                <w:sz w:val="24"/>
                <w:szCs w:val="24"/>
              </w:rPr>
              <w:t>有生育能力的参与者自签署知情同意书至研究末次给药后至少</w:t>
            </w: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个月无怀孕或捐精计划，必须遵守避孕的相关规定，采取高效或可接受的避孕方法避孕（见附录</w:t>
            </w:r>
            <w:r>
              <w:rPr>
                <w:rFonts w:ascii="Times New Roman" w:hAnsi="Times New Roman" w:eastAsia="宋体" w:cs="Times New Roman"/>
                <w:bCs/>
                <w:sz w:val="24"/>
                <w:szCs w:val="24"/>
              </w:rPr>
              <w:t>1</w:t>
            </w:r>
            <w:r>
              <w:rPr>
                <w:rFonts w:hint="eastAsia" w:ascii="Times New Roman" w:hAnsi="Times New Roman" w:eastAsia="宋体" w:cs="Times New Roman"/>
                <w:bCs/>
                <w:sz w:val="24"/>
                <w:szCs w:val="24"/>
              </w:rPr>
              <w:t>）。</w:t>
            </w:r>
          </w:p>
          <w:p w14:paraId="2610FB59">
            <w:pPr>
              <w:pStyle w:val="60"/>
              <w:ind w:firstLine="0" w:firstLineChars="0"/>
              <w:rPr>
                <w:rStyle w:val="99"/>
                <w:rFonts w:cs="Times New Roman"/>
                <w:b/>
                <w:bCs/>
                <w:sz w:val="24"/>
                <w:szCs w:val="24"/>
              </w:rPr>
            </w:pPr>
            <w:r>
              <w:rPr>
                <w:rStyle w:val="99"/>
                <w:rFonts w:hint="eastAsia" w:cs="Times New Roman"/>
                <w:b/>
                <w:bCs/>
                <w:sz w:val="24"/>
                <w:szCs w:val="24"/>
              </w:rPr>
              <w:t>排除标准：</w:t>
            </w:r>
          </w:p>
          <w:p w14:paraId="16B7FC28">
            <w:pPr>
              <w:pStyle w:val="60"/>
              <w:widowControl/>
              <w:ind w:firstLine="0" w:firstLineChars="0"/>
              <w:rPr>
                <w:rStyle w:val="99"/>
                <w:rFonts w:cs="Times New Roman"/>
                <w:b/>
                <w:bCs/>
                <w:sz w:val="24"/>
                <w:szCs w:val="24"/>
              </w:rPr>
            </w:pPr>
            <w:r>
              <w:rPr>
                <w:rStyle w:val="99"/>
                <w:rFonts w:hint="eastAsia" w:cs="Times New Roman"/>
                <w:sz w:val="24"/>
                <w:szCs w:val="24"/>
              </w:rPr>
              <w:t>必须排除符合下列任一排除标准的参与者：</w:t>
            </w:r>
          </w:p>
          <w:p w14:paraId="57CBBEFB">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基线前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个月内存在非斑块状银屑病（如点滴型、脓疱型、红皮病型或反向型银屑病）；</w:t>
            </w:r>
          </w:p>
          <w:p w14:paraId="0A6C48A1">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筛选或基线时，存在其它皮肤病病史或当前状态（如湿疹），经研究者判断可能影响研究评估；</w:t>
            </w:r>
          </w:p>
          <w:p w14:paraId="6EFC915F">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有药物（如</w:t>
            </w:r>
            <w:r>
              <w:rPr>
                <w:rFonts w:ascii="Times New Roman" w:hAnsi="Times New Roman" w:eastAsia="宋体" w:cs="Times New Roman"/>
                <w:bCs/>
                <w:color w:val="000000"/>
                <w:kern w:val="2"/>
                <w:sz w:val="24"/>
                <w:szCs w:val="24"/>
              </w:rPr>
              <w:t>β-</w:t>
            </w:r>
            <w:r>
              <w:rPr>
                <w:rFonts w:hint="eastAsia" w:ascii="Times New Roman" w:hAnsi="Times New Roman" w:eastAsia="宋体" w:cs="Times New Roman"/>
                <w:bCs/>
                <w:color w:val="000000"/>
                <w:kern w:val="2"/>
                <w:sz w:val="24"/>
                <w:szCs w:val="24"/>
              </w:rPr>
              <w:t>受体阻滞剂、钙离子通道阻滞剂、抗疟药物或锂剂）诱发或加重的银屑病既往病史或现病史；</w:t>
            </w:r>
          </w:p>
          <w:p w14:paraId="75A6B6AE">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有严重带状疱疹或严重单纯疱疹既往史（包括但不限于播散型带状疱疹、泛发型带状疱疹、中枢神经系统带状疱疹、眼带状疱疹、复发性带状疱疹（</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年内发生</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次或以上））或有单纯疱疹、带状疱疹感染现病史；</w:t>
            </w:r>
          </w:p>
          <w:p w14:paraId="4E769A8D">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个月内存在需住院或静脉抗感染治疗的严重细菌、真菌或病毒感染史；</w:t>
            </w:r>
          </w:p>
          <w:p w14:paraId="573B5EA8">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周内存在需口服抗感染治疗的细菌、真菌或病毒感染史；</w:t>
            </w:r>
          </w:p>
          <w:p w14:paraId="0011C004">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7</w:t>
            </w:r>
            <w:r>
              <w:rPr>
                <w:rFonts w:hint="eastAsia" w:ascii="Times New Roman" w:hAnsi="Times New Roman" w:eastAsia="宋体" w:cs="Times New Roman"/>
                <w:bCs/>
                <w:color w:val="000000"/>
                <w:kern w:val="2"/>
                <w:sz w:val="24"/>
                <w:szCs w:val="24"/>
              </w:rPr>
              <w:t>天内，存在活动性感染或急性疾病状态（如发热、恶心、呕吐或腹泻）；</w:t>
            </w:r>
          </w:p>
          <w:p w14:paraId="0308A199">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或基线时，存在慢性或复发性感染性疾病者，包括但不限于慢性肾脏感染、复发性尿路感染、慢性胸部感染、真菌感染（指甲浅表真菌感染除外）或感染性的皮肤伤口或溃疡，经研究者评估可能增加参与者安全性风险；</w:t>
            </w:r>
          </w:p>
          <w:p w14:paraId="5604C296">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符合以下任一项结核筛查标准：</w:t>
            </w:r>
          </w:p>
          <w:p w14:paraId="1294A898">
            <w:pPr>
              <w:numPr>
                <w:ilvl w:val="0"/>
                <w:numId w:val="20"/>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有活动性结核感染的现病史或既往病史；</w:t>
            </w:r>
          </w:p>
          <w:p w14:paraId="4F485D24">
            <w:pPr>
              <w:numPr>
                <w:ilvl w:val="0"/>
                <w:numId w:val="20"/>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在筛选期间，研究者判断存在活动性结核病的体征或症状；</w:t>
            </w:r>
          </w:p>
          <w:p w14:paraId="6D7394A3">
            <w:pPr>
              <w:numPr>
                <w:ilvl w:val="0"/>
                <w:numId w:val="20"/>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胸部</w:t>
            </w:r>
            <w:r>
              <w:rPr>
                <w:rFonts w:ascii="Times New Roman" w:hAnsi="Times New Roman" w:eastAsia="宋体" w:cs="Times New Roman"/>
                <w:bCs/>
                <w:color w:val="000000"/>
                <w:kern w:val="2"/>
                <w:sz w:val="24"/>
                <w:szCs w:val="24"/>
              </w:rPr>
              <w:t>CT</w:t>
            </w:r>
            <w:r>
              <w:rPr>
                <w:rFonts w:hint="eastAsia" w:ascii="Times New Roman" w:hAnsi="Times New Roman" w:eastAsia="宋体" w:cs="Times New Roman"/>
                <w:bCs/>
                <w:color w:val="000000"/>
                <w:kern w:val="2"/>
                <w:sz w:val="24"/>
                <w:szCs w:val="24"/>
              </w:rPr>
              <w:t>提示当前或既往活动性结核感染；</w:t>
            </w:r>
          </w:p>
          <w:p w14:paraId="2CBC1844">
            <w:pPr>
              <w:numPr>
                <w:ilvl w:val="0"/>
                <w:numId w:val="20"/>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γ-</w:t>
            </w:r>
            <w:r>
              <w:rPr>
                <w:rFonts w:hint="eastAsia" w:ascii="Times New Roman" w:hAnsi="Times New Roman" w:eastAsia="宋体" w:cs="Times New Roman"/>
                <w:bCs/>
                <w:color w:val="000000"/>
                <w:kern w:val="2"/>
                <w:sz w:val="24"/>
                <w:szCs w:val="24"/>
              </w:rPr>
              <w:t>干扰素释放试验结果显示潜伏性结核感染证据，定义为：筛选时</w:t>
            </w:r>
            <w:r>
              <w:rPr>
                <w:rFonts w:ascii="Times New Roman" w:hAnsi="Times New Roman" w:eastAsia="宋体" w:cs="Times New Roman"/>
                <w:bCs/>
                <w:color w:val="000000"/>
                <w:kern w:val="2"/>
                <w:sz w:val="24"/>
                <w:szCs w:val="24"/>
              </w:rPr>
              <w:t>γ-</w:t>
            </w:r>
            <w:r>
              <w:rPr>
                <w:rFonts w:hint="eastAsia" w:ascii="Times New Roman" w:hAnsi="Times New Roman" w:eastAsia="宋体" w:cs="Times New Roman"/>
                <w:bCs/>
                <w:color w:val="000000"/>
                <w:kern w:val="2"/>
                <w:sz w:val="24"/>
                <w:szCs w:val="24"/>
              </w:rPr>
              <w:t>干扰素释放试验检测呈阳性或连续两次</w:t>
            </w:r>
            <w:r>
              <w:rPr>
                <w:rFonts w:ascii="Times New Roman" w:hAnsi="Times New Roman" w:eastAsia="宋体" w:cs="Times New Roman"/>
                <w:bCs/>
                <w:color w:val="000000"/>
                <w:kern w:val="2"/>
                <w:sz w:val="24"/>
                <w:szCs w:val="24"/>
              </w:rPr>
              <w:t>γ-</w:t>
            </w:r>
            <w:r>
              <w:rPr>
                <w:rFonts w:hint="eastAsia" w:ascii="Times New Roman" w:hAnsi="Times New Roman" w:eastAsia="宋体" w:cs="Times New Roman"/>
                <w:bCs/>
                <w:color w:val="000000"/>
                <w:kern w:val="2"/>
                <w:sz w:val="24"/>
                <w:szCs w:val="24"/>
              </w:rPr>
              <w:t>干扰素释放试验结果不确定，且无临床症状。除非有记录表明参与者已经完成充分的结核潜伏感染的治疗，或者在首次给药前至少</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周开始预防性治疗，并且同意完成后续预防性治疗疗程，预防措施的整个疗程不必在首次给药前完成。</w:t>
            </w:r>
          </w:p>
          <w:p w14:paraId="24DF8DA8">
            <w:pPr>
              <w:spacing w:line="360" w:lineRule="auto"/>
              <w:ind w:left="42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注：</w:t>
            </w:r>
          </w:p>
          <w:p w14:paraId="4C4A4C22">
            <w:pPr>
              <w:numPr>
                <w:ilvl w:val="0"/>
                <w:numId w:val="21"/>
              </w:numPr>
              <w:spacing w:line="360" w:lineRule="auto"/>
              <w:ind w:firstLine="480" w:firstLineChars="2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不允许使用利福平或利福喷丁进行结核预防。</w:t>
            </w:r>
          </w:p>
          <w:p w14:paraId="4F28A82E">
            <w:pPr>
              <w:numPr>
                <w:ilvl w:val="0"/>
                <w:numId w:val="21"/>
              </w:numPr>
              <w:spacing w:line="360" w:lineRule="auto"/>
              <w:ind w:firstLine="480" w:firstLineChars="2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如结核检测结果为不确定者，可进行</w:t>
            </w:r>
            <w:r>
              <w:rPr>
                <w:rFonts w:ascii="Times New Roman" w:hAnsi="Times New Roman" w:eastAsia="宋体" w:cs="Times New Roman"/>
                <w:bCs/>
                <w:color w:val="000000"/>
                <w:kern w:val="2"/>
                <w:sz w:val="24"/>
                <w:szCs w:val="24"/>
              </w:rPr>
              <w:t>1</w:t>
            </w:r>
            <w:r>
              <w:rPr>
                <w:rFonts w:hint="eastAsia" w:ascii="Times New Roman" w:hAnsi="Times New Roman" w:eastAsia="宋体" w:cs="Times New Roman"/>
                <w:bCs/>
                <w:color w:val="000000"/>
                <w:kern w:val="2"/>
                <w:sz w:val="24"/>
                <w:szCs w:val="24"/>
              </w:rPr>
              <w:t>次复测</w:t>
            </w:r>
            <w:r>
              <w:rPr>
                <w:rFonts w:hint="eastAsia" w:ascii="Times New Roman" w:hAnsi="Times New Roman" w:cs="Times New Roman"/>
                <w:sz w:val="24"/>
                <w:szCs w:val="24"/>
              </w:rPr>
              <w:t>。</w:t>
            </w:r>
          </w:p>
          <w:p w14:paraId="4532305B">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周内接种减毒活疫苗，或计划在治疗期间的任何时间或研究完成后</w:t>
            </w:r>
            <w:r>
              <w:rPr>
                <w:rFonts w:ascii="Times New Roman" w:hAnsi="Times New Roman" w:eastAsia="宋体" w:cs="Times New Roman"/>
                <w:bCs/>
                <w:color w:val="000000"/>
                <w:kern w:val="2"/>
                <w:sz w:val="24"/>
                <w:szCs w:val="24"/>
              </w:rPr>
              <w:t>8</w:t>
            </w:r>
            <w:r>
              <w:rPr>
                <w:rFonts w:hint="eastAsia" w:ascii="Times New Roman" w:hAnsi="Times New Roman" w:eastAsia="宋体" w:cs="Times New Roman"/>
                <w:bCs/>
                <w:color w:val="000000"/>
                <w:kern w:val="2"/>
                <w:sz w:val="24"/>
                <w:szCs w:val="24"/>
              </w:rPr>
              <w:t>周内接种减毒活疫苗者；</w:t>
            </w:r>
          </w:p>
          <w:p w14:paraId="58F8C415">
            <w:pPr>
              <w:numPr>
                <w:ilvl w:val="0"/>
                <w:numId w:val="19"/>
              </w:numPr>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6</w:t>
            </w:r>
            <w:r>
              <w:rPr>
                <w:rFonts w:hint="eastAsia" w:ascii="Times New Roman" w:hAnsi="Times New Roman" w:eastAsia="宋体" w:cs="Times New Roman"/>
                <w:bCs/>
                <w:color w:val="000000"/>
                <w:kern w:val="2"/>
                <w:sz w:val="24"/>
                <w:szCs w:val="24"/>
              </w:rPr>
              <w:t>个月内存在重大或不稳定的消化</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肝胆、肾脏</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泌尿、心血管、呼吸、内分泌、血液、免疫、中枢神经系统疾病者，根据研究者判断不具备临床研究条件者，例如但不限于胰腺炎、不稳定型心绞痛、心肌梗死、症状性充血性心力衰竭（纽约心脏病协会</w:t>
            </w:r>
            <w:r>
              <w:rPr>
                <w:rFonts w:ascii="Times New Roman" w:hAnsi="Times New Roman" w:eastAsia="宋体" w:cs="Times New Roman"/>
                <w:bCs/>
                <w:color w:val="000000"/>
                <w:kern w:val="2"/>
                <w:sz w:val="24"/>
                <w:szCs w:val="24"/>
              </w:rPr>
              <w:t>III</w:t>
            </w:r>
            <w:r>
              <w:rPr>
                <w:rFonts w:hint="eastAsia" w:ascii="Times New Roman" w:hAnsi="Times New Roman" w:eastAsia="宋体" w:cs="Times New Roman"/>
                <w:bCs/>
                <w:color w:val="000000"/>
                <w:kern w:val="2"/>
                <w:sz w:val="24"/>
                <w:szCs w:val="24"/>
              </w:rPr>
              <w:t>级或</w:t>
            </w:r>
            <w:r>
              <w:rPr>
                <w:rFonts w:ascii="Times New Roman" w:hAnsi="Times New Roman" w:eastAsia="宋体" w:cs="Times New Roman"/>
                <w:bCs/>
                <w:color w:val="000000"/>
                <w:kern w:val="2"/>
                <w:sz w:val="24"/>
                <w:szCs w:val="24"/>
              </w:rPr>
              <w:t>IV</w:t>
            </w:r>
            <w:r>
              <w:rPr>
                <w:rFonts w:hint="eastAsia" w:ascii="Times New Roman" w:hAnsi="Times New Roman" w:eastAsia="宋体" w:cs="Times New Roman"/>
                <w:bCs/>
                <w:color w:val="000000"/>
                <w:kern w:val="2"/>
                <w:sz w:val="24"/>
                <w:szCs w:val="24"/>
              </w:rPr>
              <w:t>级）、需要治疗的心律失常、肺动脉高压、呼吸衰竭、脑卒中（包含短暂性脑缺血发作）、肝硬化、静脉血栓栓塞症等；</w:t>
            </w:r>
          </w:p>
          <w:p w14:paraId="3C1E872B">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年内患有恶性肿瘤（经过彻底治疗且没有任何复发迹象的皮肤原位鳞癌、基底细胞癌和原位宫颈癌除外）或淋巴组织增生性疾病；</w:t>
            </w:r>
          </w:p>
          <w:p w14:paraId="09370840">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目前患有其它自身免疫性疾病（如类风湿性关节炎、系统性红斑狼疮、炎症性肠病等）；</w:t>
            </w:r>
          </w:p>
          <w:p w14:paraId="2B123B9D">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患有或疑似先天性或获得性免疫缺陷病史者，或研究者认为会损害参与者免疫状态的情况（如脾切除术史、原发性免疫缺陷）；</w:t>
            </w:r>
          </w:p>
          <w:p w14:paraId="2363A52A">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患有精神相关疾病或病史（如抑郁症），影响用药依从性或研究者从临床上判断有自杀风险者；</w:t>
            </w:r>
          </w:p>
          <w:p w14:paraId="62BB1E6E">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既往使用过</w:t>
            </w:r>
            <w:r>
              <w:rPr>
                <w:rFonts w:ascii="Times New Roman" w:hAnsi="Times New Roman" w:eastAsia="宋体" w:cs="Times New Roman"/>
                <w:bCs/>
                <w:color w:val="000000"/>
                <w:kern w:val="2"/>
                <w:sz w:val="24"/>
                <w:szCs w:val="24"/>
              </w:rPr>
              <w:t>IL-12</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IL-17</w:t>
            </w:r>
            <w:r>
              <w:rPr>
                <w:rFonts w:hint="eastAsia" w:ascii="Times New Roman" w:hAnsi="Times New Roman" w:eastAsia="宋体" w:cs="Times New Roman"/>
                <w:bCs/>
                <w:color w:val="000000"/>
                <w:kern w:val="2"/>
                <w:sz w:val="24"/>
                <w:szCs w:val="24"/>
              </w:rPr>
              <w:t>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w:t>
            </w:r>
            <w:r>
              <w:rPr>
                <w:rFonts w:ascii="Times New Roman" w:hAnsi="Times New Roman" w:eastAsia="宋体" w:cs="Times New Roman"/>
                <w:bCs/>
                <w:color w:val="000000"/>
                <w:kern w:val="2"/>
                <w:sz w:val="24"/>
                <w:szCs w:val="24"/>
              </w:rPr>
              <w:t>IL-23</w:t>
            </w:r>
            <w:r>
              <w:rPr>
                <w:rFonts w:hint="eastAsia" w:ascii="Times New Roman" w:hAnsi="Times New Roman" w:eastAsia="宋体" w:cs="Times New Roman"/>
                <w:bCs/>
                <w:color w:val="000000"/>
                <w:kern w:val="2"/>
                <w:sz w:val="24"/>
                <w:szCs w:val="24"/>
              </w:rPr>
              <w:t>靶向药物且经研究者评估疗效不佳者，包括但不限于：</w:t>
            </w:r>
            <w:r>
              <w:rPr>
                <w:rFonts w:ascii="Times New Roman" w:hAnsi="Times New Roman" w:eastAsia="宋体" w:cs="Times New Roman"/>
                <w:bCs/>
                <w:color w:val="000000"/>
                <w:kern w:val="2"/>
                <w:sz w:val="24"/>
                <w:szCs w:val="24"/>
              </w:rPr>
              <w:t>Tildrakizumab</w:t>
            </w:r>
            <w:r>
              <w:rPr>
                <w:rFonts w:hint="eastAsia" w:ascii="Times New Roman" w:hAnsi="Times New Roman" w:eastAsia="宋体" w:cs="Times New Roman"/>
                <w:bCs/>
                <w:color w:val="000000"/>
                <w:kern w:val="2"/>
                <w:sz w:val="24"/>
                <w:szCs w:val="24"/>
              </w:rPr>
              <w:t>（替瑞奇珠单抗）、</w:t>
            </w:r>
            <w:r>
              <w:rPr>
                <w:rFonts w:ascii="Times New Roman" w:hAnsi="Times New Roman" w:eastAsia="宋体" w:cs="Times New Roman"/>
                <w:bCs/>
                <w:color w:val="000000"/>
                <w:kern w:val="2"/>
                <w:sz w:val="24"/>
                <w:szCs w:val="24"/>
              </w:rPr>
              <w:t>Guselkumab</w:t>
            </w:r>
            <w:r>
              <w:rPr>
                <w:rFonts w:hint="eastAsia" w:ascii="Times New Roman" w:hAnsi="Times New Roman" w:eastAsia="宋体" w:cs="Times New Roman"/>
                <w:bCs/>
                <w:color w:val="000000"/>
                <w:kern w:val="2"/>
                <w:sz w:val="24"/>
                <w:szCs w:val="24"/>
              </w:rPr>
              <w:t>（古塞奇尤单抗）、</w:t>
            </w:r>
            <w:r>
              <w:rPr>
                <w:rFonts w:ascii="Times New Roman" w:hAnsi="Times New Roman" w:eastAsia="宋体" w:cs="Times New Roman"/>
                <w:bCs/>
                <w:color w:val="000000"/>
                <w:kern w:val="2"/>
                <w:sz w:val="24"/>
                <w:szCs w:val="24"/>
              </w:rPr>
              <w:t>Ustekinumab</w:t>
            </w:r>
            <w:r>
              <w:rPr>
                <w:rFonts w:hint="eastAsia" w:ascii="Times New Roman" w:hAnsi="Times New Roman" w:eastAsia="宋体" w:cs="Times New Roman"/>
                <w:bCs/>
                <w:color w:val="000000"/>
                <w:kern w:val="2"/>
                <w:sz w:val="24"/>
                <w:szCs w:val="24"/>
              </w:rPr>
              <w:t>（乌司奴单抗）、</w:t>
            </w:r>
            <w:r>
              <w:rPr>
                <w:rFonts w:ascii="Times New Roman" w:hAnsi="Times New Roman" w:eastAsia="宋体" w:cs="Times New Roman"/>
                <w:bCs/>
                <w:color w:val="000000"/>
                <w:kern w:val="2"/>
                <w:sz w:val="24"/>
                <w:szCs w:val="24"/>
              </w:rPr>
              <w:t>Secukinumab</w:t>
            </w:r>
            <w:r>
              <w:rPr>
                <w:rFonts w:hint="eastAsia" w:ascii="Times New Roman" w:hAnsi="Times New Roman" w:eastAsia="宋体" w:cs="Times New Roman"/>
                <w:bCs/>
                <w:color w:val="000000"/>
                <w:kern w:val="2"/>
                <w:sz w:val="24"/>
                <w:szCs w:val="24"/>
              </w:rPr>
              <w:t>（司库奇尤单抗）、</w:t>
            </w:r>
            <w:r>
              <w:rPr>
                <w:rFonts w:ascii="Times New Roman" w:hAnsi="Times New Roman" w:eastAsia="宋体" w:cs="Times New Roman"/>
                <w:bCs/>
                <w:color w:val="000000"/>
                <w:kern w:val="2"/>
                <w:sz w:val="24"/>
                <w:szCs w:val="24"/>
              </w:rPr>
              <w:t>Ixekizumab</w:t>
            </w:r>
            <w:r>
              <w:rPr>
                <w:rFonts w:hint="eastAsia" w:ascii="Times New Roman" w:hAnsi="Times New Roman" w:eastAsia="宋体" w:cs="Times New Roman"/>
                <w:bCs/>
                <w:color w:val="000000"/>
                <w:kern w:val="2"/>
                <w:sz w:val="24"/>
                <w:szCs w:val="24"/>
              </w:rPr>
              <w:t>（依奇珠单抗）、</w:t>
            </w:r>
            <w:r>
              <w:rPr>
                <w:rFonts w:ascii="Times New Roman" w:hAnsi="Times New Roman" w:eastAsia="宋体" w:cs="Times New Roman"/>
                <w:bCs/>
                <w:color w:val="000000"/>
                <w:kern w:val="2"/>
                <w:sz w:val="24"/>
                <w:szCs w:val="24"/>
              </w:rPr>
              <w:t>Brodalumab</w:t>
            </w:r>
            <w:r>
              <w:rPr>
                <w:rFonts w:hint="eastAsia" w:ascii="Times New Roman" w:hAnsi="Times New Roman" w:eastAsia="宋体" w:cs="Times New Roman"/>
                <w:bCs/>
                <w:color w:val="000000"/>
                <w:kern w:val="2"/>
                <w:sz w:val="24"/>
                <w:szCs w:val="24"/>
              </w:rPr>
              <w:t>（布罗利尤单抗）等；</w:t>
            </w:r>
          </w:p>
          <w:p w14:paraId="2EF571A7">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既往使用过</w:t>
            </w:r>
            <w:r>
              <w:rPr>
                <w:rFonts w:ascii="Times New Roman" w:hAnsi="Times New Roman" w:eastAsia="宋体" w:cs="Times New Roman"/>
                <w:bCs/>
                <w:color w:val="000000"/>
                <w:kern w:val="2"/>
                <w:sz w:val="24"/>
                <w:szCs w:val="24"/>
              </w:rPr>
              <w:t>TYK2</w:t>
            </w:r>
            <w:r>
              <w:rPr>
                <w:rFonts w:hint="eastAsia" w:ascii="Times New Roman" w:hAnsi="Times New Roman" w:eastAsia="宋体" w:cs="Times New Roman"/>
                <w:bCs/>
                <w:color w:val="000000"/>
                <w:kern w:val="2"/>
                <w:sz w:val="24"/>
                <w:szCs w:val="24"/>
              </w:rPr>
              <w:t>抑制剂治疗者，</w:t>
            </w:r>
            <w:r>
              <w:rPr>
                <w:rFonts w:hint="eastAsia" w:ascii="Times New Roman" w:hAnsi="Times New Roman" w:eastAsia="宋体" w:cs="Times New Roman"/>
                <w:color w:val="000000"/>
                <w:sz w:val="24"/>
                <w:szCs w:val="24"/>
              </w:rPr>
              <w:t>或既往接受过系统性</w:t>
            </w:r>
            <w:r>
              <w:rPr>
                <w:rFonts w:ascii="Times New Roman" w:hAnsi="Times New Roman" w:eastAsia="宋体" w:cs="Times New Roman"/>
                <w:color w:val="000000"/>
                <w:sz w:val="24"/>
                <w:szCs w:val="24"/>
              </w:rPr>
              <w:t>JAK1/2/3</w:t>
            </w:r>
            <w:r>
              <w:rPr>
                <w:rFonts w:hint="eastAsia" w:ascii="Times New Roman" w:hAnsi="Times New Roman" w:eastAsia="宋体" w:cs="Times New Roman"/>
                <w:color w:val="000000"/>
                <w:sz w:val="24"/>
                <w:szCs w:val="24"/>
              </w:rPr>
              <w:t>抑制剂治疗且疗效不佳或因安全性原因停药的参与者</w:t>
            </w:r>
            <w:r>
              <w:rPr>
                <w:rFonts w:hint="eastAsia" w:ascii="Times New Roman" w:hAnsi="Times New Roman" w:eastAsia="宋体" w:cs="Times New Roman"/>
                <w:bCs/>
                <w:color w:val="000000"/>
                <w:kern w:val="2"/>
                <w:sz w:val="24"/>
                <w:szCs w:val="24"/>
              </w:rPr>
              <w:t>；</w:t>
            </w:r>
          </w:p>
          <w:p w14:paraId="52110C9D">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首次给药前，规定的时间内接受了以下任何一种治疗者：</w:t>
            </w:r>
          </w:p>
          <w:p w14:paraId="0451EF0C">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周内使用可能影响银屑病病情的局部用药</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治疗（包括但不限于：糖皮质激素、维</w:t>
            </w:r>
            <w:r>
              <w:rPr>
                <w:rFonts w:ascii="Times New Roman" w:hAnsi="Times New Roman" w:eastAsia="宋体" w:cs="Times New Roman"/>
                <w:bCs/>
                <w:color w:val="000000"/>
                <w:kern w:val="2"/>
                <w:sz w:val="24"/>
                <w:szCs w:val="24"/>
              </w:rPr>
              <w:t>A</w:t>
            </w:r>
            <w:r>
              <w:rPr>
                <w:rFonts w:hint="eastAsia" w:ascii="Times New Roman" w:hAnsi="Times New Roman" w:eastAsia="宋体" w:cs="Times New Roman"/>
                <w:bCs/>
                <w:color w:val="000000"/>
                <w:kern w:val="2"/>
                <w:sz w:val="24"/>
                <w:szCs w:val="24"/>
              </w:rPr>
              <w:t>酸类、维生素</w:t>
            </w:r>
            <w:r>
              <w:rPr>
                <w:rFonts w:ascii="Times New Roman" w:hAnsi="Times New Roman" w:eastAsia="宋体" w:cs="Times New Roman"/>
                <w:bCs/>
                <w:color w:val="000000"/>
                <w:kern w:val="2"/>
                <w:sz w:val="24"/>
                <w:szCs w:val="24"/>
              </w:rPr>
              <w:t>D3</w:t>
            </w:r>
            <w:r>
              <w:rPr>
                <w:rFonts w:hint="eastAsia" w:ascii="Times New Roman" w:hAnsi="Times New Roman" w:eastAsia="宋体" w:cs="Times New Roman"/>
                <w:bCs/>
                <w:color w:val="000000"/>
                <w:kern w:val="2"/>
                <w:sz w:val="24"/>
                <w:szCs w:val="24"/>
              </w:rPr>
              <w:t>衍生物、钙调磷酸酶抑制剂、本维莫德、抗人</w:t>
            </w:r>
            <w:r>
              <w:rPr>
                <w:rFonts w:ascii="Times New Roman" w:hAnsi="Times New Roman" w:eastAsia="宋体" w:cs="Times New Roman"/>
                <w:bCs/>
                <w:color w:val="000000"/>
                <w:kern w:val="2"/>
                <w:sz w:val="24"/>
                <w:szCs w:val="24"/>
              </w:rPr>
              <w:t>IL-8</w:t>
            </w:r>
            <w:r>
              <w:rPr>
                <w:rFonts w:hint="eastAsia" w:ascii="Times New Roman" w:hAnsi="Times New Roman" w:eastAsia="宋体" w:cs="Times New Roman"/>
                <w:bCs/>
                <w:color w:val="000000"/>
                <w:kern w:val="2"/>
                <w:sz w:val="24"/>
                <w:szCs w:val="24"/>
              </w:rPr>
              <w:t>单克隆抗体乳膏、焦油、水杨酸、地蒽酚等）或含有上述成分的洗浴产品，或可能影响银屑病病情的中成药外用剂、中医非药物疗法；</w:t>
            </w:r>
          </w:p>
          <w:p w14:paraId="7149C24B">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 xml:space="preserve">4 </w:t>
            </w:r>
            <w:r>
              <w:rPr>
                <w:rFonts w:hint="eastAsia" w:ascii="Times New Roman" w:hAnsi="Times New Roman" w:eastAsia="宋体" w:cs="Times New Roman"/>
                <w:bCs/>
                <w:color w:val="000000"/>
                <w:kern w:val="2"/>
                <w:sz w:val="24"/>
                <w:szCs w:val="24"/>
              </w:rPr>
              <w:t>周内使用可能影响银屑病病情的非生物制剂系统治疗，包括但不限于</w:t>
            </w:r>
            <w:r>
              <w:rPr>
                <w:rFonts w:ascii="Times New Roman" w:hAnsi="Times New Roman" w:eastAsia="宋体" w:cs="Times New Roman"/>
                <w:bCs/>
                <w:color w:val="000000"/>
                <w:kern w:val="2"/>
                <w:sz w:val="24"/>
                <w:szCs w:val="24"/>
              </w:rPr>
              <w:t>JAKs</w:t>
            </w:r>
            <w:r>
              <w:rPr>
                <w:rFonts w:hint="eastAsia" w:ascii="Times New Roman" w:hAnsi="Times New Roman" w:eastAsia="宋体" w:cs="Times New Roman"/>
                <w:bCs/>
                <w:color w:val="000000"/>
                <w:kern w:val="2"/>
                <w:sz w:val="24"/>
                <w:szCs w:val="24"/>
              </w:rPr>
              <w:t>抑制剂、糖皮质激素、维</w:t>
            </w:r>
            <w:r>
              <w:rPr>
                <w:rFonts w:ascii="Times New Roman" w:hAnsi="Times New Roman" w:eastAsia="宋体" w:cs="Times New Roman"/>
                <w:bCs/>
                <w:color w:val="000000"/>
                <w:kern w:val="2"/>
                <w:sz w:val="24"/>
                <w:szCs w:val="24"/>
              </w:rPr>
              <w:t>A</w:t>
            </w:r>
            <w:r>
              <w:rPr>
                <w:rFonts w:hint="eastAsia" w:ascii="Times New Roman" w:hAnsi="Times New Roman" w:eastAsia="宋体" w:cs="Times New Roman"/>
                <w:bCs/>
                <w:color w:val="000000"/>
                <w:kern w:val="2"/>
                <w:sz w:val="24"/>
                <w:szCs w:val="24"/>
              </w:rPr>
              <w:t>酸类、环孢素、甲氨蝶呤、</w:t>
            </w:r>
            <w:r>
              <w:rPr>
                <w:rFonts w:ascii="宋体" w:hAnsi="宋体" w:eastAsia="宋体" w:cs="宋体"/>
                <w:sz w:val="24"/>
                <w:szCs w:val="24"/>
              </w:rPr>
              <w:t>黄芪</w:t>
            </w:r>
            <w:r>
              <w:rPr>
                <w:rFonts w:hint="eastAsia" w:ascii="宋体" w:hAnsi="宋体" w:eastAsia="宋体" w:cs="宋体"/>
                <w:sz w:val="24"/>
                <w:szCs w:val="24"/>
              </w:rPr>
              <w:t>、</w:t>
            </w:r>
            <w:r>
              <w:rPr>
                <w:rFonts w:hint="eastAsia" w:ascii="Times New Roman" w:hAnsi="Times New Roman" w:eastAsia="宋体" w:cs="Times New Roman"/>
                <w:bCs/>
                <w:color w:val="000000"/>
                <w:kern w:val="2"/>
                <w:sz w:val="24"/>
                <w:szCs w:val="24"/>
              </w:rPr>
              <w:t>雷公藤、</w:t>
            </w:r>
            <w:r>
              <w:rPr>
                <w:rFonts w:ascii="宋体" w:hAnsi="宋体" w:eastAsia="宋体" w:cs="宋体"/>
                <w:sz w:val="24"/>
                <w:szCs w:val="24"/>
              </w:rPr>
              <w:t>苦参</w:t>
            </w:r>
            <w:r>
              <w:rPr>
                <w:rFonts w:hint="eastAsia" w:ascii="宋体" w:hAnsi="宋体" w:eastAsia="宋体" w:cs="宋体"/>
                <w:sz w:val="24"/>
                <w:szCs w:val="24"/>
              </w:rPr>
              <w:t>、复方甘草酸铵</w:t>
            </w:r>
            <w:r>
              <w:rPr>
                <w:rFonts w:hint="eastAsia" w:ascii="Times New Roman" w:hAnsi="Times New Roman" w:eastAsia="宋体" w:cs="Times New Roman"/>
                <w:bCs/>
                <w:color w:val="000000"/>
                <w:kern w:val="2"/>
                <w:sz w:val="24"/>
                <w:szCs w:val="24"/>
              </w:rPr>
              <w:t>、硫唑嘌呤、吗替麦考酚酯、中成药及传统中草药（对于无明确临床证据可能改善银屑病病情的中成药或传统中草药，可缩短为给药前</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周内）、抗疟药、干扰素或锂制剂等；</w:t>
            </w:r>
          </w:p>
          <w:p w14:paraId="26C81688">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sz w:val="24"/>
                <w:szCs w:val="24"/>
              </w:rPr>
              <w:t>4</w:t>
            </w:r>
            <w:r>
              <w:rPr>
                <w:rFonts w:ascii="宋体" w:hAnsi="宋体" w:eastAsia="宋体" w:cs="宋体"/>
                <w:sz w:val="24"/>
                <w:szCs w:val="24"/>
              </w:rPr>
              <w:t>周内接受过肝药酶调节相关的中药治疗（如甘草、五味子等）</w:t>
            </w:r>
            <w:r>
              <w:rPr>
                <w:rFonts w:hint="eastAsia" w:ascii="宋体" w:hAnsi="宋体" w:eastAsia="宋体" w:cs="宋体"/>
                <w:sz w:val="24"/>
                <w:szCs w:val="24"/>
              </w:rPr>
              <w:t>；</w:t>
            </w:r>
          </w:p>
          <w:p w14:paraId="6A8614AA">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 xml:space="preserve">4 </w:t>
            </w:r>
            <w:r>
              <w:rPr>
                <w:rFonts w:hint="eastAsia" w:ascii="Times New Roman" w:hAnsi="Times New Roman" w:eastAsia="宋体" w:cs="Times New Roman"/>
                <w:bCs/>
                <w:color w:val="000000"/>
                <w:kern w:val="2"/>
                <w:sz w:val="24"/>
                <w:szCs w:val="24"/>
              </w:rPr>
              <w:t>周内进行物理治疗，包括但不限于：紫外线疗法、光化学疗法、采用日光浴床自我治疗等；</w:t>
            </w:r>
          </w:p>
          <w:p w14:paraId="00D83685">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个月或</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个半衰期内（以时间较长者为准）接受除靶向</w:t>
            </w:r>
            <w:r>
              <w:rPr>
                <w:rFonts w:ascii="Times New Roman" w:hAnsi="Times New Roman" w:eastAsia="宋体" w:cs="Times New Roman"/>
                <w:bCs/>
                <w:color w:val="000000"/>
                <w:kern w:val="2"/>
                <w:sz w:val="24"/>
                <w:szCs w:val="24"/>
              </w:rPr>
              <w:t>IL-12</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IL-17</w:t>
            </w:r>
            <w:r>
              <w:rPr>
                <w:rFonts w:hint="eastAsia" w:ascii="Times New Roman" w:hAnsi="Times New Roman" w:eastAsia="宋体" w:cs="Times New Roman"/>
                <w:bCs/>
                <w:color w:val="000000"/>
                <w:kern w:val="2"/>
                <w:sz w:val="24"/>
                <w:szCs w:val="24"/>
              </w:rPr>
              <w:t>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w:t>
            </w:r>
            <w:r>
              <w:rPr>
                <w:rFonts w:ascii="Times New Roman" w:hAnsi="Times New Roman" w:eastAsia="宋体" w:cs="Times New Roman"/>
                <w:bCs/>
                <w:color w:val="000000"/>
                <w:kern w:val="2"/>
                <w:sz w:val="24"/>
                <w:szCs w:val="24"/>
              </w:rPr>
              <w:t>IL-23</w:t>
            </w:r>
            <w:r>
              <w:rPr>
                <w:rFonts w:hint="eastAsia" w:ascii="Times New Roman" w:hAnsi="Times New Roman" w:eastAsia="宋体" w:cs="Times New Roman"/>
                <w:bCs/>
                <w:color w:val="000000"/>
                <w:kern w:val="2"/>
                <w:sz w:val="24"/>
                <w:szCs w:val="24"/>
              </w:rPr>
              <w:t>外的其他生物制剂治疗；</w:t>
            </w:r>
          </w:p>
          <w:p w14:paraId="351C7FF1">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TimesNewRomanPSMT" w:cs="Times New Roman"/>
                <w:kern w:val="2"/>
                <w:sz w:val="24"/>
                <w:szCs w:val="24"/>
              </w:rPr>
              <w:t>6</w:t>
            </w:r>
            <w:r>
              <w:rPr>
                <w:rFonts w:hint="eastAsia" w:ascii="Times New Roman" w:hAnsi="Times New Roman" w:eastAsia="宋体" w:cs="Times New Roman"/>
                <w:kern w:val="2"/>
                <w:sz w:val="24"/>
                <w:szCs w:val="24"/>
              </w:rPr>
              <w:t>个月内接受靶向</w:t>
            </w:r>
            <w:r>
              <w:rPr>
                <w:rFonts w:ascii="Times New Roman" w:hAnsi="Times New Roman" w:eastAsia="TimesNewRomanPSMT" w:cs="Times New Roman"/>
                <w:kern w:val="2"/>
                <w:sz w:val="24"/>
                <w:szCs w:val="24"/>
              </w:rPr>
              <w:t>IL-12</w:t>
            </w:r>
            <w:r>
              <w:rPr>
                <w:rFonts w:hint="eastAsia" w:ascii="Times New Roman" w:hAnsi="Times New Roman" w:eastAsia="宋体" w:cs="Times New Roman"/>
                <w:kern w:val="2"/>
                <w:sz w:val="24"/>
                <w:szCs w:val="24"/>
              </w:rPr>
              <w:t>、</w:t>
            </w:r>
            <w:r>
              <w:rPr>
                <w:rFonts w:ascii="Times New Roman" w:hAnsi="Times New Roman" w:eastAsia="TimesNewRomanPSMT" w:cs="Times New Roman"/>
                <w:kern w:val="2"/>
                <w:sz w:val="24"/>
                <w:szCs w:val="24"/>
              </w:rPr>
              <w:t>IL-17</w:t>
            </w:r>
            <w:r>
              <w:rPr>
                <w:rFonts w:hint="eastAsia" w:ascii="Times New Roman" w:hAnsi="Times New Roman" w:eastAsia="宋体" w:cs="Times New Roman"/>
                <w:kern w:val="2"/>
                <w:sz w:val="24"/>
                <w:szCs w:val="24"/>
              </w:rPr>
              <w:t>和</w:t>
            </w:r>
            <w:r>
              <w:rPr>
                <w:rFonts w:ascii="Times New Roman" w:hAnsi="Times New Roman" w:eastAsia="TimesNewRomanPSMT" w:cs="Times New Roman"/>
                <w:kern w:val="2"/>
                <w:sz w:val="24"/>
                <w:szCs w:val="24"/>
              </w:rPr>
              <w:t>/</w:t>
            </w:r>
            <w:r>
              <w:rPr>
                <w:rFonts w:hint="eastAsia" w:ascii="Times New Roman" w:hAnsi="Times New Roman" w:eastAsia="宋体" w:cs="Times New Roman"/>
                <w:kern w:val="2"/>
                <w:sz w:val="24"/>
                <w:szCs w:val="24"/>
              </w:rPr>
              <w:t>或</w:t>
            </w:r>
            <w:r>
              <w:rPr>
                <w:rFonts w:ascii="Times New Roman" w:hAnsi="Times New Roman" w:eastAsia="TimesNewRomanPSMT" w:cs="Times New Roman"/>
                <w:kern w:val="2"/>
                <w:sz w:val="24"/>
                <w:szCs w:val="24"/>
              </w:rPr>
              <w:t>IL-23</w:t>
            </w:r>
            <w:r>
              <w:rPr>
                <w:rFonts w:hint="eastAsia" w:ascii="Times New Roman" w:hAnsi="Times New Roman" w:eastAsia="宋体" w:cs="Times New Roman"/>
                <w:kern w:val="2"/>
                <w:sz w:val="24"/>
                <w:szCs w:val="24"/>
              </w:rPr>
              <w:t>的生物制剂治疗；</w:t>
            </w:r>
          </w:p>
          <w:p w14:paraId="3A156D48">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TimesNewRomanPSMT" w:cs="Times New Roman"/>
                <w:kern w:val="2"/>
                <w:sz w:val="24"/>
                <w:szCs w:val="24"/>
              </w:rPr>
              <w:t>6</w:t>
            </w:r>
            <w:r>
              <w:rPr>
                <w:rFonts w:hint="eastAsia" w:ascii="Times New Roman" w:hAnsi="Times New Roman" w:eastAsia="宋体" w:cs="Times New Roman"/>
                <w:kern w:val="2"/>
                <w:sz w:val="24"/>
                <w:szCs w:val="24"/>
              </w:rPr>
              <w:t>个月内接受过利妥昔单抗或其他免疫细胞耗竭治疗；</w:t>
            </w:r>
          </w:p>
          <w:p w14:paraId="5A060BB9">
            <w:pPr>
              <w:numPr>
                <w:ilvl w:val="0"/>
                <w:numId w:val="22"/>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个月内接受过来氟米特（经来氟米特药物清除剂进行洗脱者可缩短至</w:t>
            </w:r>
            <w:r>
              <w:rPr>
                <w:rFonts w:ascii="Times New Roman" w:hAnsi="Times New Roman" w:eastAsia="宋体" w:cs="Times New Roman"/>
                <w:kern w:val="2"/>
                <w:sz w:val="24"/>
                <w:szCs w:val="24"/>
              </w:rPr>
              <w:t>6</w:t>
            </w:r>
            <w:r>
              <w:rPr>
                <w:rFonts w:hint="eastAsia" w:ascii="Times New Roman" w:hAnsi="Times New Roman" w:eastAsia="宋体" w:cs="Times New Roman"/>
                <w:kern w:val="2"/>
                <w:sz w:val="24"/>
                <w:szCs w:val="24"/>
              </w:rPr>
              <w:t>个月）；</w:t>
            </w:r>
          </w:p>
          <w:p w14:paraId="7AE8CC1C">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个月或</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个半衰期内（以时间较长者为准）使用其他临床试验药物或目前正在参加其他临床研究者；</w:t>
            </w:r>
          </w:p>
          <w:p w14:paraId="0C7EE98A">
            <w:pPr>
              <w:numPr>
                <w:ilvl w:val="0"/>
                <w:numId w:val="19"/>
              </w:numPr>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筛选或基线时，存在以下任何一种实验室检查异常：</w:t>
            </w:r>
          </w:p>
          <w:p w14:paraId="00209093">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外周血白细胞计数＜</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r>
              <w:rPr>
                <w:rFonts w:hint="eastAsia" w:ascii="Times New Roman" w:hAnsi="Times New Roman" w:eastAsia="宋体" w:cs="Times New Roman"/>
                <w:bCs/>
                <w:color w:val="000000"/>
                <w:kern w:val="2"/>
                <w:sz w:val="24"/>
                <w:szCs w:val="24"/>
              </w:rPr>
              <w:t>；</w:t>
            </w:r>
          </w:p>
          <w:p w14:paraId="6C86FEF3">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淋巴细胞计数＜</w:t>
            </w:r>
            <w:r>
              <w:rPr>
                <w:rFonts w:ascii="Times New Roman" w:hAnsi="Times New Roman" w:eastAsia="宋体" w:cs="Times New Roman"/>
                <w:bCs/>
                <w:color w:val="000000"/>
                <w:kern w:val="2"/>
                <w:sz w:val="24"/>
                <w:szCs w:val="24"/>
              </w:rPr>
              <w:t>0.5</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r>
              <w:rPr>
                <w:rFonts w:hint="eastAsia" w:ascii="Times New Roman" w:hAnsi="Times New Roman" w:eastAsia="宋体" w:cs="Times New Roman"/>
                <w:bCs/>
                <w:color w:val="000000"/>
                <w:kern w:val="2"/>
                <w:sz w:val="24"/>
                <w:szCs w:val="24"/>
              </w:rPr>
              <w:t>；</w:t>
            </w:r>
          </w:p>
          <w:p w14:paraId="71A42AEC">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中性粒细胞计数＜</w:t>
            </w:r>
            <w:r>
              <w:rPr>
                <w:rFonts w:ascii="Times New Roman" w:hAnsi="Times New Roman" w:eastAsia="宋体" w:cs="Times New Roman"/>
                <w:bCs/>
                <w:color w:val="000000"/>
                <w:kern w:val="2"/>
                <w:sz w:val="24"/>
                <w:szCs w:val="24"/>
              </w:rPr>
              <w:t>1.5</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r>
              <w:rPr>
                <w:rFonts w:hint="eastAsia" w:ascii="Times New Roman" w:hAnsi="Times New Roman" w:eastAsia="宋体" w:cs="Times New Roman"/>
                <w:bCs/>
                <w:color w:val="000000"/>
                <w:kern w:val="2"/>
                <w:sz w:val="24"/>
                <w:szCs w:val="24"/>
              </w:rPr>
              <w:t>；</w:t>
            </w:r>
          </w:p>
          <w:p w14:paraId="3D6972D9">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血小板＜</w:t>
            </w:r>
            <w:r>
              <w:rPr>
                <w:rFonts w:ascii="Times New Roman" w:hAnsi="Times New Roman" w:eastAsia="宋体" w:cs="Times New Roman"/>
                <w:bCs/>
                <w:color w:val="000000"/>
                <w:kern w:val="2"/>
                <w:sz w:val="24"/>
                <w:szCs w:val="24"/>
              </w:rPr>
              <w:t>100</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r>
              <w:rPr>
                <w:rFonts w:hint="eastAsia" w:ascii="Times New Roman" w:hAnsi="Times New Roman" w:eastAsia="宋体" w:cs="Times New Roman"/>
                <w:bCs/>
                <w:color w:val="000000"/>
                <w:kern w:val="2"/>
                <w:sz w:val="24"/>
                <w:szCs w:val="24"/>
              </w:rPr>
              <w:t>；</w:t>
            </w:r>
          </w:p>
          <w:p w14:paraId="763007CB">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血红蛋白＜</w:t>
            </w:r>
            <w:r>
              <w:rPr>
                <w:rFonts w:ascii="Times New Roman" w:hAnsi="Times New Roman" w:eastAsia="宋体" w:cs="Times New Roman"/>
                <w:bCs/>
                <w:color w:val="000000"/>
                <w:kern w:val="2"/>
                <w:sz w:val="24"/>
                <w:szCs w:val="24"/>
              </w:rPr>
              <w:t>100 g/L</w:t>
            </w:r>
            <w:r>
              <w:rPr>
                <w:rFonts w:hint="eastAsia" w:ascii="Times New Roman" w:hAnsi="Times New Roman" w:eastAsia="宋体" w:cs="Times New Roman"/>
                <w:bCs/>
                <w:color w:val="000000"/>
                <w:kern w:val="2"/>
                <w:sz w:val="24"/>
                <w:szCs w:val="24"/>
              </w:rPr>
              <w:t>；</w:t>
            </w:r>
          </w:p>
          <w:p w14:paraId="1486F277">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估算的肾小球滤过率（</w:t>
            </w:r>
            <w:r>
              <w:rPr>
                <w:rFonts w:ascii="Times New Roman" w:hAnsi="Times New Roman" w:eastAsia="宋体" w:cs="Times New Roman"/>
                <w:bCs/>
                <w:color w:val="000000"/>
                <w:kern w:val="2"/>
                <w:sz w:val="24"/>
                <w:szCs w:val="24"/>
              </w:rPr>
              <w:t>eGFR</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60 mL/min/1.73 m</w:t>
            </w:r>
            <w:r>
              <w:rPr>
                <w:rFonts w:ascii="Times New Roman" w:hAnsi="Times New Roman" w:eastAsia="宋体" w:cs="Times New Roman"/>
                <w:bCs/>
                <w:color w:val="000000"/>
                <w:kern w:val="2"/>
                <w:sz w:val="24"/>
                <w:szCs w:val="24"/>
                <w:vertAlign w:val="superscript"/>
              </w:rPr>
              <w:t>2</w:t>
            </w:r>
            <w:r>
              <w:rPr>
                <w:rFonts w:hint="eastAsia" w:ascii="Times New Roman" w:hAnsi="Times New Roman" w:eastAsia="宋体" w:cs="Times New Roman"/>
                <w:bCs/>
                <w:color w:val="000000"/>
                <w:kern w:val="2"/>
                <w:sz w:val="24"/>
                <w:szCs w:val="24"/>
              </w:rPr>
              <w:t>（使用慢性肾脏病流行病学协作方程，</w:t>
            </w:r>
            <w:r>
              <w:rPr>
                <w:rFonts w:ascii="Times New Roman" w:hAnsi="Times New Roman" w:eastAsia="宋体" w:cs="Times New Roman"/>
                <w:bCs/>
                <w:color w:val="000000"/>
                <w:kern w:val="2"/>
                <w:sz w:val="24"/>
                <w:szCs w:val="24"/>
              </w:rPr>
              <w:t>CKD-EPI</w:t>
            </w:r>
            <w:r>
              <w:rPr>
                <w:rFonts w:hint="eastAsia" w:ascii="Times New Roman" w:hAnsi="Times New Roman" w:eastAsia="宋体" w:cs="Times New Roman"/>
                <w:bCs/>
                <w:color w:val="000000"/>
                <w:kern w:val="2"/>
                <w:sz w:val="24"/>
                <w:szCs w:val="24"/>
              </w:rPr>
              <w:t>，详见附录</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w:t>
            </w:r>
          </w:p>
          <w:p w14:paraId="57C969DC">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丙氨酸转氨酶（</w:t>
            </w:r>
            <w:r>
              <w:rPr>
                <w:rFonts w:ascii="Times New Roman" w:hAnsi="Times New Roman" w:eastAsia="宋体" w:cs="Times New Roman"/>
                <w:bCs/>
                <w:color w:val="000000"/>
                <w:kern w:val="2"/>
                <w:sz w:val="24"/>
                <w:szCs w:val="24"/>
              </w:rPr>
              <w:t>ALT</w:t>
            </w:r>
            <w:r>
              <w:rPr>
                <w:rFonts w:hint="eastAsia" w:ascii="Times New Roman" w:hAnsi="Times New Roman" w:eastAsia="宋体" w:cs="Times New Roman"/>
                <w:bCs/>
                <w:color w:val="000000"/>
                <w:kern w:val="2"/>
                <w:sz w:val="24"/>
                <w:szCs w:val="24"/>
              </w:rPr>
              <w:t>）或天冬氨酸转氨酶（</w:t>
            </w:r>
            <w:r>
              <w:rPr>
                <w:rFonts w:ascii="Times New Roman" w:hAnsi="Times New Roman" w:eastAsia="宋体" w:cs="Times New Roman"/>
                <w:bCs/>
                <w:color w:val="000000"/>
                <w:kern w:val="2"/>
                <w:sz w:val="24"/>
                <w:szCs w:val="24"/>
              </w:rPr>
              <w:t>AST</w:t>
            </w:r>
            <w:r>
              <w:rPr>
                <w:rFonts w:hint="eastAsia" w:ascii="Times New Roman" w:hAnsi="Times New Roman" w:eastAsia="宋体" w:cs="Times New Roman"/>
                <w:bCs/>
                <w:color w:val="000000"/>
                <w:kern w:val="2"/>
                <w:sz w:val="24"/>
                <w:szCs w:val="24"/>
              </w:rPr>
              <w:t>）或总胆红素≥</w:t>
            </w:r>
            <w:r>
              <w:rPr>
                <w:rFonts w:ascii="Times New Roman" w:hAnsi="Times New Roman" w:eastAsia="宋体" w:cs="Times New Roman"/>
                <w:bCs/>
                <w:color w:val="000000"/>
                <w:kern w:val="2"/>
                <w:sz w:val="24"/>
                <w:szCs w:val="24"/>
              </w:rPr>
              <w:t>1.5</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ULN</w:t>
            </w:r>
            <w:r>
              <w:rPr>
                <w:rFonts w:hint="eastAsia" w:ascii="Times New Roman" w:hAnsi="Times New Roman" w:eastAsia="宋体" w:cs="Times New Roman"/>
                <w:bCs/>
                <w:color w:val="000000"/>
                <w:kern w:val="2"/>
                <w:sz w:val="24"/>
                <w:szCs w:val="24"/>
              </w:rPr>
              <w:t>；</w:t>
            </w:r>
          </w:p>
          <w:p w14:paraId="4197AD67">
            <w:pPr>
              <w:numPr>
                <w:ilvl w:val="0"/>
                <w:numId w:val="23"/>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任何其它实验室检查结果异常且有临床意义，经研究者评估如果参与研究将可能对参与者构成不可接受的风险；</w:t>
            </w:r>
          </w:p>
          <w:p w14:paraId="1CE51B1D">
            <w:pPr>
              <w:numPr>
                <w:ilvl w:val="0"/>
                <w:numId w:val="19"/>
              </w:numPr>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筛选或基线时，生命体征、体格检查、</w:t>
            </w:r>
            <w:r>
              <w:rPr>
                <w:rFonts w:ascii="Times New Roman" w:hAnsi="Times New Roman" w:eastAsia="宋体" w:cs="Times New Roman"/>
                <w:bCs/>
                <w:color w:val="000000"/>
                <w:kern w:val="2"/>
                <w:sz w:val="24"/>
                <w:szCs w:val="24"/>
              </w:rPr>
              <w:t>12-</w:t>
            </w:r>
            <w:r>
              <w:rPr>
                <w:rFonts w:hint="eastAsia" w:ascii="Times New Roman" w:hAnsi="Times New Roman" w:eastAsia="宋体" w:cs="Times New Roman"/>
                <w:bCs/>
                <w:color w:val="000000"/>
                <w:kern w:val="2"/>
                <w:sz w:val="24"/>
                <w:szCs w:val="24"/>
              </w:rPr>
              <w:t>导联心电图、胸部</w:t>
            </w:r>
            <w:r>
              <w:rPr>
                <w:rFonts w:ascii="Times New Roman" w:hAnsi="Times New Roman" w:eastAsia="宋体" w:cs="Times New Roman"/>
                <w:bCs/>
                <w:color w:val="000000"/>
                <w:kern w:val="2"/>
                <w:sz w:val="24"/>
                <w:szCs w:val="24"/>
              </w:rPr>
              <w:t>CT</w:t>
            </w:r>
            <w:r>
              <w:rPr>
                <w:rFonts w:hint="eastAsia" w:ascii="Times New Roman" w:hAnsi="Times New Roman" w:eastAsia="宋体" w:cs="Times New Roman"/>
                <w:bCs/>
                <w:color w:val="000000"/>
                <w:kern w:val="2"/>
                <w:sz w:val="24"/>
                <w:szCs w:val="24"/>
              </w:rPr>
              <w:t>（可接受</w:t>
            </w:r>
            <w:r>
              <w:rPr>
                <w:rFonts w:ascii="Times New Roman" w:hAnsi="Times New Roman" w:eastAsia="宋体" w:cs="Times New Roman"/>
                <w:bCs/>
                <w:color w:val="000000"/>
                <w:kern w:val="2"/>
                <w:sz w:val="24"/>
                <w:szCs w:val="24"/>
              </w:rPr>
              <w:t>1</w:t>
            </w:r>
            <w:r>
              <w:rPr>
                <w:rFonts w:hint="eastAsia" w:ascii="Times New Roman" w:hAnsi="Times New Roman" w:eastAsia="宋体" w:cs="Times New Roman"/>
                <w:bCs/>
                <w:color w:val="000000"/>
                <w:kern w:val="2"/>
                <w:sz w:val="24"/>
                <w:szCs w:val="24"/>
              </w:rPr>
              <w:t>个月内的</w:t>
            </w:r>
            <w:r>
              <w:rPr>
                <w:rFonts w:ascii="Times New Roman" w:hAnsi="Times New Roman" w:eastAsia="宋体" w:cs="Times New Roman"/>
                <w:bCs/>
                <w:color w:val="000000"/>
                <w:kern w:val="2"/>
                <w:sz w:val="24"/>
                <w:szCs w:val="24"/>
              </w:rPr>
              <w:t>CT</w:t>
            </w:r>
            <w:r>
              <w:rPr>
                <w:rFonts w:hint="eastAsia" w:ascii="Times New Roman" w:hAnsi="Times New Roman" w:eastAsia="宋体" w:cs="Times New Roman"/>
                <w:bCs/>
                <w:color w:val="000000"/>
                <w:kern w:val="2"/>
                <w:sz w:val="24"/>
                <w:szCs w:val="24"/>
              </w:rPr>
              <w:t>检查结果）异常且有临床意义，经研究者评估如果参与研究将可能对参与者构成不可接受的风险；</w:t>
            </w:r>
          </w:p>
          <w:p w14:paraId="193D4C85">
            <w:pPr>
              <w:numPr>
                <w:ilvl w:val="0"/>
                <w:numId w:val="19"/>
              </w:numPr>
              <w:spacing w:line="360" w:lineRule="auto"/>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筛选访视时存在下列任一感染者：</w:t>
            </w:r>
          </w:p>
          <w:p w14:paraId="47A4876D">
            <w:pPr>
              <w:numPr>
                <w:ilvl w:val="0"/>
                <w:numId w:val="24"/>
              </w:numPr>
              <w:autoSpaceDE/>
              <w:autoSpaceDN/>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kern w:val="2"/>
                <w:sz w:val="24"/>
                <w:szCs w:val="24"/>
              </w:rPr>
              <w:t>乙型肝炎：</w:t>
            </w:r>
            <w:r>
              <w:rPr>
                <w:rFonts w:hint="eastAsia" w:ascii="Times New Roman" w:hAnsi="Times New Roman" w:eastAsia="宋体" w:cs="Times New Roman"/>
                <w:bCs/>
                <w:color w:val="000000"/>
                <w:kern w:val="2"/>
                <w:sz w:val="24"/>
                <w:szCs w:val="24"/>
              </w:rPr>
              <w:t>表面抗原（</w:t>
            </w:r>
            <w:r>
              <w:rPr>
                <w:rFonts w:ascii="Times New Roman" w:hAnsi="Times New Roman" w:eastAsia="宋体" w:cs="Times New Roman"/>
                <w:bCs/>
                <w:color w:val="000000"/>
                <w:kern w:val="2"/>
                <w:sz w:val="24"/>
                <w:szCs w:val="24"/>
              </w:rPr>
              <w:t>HBsAg</w:t>
            </w:r>
            <w:r>
              <w:rPr>
                <w:rFonts w:hint="eastAsia" w:ascii="Times New Roman" w:hAnsi="Times New Roman" w:eastAsia="宋体" w:cs="Times New Roman"/>
                <w:bCs/>
                <w:color w:val="000000"/>
                <w:kern w:val="2"/>
                <w:sz w:val="24"/>
                <w:szCs w:val="24"/>
              </w:rPr>
              <w:t>）阳性，或核心抗体（</w:t>
            </w:r>
            <w:r>
              <w:rPr>
                <w:rFonts w:ascii="Times New Roman" w:hAnsi="Times New Roman" w:eastAsia="宋体" w:cs="Times New Roman"/>
                <w:bCs/>
                <w:color w:val="000000"/>
                <w:kern w:val="2"/>
                <w:sz w:val="24"/>
                <w:szCs w:val="24"/>
              </w:rPr>
              <w:t>HBcAb</w:t>
            </w:r>
            <w:r>
              <w:rPr>
                <w:rFonts w:hint="eastAsia" w:ascii="Times New Roman" w:hAnsi="Times New Roman" w:eastAsia="宋体" w:cs="Times New Roman"/>
                <w:bCs/>
                <w:color w:val="000000"/>
                <w:kern w:val="2"/>
                <w:sz w:val="24"/>
                <w:szCs w:val="24"/>
              </w:rPr>
              <w:t>）阳性且乙型肝炎病毒脱氧核糖核酸（</w:t>
            </w:r>
            <w:r>
              <w:rPr>
                <w:rFonts w:ascii="Times New Roman" w:hAnsi="Times New Roman" w:eastAsia="宋体" w:cs="Times New Roman"/>
                <w:bCs/>
                <w:color w:val="000000"/>
                <w:kern w:val="2"/>
                <w:sz w:val="24"/>
                <w:szCs w:val="24"/>
              </w:rPr>
              <w:t>HBV-DNA</w:t>
            </w:r>
            <w:r>
              <w:rPr>
                <w:rFonts w:hint="eastAsia" w:ascii="Times New Roman" w:hAnsi="Times New Roman" w:eastAsia="宋体" w:cs="Times New Roman"/>
                <w:bCs/>
                <w:color w:val="000000"/>
                <w:kern w:val="2"/>
                <w:sz w:val="24"/>
                <w:szCs w:val="24"/>
              </w:rPr>
              <w:t>）拷贝数阳性（定义为超过研究中心检测值正常范围上限）；</w:t>
            </w:r>
          </w:p>
          <w:p w14:paraId="6B176974">
            <w:pPr>
              <w:numPr>
                <w:ilvl w:val="0"/>
                <w:numId w:val="24"/>
              </w:numPr>
              <w:autoSpaceDE/>
              <w:autoSpaceDN/>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丙型肝炎（</w:t>
            </w:r>
            <w:r>
              <w:rPr>
                <w:rFonts w:ascii="Times New Roman" w:hAnsi="Times New Roman" w:eastAsia="宋体" w:cs="Times New Roman"/>
                <w:bCs/>
                <w:color w:val="000000"/>
                <w:kern w:val="2"/>
                <w:sz w:val="24"/>
                <w:szCs w:val="24"/>
              </w:rPr>
              <w:t>HCV</w:t>
            </w:r>
            <w:r>
              <w:rPr>
                <w:rFonts w:hint="eastAsia" w:ascii="Times New Roman" w:hAnsi="Times New Roman" w:eastAsia="宋体" w:cs="Times New Roman"/>
                <w:bCs/>
                <w:color w:val="000000"/>
                <w:kern w:val="2"/>
                <w:sz w:val="24"/>
                <w:szCs w:val="24"/>
              </w:rPr>
              <w:t>）抗体阳性，且</w:t>
            </w:r>
            <w:r>
              <w:rPr>
                <w:rFonts w:ascii="Times New Roman" w:hAnsi="Times New Roman" w:eastAsia="宋体" w:cs="Times New Roman"/>
                <w:bCs/>
                <w:color w:val="000000"/>
                <w:kern w:val="2"/>
                <w:sz w:val="24"/>
                <w:szCs w:val="24"/>
              </w:rPr>
              <w:t>HCV-RNA</w:t>
            </w:r>
            <w:r>
              <w:rPr>
                <w:rFonts w:hint="eastAsia" w:ascii="Times New Roman" w:hAnsi="Times New Roman" w:eastAsia="宋体" w:cs="Times New Roman"/>
                <w:bCs/>
                <w:color w:val="000000"/>
                <w:kern w:val="2"/>
                <w:sz w:val="24"/>
                <w:szCs w:val="24"/>
              </w:rPr>
              <w:t>拷贝数阳性（定义为超过研究中心检测值正常范围上限）；</w:t>
            </w:r>
          </w:p>
          <w:p w14:paraId="55A1EC08">
            <w:pPr>
              <w:numPr>
                <w:ilvl w:val="0"/>
                <w:numId w:val="24"/>
              </w:numPr>
              <w:autoSpaceDE/>
              <w:autoSpaceDN/>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kern w:val="2"/>
                <w:sz w:val="24"/>
                <w:szCs w:val="24"/>
              </w:rPr>
              <w:t>人类免疫缺陷病毒抗体（</w:t>
            </w:r>
            <w:r>
              <w:rPr>
                <w:rFonts w:ascii="Times New Roman" w:hAnsi="Times New Roman" w:eastAsia="TimesNewRomanPSMT" w:cs="Times New Roman"/>
                <w:kern w:val="2"/>
                <w:sz w:val="24"/>
                <w:szCs w:val="24"/>
              </w:rPr>
              <w:t>HIV Ab</w:t>
            </w:r>
            <w:r>
              <w:rPr>
                <w:rFonts w:hint="eastAsia" w:ascii="Times New Roman" w:hAnsi="Times New Roman" w:eastAsia="宋体" w:cs="Times New Roman"/>
                <w:kern w:val="2"/>
                <w:sz w:val="24"/>
                <w:szCs w:val="24"/>
              </w:rPr>
              <w:t>）阳性；</w:t>
            </w:r>
          </w:p>
          <w:p w14:paraId="34A2578D">
            <w:pPr>
              <w:numPr>
                <w:ilvl w:val="0"/>
                <w:numId w:val="24"/>
              </w:numPr>
              <w:autoSpaceDE/>
              <w:autoSpaceDN/>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kern w:val="2"/>
                <w:sz w:val="24"/>
                <w:szCs w:val="24"/>
              </w:rPr>
              <w:t>梅毒特异性抗体试验阳性（梅毒非特异性抗体</w:t>
            </w:r>
            <w:r>
              <w:rPr>
                <w:rFonts w:ascii="Times New Roman" w:hAnsi="Times New Roman" w:eastAsia="宋体" w:cs="Times New Roman"/>
                <w:kern w:val="2"/>
                <w:sz w:val="24"/>
                <w:szCs w:val="24"/>
              </w:rPr>
              <w:t>RPR</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TRUST</w:t>
            </w:r>
            <w:r>
              <w:rPr>
                <w:rFonts w:hint="eastAsia" w:ascii="Times New Roman" w:hAnsi="Times New Roman" w:eastAsia="宋体" w:cs="Times New Roman"/>
                <w:kern w:val="2"/>
                <w:sz w:val="24"/>
                <w:szCs w:val="24"/>
              </w:rPr>
              <w:t>结果为阴性，并经研究者判断为过去曾感染梅毒但已治愈的参与者除外）；</w:t>
            </w:r>
          </w:p>
          <w:p w14:paraId="204A3729">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个月内有酗酒史和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或药物滥用史；</w:t>
            </w:r>
          </w:p>
          <w:p w14:paraId="039B2842">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存在任何可能影响药物吸收的情况者，包括但不限于：吸收不良综合征、乳糜泻、胃切除术、肠切除术（阑尾切除术除外）；</w:t>
            </w:r>
          </w:p>
          <w:p w14:paraId="0E1105B2">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周或</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个半衰期（以时间较长者为准）内使用过或在研究期间不能避免使用</w:t>
            </w:r>
            <w:r>
              <w:rPr>
                <w:rFonts w:ascii="Times New Roman" w:hAnsi="Times New Roman" w:eastAsia="宋体" w:cs="Times New Roman"/>
                <w:bCs/>
                <w:color w:val="000000"/>
                <w:kern w:val="2"/>
                <w:sz w:val="24"/>
                <w:szCs w:val="24"/>
              </w:rPr>
              <w:t>CYP3A</w:t>
            </w:r>
            <w:r>
              <w:rPr>
                <w:rFonts w:hint="eastAsia" w:ascii="Times New Roman" w:hAnsi="Times New Roman" w:eastAsia="宋体" w:cs="Times New Roman"/>
                <w:bCs/>
                <w:color w:val="000000"/>
                <w:kern w:val="2"/>
                <w:sz w:val="24"/>
                <w:szCs w:val="24"/>
              </w:rPr>
              <w:t>强诱导剂或抑制剂的药物（见附录</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）者；</w:t>
            </w:r>
          </w:p>
          <w:p w14:paraId="74FD8474">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7</w:t>
            </w:r>
            <w:r>
              <w:rPr>
                <w:rFonts w:hint="eastAsia" w:ascii="Times New Roman" w:hAnsi="Times New Roman" w:eastAsia="宋体" w:cs="Times New Roman"/>
                <w:bCs/>
                <w:color w:val="000000"/>
                <w:kern w:val="2"/>
                <w:sz w:val="24"/>
                <w:szCs w:val="24"/>
              </w:rPr>
              <w:t>天内食用了圣·约翰草（贯叶连翘）制品、葡萄柚，或拒绝在整个研究期间（包括随访期）避免食用此类物质者；</w:t>
            </w:r>
          </w:p>
          <w:p w14:paraId="069AFCE6">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个月内献血或失血≥</w:t>
            </w:r>
            <w:r>
              <w:rPr>
                <w:rFonts w:ascii="Times New Roman" w:hAnsi="Times New Roman" w:eastAsia="宋体" w:cs="Times New Roman"/>
                <w:bCs/>
                <w:color w:val="000000"/>
                <w:kern w:val="2"/>
                <w:sz w:val="24"/>
                <w:szCs w:val="24"/>
              </w:rPr>
              <w:t xml:space="preserve"> 400 mL</w:t>
            </w:r>
            <w:r>
              <w:rPr>
                <w:rFonts w:hint="eastAsia" w:ascii="Times New Roman" w:hAnsi="Times New Roman" w:eastAsia="宋体" w:cs="Times New Roman"/>
                <w:bCs/>
                <w:color w:val="000000"/>
                <w:kern w:val="2"/>
                <w:sz w:val="24"/>
                <w:szCs w:val="24"/>
              </w:rPr>
              <w:t>或计划在研究期间献血者；</w:t>
            </w:r>
          </w:p>
          <w:p w14:paraId="2323B8BB">
            <w:pPr>
              <w:numPr>
                <w:ilvl w:val="0"/>
                <w:numId w:val="19"/>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已知或怀疑对试验药物中任何一种成分过敏者，或任何其他显著的药物过敏（如过敏性休克或肝毒性）；</w:t>
            </w:r>
          </w:p>
          <w:p w14:paraId="7353BF6A">
            <w:pPr>
              <w:numPr>
                <w:ilvl w:val="0"/>
                <w:numId w:val="19"/>
              </w:numPr>
              <w:spacing w:line="360" w:lineRule="auto"/>
              <w:jc w:val="both"/>
              <w:rPr>
                <w:rStyle w:val="99"/>
                <w:rFonts w:ascii="Times New Roman" w:hAnsi="Times New Roman" w:cs="Times New Roman"/>
                <w:b/>
                <w:bCs/>
                <w:sz w:val="24"/>
                <w:szCs w:val="24"/>
              </w:rPr>
            </w:pPr>
            <w:r>
              <w:rPr>
                <w:rFonts w:hint="eastAsia" w:ascii="Times New Roman" w:hAnsi="Times New Roman" w:eastAsia="宋体" w:cs="Times New Roman"/>
                <w:bCs/>
                <w:color w:val="000000"/>
                <w:kern w:val="2"/>
                <w:sz w:val="24"/>
                <w:szCs w:val="24"/>
              </w:rPr>
              <w:t>妊娠或哺乳期女性；</w:t>
            </w:r>
          </w:p>
          <w:p w14:paraId="23D6B655">
            <w:pPr>
              <w:numPr>
                <w:ilvl w:val="0"/>
                <w:numId w:val="19"/>
              </w:numPr>
              <w:spacing w:line="360" w:lineRule="auto"/>
              <w:jc w:val="both"/>
              <w:rPr>
                <w:rStyle w:val="99"/>
                <w:rFonts w:ascii="Times New Roman" w:hAnsi="Times New Roman" w:cs="Times New Roman"/>
                <w:b/>
                <w:bCs/>
                <w:sz w:val="24"/>
                <w:szCs w:val="24"/>
              </w:rPr>
            </w:pPr>
            <w:r>
              <w:rPr>
                <w:rFonts w:hint="eastAsia" w:ascii="Times New Roman" w:hAnsi="Times New Roman" w:eastAsia="宋体" w:cs="Times New Roman"/>
                <w:bCs/>
                <w:color w:val="000000"/>
                <w:kern w:val="2"/>
                <w:sz w:val="24"/>
                <w:szCs w:val="24"/>
              </w:rPr>
              <w:t>研究者认为不合适参加本研究的其他原因。</w:t>
            </w:r>
          </w:p>
        </w:tc>
      </w:tr>
      <w:tr w14:paraId="06E2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109C635A">
            <w:pPr>
              <w:pStyle w:val="60"/>
              <w:ind w:firstLine="0" w:firstLineChars="0"/>
              <w:rPr>
                <w:rStyle w:val="99"/>
                <w:rFonts w:cs="Times New Roman"/>
                <w:sz w:val="24"/>
                <w:szCs w:val="24"/>
              </w:rPr>
            </w:pPr>
            <w:r>
              <w:rPr>
                <w:rStyle w:val="99"/>
                <w:rFonts w:hint="eastAsia" w:cs="Times New Roman"/>
                <w:b/>
                <w:bCs/>
                <w:sz w:val="24"/>
                <w:szCs w:val="24"/>
              </w:rPr>
              <w:t>研究药物信息</w:t>
            </w:r>
          </w:p>
        </w:tc>
        <w:tc>
          <w:tcPr>
            <w:tcW w:w="7934" w:type="dxa"/>
            <w:noWrap/>
          </w:tcPr>
          <w:p w14:paraId="6D6511BE">
            <w:pPr>
              <w:pStyle w:val="60"/>
              <w:numPr>
                <w:ilvl w:val="0"/>
                <w:numId w:val="25"/>
              </w:numPr>
              <w:ind w:firstLineChars="0"/>
              <w:rPr>
                <w:rStyle w:val="99"/>
                <w:rFonts w:cs="Times New Roman"/>
                <w:b/>
                <w:bCs/>
                <w:sz w:val="24"/>
                <w:szCs w:val="24"/>
              </w:rPr>
            </w:pPr>
            <w:r>
              <w:rPr>
                <w:rStyle w:val="99"/>
                <w:rFonts w:hint="eastAsia" w:cs="Times New Roman"/>
                <w:b/>
                <w:bCs/>
                <w:sz w:val="24"/>
                <w:szCs w:val="24"/>
              </w:rPr>
              <w:t>试验药物</w:t>
            </w:r>
          </w:p>
          <w:p w14:paraId="6B8010DC">
            <w:pPr>
              <w:pStyle w:val="60"/>
              <w:ind w:firstLine="0" w:firstLineChars="0"/>
              <w:rPr>
                <w:rStyle w:val="99"/>
                <w:rFonts w:cs="Times New Roman"/>
                <w:sz w:val="24"/>
                <w:szCs w:val="24"/>
              </w:rPr>
            </w:pPr>
            <w:r>
              <w:rPr>
                <w:rStyle w:val="99"/>
                <w:rFonts w:hint="eastAsia" w:cs="Times New Roman"/>
                <w:sz w:val="24"/>
                <w:szCs w:val="24"/>
              </w:rPr>
              <w:t>名称：</w:t>
            </w:r>
            <w:r>
              <w:rPr>
                <w:rStyle w:val="99"/>
                <w:rFonts w:cs="Times New Roman"/>
                <w:sz w:val="24"/>
                <w:szCs w:val="24"/>
              </w:rPr>
              <w:t>CMS-D001</w:t>
            </w:r>
            <w:r>
              <w:rPr>
                <w:rStyle w:val="99"/>
                <w:rFonts w:hint="eastAsia" w:cs="Times New Roman"/>
                <w:sz w:val="24"/>
                <w:szCs w:val="24"/>
              </w:rPr>
              <w:t>片</w:t>
            </w:r>
          </w:p>
          <w:p w14:paraId="47EBF51E">
            <w:pPr>
              <w:pStyle w:val="60"/>
              <w:ind w:firstLine="0" w:firstLineChars="0"/>
              <w:rPr>
                <w:rStyle w:val="99"/>
                <w:rFonts w:cs="Times New Roman"/>
                <w:sz w:val="24"/>
                <w:szCs w:val="24"/>
              </w:rPr>
            </w:pPr>
            <w:r>
              <w:rPr>
                <w:rStyle w:val="99"/>
                <w:rFonts w:hint="eastAsia" w:cs="Times New Roman"/>
                <w:sz w:val="24"/>
                <w:szCs w:val="24"/>
              </w:rPr>
              <w:t>规格：</w:t>
            </w:r>
            <w:r>
              <w:rPr>
                <w:rStyle w:val="99"/>
                <w:rFonts w:cs="Times New Roman"/>
                <w:sz w:val="24"/>
                <w:szCs w:val="24"/>
              </w:rPr>
              <w:t>25 mg/</w:t>
            </w:r>
            <w:r>
              <w:rPr>
                <w:rStyle w:val="99"/>
                <w:rFonts w:hint="eastAsia" w:cs="Times New Roman"/>
                <w:sz w:val="24"/>
                <w:szCs w:val="24"/>
              </w:rPr>
              <w:t>片、</w:t>
            </w:r>
            <w:r>
              <w:rPr>
                <w:rStyle w:val="99"/>
                <w:rFonts w:cs="Times New Roman"/>
                <w:sz w:val="24"/>
                <w:szCs w:val="24"/>
              </w:rPr>
              <w:t>100 mg/</w:t>
            </w:r>
            <w:r>
              <w:rPr>
                <w:rStyle w:val="99"/>
                <w:rFonts w:hint="eastAsia" w:cs="Times New Roman"/>
                <w:sz w:val="24"/>
                <w:szCs w:val="24"/>
              </w:rPr>
              <w:t>片</w:t>
            </w:r>
          </w:p>
          <w:p w14:paraId="2D990EC3">
            <w:pPr>
              <w:pStyle w:val="60"/>
              <w:ind w:firstLine="0" w:firstLineChars="0"/>
              <w:rPr>
                <w:rStyle w:val="99"/>
                <w:rFonts w:cs="Times New Roman"/>
                <w:sz w:val="24"/>
                <w:szCs w:val="24"/>
              </w:rPr>
            </w:pPr>
            <w:r>
              <w:rPr>
                <w:rStyle w:val="99"/>
                <w:rFonts w:hint="eastAsia" w:cs="Times New Roman"/>
                <w:sz w:val="24"/>
                <w:szCs w:val="24"/>
              </w:rPr>
              <w:t>给药方式：口服</w:t>
            </w:r>
          </w:p>
          <w:p w14:paraId="50BEF8FE">
            <w:pPr>
              <w:pStyle w:val="60"/>
              <w:ind w:firstLine="0" w:firstLineChars="0"/>
              <w:rPr>
                <w:rStyle w:val="99"/>
                <w:rFonts w:cs="Times New Roman"/>
                <w:sz w:val="24"/>
                <w:szCs w:val="24"/>
              </w:rPr>
            </w:pPr>
            <w:r>
              <w:rPr>
                <w:rStyle w:val="99"/>
                <w:rFonts w:hint="eastAsia" w:cs="Times New Roman"/>
                <w:sz w:val="24"/>
                <w:szCs w:val="24"/>
              </w:rPr>
              <w:t>储存条件：避光，密封，在</w:t>
            </w:r>
            <w:r>
              <w:rPr>
                <w:rStyle w:val="99"/>
                <w:rFonts w:cs="Times New Roman"/>
                <w:sz w:val="24"/>
                <w:szCs w:val="24"/>
              </w:rPr>
              <w:t>25</w:t>
            </w:r>
            <w:r>
              <w:rPr>
                <w:rStyle w:val="99"/>
                <w:rFonts w:hint="eastAsia" w:cs="Times New Roman"/>
                <w:sz w:val="24"/>
                <w:szCs w:val="24"/>
              </w:rPr>
              <w:t>℃以下保存</w:t>
            </w:r>
          </w:p>
          <w:p w14:paraId="6C21044F">
            <w:pPr>
              <w:pStyle w:val="60"/>
              <w:numPr>
                <w:ilvl w:val="0"/>
                <w:numId w:val="25"/>
              </w:numPr>
              <w:ind w:firstLineChars="0"/>
              <w:rPr>
                <w:rStyle w:val="99"/>
                <w:rFonts w:cs="Times New Roman"/>
                <w:b/>
                <w:bCs/>
                <w:sz w:val="24"/>
                <w:szCs w:val="24"/>
              </w:rPr>
            </w:pPr>
            <w:r>
              <w:rPr>
                <w:rStyle w:val="99"/>
                <w:rFonts w:hint="eastAsia" w:cs="Times New Roman"/>
                <w:b/>
                <w:bCs/>
                <w:sz w:val="24"/>
                <w:szCs w:val="24"/>
              </w:rPr>
              <w:t>安慰剂：</w:t>
            </w:r>
          </w:p>
          <w:p w14:paraId="6681EDD3">
            <w:pPr>
              <w:pStyle w:val="60"/>
              <w:ind w:firstLine="0" w:firstLineChars="0"/>
              <w:rPr>
                <w:rStyle w:val="99"/>
                <w:rFonts w:cs="Times New Roman"/>
                <w:sz w:val="24"/>
                <w:szCs w:val="24"/>
                <w:highlight w:val="yellow"/>
              </w:rPr>
            </w:pPr>
            <w:r>
              <w:rPr>
                <w:rStyle w:val="99"/>
                <w:rFonts w:hint="eastAsia" w:cs="Times New Roman"/>
                <w:sz w:val="24"/>
                <w:szCs w:val="24"/>
              </w:rPr>
              <w:t>名称：</w:t>
            </w:r>
            <w:r>
              <w:rPr>
                <w:rStyle w:val="99"/>
                <w:rFonts w:cs="Times New Roman"/>
                <w:sz w:val="24"/>
                <w:szCs w:val="24"/>
              </w:rPr>
              <w:t>CMS-D001</w:t>
            </w:r>
            <w:r>
              <w:rPr>
                <w:rStyle w:val="99"/>
                <w:rFonts w:hint="eastAsia" w:cs="Times New Roman"/>
                <w:sz w:val="24"/>
                <w:szCs w:val="24"/>
              </w:rPr>
              <w:t>片安慰剂</w:t>
            </w:r>
          </w:p>
          <w:p w14:paraId="4C00BC46">
            <w:pPr>
              <w:pStyle w:val="60"/>
              <w:ind w:firstLine="0" w:firstLineChars="0"/>
              <w:rPr>
                <w:rStyle w:val="99"/>
                <w:rFonts w:cs="Times New Roman"/>
                <w:sz w:val="24"/>
                <w:szCs w:val="24"/>
              </w:rPr>
            </w:pPr>
            <w:r>
              <w:rPr>
                <w:rStyle w:val="99"/>
                <w:rFonts w:hint="eastAsia" w:cs="Times New Roman"/>
                <w:sz w:val="24"/>
                <w:szCs w:val="24"/>
              </w:rPr>
              <w:t>规格：不适用</w:t>
            </w:r>
          </w:p>
          <w:p w14:paraId="587E1D75">
            <w:pPr>
              <w:pStyle w:val="60"/>
              <w:ind w:firstLine="0" w:firstLineChars="0"/>
              <w:rPr>
                <w:rStyle w:val="99"/>
                <w:rFonts w:cs="Times New Roman"/>
                <w:sz w:val="24"/>
                <w:szCs w:val="24"/>
              </w:rPr>
            </w:pPr>
            <w:r>
              <w:rPr>
                <w:rStyle w:val="99"/>
                <w:rFonts w:hint="eastAsia" w:cs="Times New Roman"/>
                <w:sz w:val="24"/>
                <w:szCs w:val="24"/>
              </w:rPr>
              <w:t>给药方式：口服</w:t>
            </w:r>
          </w:p>
          <w:p w14:paraId="466A030C">
            <w:pPr>
              <w:pStyle w:val="60"/>
              <w:ind w:firstLine="0" w:firstLineChars="0"/>
              <w:rPr>
                <w:rStyle w:val="99"/>
                <w:rFonts w:cs="Times New Roman"/>
                <w:sz w:val="24"/>
                <w:szCs w:val="24"/>
              </w:rPr>
            </w:pPr>
            <w:r>
              <w:rPr>
                <w:rStyle w:val="99"/>
                <w:rFonts w:hint="eastAsia" w:cs="Times New Roman"/>
                <w:sz w:val="24"/>
                <w:szCs w:val="24"/>
              </w:rPr>
              <w:t>储存条件：避光，密封，在</w:t>
            </w:r>
            <w:r>
              <w:rPr>
                <w:rStyle w:val="99"/>
                <w:rFonts w:cs="Times New Roman"/>
                <w:sz w:val="24"/>
                <w:szCs w:val="24"/>
              </w:rPr>
              <w:t>25</w:t>
            </w:r>
            <w:r>
              <w:rPr>
                <w:rStyle w:val="99"/>
                <w:rFonts w:hint="eastAsia" w:cs="Times New Roman"/>
                <w:sz w:val="24"/>
                <w:szCs w:val="24"/>
              </w:rPr>
              <w:t>℃以下保存</w:t>
            </w:r>
          </w:p>
        </w:tc>
      </w:tr>
      <w:tr w14:paraId="11D1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799ACC64">
            <w:pPr>
              <w:pStyle w:val="60"/>
              <w:ind w:firstLine="0" w:firstLineChars="0"/>
              <w:rPr>
                <w:rStyle w:val="99"/>
                <w:rFonts w:cs="Times New Roman"/>
                <w:b/>
                <w:bCs/>
                <w:sz w:val="24"/>
                <w:szCs w:val="24"/>
              </w:rPr>
            </w:pPr>
            <w:r>
              <w:rPr>
                <w:rStyle w:val="99"/>
                <w:rFonts w:hint="eastAsia" w:cs="Times New Roman"/>
                <w:b/>
                <w:bCs/>
                <w:sz w:val="24"/>
                <w:szCs w:val="24"/>
              </w:rPr>
              <w:t>研究药物给药</w:t>
            </w:r>
          </w:p>
        </w:tc>
        <w:tc>
          <w:tcPr>
            <w:tcW w:w="7934" w:type="dxa"/>
            <w:noWrap/>
          </w:tcPr>
          <w:p w14:paraId="6D46685B">
            <w:pPr>
              <w:spacing w:line="360" w:lineRule="auto"/>
              <w:jc w:val="both"/>
              <w:rPr>
                <w:rFonts w:ascii="Times New Roman" w:hAnsi="Times New Roman" w:eastAsia="宋体" w:cs="Times New Roman"/>
                <w:b/>
                <w:bCs/>
                <w:color w:val="000000"/>
                <w:sz w:val="24"/>
                <w:szCs w:val="24"/>
                <w:u w:val="thick"/>
              </w:rPr>
            </w:pPr>
            <w:r>
              <w:rPr>
                <w:rFonts w:hint="eastAsia" w:ascii="Times New Roman" w:hAnsi="Times New Roman" w:eastAsia="宋体" w:cs="Times New Roman"/>
                <w:b/>
                <w:bCs/>
                <w:color w:val="000000"/>
                <w:sz w:val="24"/>
                <w:szCs w:val="24"/>
                <w:u w:val="thick"/>
                <w:lang w:eastAsia="zh-Hans"/>
              </w:rPr>
              <w:t>Ⅱ期临床</w:t>
            </w:r>
            <w:r>
              <w:rPr>
                <w:rFonts w:hint="eastAsia" w:ascii="Times New Roman" w:hAnsi="Times New Roman" w:eastAsia="宋体" w:cs="Times New Roman"/>
                <w:b/>
                <w:bCs/>
                <w:color w:val="000000"/>
                <w:sz w:val="24"/>
                <w:szCs w:val="24"/>
                <w:u w:val="thick"/>
              </w:rPr>
              <w:t>研究阶段</w:t>
            </w:r>
          </w:p>
          <w:p w14:paraId="1FB10160">
            <w:pPr>
              <w:pStyle w:val="60"/>
              <w:ind w:firstLine="480"/>
              <w:rPr>
                <w:rStyle w:val="99"/>
                <w:sz w:val="24"/>
                <w:szCs w:val="24"/>
              </w:rPr>
            </w:pPr>
            <w:r>
              <w:rPr>
                <w:rStyle w:val="99"/>
                <w:rFonts w:hint="eastAsia" w:cs="Times New Roman"/>
                <w:sz w:val="24"/>
                <w:szCs w:val="24"/>
              </w:rPr>
              <w:t>本研究采用双盲</w:t>
            </w:r>
            <w:r>
              <w:rPr>
                <w:rFonts w:hint="eastAsia" w:cs="Times New Roman"/>
                <w:sz w:val="24"/>
                <w:szCs w:val="24"/>
              </w:rPr>
              <w:t>安慰剂对照设计</w:t>
            </w:r>
            <w:r>
              <w:rPr>
                <w:rStyle w:val="99"/>
                <w:rFonts w:hint="eastAsia" w:cs="Times New Roman"/>
                <w:sz w:val="24"/>
                <w:szCs w:val="24"/>
              </w:rPr>
              <w:t>，符合条件的参与者按照</w:t>
            </w:r>
            <w:r>
              <w:rPr>
                <w:rStyle w:val="99"/>
                <w:rFonts w:cs="Times New Roman"/>
                <w:sz w:val="24"/>
                <w:szCs w:val="24"/>
              </w:rPr>
              <w:t>1:1:1</w:t>
            </w:r>
            <w:r>
              <w:rPr>
                <w:rStyle w:val="99"/>
                <w:rFonts w:hint="eastAsia" w:cs="Times New Roman"/>
                <w:sz w:val="24"/>
                <w:szCs w:val="24"/>
              </w:rPr>
              <w:t>的比例随机接受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Style w:val="99"/>
                <w:rFonts w:hint="eastAsia" w:cs="Times New Roman"/>
                <w:sz w:val="24"/>
                <w:szCs w:val="24"/>
              </w:rPr>
              <w:t>或安慰剂口服给药，每日服药</w:t>
            </w:r>
            <w:r>
              <w:rPr>
                <w:rStyle w:val="99"/>
                <w:rFonts w:cs="Times New Roman"/>
                <w:sz w:val="24"/>
                <w:szCs w:val="24"/>
              </w:rPr>
              <w:t>1</w:t>
            </w:r>
            <w:r>
              <w:rPr>
                <w:rStyle w:val="99"/>
                <w:rFonts w:hint="eastAsia" w:cs="Times New Roman"/>
                <w:sz w:val="24"/>
                <w:szCs w:val="24"/>
              </w:rPr>
              <w:t>次，建议尽量在每天相对固定的时间服药，持续服药</w:t>
            </w:r>
            <w:r>
              <w:rPr>
                <w:rStyle w:val="99"/>
                <w:rFonts w:cs="Times New Roman"/>
                <w:sz w:val="24"/>
                <w:szCs w:val="24"/>
              </w:rPr>
              <w:t>12</w:t>
            </w:r>
            <w:r>
              <w:rPr>
                <w:rStyle w:val="99"/>
                <w:rFonts w:hint="eastAsia" w:cs="Times New Roman"/>
                <w:sz w:val="24"/>
                <w:szCs w:val="24"/>
              </w:rPr>
              <w:t>周。各剂量组参与者服药方案见下表。</w:t>
            </w:r>
          </w:p>
          <w:tbl>
            <w:tblPr>
              <w:tblStyle w:val="90"/>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0"/>
              <w:gridCol w:w="1134"/>
              <w:gridCol w:w="1275"/>
              <w:gridCol w:w="1134"/>
              <w:gridCol w:w="1276"/>
            </w:tblGrid>
            <w:tr w14:paraId="26DD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860" w:type="dxa"/>
                  <w:vMerge w:val="restart"/>
                  <w:vAlign w:val="center"/>
                </w:tcPr>
                <w:p w14:paraId="2BEAA56B">
                  <w:pPr>
                    <w:pStyle w:val="60"/>
                    <w:ind w:firstLine="0" w:firstLineChars="0"/>
                    <w:rPr>
                      <w:rStyle w:val="99"/>
                      <w:rFonts w:cs="Times New Roman"/>
                      <w:sz w:val="24"/>
                      <w:szCs w:val="24"/>
                    </w:rPr>
                  </w:pPr>
                  <w:r>
                    <w:rPr>
                      <w:rStyle w:val="99"/>
                      <w:rFonts w:hint="eastAsia" w:cs="Times New Roman"/>
                      <w:sz w:val="24"/>
                      <w:szCs w:val="24"/>
                    </w:rPr>
                    <w:t>分组</w:t>
                  </w:r>
                  <w:r>
                    <w:rPr>
                      <w:rStyle w:val="99"/>
                      <w:rFonts w:cs="Times New Roman"/>
                      <w:sz w:val="24"/>
                      <w:szCs w:val="24"/>
                    </w:rPr>
                    <w:t>/</w:t>
                  </w:r>
                  <w:r>
                    <w:rPr>
                      <w:rStyle w:val="99"/>
                      <w:rFonts w:hint="eastAsia" w:cs="Times New Roman"/>
                      <w:sz w:val="24"/>
                      <w:szCs w:val="24"/>
                    </w:rPr>
                    <w:t>药物</w:t>
                  </w:r>
                </w:p>
              </w:tc>
              <w:tc>
                <w:tcPr>
                  <w:tcW w:w="2409" w:type="dxa"/>
                  <w:gridSpan w:val="2"/>
                  <w:vAlign w:val="center"/>
                </w:tcPr>
                <w:p w14:paraId="176C7F27">
                  <w:pPr>
                    <w:pStyle w:val="60"/>
                    <w:ind w:firstLine="0" w:firstLineChars="0"/>
                    <w:rPr>
                      <w:rStyle w:val="99"/>
                      <w:rFonts w:cs="Times New Roman"/>
                      <w:sz w:val="24"/>
                      <w:szCs w:val="24"/>
                    </w:rPr>
                  </w:pP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w:t>
                  </w:r>
                </w:p>
              </w:tc>
              <w:tc>
                <w:tcPr>
                  <w:tcW w:w="2410" w:type="dxa"/>
                  <w:gridSpan w:val="2"/>
                  <w:vAlign w:val="center"/>
                </w:tcPr>
                <w:p w14:paraId="514CD2E4">
                  <w:pPr>
                    <w:pStyle w:val="60"/>
                    <w:ind w:firstLine="480"/>
                    <w:rPr>
                      <w:rStyle w:val="99"/>
                      <w:rFonts w:cs="Times New Roman"/>
                      <w:sz w:val="24"/>
                      <w:szCs w:val="24"/>
                    </w:rPr>
                  </w:pPr>
                  <w:r>
                    <w:rPr>
                      <w:rStyle w:val="99"/>
                      <w:rFonts w:hint="eastAsia" w:cs="Times New Roman"/>
                      <w:sz w:val="24"/>
                      <w:szCs w:val="24"/>
                    </w:rPr>
                    <w:t>安慰剂</w:t>
                  </w:r>
                </w:p>
              </w:tc>
            </w:tr>
            <w:tr w14:paraId="733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860" w:type="dxa"/>
                  <w:vMerge w:val="continue"/>
                  <w:vAlign w:val="center"/>
                </w:tcPr>
                <w:p w14:paraId="47EE007E">
                  <w:pPr>
                    <w:pStyle w:val="60"/>
                    <w:ind w:firstLine="0" w:firstLineChars="0"/>
                    <w:rPr>
                      <w:rStyle w:val="99"/>
                      <w:rFonts w:cs="Times New Roman"/>
                      <w:sz w:val="24"/>
                      <w:szCs w:val="24"/>
                    </w:rPr>
                  </w:pPr>
                </w:p>
              </w:tc>
              <w:tc>
                <w:tcPr>
                  <w:tcW w:w="1134" w:type="dxa"/>
                  <w:vAlign w:val="center"/>
                </w:tcPr>
                <w:p w14:paraId="1095ABE1">
                  <w:pPr>
                    <w:pStyle w:val="60"/>
                    <w:ind w:firstLine="0" w:firstLineChars="0"/>
                    <w:rPr>
                      <w:rStyle w:val="99"/>
                      <w:rFonts w:cs="Times New Roman"/>
                      <w:sz w:val="24"/>
                      <w:szCs w:val="24"/>
                    </w:rPr>
                  </w:pPr>
                  <w:r>
                    <w:rPr>
                      <w:rStyle w:val="99"/>
                      <w:rFonts w:cs="Times New Roman"/>
                      <w:sz w:val="24"/>
                      <w:szCs w:val="24"/>
                    </w:rPr>
                    <w:t>25 mg/</w:t>
                  </w:r>
                  <w:r>
                    <w:rPr>
                      <w:rStyle w:val="99"/>
                      <w:rFonts w:hint="eastAsia" w:cs="Times New Roman"/>
                      <w:sz w:val="24"/>
                      <w:szCs w:val="24"/>
                    </w:rPr>
                    <w:t>片</w:t>
                  </w:r>
                </w:p>
              </w:tc>
              <w:tc>
                <w:tcPr>
                  <w:tcW w:w="1275" w:type="dxa"/>
                  <w:vAlign w:val="center"/>
                </w:tcPr>
                <w:p w14:paraId="58EFA2DD">
                  <w:pPr>
                    <w:pStyle w:val="60"/>
                    <w:ind w:firstLine="0" w:firstLineChars="0"/>
                    <w:rPr>
                      <w:rStyle w:val="99"/>
                      <w:rFonts w:cs="Times New Roman"/>
                      <w:sz w:val="24"/>
                      <w:szCs w:val="24"/>
                    </w:rPr>
                  </w:pPr>
                  <w:r>
                    <w:rPr>
                      <w:rStyle w:val="99"/>
                      <w:rFonts w:cs="Times New Roman"/>
                      <w:sz w:val="24"/>
                      <w:szCs w:val="24"/>
                    </w:rPr>
                    <w:t>100 mg/</w:t>
                  </w:r>
                  <w:r>
                    <w:rPr>
                      <w:rStyle w:val="99"/>
                      <w:rFonts w:hint="eastAsia" w:cs="Times New Roman"/>
                      <w:sz w:val="24"/>
                      <w:szCs w:val="24"/>
                    </w:rPr>
                    <w:t>片</w:t>
                  </w:r>
                </w:p>
              </w:tc>
              <w:tc>
                <w:tcPr>
                  <w:tcW w:w="1134" w:type="dxa"/>
                  <w:vAlign w:val="center"/>
                </w:tcPr>
                <w:p w14:paraId="7C47E71A">
                  <w:pPr>
                    <w:pStyle w:val="60"/>
                    <w:ind w:firstLine="0" w:firstLineChars="0"/>
                    <w:rPr>
                      <w:rStyle w:val="99"/>
                      <w:rFonts w:cs="Times New Roman"/>
                      <w:sz w:val="24"/>
                      <w:szCs w:val="24"/>
                    </w:rPr>
                  </w:pPr>
                  <w:r>
                    <w:rPr>
                      <w:rStyle w:val="99"/>
                      <w:rFonts w:cs="Times New Roman"/>
                      <w:sz w:val="24"/>
                      <w:szCs w:val="24"/>
                    </w:rPr>
                    <w:t>25 mg/</w:t>
                  </w:r>
                  <w:r>
                    <w:rPr>
                      <w:rStyle w:val="99"/>
                      <w:rFonts w:hint="eastAsia" w:cs="Times New Roman"/>
                      <w:sz w:val="24"/>
                      <w:szCs w:val="24"/>
                    </w:rPr>
                    <w:t>片</w:t>
                  </w:r>
                </w:p>
              </w:tc>
              <w:tc>
                <w:tcPr>
                  <w:tcW w:w="1276" w:type="dxa"/>
                  <w:vAlign w:val="center"/>
                </w:tcPr>
                <w:p w14:paraId="6D79C315">
                  <w:pPr>
                    <w:pStyle w:val="60"/>
                    <w:ind w:firstLine="0" w:firstLineChars="0"/>
                    <w:rPr>
                      <w:rStyle w:val="99"/>
                      <w:rFonts w:cs="Times New Roman"/>
                      <w:sz w:val="24"/>
                      <w:szCs w:val="24"/>
                    </w:rPr>
                  </w:pPr>
                  <w:r>
                    <w:rPr>
                      <w:rStyle w:val="99"/>
                      <w:rFonts w:cs="Times New Roman"/>
                      <w:sz w:val="24"/>
                      <w:szCs w:val="24"/>
                    </w:rPr>
                    <w:t>100 mg/</w:t>
                  </w:r>
                  <w:r>
                    <w:rPr>
                      <w:rStyle w:val="99"/>
                      <w:rFonts w:hint="eastAsia" w:cs="Times New Roman"/>
                      <w:sz w:val="24"/>
                      <w:szCs w:val="24"/>
                    </w:rPr>
                    <w:t>片</w:t>
                  </w:r>
                </w:p>
              </w:tc>
            </w:tr>
            <w:tr w14:paraId="342B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860" w:type="dxa"/>
                </w:tcPr>
                <w:p w14:paraId="185517AE">
                  <w:pPr>
                    <w:pStyle w:val="60"/>
                    <w:ind w:firstLine="0" w:firstLineChars="0"/>
                    <w:rPr>
                      <w:rStyle w:val="99"/>
                      <w:rFonts w:cs="Times New Roman"/>
                      <w:sz w:val="24"/>
                      <w:szCs w:val="24"/>
                    </w:rPr>
                  </w:pP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 QD</w:t>
                  </w:r>
                </w:p>
              </w:tc>
              <w:tc>
                <w:tcPr>
                  <w:tcW w:w="1134" w:type="dxa"/>
                  <w:vAlign w:val="center"/>
                </w:tcPr>
                <w:p w14:paraId="63CA04BE">
                  <w:pPr>
                    <w:pStyle w:val="60"/>
                    <w:ind w:firstLine="0" w:firstLineChars="0"/>
                    <w:rPr>
                      <w:rStyle w:val="99"/>
                      <w:rFonts w:cs="Times New Roman"/>
                      <w:sz w:val="24"/>
                      <w:szCs w:val="24"/>
                    </w:rPr>
                  </w:pPr>
                  <w:r>
                    <w:rPr>
                      <w:rStyle w:val="99"/>
                      <w:rFonts w:cs="Times New Roman"/>
                      <w:sz w:val="24"/>
                      <w:szCs w:val="24"/>
                    </w:rPr>
                    <w:t>2</w:t>
                  </w:r>
                  <w:r>
                    <w:rPr>
                      <w:rStyle w:val="99"/>
                      <w:rFonts w:hint="eastAsia" w:cs="Times New Roman"/>
                      <w:sz w:val="24"/>
                      <w:szCs w:val="24"/>
                    </w:rPr>
                    <w:t>片</w:t>
                  </w:r>
                </w:p>
              </w:tc>
              <w:tc>
                <w:tcPr>
                  <w:tcW w:w="1275" w:type="dxa"/>
                  <w:vAlign w:val="center"/>
                </w:tcPr>
                <w:p w14:paraId="6F968BB3">
                  <w:pPr>
                    <w:pStyle w:val="60"/>
                    <w:ind w:firstLine="0" w:firstLineChars="0"/>
                    <w:rPr>
                      <w:rStyle w:val="99"/>
                      <w:rFonts w:cs="Times New Roman"/>
                      <w:sz w:val="24"/>
                      <w:szCs w:val="24"/>
                    </w:rPr>
                  </w:pPr>
                  <w:r>
                    <w:rPr>
                      <w:rStyle w:val="99"/>
                      <w:rFonts w:cs="Times New Roman"/>
                      <w:sz w:val="24"/>
                      <w:szCs w:val="24"/>
                    </w:rPr>
                    <w:t>/</w:t>
                  </w:r>
                </w:p>
              </w:tc>
              <w:tc>
                <w:tcPr>
                  <w:tcW w:w="1134" w:type="dxa"/>
                  <w:vAlign w:val="center"/>
                </w:tcPr>
                <w:p w14:paraId="2136D284">
                  <w:pPr>
                    <w:pStyle w:val="60"/>
                    <w:ind w:firstLine="0" w:firstLineChars="0"/>
                    <w:rPr>
                      <w:rStyle w:val="99"/>
                      <w:rFonts w:cs="Times New Roman"/>
                      <w:sz w:val="24"/>
                      <w:szCs w:val="24"/>
                    </w:rPr>
                  </w:pPr>
                  <w:r>
                    <w:rPr>
                      <w:rStyle w:val="99"/>
                      <w:rFonts w:cs="Times New Roman"/>
                      <w:sz w:val="24"/>
                      <w:szCs w:val="24"/>
                    </w:rPr>
                    <w:t>/</w:t>
                  </w:r>
                </w:p>
              </w:tc>
              <w:tc>
                <w:tcPr>
                  <w:tcW w:w="1276" w:type="dxa"/>
                  <w:vAlign w:val="center"/>
                </w:tcPr>
                <w:p w14:paraId="30F13F00">
                  <w:pPr>
                    <w:pStyle w:val="60"/>
                    <w:ind w:firstLine="0" w:firstLineChars="0"/>
                    <w:rPr>
                      <w:rStyle w:val="99"/>
                      <w:rFonts w:cs="Times New Roman"/>
                      <w:sz w:val="24"/>
                      <w:szCs w:val="24"/>
                    </w:rPr>
                  </w:pPr>
                  <w:r>
                    <w:rPr>
                      <w:rStyle w:val="99"/>
                      <w:rFonts w:cs="Times New Roman"/>
                      <w:sz w:val="24"/>
                      <w:szCs w:val="24"/>
                    </w:rPr>
                    <w:t>1</w:t>
                  </w:r>
                  <w:r>
                    <w:rPr>
                      <w:rStyle w:val="99"/>
                      <w:rFonts w:hint="eastAsia" w:cs="Times New Roman"/>
                      <w:sz w:val="24"/>
                      <w:szCs w:val="24"/>
                    </w:rPr>
                    <w:t>片</w:t>
                  </w:r>
                </w:p>
              </w:tc>
            </w:tr>
            <w:tr w14:paraId="2F27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860" w:type="dxa"/>
                </w:tcPr>
                <w:p w14:paraId="6080ED6E">
                  <w:pPr>
                    <w:pStyle w:val="60"/>
                    <w:ind w:firstLine="0" w:firstLineChars="0"/>
                    <w:rPr>
                      <w:rStyle w:val="99"/>
                      <w:rFonts w:cs="Times New Roman"/>
                      <w:sz w:val="24"/>
                      <w:szCs w:val="24"/>
                    </w:rPr>
                  </w:pP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 QD</w:t>
                  </w:r>
                </w:p>
              </w:tc>
              <w:tc>
                <w:tcPr>
                  <w:tcW w:w="1134" w:type="dxa"/>
                  <w:vAlign w:val="center"/>
                </w:tcPr>
                <w:p w14:paraId="2399418D">
                  <w:pPr>
                    <w:pStyle w:val="60"/>
                    <w:ind w:firstLine="0" w:firstLineChars="0"/>
                    <w:rPr>
                      <w:rStyle w:val="99"/>
                      <w:rFonts w:cs="Times New Roman"/>
                      <w:sz w:val="24"/>
                      <w:szCs w:val="24"/>
                    </w:rPr>
                  </w:pPr>
                  <w:r>
                    <w:rPr>
                      <w:rStyle w:val="99"/>
                      <w:rFonts w:cs="Times New Roman"/>
                      <w:sz w:val="24"/>
                      <w:szCs w:val="24"/>
                    </w:rPr>
                    <w:t>/</w:t>
                  </w:r>
                </w:p>
              </w:tc>
              <w:tc>
                <w:tcPr>
                  <w:tcW w:w="1275" w:type="dxa"/>
                  <w:vAlign w:val="center"/>
                </w:tcPr>
                <w:p w14:paraId="550E1D15">
                  <w:pPr>
                    <w:pStyle w:val="60"/>
                    <w:ind w:firstLine="0" w:firstLineChars="0"/>
                    <w:rPr>
                      <w:rStyle w:val="99"/>
                      <w:rFonts w:cs="Times New Roman"/>
                      <w:sz w:val="24"/>
                      <w:szCs w:val="24"/>
                    </w:rPr>
                  </w:pPr>
                  <w:r>
                    <w:rPr>
                      <w:rStyle w:val="99"/>
                      <w:rFonts w:cs="Times New Roman"/>
                      <w:sz w:val="24"/>
                      <w:szCs w:val="24"/>
                    </w:rPr>
                    <w:t>1</w:t>
                  </w:r>
                  <w:r>
                    <w:rPr>
                      <w:rStyle w:val="99"/>
                      <w:rFonts w:hint="eastAsia" w:cs="Times New Roman"/>
                      <w:sz w:val="24"/>
                      <w:szCs w:val="24"/>
                    </w:rPr>
                    <w:t>片</w:t>
                  </w:r>
                </w:p>
              </w:tc>
              <w:tc>
                <w:tcPr>
                  <w:tcW w:w="1134" w:type="dxa"/>
                  <w:vAlign w:val="center"/>
                </w:tcPr>
                <w:p w14:paraId="7CF33328">
                  <w:pPr>
                    <w:pStyle w:val="60"/>
                    <w:ind w:firstLine="0" w:firstLineChars="0"/>
                    <w:rPr>
                      <w:rStyle w:val="99"/>
                      <w:rFonts w:cs="Times New Roman"/>
                      <w:sz w:val="24"/>
                      <w:szCs w:val="24"/>
                    </w:rPr>
                  </w:pPr>
                  <w:r>
                    <w:rPr>
                      <w:rStyle w:val="99"/>
                      <w:rFonts w:cs="Times New Roman"/>
                      <w:sz w:val="24"/>
                      <w:szCs w:val="24"/>
                    </w:rPr>
                    <w:t>2</w:t>
                  </w:r>
                  <w:r>
                    <w:rPr>
                      <w:rStyle w:val="99"/>
                      <w:rFonts w:hint="eastAsia" w:cs="Times New Roman"/>
                      <w:sz w:val="24"/>
                      <w:szCs w:val="24"/>
                    </w:rPr>
                    <w:t>片</w:t>
                  </w:r>
                </w:p>
              </w:tc>
              <w:tc>
                <w:tcPr>
                  <w:tcW w:w="1276" w:type="dxa"/>
                  <w:vAlign w:val="center"/>
                </w:tcPr>
                <w:p w14:paraId="5F29AABA">
                  <w:pPr>
                    <w:pStyle w:val="60"/>
                    <w:ind w:firstLine="0" w:firstLineChars="0"/>
                    <w:rPr>
                      <w:rStyle w:val="99"/>
                      <w:rFonts w:cs="Times New Roman"/>
                      <w:sz w:val="24"/>
                      <w:szCs w:val="24"/>
                    </w:rPr>
                  </w:pPr>
                  <w:r>
                    <w:rPr>
                      <w:rStyle w:val="99"/>
                      <w:rFonts w:cs="Times New Roman"/>
                      <w:sz w:val="24"/>
                      <w:szCs w:val="24"/>
                    </w:rPr>
                    <w:t>/</w:t>
                  </w:r>
                </w:p>
              </w:tc>
            </w:tr>
            <w:tr w14:paraId="746B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2860" w:type="dxa"/>
                </w:tcPr>
                <w:p w14:paraId="15EB7C22">
                  <w:pPr>
                    <w:pStyle w:val="60"/>
                    <w:ind w:firstLine="0" w:firstLineChars="0"/>
                    <w:rPr>
                      <w:rStyle w:val="99"/>
                      <w:rFonts w:cs="Times New Roman"/>
                      <w:sz w:val="24"/>
                      <w:szCs w:val="24"/>
                    </w:rPr>
                  </w:pPr>
                  <w:r>
                    <w:rPr>
                      <w:rStyle w:val="99"/>
                      <w:rFonts w:hint="eastAsia" w:cs="Times New Roman"/>
                      <w:sz w:val="24"/>
                      <w:szCs w:val="24"/>
                    </w:rPr>
                    <w:t>安慰剂</w:t>
                  </w:r>
                  <w:r>
                    <w:rPr>
                      <w:rStyle w:val="99"/>
                      <w:rFonts w:cs="Times New Roman"/>
                      <w:sz w:val="24"/>
                      <w:szCs w:val="24"/>
                    </w:rPr>
                    <w:t xml:space="preserve"> QD</w:t>
                  </w:r>
                </w:p>
              </w:tc>
              <w:tc>
                <w:tcPr>
                  <w:tcW w:w="1134" w:type="dxa"/>
                  <w:vAlign w:val="center"/>
                </w:tcPr>
                <w:p w14:paraId="51164A7B">
                  <w:pPr>
                    <w:pStyle w:val="60"/>
                    <w:ind w:firstLine="0" w:firstLineChars="0"/>
                    <w:rPr>
                      <w:rStyle w:val="99"/>
                      <w:rFonts w:cs="Times New Roman"/>
                      <w:sz w:val="24"/>
                      <w:szCs w:val="24"/>
                    </w:rPr>
                  </w:pPr>
                  <w:r>
                    <w:rPr>
                      <w:rStyle w:val="99"/>
                      <w:rFonts w:cs="Times New Roman"/>
                      <w:sz w:val="24"/>
                      <w:szCs w:val="24"/>
                    </w:rPr>
                    <w:t>/</w:t>
                  </w:r>
                </w:p>
              </w:tc>
              <w:tc>
                <w:tcPr>
                  <w:tcW w:w="1275" w:type="dxa"/>
                  <w:vAlign w:val="center"/>
                </w:tcPr>
                <w:p w14:paraId="2623B6D2">
                  <w:pPr>
                    <w:pStyle w:val="60"/>
                    <w:ind w:firstLine="0" w:firstLineChars="0"/>
                    <w:rPr>
                      <w:rStyle w:val="99"/>
                      <w:rFonts w:cs="Times New Roman"/>
                      <w:sz w:val="24"/>
                      <w:szCs w:val="24"/>
                    </w:rPr>
                  </w:pPr>
                </w:p>
              </w:tc>
              <w:tc>
                <w:tcPr>
                  <w:tcW w:w="1134" w:type="dxa"/>
                  <w:vAlign w:val="center"/>
                </w:tcPr>
                <w:p w14:paraId="29ACE310">
                  <w:pPr>
                    <w:pStyle w:val="60"/>
                    <w:ind w:firstLine="0" w:firstLineChars="0"/>
                    <w:rPr>
                      <w:rStyle w:val="99"/>
                      <w:rFonts w:cs="Times New Roman"/>
                      <w:sz w:val="24"/>
                      <w:szCs w:val="24"/>
                    </w:rPr>
                  </w:pPr>
                  <w:r>
                    <w:rPr>
                      <w:rStyle w:val="99"/>
                      <w:rFonts w:cs="Times New Roman"/>
                      <w:sz w:val="24"/>
                      <w:szCs w:val="24"/>
                    </w:rPr>
                    <w:t>2</w:t>
                  </w:r>
                  <w:r>
                    <w:rPr>
                      <w:rStyle w:val="99"/>
                      <w:rFonts w:hint="eastAsia" w:cs="Times New Roman"/>
                      <w:sz w:val="24"/>
                      <w:szCs w:val="24"/>
                    </w:rPr>
                    <w:t>片</w:t>
                  </w:r>
                </w:p>
              </w:tc>
              <w:tc>
                <w:tcPr>
                  <w:tcW w:w="1276" w:type="dxa"/>
                  <w:vAlign w:val="center"/>
                </w:tcPr>
                <w:p w14:paraId="56D522F3">
                  <w:pPr>
                    <w:pStyle w:val="60"/>
                    <w:ind w:firstLine="0" w:firstLineChars="0"/>
                    <w:rPr>
                      <w:rStyle w:val="99"/>
                      <w:rFonts w:cs="Times New Roman"/>
                      <w:sz w:val="24"/>
                      <w:szCs w:val="24"/>
                    </w:rPr>
                  </w:pPr>
                  <w:r>
                    <w:rPr>
                      <w:rStyle w:val="99"/>
                      <w:rFonts w:cs="Times New Roman"/>
                      <w:sz w:val="24"/>
                      <w:szCs w:val="24"/>
                    </w:rPr>
                    <w:t>1</w:t>
                  </w:r>
                  <w:r>
                    <w:rPr>
                      <w:rStyle w:val="99"/>
                      <w:rFonts w:hint="eastAsia" w:cs="Times New Roman"/>
                      <w:sz w:val="24"/>
                      <w:szCs w:val="24"/>
                    </w:rPr>
                    <w:t>片</w:t>
                  </w:r>
                </w:p>
              </w:tc>
            </w:tr>
          </w:tbl>
          <w:p w14:paraId="100A3B33">
            <w:pPr>
              <w:spacing w:before="360" w:beforeLines="150" w:line="360" w:lineRule="auto"/>
              <w:jc w:val="both"/>
              <w:rPr>
                <w:rFonts w:ascii="Times New Roman" w:hAnsi="Times New Roman" w:eastAsia="宋体" w:cs="Times New Roman"/>
                <w:b/>
                <w:bCs/>
                <w:color w:val="000000"/>
                <w:sz w:val="24"/>
                <w:szCs w:val="24"/>
                <w:u w:val="thick"/>
              </w:rPr>
            </w:pPr>
            <w:r>
              <w:rPr>
                <w:rFonts w:hint="eastAsia" w:ascii="Times New Roman" w:hAnsi="Times New Roman" w:eastAsia="宋体" w:cs="Times New Roman"/>
                <w:b/>
                <w:bCs/>
                <w:color w:val="000000"/>
                <w:sz w:val="24"/>
                <w:szCs w:val="24"/>
                <w:u w:val="thick"/>
                <w:lang w:eastAsia="zh-Hans"/>
              </w:rPr>
              <w:t>Ⅲ期临床</w:t>
            </w:r>
            <w:r>
              <w:rPr>
                <w:rFonts w:hint="eastAsia" w:ascii="Times New Roman" w:hAnsi="Times New Roman" w:eastAsia="宋体" w:cs="Times New Roman"/>
                <w:b/>
                <w:bCs/>
                <w:color w:val="000000"/>
                <w:sz w:val="24"/>
                <w:szCs w:val="24"/>
                <w:u w:val="thick"/>
              </w:rPr>
              <w:t>研究阶段</w:t>
            </w:r>
          </w:p>
          <w:p w14:paraId="6F81C4E4">
            <w:pPr>
              <w:pStyle w:val="60"/>
              <w:ind w:firstLine="480"/>
              <w:rPr>
                <w:rFonts w:cs="Times New Roman"/>
                <w:color w:val="000000"/>
                <w:sz w:val="24"/>
                <w:szCs w:val="24"/>
              </w:rPr>
            </w:pPr>
            <w:r>
              <w:rPr>
                <w:rFonts w:hint="eastAsia" w:cs="Times New Roman"/>
                <w:color w:val="000000"/>
                <w:sz w:val="24"/>
                <w:szCs w:val="24"/>
                <w:lang w:eastAsia="zh-Hans"/>
              </w:rPr>
              <w:t>基础期</w:t>
            </w:r>
            <w:r>
              <w:rPr>
                <w:rFonts w:hint="eastAsia" w:cs="Times New Roman"/>
                <w:color w:val="000000"/>
                <w:sz w:val="24"/>
                <w:szCs w:val="24"/>
              </w:rPr>
              <w:t>阶段，符合条件的参与者按照</w:t>
            </w:r>
            <w:r>
              <w:rPr>
                <w:rFonts w:cs="Times New Roman"/>
                <w:color w:val="000000"/>
                <w:sz w:val="24"/>
                <w:szCs w:val="24"/>
              </w:rPr>
              <w:t>2:2:1</w:t>
            </w:r>
            <w:r>
              <w:rPr>
                <w:rFonts w:hint="eastAsia" w:cs="Times New Roman"/>
                <w:color w:val="000000"/>
                <w:sz w:val="24"/>
                <w:szCs w:val="24"/>
              </w:rPr>
              <w:t>的比例</w:t>
            </w:r>
            <w:r>
              <w:rPr>
                <w:rStyle w:val="99"/>
                <w:rFonts w:hint="eastAsia" w:cs="Times New Roman"/>
                <w:sz w:val="24"/>
                <w:szCs w:val="24"/>
              </w:rPr>
              <w:t>随机接受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Style w:val="99"/>
                <w:rFonts w:hint="eastAsia" w:cs="Times New Roman"/>
                <w:sz w:val="24"/>
                <w:szCs w:val="24"/>
              </w:rPr>
              <w:t>或安慰剂口服给药，每日服药</w:t>
            </w:r>
            <w:r>
              <w:rPr>
                <w:rStyle w:val="99"/>
                <w:rFonts w:cs="Times New Roman"/>
                <w:sz w:val="24"/>
                <w:szCs w:val="24"/>
              </w:rPr>
              <w:t>1</w:t>
            </w:r>
            <w:r>
              <w:rPr>
                <w:rStyle w:val="99"/>
                <w:rFonts w:hint="eastAsia" w:cs="Times New Roman"/>
                <w:sz w:val="24"/>
                <w:szCs w:val="24"/>
              </w:rPr>
              <w:t>次。各剂量组参与者服药方案见上表。</w:t>
            </w:r>
          </w:p>
          <w:p w14:paraId="04113E31">
            <w:pPr>
              <w:pStyle w:val="60"/>
              <w:ind w:firstLine="480"/>
              <w:rPr>
                <w:rFonts w:cs="Times New Roman"/>
                <w:color w:val="000000"/>
                <w:sz w:val="24"/>
                <w:szCs w:val="24"/>
              </w:rPr>
            </w:pPr>
            <w:r>
              <w:rPr>
                <w:rFonts w:hint="eastAsia" w:cs="Times New Roman"/>
                <w:color w:val="000000"/>
                <w:sz w:val="24"/>
                <w:szCs w:val="24"/>
              </w:rPr>
              <w:t>扩展期阶段，基础期接受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Style w:val="99"/>
                <w:rFonts w:hint="eastAsia" w:cs="Times New Roman"/>
                <w:sz w:val="24"/>
                <w:szCs w:val="24"/>
              </w:rPr>
              <w:t>口服给药的参与者将继续基础期阶段的给药方式，分别接受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Style w:val="99"/>
                <w:rFonts w:hint="eastAsia" w:cs="Times New Roman"/>
                <w:sz w:val="24"/>
                <w:szCs w:val="24"/>
              </w:rPr>
              <w:t>口服给药，每日服药</w:t>
            </w:r>
            <w:r>
              <w:rPr>
                <w:rStyle w:val="99"/>
                <w:rFonts w:cs="Times New Roman"/>
                <w:sz w:val="24"/>
                <w:szCs w:val="24"/>
              </w:rPr>
              <w:t>1</w:t>
            </w:r>
            <w:r>
              <w:rPr>
                <w:rStyle w:val="99"/>
                <w:rFonts w:hint="eastAsia" w:cs="Times New Roman"/>
                <w:sz w:val="24"/>
                <w:szCs w:val="24"/>
              </w:rPr>
              <w:t>次。基础期接受安慰剂口服给药的参与者，</w:t>
            </w:r>
            <w:r>
              <w:rPr>
                <w:rFonts w:hint="eastAsia" w:cs="Times New Roman"/>
                <w:color w:val="000000"/>
                <w:sz w:val="24"/>
                <w:szCs w:val="24"/>
              </w:rPr>
              <w:t>将按照</w:t>
            </w:r>
            <w:r>
              <w:rPr>
                <w:rFonts w:cs="Times New Roman"/>
                <w:color w:val="000000"/>
                <w:sz w:val="24"/>
                <w:szCs w:val="24"/>
              </w:rPr>
              <w:t>1:1</w:t>
            </w:r>
            <w:r>
              <w:rPr>
                <w:rFonts w:hint="eastAsia" w:cs="Times New Roman"/>
                <w:color w:val="000000"/>
                <w:sz w:val="24"/>
                <w:szCs w:val="24"/>
              </w:rPr>
              <w:t>的比例随机分配至接受</w:t>
            </w:r>
            <w:r>
              <w:rPr>
                <w:rFonts w:cs="Times New Roman"/>
                <w:color w:val="000000"/>
                <w:sz w:val="24"/>
                <w:szCs w:val="24"/>
                <w:lang w:eastAsia="zh-Hans"/>
              </w:rPr>
              <w:t>CMS-D001</w:t>
            </w:r>
            <w:r>
              <w:rPr>
                <w:rFonts w:hint="eastAsia" w:cs="Times New Roman"/>
                <w:color w:val="000000"/>
                <w:sz w:val="24"/>
                <w:szCs w:val="24"/>
                <w:lang w:eastAsia="zh-Hans"/>
              </w:rPr>
              <w:t>片</w:t>
            </w:r>
            <w:r>
              <w:rPr>
                <w:rFonts w:cs="Times New Roman"/>
                <w:color w:val="000000"/>
                <w:sz w:val="24"/>
                <w:szCs w:val="24"/>
              </w:rPr>
              <w:t xml:space="preserve"> 50 mg</w:t>
            </w:r>
            <w:r>
              <w:rPr>
                <w:rFonts w:hint="eastAsia" w:cs="Times New Roman"/>
                <w:color w:val="000000"/>
                <w:sz w:val="24"/>
                <w:szCs w:val="24"/>
              </w:rPr>
              <w:t>或</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w:t>
            </w:r>
            <w:r>
              <w:rPr>
                <w:rFonts w:cs="Times New Roman"/>
                <w:color w:val="000000"/>
                <w:sz w:val="24"/>
                <w:szCs w:val="24"/>
              </w:rPr>
              <w:t>100 mg</w:t>
            </w:r>
            <w:r>
              <w:rPr>
                <w:rFonts w:hint="eastAsia" w:cs="Times New Roman"/>
                <w:color w:val="000000"/>
                <w:sz w:val="24"/>
                <w:szCs w:val="24"/>
              </w:rPr>
              <w:t>，</w:t>
            </w:r>
            <w:r>
              <w:rPr>
                <w:rStyle w:val="99"/>
                <w:rFonts w:hint="eastAsia" w:cs="Times New Roman"/>
                <w:sz w:val="24"/>
                <w:szCs w:val="24"/>
              </w:rPr>
              <w:t>每日服药</w:t>
            </w:r>
            <w:r>
              <w:rPr>
                <w:rStyle w:val="99"/>
                <w:rFonts w:cs="Times New Roman"/>
                <w:sz w:val="24"/>
                <w:szCs w:val="24"/>
              </w:rPr>
              <w:t>1</w:t>
            </w:r>
            <w:r>
              <w:rPr>
                <w:rStyle w:val="99"/>
                <w:rFonts w:hint="eastAsia" w:cs="Times New Roman"/>
                <w:sz w:val="24"/>
                <w:szCs w:val="24"/>
              </w:rPr>
              <w:t>次</w:t>
            </w:r>
            <w:r>
              <w:rPr>
                <w:rFonts w:hint="eastAsia" w:cs="Times New Roman"/>
                <w:color w:val="000000"/>
                <w:sz w:val="24"/>
                <w:szCs w:val="24"/>
              </w:rPr>
              <w:t>给药，</w:t>
            </w:r>
            <w:r>
              <w:rPr>
                <w:rFonts w:hint="eastAsia" w:cs="Times New Roman"/>
                <w:color w:val="000000"/>
                <w:sz w:val="24"/>
                <w:szCs w:val="24"/>
                <w:lang w:eastAsia="zh-Hans"/>
              </w:rPr>
              <w:t>持续服用至</w:t>
            </w:r>
            <w:r>
              <w:rPr>
                <w:rFonts w:cs="Times New Roman"/>
                <w:color w:val="000000"/>
                <w:sz w:val="24"/>
                <w:szCs w:val="24"/>
                <w:lang w:eastAsia="zh-Hans"/>
              </w:rPr>
              <w:t>52</w:t>
            </w:r>
            <w:r>
              <w:rPr>
                <w:rFonts w:hint="eastAsia" w:cs="Times New Roman"/>
                <w:color w:val="000000"/>
                <w:sz w:val="24"/>
                <w:szCs w:val="24"/>
                <w:lang w:eastAsia="zh-Hans"/>
              </w:rPr>
              <w:t>周</w:t>
            </w:r>
            <w:r>
              <w:rPr>
                <w:rFonts w:hint="eastAsia" w:cs="Times New Roman"/>
                <w:color w:val="000000"/>
                <w:sz w:val="24"/>
                <w:szCs w:val="24"/>
              </w:rPr>
              <w:t>；或根据期中分析结果，</w:t>
            </w:r>
            <w:r>
              <w:rPr>
                <w:rStyle w:val="99"/>
                <w:rFonts w:hint="eastAsia" w:cs="Times New Roman"/>
                <w:sz w:val="24"/>
                <w:szCs w:val="24"/>
              </w:rPr>
              <w:t>基础期接受安慰剂口服给药的所有参与者均</w:t>
            </w:r>
            <w:r>
              <w:rPr>
                <w:rFonts w:hint="eastAsia" w:cs="Times New Roman"/>
                <w:color w:val="000000"/>
                <w:sz w:val="24"/>
                <w:szCs w:val="24"/>
              </w:rPr>
              <w:t>接受</w:t>
            </w:r>
            <w:r>
              <w:rPr>
                <w:rFonts w:cs="Times New Roman"/>
                <w:color w:val="000000"/>
                <w:sz w:val="24"/>
                <w:szCs w:val="24"/>
                <w:lang w:eastAsia="zh-Hans"/>
              </w:rPr>
              <w:t>CMS-D001</w:t>
            </w:r>
            <w:r>
              <w:rPr>
                <w:rFonts w:hint="eastAsia" w:cs="Times New Roman"/>
                <w:color w:val="000000"/>
                <w:sz w:val="24"/>
                <w:szCs w:val="24"/>
                <w:lang w:eastAsia="zh-Hans"/>
              </w:rPr>
              <w:t>片</w:t>
            </w:r>
            <w:r>
              <w:rPr>
                <w:rFonts w:cs="Times New Roman"/>
                <w:color w:val="000000"/>
                <w:sz w:val="24"/>
                <w:szCs w:val="24"/>
              </w:rPr>
              <w:t xml:space="preserve"> 50 mg</w:t>
            </w:r>
            <w:r>
              <w:rPr>
                <w:rFonts w:hint="eastAsia" w:cs="Times New Roman"/>
                <w:color w:val="000000"/>
                <w:sz w:val="24"/>
                <w:szCs w:val="24"/>
              </w:rPr>
              <w:t>或</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w:t>
            </w:r>
            <w:r>
              <w:rPr>
                <w:rFonts w:cs="Times New Roman"/>
                <w:color w:val="000000"/>
                <w:sz w:val="24"/>
                <w:szCs w:val="24"/>
              </w:rPr>
              <w:t>100 mg</w:t>
            </w:r>
            <w:r>
              <w:rPr>
                <w:rFonts w:hint="eastAsia" w:cs="Times New Roman"/>
                <w:color w:val="000000"/>
                <w:sz w:val="24"/>
                <w:szCs w:val="24"/>
              </w:rPr>
              <w:t>，</w:t>
            </w:r>
            <w:r>
              <w:rPr>
                <w:rStyle w:val="99"/>
                <w:rFonts w:hint="eastAsia" w:cs="Times New Roman"/>
                <w:sz w:val="24"/>
                <w:szCs w:val="24"/>
              </w:rPr>
              <w:t>每日服药</w:t>
            </w:r>
            <w:r>
              <w:rPr>
                <w:rStyle w:val="99"/>
                <w:rFonts w:cs="Times New Roman"/>
                <w:sz w:val="24"/>
                <w:szCs w:val="24"/>
              </w:rPr>
              <w:t>1</w:t>
            </w:r>
            <w:r>
              <w:rPr>
                <w:rStyle w:val="99"/>
                <w:rFonts w:hint="eastAsia" w:cs="Times New Roman"/>
                <w:sz w:val="24"/>
                <w:szCs w:val="24"/>
              </w:rPr>
              <w:t>次</w:t>
            </w:r>
            <w:r>
              <w:rPr>
                <w:rFonts w:hint="eastAsia" w:cs="Times New Roman"/>
                <w:color w:val="000000"/>
                <w:sz w:val="24"/>
                <w:szCs w:val="24"/>
              </w:rPr>
              <w:t>给药，</w:t>
            </w:r>
            <w:r>
              <w:rPr>
                <w:rFonts w:hint="eastAsia" w:cs="Times New Roman"/>
                <w:color w:val="000000"/>
                <w:sz w:val="24"/>
                <w:szCs w:val="24"/>
                <w:lang w:eastAsia="zh-Hans"/>
              </w:rPr>
              <w:t>持续服用至</w:t>
            </w:r>
            <w:r>
              <w:rPr>
                <w:rFonts w:cs="Times New Roman"/>
                <w:color w:val="000000"/>
                <w:sz w:val="24"/>
                <w:szCs w:val="24"/>
                <w:lang w:eastAsia="zh-Hans"/>
              </w:rPr>
              <w:t>52</w:t>
            </w:r>
            <w:r>
              <w:rPr>
                <w:rFonts w:hint="eastAsia" w:cs="Times New Roman"/>
                <w:color w:val="000000"/>
                <w:sz w:val="24"/>
                <w:szCs w:val="24"/>
                <w:lang w:eastAsia="zh-Hans"/>
              </w:rPr>
              <w:t>周</w:t>
            </w:r>
            <w:r>
              <w:rPr>
                <w:rFonts w:hint="eastAsia" w:cs="Times New Roman"/>
                <w:color w:val="000000"/>
                <w:sz w:val="24"/>
                <w:szCs w:val="24"/>
              </w:rPr>
              <w:t>。</w:t>
            </w:r>
          </w:p>
          <w:p w14:paraId="5C867E87">
            <w:pPr>
              <w:spacing w:line="360" w:lineRule="auto"/>
              <w:jc w:val="both"/>
              <w:rPr>
                <w:rFonts w:ascii="Times New Roman" w:hAnsi="Times New Roman" w:cs="Times New Roman"/>
                <w:b/>
                <w:bCs/>
                <w:sz w:val="24"/>
                <w:szCs w:val="24"/>
                <w:u w:val="thick"/>
              </w:rPr>
            </w:pPr>
            <w:r>
              <w:rPr>
                <w:rFonts w:hint="eastAsia" w:ascii="Times New Roman" w:hAnsi="Times New Roman" w:eastAsia="宋体" w:cs="Times New Roman"/>
                <w:b/>
                <w:bCs/>
                <w:color w:val="000000"/>
                <w:sz w:val="24"/>
                <w:szCs w:val="24"/>
                <w:u w:val="thick"/>
              </w:rPr>
              <w:t>给药方法</w:t>
            </w:r>
          </w:p>
          <w:p w14:paraId="3B92BA5D">
            <w:pPr>
              <w:pStyle w:val="60"/>
              <w:ind w:firstLine="480"/>
              <w:rPr>
                <w:rFonts w:cs="Times New Roman"/>
                <w:color w:val="000000"/>
                <w:sz w:val="24"/>
                <w:szCs w:val="24"/>
              </w:rPr>
            </w:pPr>
            <w:r>
              <w:rPr>
                <w:rFonts w:hint="eastAsia" w:cs="Times New Roman"/>
                <w:color w:val="000000"/>
                <w:sz w:val="24"/>
                <w:szCs w:val="24"/>
              </w:rPr>
              <w:t>为保持空腹服药，每次服药与进餐应间隔</w:t>
            </w:r>
            <w:r>
              <w:rPr>
                <w:rFonts w:cs="Times New Roman"/>
                <w:color w:val="000000"/>
                <w:sz w:val="24"/>
                <w:szCs w:val="24"/>
              </w:rPr>
              <w:t>2</w:t>
            </w:r>
            <w:r>
              <w:rPr>
                <w:rFonts w:hint="eastAsia" w:cs="Times New Roman"/>
                <w:color w:val="000000"/>
                <w:sz w:val="24"/>
                <w:szCs w:val="24"/>
              </w:rPr>
              <w:t>小时及以上，即服药前后</w:t>
            </w:r>
            <w:r>
              <w:rPr>
                <w:rFonts w:cs="Times New Roman"/>
                <w:color w:val="000000"/>
                <w:sz w:val="24"/>
                <w:szCs w:val="24"/>
              </w:rPr>
              <w:t>2</w:t>
            </w:r>
            <w:r>
              <w:rPr>
                <w:rFonts w:hint="eastAsia" w:cs="Times New Roman"/>
                <w:color w:val="000000"/>
                <w:sz w:val="24"/>
                <w:szCs w:val="24"/>
              </w:rPr>
              <w:t>小时内尽量不进食，每天服药时间尽量保持一致。</w:t>
            </w:r>
          </w:p>
          <w:p w14:paraId="5CF8D6BF">
            <w:pPr>
              <w:pStyle w:val="60"/>
              <w:ind w:firstLine="480"/>
              <w:rPr>
                <w:rStyle w:val="99"/>
                <w:rFonts w:cs="Times New Roman"/>
                <w:i/>
                <w:iCs/>
                <w:sz w:val="24"/>
                <w:szCs w:val="24"/>
              </w:rPr>
            </w:pPr>
            <w:r>
              <w:rPr>
                <w:rFonts w:hint="eastAsia" w:cs="Times New Roman"/>
                <w:color w:val="000000"/>
                <w:sz w:val="24"/>
                <w:szCs w:val="24"/>
              </w:rPr>
              <w:t>如漏服一次药物，建议尽快在</w:t>
            </w:r>
            <w:r>
              <w:rPr>
                <w:rFonts w:cs="Times New Roman"/>
                <w:color w:val="000000"/>
                <w:sz w:val="24"/>
                <w:szCs w:val="24"/>
              </w:rPr>
              <w:t>6 h</w:t>
            </w:r>
            <w:r>
              <w:rPr>
                <w:rFonts w:hint="eastAsia" w:cs="Times New Roman"/>
                <w:color w:val="000000"/>
                <w:sz w:val="24"/>
                <w:szCs w:val="24"/>
              </w:rPr>
              <w:t>内（含</w:t>
            </w:r>
            <w:r>
              <w:rPr>
                <w:rFonts w:cs="Times New Roman"/>
                <w:color w:val="000000"/>
                <w:sz w:val="24"/>
                <w:szCs w:val="24"/>
              </w:rPr>
              <w:t>6 h</w:t>
            </w:r>
            <w:r>
              <w:rPr>
                <w:rFonts w:hint="eastAsia" w:cs="Times New Roman"/>
                <w:color w:val="000000"/>
                <w:sz w:val="24"/>
                <w:szCs w:val="24"/>
              </w:rPr>
              <w:t>）完成补服；如漏服药物超过</w:t>
            </w:r>
            <w:r>
              <w:rPr>
                <w:rFonts w:cs="Times New Roman"/>
                <w:color w:val="000000"/>
                <w:sz w:val="24"/>
                <w:szCs w:val="24"/>
              </w:rPr>
              <w:t>6 h</w:t>
            </w:r>
            <w:r>
              <w:rPr>
                <w:rFonts w:hint="eastAsia" w:cs="Times New Roman"/>
                <w:color w:val="000000"/>
                <w:sz w:val="24"/>
                <w:szCs w:val="24"/>
              </w:rPr>
              <w:t>，不建议补服，以上情况均需如实记录在日记卡中。后续按计划服药时间正常服药。</w:t>
            </w:r>
          </w:p>
        </w:tc>
      </w:tr>
      <w:tr w14:paraId="68C8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5D57E428">
            <w:pPr>
              <w:pStyle w:val="60"/>
              <w:ind w:firstLine="0" w:firstLineChars="0"/>
              <w:rPr>
                <w:rStyle w:val="99"/>
                <w:rFonts w:cs="Times New Roman"/>
                <w:b/>
                <w:bCs/>
                <w:sz w:val="24"/>
                <w:szCs w:val="24"/>
              </w:rPr>
            </w:pPr>
            <w:r>
              <w:rPr>
                <w:rStyle w:val="99"/>
                <w:rFonts w:hint="eastAsia" w:cs="Times New Roman"/>
                <w:b/>
                <w:bCs/>
                <w:sz w:val="24"/>
                <w:szCs w:val="24"/>
              </w:rPr>
              <w:t>样本量</w:t>
            </w:r>
          </w:p>
        </w:tc>
        <w:tc>
          <w:tcPr>
            <w:tcW w:w="7934" w:type="dxa"/>
            <w:noWrap/>
          </w:tcPr>
          <w:p w14:paraId="350DBE44">
            <w:pPr>
              <w:pStyle w:val="60"/>
              <w:ind w:firstLine="0" w:firstLineChars="0"/>
              <w:rPr>
                <w:rStyle w:val="99"/>
                <w:rFonts w:cs="Times New Roman"/>
                <w:b/>
                <w:bCs/>
                <w:sz w:val="24"/>
                <w:szCs w:val="24"/>
                <w:u w:val="single"/>
                <w:lang w:eastAsia="zh-Hans"/>
              </w:rPr>
            </w:pPr>
            <w:r>
              <w:rPr>
                <w:rFonts w:hint="eastAsia" w:cs="Times New Roman"/>
                <w:b/>
                <w:bCs/>
                <w:color w:val="000000"/>
                <w:sz w:val="24"/>
                <w:szCs w:val="24"/>
                <w:u w:val="single"/>
                <w:lang w:eastAsia="zh-Hans"/>
              </w:rPr>
              <w:t>Ⅱ期</w:t>
            </w:r>
            <w:r>
              <w:rPr>
                <w:rStyle w:val="99"/>
                <w:rFonts w:hint="eastAsia" w:cs="Times New Roman"/>
                <w:b/>
                <w:bCs/>
                <w:sz w:val="24"/>
                <w:szCs w:val="24"/>
                <w:u w:val="single"/>
                <w:lang w:eastAsia="zh-Hans"/>
              </w:rPr>
              <w:t>临床阶段</w:t>
            </w:r>
          </w:p>
          <w:p w14:paraId="00B70DE0">
            <w:pPr>
              <w:pStyle w:val="60"/>
              <w:ind w:firstLine="480"/>
              <w:rPr>
                <w:rStyle w:val="99"/>
                <w:rFonts w:cs="Times New Roman"/>
                <w:sz w:val="24"/>
                <w:szCs w:val="24"/>
                <w:lang w:eastAsia="zh-Hans"/>
              </w:rPr>
            </w:pPr>
            <w:r>
              <w:rPr>
                <w:rStyle w:val="99"/>
                <w:rFonts w:hint="eastAsia" w:cs="Times New Roman"/>
                <w:sz w:val="24"/>
                <w:szCs w:val="24"/>
                <w:lang w:eastAsia="zh-Hans"/>
              </w:rPr>
              <w:t>Ⅱ期临床阶段的主要终点是第</w:t>
            </w:r>
            <w:r>
              <w:rPr>
                <w:rStyle w:val="99"/>
                <w:rFonts w:cs="Times New Roman"/>
                <w:sz w:val="24"/>
                <w:szCs w:val="24"/>
                <w:lang w:eastAsia="zh-Hans"/>
              </w:rPr>
              <w:t>12</w:t>
            </w:r>
            <w:r>
              <w:rPr>
                <w:rStyle w:val="99"/>
                <w:rFonts w:hint="eastAsia" w:cs="Times New Roman"/>
                <w:sz w:val="24"/>
                <w:szCs w:val="24"/>
                <w:lang w:eastAsia="zh-Hans"/>
              </w:rPr>
              <w:t>周达到</w:t>
            </w:r>
            <w:r>
              <w:rPr>
                <w:rStyle w:val="99"/>
                <w:rFonts w:cs="Times New Roman"/>
                <w:sz w:val="24"/>
                <w:szCs w:val="24"/>
                <w:lang w:eastAsia="zh-Hans"/>
              </w:rPr>
              <w:t>PASI 75</w:t>
            </w:r>
            <w:r>
              <w:rPr>
                <w:rStyle w:val="99"/>
                <w:rFonts w:hint="eastAsia" w:cs="Times New Roman"/>
                <w:sz w:val="24"/>
                <w:szCs w:val="24"/>
                <w:lang w:eastAsia="zh-Hans"/>
              </w:rPr>
              <w:t>应答的</w:t>
            </w:r>
            <w:r>
              <w:rPr>
                <w:rStyle w:val="99"/>
                <w:rFonts w:hint="eastAsia" w:cs="Times New Roman"/>
                <w:sz w:val="24"/>
                <w:szCs w:val="24"/>
              </w:rPr>
              <w:t>参与者</w:t>
            </w:r>
            <w:r>
              <w:rPr>
                <w:rStyle w:val="99"/>
                <w:rFonts w:hint="eastAsia" w:cs="Times New Roman"/>
                <w:sz w:val="24"/>
                <w:szCs w:val="24"/>
                <w:lang w:eastAsia="zh-Hans"/>
              </w:rPr>
              <w:t>比例。本阶段研究的主要目的为剂量</w:t>
            </w:r>
            <w:r>
              <w:rPr>
                <w:rStyle w:val="99"/>
                <w:rFonts w:hint="eastAsia" w:cs="Times New Roman"/>
                <w:sz w:val="24"/>
                <w:szCs w:val="24"/>
              </w:rPr>
              <w:t>探索</w:t>
            </w:r>
            <w:r>
              <w:rPr>
                <w:rStyle w:val="99"/>
                <w:rFonts w:hint="eastAsia" w:cs="Times New Roman"/>
                <w:sz w:val="24"/>
                <w:szCs w:val="24"/>
                <w:lang w:eastAsia="zh-Hans"/>
              </w:rPr>
              <w:t>，样本量的估算不做正式的假设检验。</w:t>
            </w:r>
            <w:r>
              <w:rPr>
                <w:rStyle w:val="99"/>
                <w:rFonts w:cs="Times New Roman"/>
                <w:sz w:val="24"/>
                <w:szCs w:val="24"/>
                <w:lang w:eastAsia="zh-Hans"/>
              </w:rPr>
              <w:t>2</w:t>
            </w:r>
            <w:r>
              <w:rPr>
                <w:rStyle w:val="99"/>
                <w:rFonts w:hint="eastAsia" w:cs="Times New Roman"/>
                <w:sz w:val="24"/>
                <w:szCs w:val="24"/>
                <w:lang w:eastAsia="zh-Hans"/>
              </w:rPr>
              <w:t>个剂量组与安慰剂组，随机比例为</w:t>
            </w:r>
            <w:r>
              <w:rPr>
                <w:rStyle w:val="99"/>
                <w:rFonts w:cs="Times New Roman"/>
                <w:sz w:val="24"/>
                <w:szCs w:val="24"/>
                <w:lang w:eastAsia="zh-Hans"/>
              </w:rPr>
              <w:t>1:1:1</w:t>
            </w:r>
            <w:r>
              <w:rPr>
                <w:rStyle w:val="99"/>
                <w:rFonts w:hint="eastAsia" w:cs="Times New Roman"/>
                <w:sz w:val="24"/>
                <w:szCs w:val="24"/>
                <w:lang w:eastAsia="zh-Hans"/>
              </w:rPr>
              <w:t>，预计每组纳入</w:t>
            </w:r>
            <w:r>
              <w:rPr>
                <w:rStyle w:val="99"/>
                <w:rFonts w:cs="Times New Roman"/>
                <w:sz w:val="24"/>
                <w:szCs w:val="24"/>
                <w:lang w:eastAsia="zh-Hans"/>
              </w:rPr>
              <w:t>40</w:t>
            </w:r>
            <w:r>
              <w:rPr>
                <w:rStyle w:val="99"/>
                <w:rFonts w:hint="eastAsia" w:cs="Times New Roman"/>
                <w:sz w:val="24"/>
                <w:szCs w:val="24"/>
                <w:lang w:eastAsia="zh-Hans"/>
              </w:rPr>
              <w:t>例，合计</w:t>
            </w:r>
            <w:r>
              <w:rPr>
                <w:rStyle w:val="99"/>
                <w:rFonts w:hint="eastAsia" w:cs="Times New Roman"/>
                <w:sz w:val="24"/>
                <w:szCs w:val="24"/>
              </w:rPr>
              <w:t>约</w:t>
            </w:r>
            <w:r>
              <w:rPr>
                <w:rStyle w:val="99"/>
                <w:rFonts w:cs="Times New Roman"/>
                <w:sz w:val="24"/>
                <w:szCs w:val="24"/>
              </w:rPr>
              <w:t>120</w:t>
            </w:r>
            <w:r>
              <w:rPr>
                <w:rStyle w:val="99"/>
                <w:rFonts w:hint="eastAsia" w:cs="Times New Roman"/>
                <w:sz w:val="24"/>
                <w:szCs w:val="24"/>
              </w:rPr>
              <w:t>例参与者</w:t>
            </w:r>
            <w:r>
              <w:rPr>
                <w:rStyle w:val="99"/>
                <w:rFonts w:hint="eastAsia" w:cs="Times New Roman"/>
                <w:sz w:val="24"/>
                <w:szCs w:val="24"/>
                <w:lang w:eastAsia="zh-Hans"/>
              </w:rPr>
              <w:t>参与本次Ⅱ期临床试验。</w:t>
            </w:r>
          </w:p>
          <w:p w14:paraId="6DCBC923">
            <w:pPr>
              <w:pStyle w:val="60"/>
              <w:ind w:firstLine="0" w:firstLineChars="0"/>
              <w:rPr>
                <w:rStyle w:val="99"/>
                <w:rFonts w:cs="Times New Roman"/>
                <w:b/>
                <w:bCs/>
                <w:sz w:val="24"/>
                <w:szCs w:val="24"/>
                <w:u w:val="single"/>
                <w:lang w:eastAsia="zh-Hans"/>
              </w:rPr>
            </w:pPr>
            <w:r>
              <w:rPr>
                <w:rStyle w:val="99"/>
                <w:rFonts w:hint="eastAsia" w:cs="Times New Roman"/>
                <w:b/>
                <w:bCs/>
                <w:sz w:val="24"/>
                <w:szCs w:val="24"/>
                <w:u w:val="single"/>
                <w:lang w:eastAsia="zh-Hans"/>
              </w:rPr>
              <w:t>Ⅲ期临床阶段</w:t>
            </w:r>
          </w:p>
          <w:p w14:paraId="7A96E76C">
            <w:pPr>
              <w:pStyle w:val="60"/>
              <w:ind w:firstLine="480"/>
              <w:rPr>
                <w:rStyle w:val="99"/>
                <w:rFonts w:cs="Times New Roman"/>
                <w:sz w:val="24"/>
                <w:szCs w:val="24"/>
              </w:rPr>
            </w:pPr>
            <w:r>
              <w:rPr>
                <w:rStyle w:val="99"/>
                <w:rFonts w:hint="eastAsia" w:cs="Times New Roman"/>
                <w:sz w:val="24"/>
                <w:szCs w:val="24"/>
                <w:lang w:eastAsia="zh-Hans"/>
              </w:rPr>
              <w:t>本研究为随机、双盲、安慰剂对照评价</w:t>
            </w:r>
            <w:r>
              <w:rPr>
                <w:rStyle w:val="99"/>
                <w:rFonts w:cs="Times New Roman"/>
                <w:sz w:val="24"/>
                <w:szCs w:val="24"/>
                <w:lang w:eastAsia="zh-Hans"/>
              </w:rPr>
              <w:t>CMS-D001</w:t>
            </w:r>
            <w:r>
              <w:rPr>
                <w:rStyle w:val="99"/>
                <w:rFonts w:hint="eastAsia" w:cs="Times New Roman"/>
                <w:sz w:val="24"/>
                <w:szCs w:val="24"/>
                <w:lang w:eastAsia="zh-Hans"/>
              </w:rPr>
              <w:t>片治疗中度至重度斑块状银屑病的疗效，采用优效设计，即试验组第</w:t>
            </w:r>
            <w:r>
              <w:rPr>
                <w:rStyle w:val="99"/>
                <w:rFonts w:cs="Times New Roman"/>
                <w:sz w:val="24"/>
                <w:szCs w:val="24"/>
                <w:lang w:eastAsia="zh-Hans"/>
              </w:rPr>
              <w:t>16</w:t>
            </w:r>
            <w:r>
              <w:rPr>
                <w:rStyle w:val="99"/>
                <w:rFonts w:hint="eastAsia" w:cs="Times New Roman"/>
                <w:sz w:val="24"/>
                <w:szCs w:val="24"/>
                <w:lang w:eastAsia="zh-Hans"/>
              </w:rPr>
              <w:t>周达到</w:t>
            </w:r>
            <w:r>
              <w:rPr>
                <w:rStyle w:val="99"/>
                <w:rFonts w:cs="Times New Roman"/>
                <w:sz w:val="24"/>
                <w:szCs w:val="24"/>
                <w:lang w:eastAsia="zh-Hans"/>
              </w:rPr>
              <w:t>PASI 75</w:t>
            </w:r>
            <w:r>
              <w:rPr>
                <w:rStyle w:val="99"/>
                <w:rFonts w:hint="eastAsia" w:cs="Times New Roman"/>
                <w:sz w:val="24"/>
                <w:szCs w:val="24"/>
                <w:lang w:eastAsia="zh-Hans"/>
              </w:rPr>
              <w:t>应答的</w:t>
            </w:r>
            <w:r>
              <w:rPr>
                <w:rStyle w:val="99"/>
                <w:rFonts w:hint="eastAsia" w:cs="Times New Roman"/>
                <w:sz w:val="24"/>
                <w:szCs w:val="24"/>
              </w:rPr>
              <w:t>参与者</w:t>
            </w:r>
            <w:r>
              <w:rPr>
                <w:rStyle w:val="99"/>
                <w:rFonts w:hint="eastAsia" w:cs="Times New Roman"/>
                <w:sz w:val="24"/>
                <w:szCs w:val="24"/>
                <w:lang w:eastAsia="zh-Hans"/>
              </w:rPr>
              <w:t>比例优于安慰剂组</w:t>
            </w:r>
            <w:r>
              <w:rPr>
                <w:rStyle w:val="99"/>
                <w:rFonts w:hint="eastAsia" w:cs="Times New Roman"/>
                <w:sz w:val="24"/>
                <w:szCs w:val="24"/>
              </w:rPr>
              <w:t>；</w:t>
            </w:r>
            <w:r>
              <w:rPr>
                <w:rStyle w:val="99"/>
                <w:rFonts w:hint="eastAsia" w:cs="Times New Roman"/>
                <w:sz w:val="24"/>
                <w:szCs w:val="24"/>
                <w:lang w:eastAsia="zh-Hans"/>
              </w:rPr>
              <w:t>以及试验组第</w:t>
            </w:r>
            <w:r>
              <w:rPr>
                <w:rStyle w:val="99"/>
                <w:rFonts w:cs="Times New Roman"/>
                <w:sz w:val="24"/>
                <w:szCs w:val="24"/>
                <w:lang w:eastAsia="zh-Hans"/>
              </w:rPr>
              <w:t>16</w:t>
            </w:r>
            <w:r>
              <w:rPr>
                <w:rStyle w:val="99"/>
                <w:rFonts w:hint="eastAsia" w:cs="Times New Roman"/>
                <w:sz w:val="24"/>
                <w:szCs w:val="24"/>
                <w:lang w:eastAsia="zh-Hans"/>
              </w:rPr>
              <w:t>周达到</w:t>
            </w:r>
            <w:r>
              <w:rPr>
                <w:rStyle w:val="99"/>
                <w:rFonts w:cs="Times New Roman"/>
                <w:sz w:val="24"/>
                <w:szCs w:val="24"/>
                <w:lang w:eastAsia="zh-Hans"/>
              </w:rPr>
              <w:t>PGA</w:t>
            </w:r>
            <w:r>
              <w:rPr>
                <w:rStyle w:val="99"/>
                <w:rFonts w:hint="eastAsia" w:cs="Times New Roman"/>
                <w:sz w:val="24"/>
                <w:szCs w:val="24"/>
                <w:lang w:eastAsia="zh-Hans"/>
              </w:rPr>
              <w:t>评分（</w:t>
            </w:r>
            <w:r>
              <w:rPr>
                <w:rStyle w:val="99"/>
                <w:rFonts w:cs="Times New Roman"/>
                <w:sz w:val="24"/>
                <w:szCs w:val="24"/>
                <w:lang w:eastAsia="zh-Hans"/>
              </w:rPr>
              <w:t>PGA-TS</w:t>
            </w:r>
            <w:r>
              <w:rPr>
                <w:rStyle w:val="99"/>
                <w:rFonts w:hint="eastAsia" w:cs="Times New Roman"/>
                <w:sz w:val="24"/>
                <w:szCs w:val="24"/>
                <w:lang w:eastAsia="zh-Hans"/>
              </w:rPr>
              <w:t>）为</w:t>
            </w:r>
            <w:r>
              <w:rPr>
                <w:rStyle w:val="99"/>
                <w:rFonts w:cs="Times New Roman"/>
                <w:sz w:val="24"/>
                <w:szCs w:val="24"/>
                <w:lang w:eastAsia="zh-Hans"/>
              </w:rPr>
              <w:t>0</w:t>
            </w:r>
            <w:r>
              <w:rPr>
                <w:rStyle w:val="99"/>
                <w:rFonts w:hint="eastAsia" w:cs="Times New Roman"/>
                <w:sz w:val="24"/>
                <w:szCs w:val="24"/>
                <w:lang w:eastAsia="zh-Hans"/>
              </w:rPr>
              <w:t>或</w:t>
            </w:r>
            <w:r>
              <w:rPr>
                <w:rStyle w:val="99"/>
                <w:rFonts w:cs="Times New Roman"/>
                <w:sz w:val="24"/>
                <w:szCs w:val="24"/>
                <w:lang w:eastAsia="zh-Hans"/>
              </w:rPr>
              <w:t>1</w:t>
            </w:r>
            <w:r>
              <w:rPr>
                <w:rStyle w:val="99"/>
                <w:rFonts w:hint="eastAsia" w:cs="Times New Roman"/>
                <w:sz w:val="24"/>
                <w:szCs w:val="24"/>
                <w:lang w:eastAsia="zh-Hans"/>
              </w:rPr>
              <w:t>的参与者比例优于安慰剂组。国外同类药物</w:t>
            </w:r>
            <w:r>
              <w:rPr>
                <w:rStyle w:val="99"/>
                <w:rFonts w:cs="Times New Roman"/>
                <w:sz w:val="24"/>
                <w:szCs w:val="24"/>
                <w:lang w:eastAsia="zh-Hans"/>
              </w:rPr>
              <w:t>Deucravacitin</w:t>
            </w:r>
            <w:r>
              <w:rPr>
                <w:rStyle w:val="99"/>
                <w:rFonts w:cs="Times New Roman"/>
                <w:color w:val="auto"/>
                <w:sz w:val="24"/>
                <w:szCs w:val="24"/>
              </w:rPr>
              <w:t>ib</w:t>
            </w:r>
            <w:r>
              <w:rPr>
                <w:rStyle w:val="99"/>
                <w:rFonts w:hint="eastAsia" w:cs="Times New Roman"/>
                <w:sz w:val="24"/>
                <w:szCs w:val="24"/>
                <w:lang w:eastAsia="zh-Hans"/>
              </w:rPr>
              <w:t>两项Ⅲ期临床试验结果的</w:t>
            </w:r>
            <w:r>
              <w:rPr>
                <w:rStyle w:val="99"/>
                <w:rFonts w:cs="Times New Roman"/>
                <w:sz w:val="24"/>
                <w:szCs w:val="24"/>
                <w:lang w:eastAsia="zh-Hans"/>
              </w:rPr>
              <w:t>meta</w:t>
            </w:r>
            <w:r>
              <w:rPr>
                <w:rStyle w:val="99"/>
                <w:rFonts w:hint="eastAsia" w:cs="Times New Roman"/>
                <w:sz w:val="24"/>
                <w:szCs w:val="24"/>
                <w:lang w:eastAsia="zh-Hans"/>
              </w:rPr>
              <w:t>分析显示，试验组第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lang w:eastAsia="zh-Hans"/>
              </w:rPr>
              <w:t>PASI 75</w:t>
            </w:r>
            <w:r>
              <w:rPr>
                <w:rStyle w:val="99"/>
                <w:rFonts w:hint="eastAsia" w:cs="Times New Roman"/>
                <w:sz w:val="24"/>
                <w:szCs w:val="24"/>
                <w:lang w:eastAsia="zh-Hans"/>
              </w:rPr>
              <w:t>应答率</w:t>
            </w:r>
            <w:r>
              <w:rPr>
                <w:rStyle w:val="99"/>
                <w:rFonts w:cs="Times New Roman"/>
                <w:sz w:val="24"/>
                <w:szCs w:val="24"/>
                <w:lang w:eastAsia="zh-Hans"/>
              </w:rPr>
              <w:t>55.2% [51.8%; 58.5%]</w:t>
            </w:r>
            <w:r>
              <w:rPr>
                <w:rStyle w:val="99"/>
                <w:rFonts w:hint="eastAsia" w:cs="Times New Roman"/>
                <w:sz w:val="24"/>
                <w:szCs w:val="24"/>
                <w:lang w:eastAsia="zh-Hans"/>
              </w:rPr>
              <w:t>，安慰剂组为</w:t>
            </w:r>
            <w:r>
              <w:rPr>
                <w:rStyle w:val="99"/>
                <w:rFonts w:cs="Times New Roman"/>
                <w:sz w:val="24"/>
                <w:szCs w:val="24"/>
                <w:lang w:eastAsia="zh-Hans"/>
              </w:rPr>
              <w:t>10.7% [7.8%; 13.9%]</w:t>
            </w:r>
            <w:r>
              <w:rPr>
                <w:rStyle w:val="99"/>
                <w:rFonts w:hint="eastAsia" w:cs="Times New Roman"/>
                <w:sz w:val="24"/>
                <w:szCs w:val="24"/>
                <w:lang w:eastAsia="zh-Hans"/>
              </w:rPr>
              <w:t>，试验组与安慰剂组第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lang w:eastAsia="zh-Hans"/>
              </w:rPr>
              <w:t>PASI 75</w:t>
            </w:r>
            <w:r>
              <w:rPr>
                <w:rStyle w:val="99"/>
                <w:rFonts w:hint="eastAsia" w:cs="Times New Roman"/>
                <w:sz w:val="24"/>
                <w:szCs w:val="24"/>
                <w:lang w:eastAsia="zh-Hans"/>
              </w:rPr>
              <w:t>应答率差值为</w:t>
            </w:r>
            <w:r>
              <w:rPr>
                <w:rStyle w:val="99"/>
                <w:rFonts w:cs="Times New Roman"/>
                <w:sz w:val="24"/>
                <w:szCs w:val="24"/>
                <w:lang w:eastAsia="zh-Hans"/>
              </w:rPr>
              <w:t>44.5% [40.0%; 49.0%]</w:t>
            </w:r>
            <w:r>
              <w:rPr>
                <w:rStyle w:val="99"/>
                <w:rFonts w:hint="eastAsia" w:cs="Times New Roman"/>
                <w:sz w:val="24"/>
                <w:szCs w:val="24"/>
                <w:lang w:eastAsia="zh-Hans"/>
              </w:rPr>
              <w:t>，假定本研究药物的疗效与国外同类药物相似，保守估计安慰剂组应答率为</w:t>
            </w:r>
            <w:r>
              <w:rPr>
                <w:rStyle w:val="99"/>
                <w:rFonts w:cs="Times New Roman"/>
                <w:sz w:val="24"/>
                <w:szCs w:val="24"/>
                <w:lang w:eastAsia="zh-Hans"/>
              </w:rPr>
              <w:t>13.9%</w:t>
            </w:r>
            <w:r>
              <w:rPr>
                <w:rStyle w:val="99"/>
                <w:rFonts w:hint="eastAsia" w:cs="Times New Roman"/>
                <w:sz w:val="24"/>
                <w:szCs w:val="24"/>
                <w:lang w:eastAsia="zh-Hans"/>
              </w:rPr>
              <w:t>，两组差异为</w:t>
            </w:r>
            <w:r>
              <w:rPr>
                <w:rStyle w:val="99"/>
                <w:rFonts w:cs="Times New Roman"/>
                <w:sz w:val="24"/>
                <w:szCs w:val="24"/>
                <w:lang w:eastAsia="zh-Hans"/>
              </w:rPr>
              <w:t>40.0%</w:t>
            </w:r>
            <w:r>
              <w:rPr>
                <w:rStyle w:val="99"/>
                <w:rFonts w:hint="eastAsia" w:cs="Times New Roman"/>
                <w:sz w:val="24"/>
                <w:szCs w:val="24"/>
                <w:lang w:eastAsia="zh-Hans"/>
              </w:rPr>
              <w:t>，单侧检验显著性水平</w:t>
            </w:r>
            <w:r>
              <w:rPr>
                <w:rStyle w:val="99"/>
                <w:rFonts w:cs="Times New Roman"/>
                <w:sz w:val="24"/>
                <w:szCs w:val="24"/>
                <w:lang w:eastAsia="zh-Hans"/>
              </w:rPr>
              <w:t>α=0.025</w:t>
            </w:r>
            <w:r>
              <w:rPr>
                <w:rStyle w:val="99"/>
                <w:rFonts w:hint="eastAsia" w:cs="Times New Roman"/>
                <w:sz w:val="24"/>
                <w:szCs w:val="24"/>
                <w:lang w:eastAsia="zh-Hans"/>
              </w:rPr>
              <w:t>，按照</w:t>
            </w:r>
            <w:r>
              <w:rPr>
                <w:rStyle w:val="99"/>
                <w:rFonts w:cs="Times New Roman"/>
                <w:sz w:val="24"/>
                <w:szCs w:val="24"/>
              </w:rPr>
              <w:t>2</w:t>
            </w:r>
            <w:r>
              <w:rPr>
                <w:rStyle w:val="99"/>
                <w:rFonts w:cs="Times New Roman"/>
                <w:sz w:val="24"/>
                <w:szCs w:val="24"/>
                <w:lang w:eastAsia="zh-Hans"/>
              </w:rPr>
              <w:t>:1</w:t>
            </w:r>
            <w:r>
              <w:rPr>
                <w:rStyle w:val="99"/>
                <w:rFonts w:hint="eastAsia" w:cs="Times New Roman"/>
                <w:sz w:val="24"/>
                <w:szCs w:val="24"/>
                <w:lang w:eastAsia="zh-Hans"/>
              </w:rPr>
              <w:t>比例随机分配至试验组与安慰剂组，两组合计</w:t>
            </w:r>
            <w:r>
              <w:rPr>
                <w:rStyle w:val="99"/>
                <w:rFonts w:cs="Times New Roman"/>
                <w:sz w:val="24"/>
                <w:szCs w:val="24"/>
              </w:rPr>
              <w:t>201</w:t>
            </w:r>
            <w:r>
              <w:rPr>
                <w:rStyle w:val="99"/>
                <w:rFonts w:hint="eastAsia" w:cs="Times New Roman"/>
                <w:sz w:val="24"/>
                <w:szCs w:val="24"/>
                <w:lang w:eastAsia="zh-Hans"/>
              </w:rPr>
              <w:t>例</w:t>
            </w:r>
            <w:r>
              <w:rPr>
                <w:rStyle w:val="99"/>
                <w:rFonts w:hint="eastAsia" w:cs="Times New Roman"/>
                <w:sz w:val="24"/>
                <w:szCs w:val="24"/>
              </w:rPr>
              <w:t>参与者</w:t>
            </w:r>
            <w:r>
              <w:rPr>
                <w:rStyle w:val="99"/>
                <w:rFonts w:hint="eastAsia" w:cs="Times New Roman"/>
                <w:sz w:val="24"/>
                <w:szCs w:val="24"/>
                <w:lang w:eastAsia="zh-Hans"/>
              </w:rPr>
              <w:t>完成第</w:t>
            </w:r>
            <w:r>
              <w:rPr>
                <w:rStyle w:val="99"/>
                <w:rFonts w:cs="Times New Roman"/>
                <w:sz w:val="24"/>
                <w:szCs w:val="24"/>
                <w:lang w:eastAsia="zh-Hans"/>
              </w:rPr>
              <w:t>16</w:t>
            </w:r>
            <w:r>
              <w:rPr>
                <w:rStyle w:val="99"/>
                <w:rFonts w:hint="eastAsia" w:cs="Times New Roman"/>
                <w:sz w:val="24"/>
                <w:szCs w:val="24"/>
                <w:lang w:eastAsia="zh-Hans"/>
              </w:rPr>
              <w:t>周评估，有</w:t>
            </w:r>
            <w:r>
              <w:rPr>
                <w:rStyle w:val="99"/>
                <w:rFonts w:cs="Times New Roman"/>
                <w:sz w:val="24"/>
                <w:szCs w:val="24"/>
                <w:lang w:eastAsia="zh-Hans"/>
              </w:rPr>
              <w:t>99%</w:t>
            </w:r>
            <w:r>
              <w:rPr>
                <w:rStyle w:val="99"/>
                <w:rFonts w:hint="eastAsia" w:cs="Times New Roman"/>
                <w:sz w:val="24"/>
                <w:szCs w:val="24"/>
                <w:lang w:eastAsia="zh-Hans"/>
              </w:rPr>
              <w:t>的把握度检验出试验组</w:t>
            </w:r>
            <w:r>
              <w:rPr>
                <w:rStyle w:val="99"/>
                <w:rFonts w:cs="Times New Roman"/>
                <w:sz w:val="24"/>
                <w:szCs w:val="24"/>
                <w:lang w:eastAsia="zh-Hans"/>
              </w:rPr>
              <w:t>PASI 75</w:t>
            </w:r>
            <w:r>
              <w:rPr>
                <w:rStyle w:val="99"/>
                <w:rFonts w:hint="eastAsia" w:cs="Times New Roman"/>
                <w:sz w:val="24"/>
                <w:szCs w:val="24"/>
                <w:lang w:eastAsia="zh-Hans"/>
              </w:rPr>
              <w:t>应答率显著优于安慰剂组。</w:t>
            </w:r>
          </w:p>
          <w:p w14:paraId="08E37221">
            <w:pPr>
              <w:pStyle w:val="60"/>
              <w:ind w:firstLine="480"/>
              <w:rPr>
                <w:rFonts w:cs="Times New Roman"/>
                <w:sz w:val="24"/>
                <w:szCs w:val="24"/>
              </w:rPr>
            </w:pPr>
            <w:r>
              <w:rPr>
                <w:rStyle w:val="99"/>
                <w:rFonts w:hint="eastAsia" w:cs="Times New Roman"/>
                <w:sz w:val="24"/>
                <w:szCs w:val="24"/>
              </w:rPr>
              <w:t>同时，</w:t>
            </w:r>
            <w:r>
              <w:rPr>
                <w:rStyle w:val="99"/>
                <w:rFonts w:hint="eastAsia" w:cs="Times New Roman"/>
                <w:sz w:val="24"/>
                <w:szCs w:val="24"/>
                <w:lang w:eastAsia="zh-Hans"/>
              </w:rPr>
              <w:t>根据</w:t>
            </w:r>
            <w:r>
              <w:rPr>
                <w:rStyle w:val="99"/>
                <w:rFonts w:cs="Times New Roman"/>
                <w:sz w:val="24"/>
                <w:szCs w:val="24"/>
                <w:lang w:eastAsia="zh-Hans"/>
              </w:rPr>
              <w:t>Deucravacitin</w:t>
            </w:r>
            <w:r>
              <w:rPr>
                <w:rStyle w:val="99"/>
                <w:rFonts w:cs="Times New Roman"/>
                <w:color w:val="auto"/>
                <w:sz w:val="24"/>
                <w:szCs w:val="24"/>
              </w:rPr>
              <w:t>ib</w:t>
            </w:r>
            <w:r>
              <w:rPr>
                <w:rStyle w:val="99"/>
                <w:rFonts w:hint="eastAsia" w:cs="Times New Roman"/>
                <w:sz w:val="24"/>
                <w:szCs w:val="24"/>
                <w:lang w:eastAsia="zh-Hans"/>
              </w:rPr>
              <w:t>两项Ⅲ期临床试验结果的</w:t>
            </w:r>
            <w:r>
              <w:rPr>
                <w:rStyle w:val="99"/>
                <w:rFonts w:cs="Times New Roman"/>
                <w:sz w:val="24"/>
                <w:szCs w:val="24"/>
                <w:lang w:eastAsia="zh-Hans"/>
              </w:rPr>
              <w:t>meta</w:t>
            </w:r>
            <w:r>
              <w:rPr>
                <w:rStyle w:val="99"/>
                <w:rFonts w:hint="eastAsia" w:cs="Times New Roman"/>
                <w:sz w:val="24"/>
                <w:szCs w:val="24"/>
                <w:lang w:eastAsia="zh-Hans"/>
              </w:rPr>
              <w:t>分析显示，试验组第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rPr>
              <w:t>PGA-TS</w:t>
            </w:r>
            <w:r>
              <w:rPr>
                <w:rStyle w:val="99"/>
                <w:rFonts w:hint="eastAsia" w:cs="Times New Roman"/>
                <w:sz w:val="24"/>
                <w:szCs w:val="24"/>
                <w:lang w:eastAsia="zh-Hans"/>
              </w:rPr>
              <w:t>应答率</w:t>
            </w:r>
            <w:r>
              <w:rPr>
                <w:rStyle w:val="99"/>
                <w:rFonts w:cs="Times New Roman"/>
                <w:sz w:val="24"/>
                <w:szCs w:val="24"/>
                <w:lang w:eastAsia="zh-Hans"/>
              </w:rPr>
              <w:t>51.3% [47.9%; 54.6%]</w:t>
            </w:r>
            <w:r>
              <w:rPr>
                <w:rStyle w:val="99"/>
                <w:rFonts w:hint="eastAsia" w:cs="Times New Roman"/>
                <w:sz w:val="24"/>
                <w:szCs w:val="24"/>
                <w:lang w:eastAsia="zh-Hans"/>
              </w:rPr>
              <w:t>，安慰剂组为</w:t>
            </w:r>
            <w:r>
              <w:rPr>
                <w:rStyle w:val="99"/>
                <w:rFonts w:cs="Times New Roman"/>
                <w:sz w:val="24"/>
                <w:szCs w:val="24"/>
                <w:lang w:eastAsia="zh-Hans"/>
              </w:rPr>
              <w:t>8.1% [5.8%; 11.1%]</w:t>
            </w:r>
            <w:r>
              <w:rPr>
                <w:rStyle w:val="99"/>
                <w:rFonts w:hint="eastAsia" w:cs="Times New Roman"/>
                <w:sz w:val="24"/>
                <w:szCs w:val="24"/>
                <w:lang w:eastAsia="zh-Hans"/>
              </w:rPr>
              <w:t>，试验组与安慰剂组第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rPr>
              <w:t>PGA-TS</w:t>
            </w:r>
            <w:r>
              <w:rPr>
                <w:rStyle w:val="99"/>
                <w:rFonts w:hint="eastAsia" w:cs="Times New Roman"/>
                <w:sz w:val="24"/>
                <w:szCs w:val="24"/>
                <w:lang w:eastAsia="zh-Hans"/>
              </w:rPr>
              <w:t>应答率差值为</w:t>
            </w:r>
            <w:r>
              <w:rPr>
                <w:rStyle w:val="99"/>
                <w:rFonts w:cs="Times New Roman"/>
                <w:sz w:val="24"/>
                <w:szCs w:val="24"/>
                <w:lang w:eastAsia="zh-Hans"/>
              </w:rPr>
              <w:t>43.2% [38.9%; 47.4%]</w:t>
            </w:r>
            <w:r>
              <w:rPr>
                <w:rStyle w:val="99"/>
                <w:rFonts w:hint="eastAsia" w:cs="Times New Roman"/>
                <w:sz w:val="24"/>
                <w:szCs w:val="24"/>
                <w:lang w:eastAsia="zh-Hans"/>
              </w:rPr>
              <w:t>，保守假定</w:t>
            </w:r>
            <w:r>
              <w:rPr>
                <w:rStyle w:val="99"/>
                <w:rFonts w:hint="eastAsia" w:cs="Times New Roman"/>
                <w:sz w:val="24"/>
                <w:szCs w:val="24"/>
              </w:rPr>
              <w:t>安慰剂组第</w:t>
            </w:r>
            <w:r>
              <w:rPr>
                <w:rStyle w:val="99"/>
                <w:rFonts w:cs="Times New Roman"/>
                <w:sz w:val="24"/>
                <w:szCs w:val="24"/>
              </w:rPr>
              <w:t>16</w:t>
            </w:r>
            <w:r>
              <w:rPr>
                <w:rStyle w:val="99"/>
                <w:rFonts w:hint="eastAsia" w:cs="Times New Roman"/>
                <w:sz w:val="24"/>
                <w:szCs w:val="24"/>
              </w:rPr>
              <w:t>周</w:t>
            </w:r>
            <w:r>
              <w:rPr>
                <w:rStyle w:val="99"/>
                <w:rFonts w:cs="Times New Roman"/>
                <w:sz w:val="24"/>
                <w:szCs w:val="24"/>
              </w:rPr>
              <w:t>PGA-TS</w:t>
            </w:r>
            <w:r>
              <w:rPr>
                <w:rStyle w:val="99"/>
                <w:rFonts w:hint="eastAsia" w:cs="Times New Roman"/>
                <w:sz w:val="24"/>
                <w:szCs w:val="24"/>
              </w:rPr>
              <w:t>应答率为</w:t>
            </w:r>
            <w:r>
              <w:rPr>
                <w:rStyle w:val="99"/>
                <w:rFonts w:cs="Times New Roman"/>
                <w:sz w:val="24"/>
                <w:szCs w:val="24"/>
              </w:rPr>
              <w:t>11.1%</w:t>
            </w:r>
            <w:r>
              <w:rPr>
                <w:rStyle w:val="99"/>
                <w:rFonts w:hint="eastAsia" w:cs="Times New Roman"/>
                <w:sz w:val="24"/>
                <w:szCs w:val="24"/>
              </w:rPr>
              <w:t>，试验组与安慰剂组的差异为</w:t>
            </w:r>
            <w:r>
              <w:rPr>
                <w:rStyle w:val="99"/>
                <w:rFonts w:cs="Times New Roman"/>
                <w:sz w:val="24"/>
                <w:szCs w:val="24"/>
              </w:rPr>
              <w:t>47.4%</w:t>
            </w:r>
            <w:r>
              <w:rPr>
                <w:rStyle w:val="99"/>
                <w:rFonts w:hint="eastAsia" w:cs="Times New Roman"/>
                <w:sz w:val="24"/>
                <w:szCs w:val="24"/>
              </w:rPr>
              <w:t>，上述</w:t>
            </w:r>
            <w:r>
              <w:rPr>
                <w:rStyle w:val="99"/>
                <w:rFonts w:cs="Times New Roman"/>
                <w:sz w:val="24"/>
                <w:szCs w:val="24"/>
              </w:rPr>
              <w:t>201</w:t>
            </w:r>
            <w:r>
              <w:rPr>
                <w:rStyle w:val="99"/>
                <w:rFonts w:hint="eastAsia" w:cs="Times New Roman"/>
                <w:sz w:val="24"/>
                <w:szCs w:val="24"/>
              </w:rPr>
              <w:t>例参与者同样可提供</w:t>
            </w:r>
            <w:r>
              <w:rPr>
                <w:rStyle w:val="99"/>
                <w:rFonts w:cs="Times New Roman"/>
                <w:sz w:val="24"/>
                <w:szCs w:val="24"/>
              </w:rPr>
              <w:t>99%</w:t>
            </w:r>
            <w:r>
              <w:rPr>
                <w:rStyle w:val="99"/>
                <w:rFonts w:hint="eastAsia" w:cs="Times New Roman"/>
                <w:sz w:val="24"/>
                <w:szCs w:val="24"/>
              </w:rPr>
              <w:t>的把握度在单侧</w:t>
            </w:r>
            <w:r>
              <w:rPr>
                <w:rStyle w:val="99"/>
                <w:rFonts w:cs="Times New Roman"/>
                <w:sz w:val="24"/>
                <w:szCs w:val="24"/>
              </w:rPr>
              <w:t>alpha=0.025</w:t>
            </w:r>
            <w:r>
              <w:rPr>
                <w:rStyle w:val="99"/>
                <w:rFonts w:hint="eastAsia" w:cs="Times New Roman"/>
                <w:sz w:val="24"/>
                <w:szCs w:val="24"/>
              </w:rPr>
              <w:t>的水平上检验出两组的差异。</w:t>
            </w:r>
          </w:p>
          <w:p w14:paraId="296A11B2">
            <w:pPr>
              <w:pStyle w:val="60"/>
              <w:ind w:firstLine="480"/>
              <w:rPr>
                <w:rStyle w:val="99"/>
                <w:rFonts w:cs="Times New Roman"/>
                <w:i/>
                <w:iCs/>
                <w:sz w:val="24"/>
                <w:szCs w:val="24"/>
              </w:rPr>
            </w:pPr>
            <w:r>
              <w:rPr>
                <w:rStyle w:val="99"/>
                <w:rFonts w:hint="eastAsia" w:cs="Times New Roman"/>
                <w:sz w:val="24"/>
                <w:szCs w:val="24"/>
                <w:lang w:eastAsia="zh-Hans"/>
              </w:rPr>
              <w:t>本次Ⅲ期临床试验计划按照Ⅱ期临床试验设置</w:t>
            </w:r>
            <w:r>
              <w:rPr>
                <w:rStyle w:val="99"/>
                <w:rFonts w:cs="Times New Roman"/>
                <w:sz w:val="24"/>
                <w:szCs w:val="24"/>
                <w:lang w:eastAsia="zh-Hans"/>
              </w:rPr>
              <w:t>2</w:t>
            </w:r>
            <w:r>
              <w:rPr>
                <w:rStyle w:val="99"/>
                <w:rFonts w:hint="eastAsia" w:cs="Times New Roman"/>
                <w:sz w:val="24"/>
                <w:szCs w:val="24"/>
                <w:lang w:eastAsia="zh-Hans"/>
              </w:rPr>
              <w:t>个剂量组（</w:t>
            </w:r>
            <w:r>
              <w:rPr>
                <w:rFonts w:hint="eastAsia" w:cs="Times New Roman"/>
                <w:color w:val="000000"/>
                <w:sz w:val="24"/>
                <w:szCs w:val="24"/>
              </w:rPr>
              <w:t>或基于Ⅱ期研究结果确定的推荐剂量组</w:t>
            </w:r>
            <w:r>
              <w:rPr>
                <w:rStyle w:val="99"/>
                <w:rFonts w:hint="eastAsia" w:cs="Times New Roman"/>
                <w:sz w:val="24"/>
                <w:szCs w:val="24"/>
                <w:lang w:eastAsia="zh-Hans"/>
              </w:rPr>
              <w:t>）和</w:t>
            </w:r>
            <w:r>
              <w:rPr>
                <w:rStyle w:val="99"/>
                <w:rFonts w:cs="Times New Roman"/>
                <w:sz w:val="24"/>
                <w:szCs w:val="24"/>
                <w:lang w:eastAsia="zh-Hans"/>
              </w:rPr>
              <w:t>1</w:t>
            </w:r>
            <w:r>
              <w:rPr>
                <w:rStyle w:val="99"/>
                <w:rFonts w:hint="eastAsia" w:cs="Times New Roman"/>
                <w:sz w:val="24"/>
                <w:szCs w:val="24"/>
                <w:lang w:eastAsia="zh-Hans"/>
              </w:rPr>
              <w:t>个安慰剂组，考虑</w:t>
            </w:r>
            <w:r>
              <w:rPr>
                <w:rStyle w:val="99"/>
                <w:rFonts w:cs="Times New Roman"/>
                <w:sz w:val="24"/>
                <w:szCs w:val="24"/>
                <w:lang w:eastAsia="zh-Hans"/>
              </w:rPr>
              <w:t>20%</w:t>
            </w:r>
            <w:r>
              <w:rPr>
                <w:rStyle w:val="99"/>
                <w:rFonts w:hint="eastAsia" w:cs="Times New Roman"/>
                <w:sz w:val="24"/>
                <w:szCs w:val="24"/>
                <w:lang w:eastAsia="zh-Hans"/>
              </w:rPr>
              <w:t>的脱落，计划最多入组</w:t>
            </w:r>
            <w:r>
              <w:rPr>
                <w:rStyle w:val="99"/>
                <w:rFonts w:cs="Times New Roman"/>
                <w:sz w:val="24"/>
                <w:szCs w:val="24"/>
                <w:lang w:eastAsia="zh-Hans"/>
              </w:rPr>
              <w:t>420</w:t>
            </w:r>
            <w:r>
              <w:rPr>
                <w:rStyle w:val="99"/>
                <w:rFonts w:hint="eastAsia" w:cs="Times New Roman"/>
                <w:sz w:val="24"/>
                <w:szCs w:val="24"/>
                <w:lang w:eastAsia="zh-Hans"/>
              </w:rPr>
              <w:t>例</w:t>
            </w:r>
            <w:r>
              <w:rPr>
                <w:rStyle w:val="99"/>
                <w:rFonts w:hint="eastAsia" w:cs="Times New Roman"/>
                <w:sz w:val="24"/>
                <w:szCs w:val="24"/>
              </w:rPr>
              <w:t>参与者</w:t>
            </w:r>
            <w:r>
              <w:rPr>
                <w:rStyle w:val="99"/>
                <w:rFonts w:hint="eastAsia" w:cs="Times New Roman"/>
                <w:sz w:val="24"/>
                <w:szCs w:val="24"/>
                <w:lang w:eastAsia="zh-Hans"/>
              </w:rPr>
              <w:t>，按照</w:t>
            </w:r>
            <w:r>
              <w:rPr>
                <w:rStyle w:val="99"/>
                <w:rFonts w:cs="Times New Roman"/>
                <w:sz w:val="24"/>
                <w:szCs w:val="24"/>
              </w:rPr>
              <w:t>2:2:1</w:t>
            </w:r>
            <w:r>
              <w:rPr>
                <w:rStyle w:val="99"/>
                <w:rFonts w:hint="eastAsia" w:cs="Times New Roman"/>
                <w:sz w:val="24"/>
                <w:szCs w:val="24"/>
              </w:rPr>
              <w:t>的比例</w:t>
            </w:r>
            <w:r>
              <w:rPr>
                <w:rStyle w:val="99"/>
                <w:rFonts w:hint="eastAsia" w:cs="Times New Roman"/>
                <w:sz w:val="24"/>
                <w:szCs w:val="24"/>
                <w:lang w:eastAsia="zh-Hans"/>
              </w:rPr>
              <w:t>分配至试验组或安慰剂组</w:t>
            </w:r>
            <w:r>
              <w:rPr>
                <w:rStyle w:val="99"/>
                <w:rFonts w:hint="eastAsia" w:cs="Times New Roman"/>
                <w:sz w:val="24"/>
                <w:szCs w:val="24"/>
              </w:rPr>
              <w:t>（其中每个试验组不计转组治疗例数时最多</w:t>
            </w:r>
            <w:r>
              <w:rPr>
                <w:rStyle w:val="99"/>
                <w:rFonts w:cs="Times New Roman"/>
                <w:sz w:val="24"/>
                <w:szCs w:val="24"/>
              </w:rPr>
              <w:t>168</w:t>
            </w:r>
            <w:r>
              <w:rPr>
                <w:rStyle w:val="99"/>
                <w:rFonts w:hint="eastAsia" w:cs="Times New Roman"/>
                <w:sz w:val="24"/>
                <w:szCs w:val="24"/>
              </w:rPr>
              <w:t>例，安慰剂组最多</w:t>
            </w:r>
            <w:r>
              <w:rPr>
                <w:rStyle w:val="99"/>
                <w:rFonts w:cs="Times New Roman"/>
                <w:sz w:val="24"/>
                <w:szCs w:val="24"/>
              </w:rPr>
              <w:t>84</w:t>
            </w:r>
            <w:r>
              <w:rPr>
                <w:rStyle w:val="99"/>
                <w:rFonts w:hint="eastAsia" w:cs="Times New Roman"/>
                <w:sz w:val="24"/>
                <w:szCs w:val="24"/>
              </w:rPr>
              <w:t>例），</w:t>
            </w:r>
            <w:r>
              <w:rPr>
                <w:rStyle w:val="99"/>
                <w:rFonts w:hint="eastAsia" w:cs="Times New Roman"/>
                <w:sz w:val="24"/>
                <w:szCs w:val="24"/>
                <w:lang w:eastAsia="zh-Hans"/>
              </w:rPr>
              <w:t>可同时满足疗效与安全性分析需求。</w:t>
            </w:r>
          </w:p>
        </w:tc>
      </w:tr>
      <w:tr w14:paraId="6B83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3AEF61B1">
            <w:pPr>
              <w:pStyle w:val="60"/>
              <w:ind w:firstLine="0" w:firstLineChars="0"/>
              <w:rPr>
                <w:rStyle w:val="99"/>
                <w:rFonts w:cs="Times New Roman"/>
                <w:b/>
                <w:bCs/>
                <w:sz w:val="24"/>
                <w:szCs w:val="24"/>
              </w:rPr>
            </w:pPr>
            <w:r>
              <w:rPr>
                <w:rStyle w:val="99"/>
                <w:rFonts w:hint="eastAsia" w:cs="Times New Roman"/>
                <w:b/>
                <w:bCs/>
                <w:sz w:val="24"/>
                <w:szCs w:val="24"/>
              </w:rPr>
              <w:t>期中分析</w:t>
            </w:r>
          </w:p>
        </w:tc>
        <w:tc>
          <w:tcPr>
            <w:tcW w:w="7934" w:type="dxa"/>
            <w:noWrap/>
          </w:tcPr>
          <w:p w14:paraId="0D796174">
            <w:pPr>
              <w:pStyle w:val="60"/>
              <w:ind w:firstLine="480"/>
              <w:rPr>
                <w:rStyle w:val="99"/>
                <w:rFonts w:cs="Times New Roman"/>
                <w:i/>
                <w:iCs/>
                <w:sz w:val="24"/>
                <w:szCs w:val="24"/>
              </w:rPr>
            </w:pPr>
            <w:r>
              <w:rPr>
                <w:rStyle w:val="99"/>
                <w:rFonts w:hint="eastAsia" w:cs="Times New Roman"/>
                <w:sz w:val="24"/>
                <w:szCs w:val="24"/>
              </w:rPr>
              <w:t>本研究计划在</w:t>
            </w:r>
            <w:r>
              <w:rPr>
                <w:rStyle w:val="99"/>
                <w:rFonts w:hint="eastAsia" w:cs="Times New Roman"/>
                <w:sz w:val="24"/>
                <w:szCs w:val="24"/>
                <w:lang w:eastAsia="zh-Hans"/>
              </w:rPr>
              <w:t>Ⅱ期</w:t>
            </w:r>
            <w:r>
              <w:rPr>
                <w:rStyle w:val="99"/>
                <w:rFonts w:hint="eastAsia" w:cs="Times New Roman"/>
                <w:sz w:val="24"/>
                <w:szCs w:val="24"/>
              </w:rPr>
              <w:t>阶段开展一次期中分析（预计约</w:t>
            </w:r>
            <w:r>
              <w:rPr>
                <w:rStyle w:val="99"/>
                <w:rFonts w:cs="Times New Roman"/>
                <w:sz w:val="24"/>
                <w:szCs w:val="24"/>
              </w:rPr>
              <w:t>50%</w:t>
            </w:r>
            <w:r>
              <w:rPr>
                <w:rStyle w:val="99"/>
                <w:rFonts w:hint="eastAsia" w:cs="Times New Roman"/>
                <w:sz w:val="24"/>
                <w:szCs w:val="24"/>
              </w:rPr>
              <w:t>参与者完成</w:t>
            </w:r>
            <w:r>
              <w:rPr>
                <w:rStyle w:val="99"/>
                <w:rFonts w:cs="Times New Roman"/>
                <w:sz w:val="24"/>
                <w:szCs w:val="24"/>
              </w:rPr>
              <w:t>12</w:t>
            </w:r>
            <w:r>
              <w:rPr>
                <w:rStyle w:val="99"/>
                <w:rFonts w:hint="eastAsia" w:cs="Times New Roman"/>
                <w:sz w:val="24"/>
                <w:szCs w:val="24"/>
              </w:rPr>
              <w:t>周访视后），将由独立统计团队进行分析。分析结果将由独立的数据监查委员会（</w:t>
            </w:r>
            <w:r>
              <w:rPr>
                <w:rStyle w:val="99"/>
                <w:rFonts w:cs="Times New Roman"/>
                <w:sz w:val="24"/>
                <w:szCs w:val="24"/>
              </w:rPr>
              <w:t>IDMC</w:t>
            </w:r>
            <w:r>
              <w:rPr>
                <w:rStyle w:val="99"/>
                <w:rFonts w:hint="eastAsia" w:cs="Times New Roman"/>
                <w:sz w:val="24"/>
                <w:szCs w:val="24"/>
              </w:rPr>
              <w:t>）进行审查。</w:t>
            </w:r>
            <w:r>
              <w:rPr>
                <w:rStyle w:val="99"/>
                <w:rFonts w:cs="Times New Roman"/>
                <w:sz w:val="24"/>
                <w:szCs w:val="24"/>
              </w:rPr>
              <w:t>IDMC</w:t>
            </w:r>
            <w:r>
              <w:rPr>
                <w:rStyle w:val="99"/>
                <w:rFonts w:hint="eastAsia" w:cs="Times New Roman"/>
                <w:sz w:val="24"/>
                <w:szCs w:val="24"/>
              </w:rPr>
              <w:t>基于期中分析结果（包括主要疗效终点、关键安全性事件等），建议</w:t>
            </w:r>
            <w:r>
              <w:rPr>
                <w:rStyle w:val="99"/>
                <w:rFonts w:hint="eastAsia" w:cs="Times New Roman"/>
                <w:sz w:val="24"/>
                <w:szCs w:val="24"/>
                <w:lang w:eastAsia="zh-Hans"/>
              </w:rPr>
              <w:t>Ⅲ</w:t>
            </w:r>
            <w:r>
              <w:rPr>
                <w:rStyle w:val="99"/>
                <w:rFonts w:hint="eastAsia" w:cs="Times New Roman"/>
                <w:sz w:val="24"/>
                <w:szCs w:val="24"/>
              </w:rPr>
              <w:t>期研究的剂量。</w:t>
            </w:r>
          </w:p>
        </w:tc>
      </w:tr>
      <w:tr w14:paraId="5181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noWrap/>
          </w:tcPr>
          <w:p w14:paraId="127DE380">
            <w:pPr>
              <w:pStyle w:val="60"/>
              <w:ind w:firstLine="0" w:firstLineChars="0"/>
              <w:rPr>
                <w:rStyle w:val="99"/>
                <w:rFonts w:cs="Times New Roman"/>
                <w:b/>
                <w:bCs/>
                <w:sz w:val="24"/>
                <w:szCs w:val="24"/>
              </w:rPr>
            </w:pPr>
            <w:r>
              <w:rPr>
                <w:rStyle w:val="99"/>
                <w:rFonts w:hint="eastAsia" w:cs="Times New Roman"/>
                <w:b/>
                <w:bCs/>
                <w:sz w:val="24"/>
                <w:szCs w:val="24"/>
              </w:rPr>
              <w:t>统计分析</w:t>
            </w:r>
          </w:p>
        </w:tc>
        <w:tc>
          <w:tcPr>
            <w:tcW w:w="7934" w:type="dxa"/>
            <w:noWrap/>
          </w:tcPr>
          <w:p w14:paraId="35ECDC0A">
            <w:pPr>
              <w:pStyle w:val="60"/>
              <w:ind w:firstLine="482"/>
              <w:rPr>
                <w:rStyle w:val="99"/>
                <w:rFonts w:cs="Times New Roman"/>
                <w:b/>
                <w:bCs/>
                <w:sz w:val="24"/>
                <w:szCs w:val="24"/>
              </w:rPr>
            </w:pPr>
            <w:r>
              <w:rPr>
                <w:rStyle w:val="99"/>
                <w:rFonts w:hint="eastAsia" w:cs="Times New Roman"/>
                <w:b/>
                <w:bCs/>
                <w:sz w:val="24"/>
                <w:szCs w:val="24"/>
                <w:lang w:eastAsia="zh-Hans"/>
              </w:rPr>
              <w:t>统计分析数据集</w:t>
            </w:r>
            <w:r>
              <w:rPr>
                <w:rStyle w:val="99"/>
                <w:rFonts w:hint="eastAsia" w:cs="Times New Roman"/>
                <w:b/>
                <w:bCs/>
                <w:sz w:val="24"/>
                <w:szCs w:val="24"/>
              </w:rPr>
              <w:t>：</w:t>
            </w:r>
          </w:p>
          <w:p w14:paraId="676362B5">
            <w:pPr>
              <w:pStyle w:val="60"/>
              <w:ind w:firstLine="480"/>
              <w:rPr>
                <w:rStyle w:val="99"/>
                <w:rFonts w:cs="Times New Roman"/>
                <w:sz w:val="24"/>
                <w:szCs w:val="24"/>
              </w:rPr>
            </w:pPr>
            <w:r>
              <w:rPr>
                <w:rStyle w:val="99"/>
                <w:rFonts w:cs="Times New Roman"/>
                <w:sz w:val="24"/>
                <w:szCs w:val="24"/>
              </w:rPr>
              <w:t>ITT</w:t>
            </w:r>
            <w:r>
              <w:rPr>
                <w:rStyle w:val="99"/>
                <w:rFonts w:hint="eastAsia" w:cs="Times New Roman"/>
                <w:sz w:val="24"/>
                <w:szCs w:val="24"/>
              </w:rPr>
              <w:t>集（</w:t>
            </w:r>
            <w:r>
              <w:rPr>
                <w:rStyle w:val="99"/>
                <w:rFonts w:cs="Times New Roman"/>
                <w:sz w:val="24"/>
                <w:szCs w:val="24"/>
              </w:rPr>
              <w:t>ITT</w:t>
            </w:r>
            <w:r>
              <w:rPr>
                <w:rStyle w:val="99"/>
                <w:rFonts w:hint="eastAsia" w:cs="Times New Roman"/>
                <w:sz w:val="24"/>
                <w:szCs w:val="24"/>
              </w:rPr>
              <w:t>）：包括所有经随机化分组后的参与者。参与者将根据随机分配的治疗组进行分析。</w:t>
            </w:r>
            <w:r>
              <w:rPr>
                <w:rStyle w:val="99"/>
                <w:rFonts w:cs="Times New Roman"/>
                <w:sz w:val="24"/>
                <w:szCs w:val="24"/>
              </w:rPr>
              <w:t>ITT</w:t>
            </w:r>
            <w:r>
              <w:rPr>
                <w:rStyle w:val="99"/>
                <w:rFonts w:hint="eastAsia" w:cs="Times New Roman"/>
                <w:sz w:val="24"/>
                <w:szCs w:val="24"/>
              </w:rPr>
              <w:t>集将作为人口学、基线及有效性指标的主要分析集。</w:t>
            </w:r>
          </w:p>
          <w:p w14:paraId="0DDD0936">
            <w:pPr>
              <w:pStyle w:val="60"/>
              <w:ind w:firstLine="480"/>
              <w:rPr>
                <w:rStyle w:val="99"/>
                <w:rFonts w:cs="Times New Roman"/>
                <w:sz w:val="24"/>
                <w:szCs w:val="24"/>
              </w:rPr>
            </w:pPr>
            <w:r>
              <w:rPr>
                <w:rStyle w:val="99"/>
                <w:rFonts w:hint="eastAsia" w:cs="Times New Roman"/>
                <w:sz w:val="24"/>
                <w:szCs w:val="24"/>
              </w:rPr>
              <w:t>安全性分析集（</w:t>
            </w:r>
            <w:r>
              <w:rPr>
                <w:rStyle w:val="99"/>
                <w:rFonts w:cs="Times New Roman"/>
                <w:sz w:val="24"/>
                <w:szCs w:val="24"/>
              </w:rPr>
              <w:t>SS</w:t>
            </w:r>
            <w:r>
              <w:rPr>
                <w:rStyle w:val="99"/>
                <w:rFonts w:hint="eastAsia" w:cs="Times New Roman"/>
                <w:sz w:val="24"/>
                <w:szCs w:val="24"/>
              </w:rPr>
              <w:t>）：包括所有经随机化分组且至少接受一次试验用药品且具有用药后安全性评价数据的参与者。安全性人群将主要用于药物暴露和其他安全性数据的分析，将基于接受的实际治疗进行分析。</w:t>
            </w:r>
          </w:p>
          <w:p w14:paraId="29C52FA3">
            <w:pPr>
              <w:pStyle w:val="60"/>
              <w:ind w:firstLine="480"/>
              <w:rPr>
                <w:rStyle w:val="99"/>
                <w:rFonts w:cs="Times New Roman"/>
                <w:sz w:val="24"/>
                <w:szCs w:val="24"/>
              </w:rPr>
            </w:pPr>
            <w:r>
              <w:rPr>
                <w:rStyle w:val="99"/>
                <w:rFonts w:hint="eastAsia" w:cs="Times New Roman"/>
                <w:sz w:val="24"/>
                <w:szCs w:val="24"/>
              </w:rPr>
              <w:t>药代动力学浓度集（</w:t>
            </w:r>
            <w:r>
              <w:rPr>
                <w:rStyle w:val="99"/>
                <w:rFonts w:cs="Times New Roman"/>
                <w:sz w:val="24"/>
                <w:szCs w:val="24"/>
              </w:rPr>
              <w:t>PKCS</w:t>
            </w:r>
            <w:r>
              <w:rPr>
                <w:rStyle w:val="99"/>
                <w:rFonts w:hint="eastAsia" w:cs="Times New Roman"/>
                <w:sz w:val="24"/>
                <w:szCs w:val="24"/>
              </w:rPr>
              <w:t>）：包括所有经随机化分组且至少接受一次</w:t>
            </w:r>
            <w:r>
              <w:rPr>
                <w:rStyle w:val="99"/>
                <w:rFonts w:cs="Times New Roman"/>
                <w:sz w:val="24"/>
                <w:szCs w:val="24"/>
              </w:rPr>
              <w:t>CMS-D001</w:t>
            </w:r>
            <w:r>
              <w:rPr>
                <w:rStyle w:val="99"/>
                <w:rFonts w:hint="eastAsia" w:cs="Times New Roman"/>
                <w:sz w:val="24"/>
                <w:szCs w:val="24"/>
              </w:rPr>
              <w:t>片，且至少有</w:t>
            </w:r>
            <w:r>
              <w:rPr>
                <w:rStyle w:val="99"/>
                <w:rFonts w:cs="Times New Roman"/>
                <w:sz w:val="24"/>
                <w:szCs w:val="24"/>
              </w:rPr>
              <w:t>1</w:t>
            </w:r>
            <w:r>
              <w:rPr>
                <w:rStyle w:val="99"/>
                <w:rFonts w:hint="eastAsia" w:cs="Times New Roman"/>
                <w:sz w:val="24"/>
                <w:szCs w:val="24"/>
              </w:rPr>
              <w:t>个给药后</w:t>
            </w:r>
            <w:r>
              <w:rPr>
                <w:rStyle w:val="99"/>
                <w:rFonts w:cs="Times New Roman"/>
                <w:sz w:val="24"/>
                <w:szCs w:val="24"/>
              </w:rPr>
              <w:t>CMS-D001</w:t>
            </w:r>
            <w:r>
              <w:rPr>
                <w:rStyle w:val="99"/>
                <w:rFonts w:hint="eastAsia" w:cs="Times New Roman"/>
                <w:color w:val="auto"/>
                <w:sz w:val="24"/>
                <w:szCs w:val="24"/>
              </w:rPr>
              <w:t>及其主要代谢产物（如适用）</w:t>
            </w:r>
            <w:r>
              <w:rPr>
                <w:rStyle w:val="99"/>
                <w:rFonts w:hint="eastAsia" w:cs="Times New Roman"/>
                <w:sz w:val="24"/>
                <w:szCs w:val="24"/>
              </w:rPr>
              <w:t>有效血浆浓度数据的所有参与者。</w:t>
            </w:r>
          </w:p>
          <w:p w14:paraId="3C740AE2">
            <w:pPr>
              <w:pStyle w:val="60"/>
              <w:ind w:firstLine="480"/>
              <w:rPr>
                <w:rStyle w:val="99"/>
                <w:rFonts w:cs="Times New Roman"/>
                <w:sz w:val="24"/>
                <w:szCs w:val="24"/>
              </w:rPr>
            </w:pPr>
            <w:r>
              <w:rPr>
                <w:rStyle w:val="99"/>
                <w:rFonts w:hint="eastAsia" w:cs="Times New Roman"/>
                <w:sz w:val="24"/>
                <w:szCs w:val="24"/>
              </w:rPr>
              <w:t>药效学分析集（</w:t>
            </w:r>
            <w:r>
              <w:rPr>
                <w:rStyle w:val="99"/>
                <w:rFonts w:cs="Times New Roman"/>
                <w:sz w:val="24"/>
                <w:szCs w:val="24"/>
              </w:rPr>
              <w:t>PDS</w:t>
            </w:r>
            <w:r>
              <w:rPr>
                <w:rStyle w:val="99"/>
                <w:rFonts w:hint="eastAsia" w:cs="Times New Roman"/>
                <w:sz w:val="24"/>
                <w:szCs w:val="24"/>
              </w:rPr>
              <w:t>）：所有随机化后至少接受</w:t>
            </w:r>
            <w:r>
              <w:rPr>
                <w:rStyle w:val="99"/>
                <w:rFonts w:cs="Times New Roman"/>
                <w:sz w:val="24"/>
                <w:szCs w:val="24"/>
              </w:rPr>
              <w:t>1</w:t>
            </w:r>
            <w:r>
              <w:rPr>
                <w:rStyle w:val="99"/>
                <w:rFonts w:hint="eastAsia" w:cs="Times New Roman"/>
                <w:sz w:val="24"/>
                <w:szCs w:val="24"/>
              </w:rPr>
              <w:t>次试验用药品，且至少有</w:t>
            </w:r>
            <w:r>
              <w:rPr>
                <w:rStyle w:val="99"/>
                <w:rFonts w:cs="Times New Roman"/>
                <w:sz w:val="24"/>
                <w:szCs w:val="24"/>
              </w:rPr>
              <w:t>1</w:t>
            </w:r>
            <w:r>
              <w:rPr>
                <w:rStyle w:val="99"/>
                <w:rFonts w:hint="eastAsia" w:cs="Times New Roman"/>
                <w:sz w:val="24"/>
                <w:szCs w:val="24"/>
              </w:rPr>
              <w:t>个给药后有效</w:t>
            </w:r>
            <w:r>
              <w:rPr>
                <w:rStyle w:val="99"/>
                <w:rFonts w:cs="Times New Roman"/>
                <w:sz w:val="24"/>
                <w:szCs w:val="24"/>
              </w:rPr>
              <w:t>PD</w:t>
            </w:r>
            <w:r>
              <w:rPr>
                <w:rStyle w:val="99"/>
                <w:rFonts w:hint="eastAsia" w:cs="Times New Roman"/>
                <w:sz w:val="24"/>
                <w:szCs w:val="24"/>
              </w:rPr>
              <w:t>数据的参与者。</w:t>
            </w:r>
          </w:p>
          <w:p w14:paraId="5BD039B7">
            <w:pPr>
              <w:pStyle w:val="60"/>
              <w:ind w:firstLine="480"/>
              <w:rPr>
                <w:rStyle w:val="99"/>
                <w:rFonts w:cs="Times New Roman"/>
                <w:sz w:val="24"/>
                <w:szCs w:val="24"/>
                <w:lang w:eastAsia="zh-Hans"/>
              </w:rPr>
            </w:pPr>
            <w:r>
              <w:rPr>
                <w:rStyle w:val="99"/>
                <w:rFonts w:hint="eastAsia" w:cs="Times New Roman"/>
                <w:sz w:val="24"/>
                <w:szCs w:val="24"/>
                <w:lang w:eastAsia="zh-Hans"/>
              </w:rPr>
              <w:t>Ⅱ期临床阶段和Ⅲ</w:t>
            </w:r>
            <w:r>
              <w:rPr>
                <w:rStyle w:val="99"/>
                <w:rFonts w:hint="eastAsia" w:cs="Times New Roman"/>
                <w:sz w:val="24"/>
                <w:szCs w:val="24"/>
              </w:rPr>
              <w:t>期</w:t>
            </w:r>
            <w:r>
              <w:rPr>
                <w:rStyle w:val="99"/>
                <w:rFonts w:hint="eastAsia" w:cs="Times New Roman"/>
                <w:sz w:val="24"/>
                <w:szCs w:val="24"/>
                <w:lang w:eastAsia="zh-Hans"/>
              </w:rPr>
              <w:t>基础研究阶段各个分析数据集的划分及剔除各分析数据集的</w:t>
            </w:r>
            <w:r>
              <w:rPr>
                <w:rStyle w:val="99"/>
                <w:rFonts w:hint="eastAsia" w:cs="Times New Roman"/>
                <w:sz w:val="24"/>
                <w:szCs w:val="24"/>
              </w:rPr>
              <w:t>参与者</w:t>
            </w:r>
            <w:r>
              <w:rPr>
                <w:rStyle w:val="99"/>
                <w:rFonts w:hint="eastAsia" w:cs="Times New Roman"/>
                <w:sz w:val="24"/>
                <w:szCs w:val="24"/>
                <w:lang w:eastAsia="zh-Hans"/>
              </w:rPr>
              <w:t>名单均在盲态数据审核后，在数据库锁库和揭盲之前确定。</w:t>
            </w:r>
          </w:p>
          <w:p w14:paraId="5A32A1AE">
            <w:pPr>
              <w:pStyle w:val="60"/>
              <w:ind w:firstLine="482"/>
              <w:rPr>
                <w:rStyle w:val="99"/>
                <w:rFonts w:cs="Times New Roman"/>
                <w:b/>
                <w:bCs/>
                <w:sz w:val="24"/>
                <w:szCs w:val="24"/>
              </w:rPr>
            </w:pPr>
            <w:r>
              <w:rPr>
                <w:rStyle w:val="99"/>
                <w:rFonts w:hint="eastAsia" w:cs="Times New Roman"/>
                <w:b/>
                <w:bCs/>
                <w:sz w:val="24"/>
                <w:szCs w:val="24"/>
              </w:rPr>
              <w:t>统计分析方法：</w:t>
            </w:r>
          </w:p>
          <w:p w14:paraId="62CE0E86">
            <w:pPr>
              <w:pStyle w:val="60"/>
              <w:ind w:firstLine="480"/>
              <w:rPr>
                <w:rStyle w:val="99"/>
                <w:rFonts w:cs="Times New Roman"/>
                <w:sz w:val="24"/>
                <w:szCs w:val="24"/>
                <w:lang w:val="da-DK"/>
              </w:rPr>
            </w:pPr>
            <w:r>
              <w:rPr>
                <w:rStyle w:val="99"/>
                <w:rFonts w:hint="eastAsia" w:cs="Times New Roman"/>
                <w:sz w:val="24"/>
                <w:szCs w:val="24"/>
                <w:lang w:val="da-DK"/>
              </w:rPr>
              <w:t>所有统计分析都将用</w:t>
            </w:r>
            <w:r>
              <w:rPr>
                <w:rStyle w:val="99"/>
                <w:rFonts w:cs="Times New Roman"/>
                <w:sz w:val="24"/>
                <w:szCs w:val="24"/>
                <w:lang w:val="da-DK"/>
              </w:rPr>
              <w:t>SAS 9.4</w:t>
            </w:r>
            <w:r>
              <w:rPr>
                <w:rStyle w:val="99"/>
                <w:rFonts w:hint="eastAsia" w:cs="Times New Roman"/>
                <w:sz w:val="24"/>
                <w:szCs w:val="24"/>
                <w:lang w:val="da-DK"/>
              </w:rPr>
              <w:t>或以上版本完成。</w:t>
            </w:r>
          </w:p>
          <w:p w14:paraId="736C2A81">
            <w:pPr>
              <w:pStyle w:val="60"/>
              <w:ind w:firstLine="480"/>
              <w:rPr>
                <w:rStyle w:val="99"/>
                <w:rFonts w:cs="Times New Roman"/>
                <w:sz w:val="24"/>
                <w:szCs w:val="24"/>
                <w:lang w:val="da-DK"/>
              </w:rPr>
            </w:pPr>
            <w:r>
              <w:rPr>
                <w:rStyle w:val="99"/>
                <w:rFonts w:hint="eastAsia" w:cs="Times New Roman"/>
                <w:sz w:val="24"/>
                <w:szCs w:val="24"/>
                <w:lang w:val="da-DK"/>
              </w:rPr>
              <w:t>所有试验数据都将按照治疗组对疗效和安全性数据进行总结和列表。一般而言，连续性变量将使用例数、均值、中位值、标准差、最小值和最大值进行统计描述；分类变量将使用各个类别的频数及百分比进行统计描述，除非有其它说明，缺失值不会被纳入百分比的计算。除特别说明外，所有的统计检验都将使用</w:t>
            </w:r>
            <w:r>
              <w:rPr>
                <w:rStyle w:val="99"/>
                <w:rFonts w:cs="Times New Roman"/>
                <w:sz w:val="24"/>
                <w:szCs w:val="24"/>
                <w:lang w:val="da-DK"/>
              </w:rPr>
              <w:t>α=0.05</w:t>
            </w:r>
            <w:r>
              <w:rPr>
                <w:rStyle w:val="99"/>
                <w:rFonts w:hint="eastAsia" w:cs="Times New Roman"/>
                <w:sz w:val="24"/>
                <w:szCs w:val="24"/>
                <w:lang w:val="da-DK"/>
              </w:rPr>
              <w:t>的双侧检验，计算双侧</w:t>
            </w:r>
            <w:r>
              <w:rPr>
                <w:rStyle w:val="99"/>
                <w:rFonts w:cs="Times New Roman"/>
                <w:sz w:val="24"/>
                <w:szCs w:val="24"/>
                <w:lang w:val="da-DK"/>
              </w:rPr>
              <w:t>95%</w:t>
            </w:r>
            <w:r>
              <w:rPr>
                <w:rStyle w:val="99"/>
                <w:rFonts w:hint="eastAsia" w:cs="Times New Roman"/>
                <w:sz w:val="24"/>
                <w:szCs w:val="24"/>
                <w:lang w:val="da-DK"/>
              </w:rPr>
              <w:t>的置信区间（</w:t>
            </w:r>
            <w:r>
              <w:rPr>
                <w:rStyle w:val="99"/>
                <w:rFonts w:cs="Times New Roman"/>
                <w:sz w:val="24"/>
                <w:szCs w:val="24"/>
                <w:lang w:val="da-DK"/>
              </w:rPr>
              <w:t>CI</w:t>
            </w:r>
            <w:r>
              <w:rPr>
                <w:rStyle w:val="99"/>
                <w:rFonts w:hint="eastAsia" w:cs="Times New Roman"/>
                <w:sz w:val="24"/>
                <w:szCs w:val="24"/>
                <w:lang w:val="da-DK"/>
              </w:rPr>
              <w:t>）。</w:t>
            </w:r>
          </w:p>
          <w:p w14:paraId="15FDCE2B">
            <w:pPr>
              <w:pStyle w:val="60"/>
              <w:ind w:firstLine="482"/>
              <w:rPr>
                <w:rStyle w:val="99"/>
                <w:rFonts w:cs="Times New Roman"/>
                <w:b/>
                <w:bCs/>
                <w:sz w:val="24"/>
                <w:szCs w:val="24"/>
              </w:rPr>
            </w:pPr>
            <w:r>
              <w:rPr>
                <w:rStyle w:val="99"/>
                <w:rFonts w:hint="eastAsia" w:cs="Times New Roman"/>
                <w:b/>
                <w:bCs/>
                <w:sz w:val="24"/>
                <w:szCs w:val="24"/>
              </w:rPr>
              <w:t>疗效分析：</w:t>
            </w:r>
          </w:p>
          <w:p w14:paraId="3009F4B1">
            <w:pPr>
              <w:pStyle w:val="60"/>
              <w:numPr>
                <w:ilvl w:val="0"/>
                <w:numId w:val="26"/>
              </w:numPr>
              <w:ind w:firstLineChars="0"/>
              <w:rPr>
                <w:rStyle w:val="99"/>
                <w:rFonts w:cs="Times New Roman"/>
                <w:b/>
                <w:bCs/>
                <w:sz w:val="24"/>
                <w:szCs w:val="24"/>
                <w:lang w:eastAsia="zh-Hans"/>
              </w:rPr>
            </w:pPr>
            <w:r>
              <w:rPr>
                <w:rStyle w:val="99"/>
                <w:rFonts w:hint="eastAsia" w:cs="Times New Roman"/>
                <w:b/>
                <w:bCs/>
                <w:sz w:val="24"/>
                <w:szCs w:val="24"/>
                <w:lang w:eastAsia="zh-Hans"/>
              </w:rPr>
              <w:t>主要疗效指标</w:t>
            </w:r>
          </w:p>
          <w:p w14:paraId="3C1D28F0">
            <w:pPr>
              <w:pStyle w:val="60"/>
              <w:ind w:left="440" w:leftChars="200" w:firstLine="0" w:firstLineChars="0"/>
              <w:rPr>
                <w:rStyle w:val="99"/>
                <w:rFonts w:cs="Times New Roman"/>
                <w:b/>
                <w:bCs/>
                <w:sz w:val="24"/>
                <w:szCs w:val="24"/>
                <w:u w:val="single"/>
                <w:lang w:eastAsia="zh-Hans"/>
              </w:rPr>
            </w:pPr>
            <w:r>
              <w:rPr>
                <w:rStyle w:val="99"/>
                <w:rFonts w:hint="eastAsia" w:cs="Times New Roman"/>
                <w:sz w:val="24"/>
                <w:szCs w:val="24"/>
                <w:u w:val="single"/>
                <w:lang w:eastAsia="zh-Hans"/>
              </w:rPr>
              <w:t>Ⅱ期临床阶段</w:t>
            </w:r>
          </w:p>
          <w:p w14:paraId="6116ADBD">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主要疗效指标为第</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周，银屑病面积和严重程度指数较基线改善至少</w:t>
            </w:r>
            <w:r>
              <w:rPr>
                <w:rFonts w:ascii="Times New Roman" w:hAnsi="Times New Roman" w:eastAsia="宋体" w:cs="Times New Roman"/>
                <w:kern w:val="2"/>
                <w:sz w:val="24"/>
                <w:szCs w:val="24"/>
              </w:rPr>
              <w:t>75%</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PASI 75</w:t>
            </w:r>
            <w:r>
              <w:rPr>
                <w:rFonts w:hint="eastAsia" w:ascii="Times New Roman" w:hAnsi="Times New Roman" w:eastAsia="宋体" w:cs="Times New Roman"/>
                <w:kern w:val="2"/>
                <w:sz w:val="24"/>
                <w:szCs w:val="24"/>
              </w:rPr>
              <w:t>）的参与者比例。基于</w:t>
            </w:r>
            <w:r>
              <w:rPr>
                <w:rFonts w:ascii="Times New Roman" w:hAnsi="Times New Roman" w:eastAsia="宋体" w:cs="Times New Roman"/>
                <w:kern w:val="2"/>
                <w:sz w:val="24"/>
                <w:szCs w:val="24"/>
              </w:rPr>
              <w:t>ITT</w:t>
            </w:r>
            <w:r>
              <w:rPr>
                <w:rFonts w:hint="eastAsia" w:ascii="Times New Roman" w:hAnsi="Times New Roman" w:eastAsia="宋体" w:cs="Times New Roman"/>
                <w:kern w:val="2"/>
                <w:sz w:val="24"/>
                <w:szCs w:val="24"/>
              </w:rPr>
              <w:t>，将采用</w:t>
            </w:r>
            <w:r>
              <w:rPr>
                <w:rFonts w:ascii="Times New Roman" w:hAnsi="Times New Roman" w:eastAsia="宋体" w:cs="Times New Roman"/>
                <w:sz w:val="24"/>
                <w:szCs w:val="24"/>
              </w:rPr>
              <w:t>CMH</w:t>
            </w:r>
            <w:r>
              <w:rPr>
                <w:rFonts w:hint="eastAsia" w:ascii="Times New Roman" w:hAnsi="Times New Roman" w:eastAsia="宋体" w:cs="Times New Roman"/>
                <w:sz w:val="24"/>
                <w:szCs w:val="24"/>
              </w:rPr>
              <w:t>检验</w:t>
            </w:r>
            <w:r>
              <w:rPr>
                <w:rFonts w:hint="eastAsia" w:ascii="Times New Roman" w:hAnsi="Times New Roman" w:eastAsia="宋体" w:cs="Times New Roman"/>
                <w:kern w:val="2"/>
                <w:sz w:val="24"/>
                <w:szCs w:val="24"/>
              </w:rPr>
              <w:t>比较各剂量组与安慰剂组间</w:t>
            </w:r>
            <w:r>
              <w:rPr>
                <w:rFonts w:ascii="Times New Roman" w:hAnsi="Times New Roman" w:eastAsia="宋体" w:cs="Times New Roman"/>
                <w:kern w:val="2"/>
                <w:sz w:val="24"/>
                <w:szCs w:val="24"/>
              </w:rPr>
              <w:t>PASI 75</w:t>
            </w:r>
            <w:r>
              <w:rPr>
                <w:rFonts w:hint="eastAsia" w:ascii="Times New Roman" w:hAnsi="Times New Roman" w:eastAsia="宋体" w:cs="Times New Roman"/>
                <w:kern w:val="2"/>
                <w:sz w:val="24"/>
                <w:szCs w:val="24"/>
              </w:rPr>
              <w:t>应答率的差异及其</w:t>
            </w:r>
            <w:r>
              <w:rPr>
                <w:rFonts w:ascii="Times New Roman" w:hAnsi="Times New Roman" w:eastAsia="宋体" w:cs="Times New Roman"/>
                <w:kern w:val="2"/>
                <w:sz w:val="24"/>
                <w:szCs w:val="24"/>
              </w:rPr>
              <w:t>95%</w:t>
            </w:r>
            <w:r>
              <w:rPr>
                <w:rFonts w:hint="eastAsia" w:ascii="Times New Roman" w:hAnsi="Times New Roman" w:eastAsia="宋体" w:cs="Times New Roman"/>
                <w:kern w:val="2"/>
                <w:sz w:val="24"/>
                <w:szCs w:val="24"/>
              </w:rPr>
              <w:t>的置信区间。主要疗效指标的缺失，将采用多重填补。</w:t>
            </w:r>
          </w:p>
          <w:p w14:paraId="0D49C256">
            <w:pPr>
              <w:autoSpaceDE/>
              <w:autoSpaceDN/>
              <w:spacing w:line="360" w:lineRule="auto"/>
              <w:ind w:firstLine="480" w:firstLineChars="200"/>
              <w:jc w:val="both"/>
              <w:rPr>
                <w:rFonts w:ascii="Times New Roman" w:hAnsi="Times New Roman" w:eastAsia="宋体" w:cs="Times New Roman"/>
                <w:kern w:val="2"/>
                <w:sz w:val="24"/>
                <w:szCs w:val="24"/>
                <w:u w:val="single"/>
              </w:rPr>
            </w:pPr>
            <w:r>
              <w:rPr>
                <w:rFonts w:hint="eastAsia" w:ascii="Times New Roman" w:hAnsi="Times New Roman" w:eastAsia="宋体" w:cs="Times New Roman"/>
                <w:kern w:val="2"/>
                <w:sz w:val="24"/>
                <w:szCs w:val="24"/>
                <w:u w:val="single"/>
                <w:lang w:eastAsia="zh-Hans"/>
              </w:rPr>
              <w:t>Ⅲ</w:t>
            </w:r>
            <w:r>
              <w:rPr>
                <w:rFonts w:hint="eastAsia" w:ascii="Times New Roman" w:hAnsi="Times New Roman" w:eastAsia="宋体" w:cs="Times New Roman"/>
                <w:kern w:val="2"/>
                <w:sz w:val="24"/>
                <w:szCs w:val="24"/>
                <w:u w:val="single"/>
              </w:rPr>
              <w:t>期临床阶段</w:t>
            </w:r>
          </w:p>
          <w:p w14:paraId="30980A91">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bCs/>
                <w:sz w:val="24"/>
                <w:szCs w:val="24"/>
              </w:rPr>
              <w:t>基于</w:t>
            </w:r>
            <w:r>
              <w:rPr>
                <w:rFonts w:ascii="Times New Roman" w:hAnsi="Times New Roman" w:eastAsia="宋体" w:cs="Times New Roman"/>
                <w:bCs/>
                <w:sz w:val="24"/>
                <w:szCs w:val="24"/>
              </w:rPr>
              <w:t>ITT</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分别计算</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片组和安慰剂组第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sz w:val="24"/>
                <w:szCs w:val="24"/>
              </w:rPr>
              <w:t>PASI 75</w:t>
            </w:r>
            <w:r>
              <w:rPr>
                <w:rFonts w:hint="eastAsia" w:ascii="Times New Roman" w:hAnsi="Times New Roman" w:eastAsia="宋体" w:cs="Times New Roman"/>
                <w:sz w:val="24"/>
                <w:szCs w:val="24"/>
              </w:rPr>
              <w:t>应答参与者例数和百分比、第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kern w:val="2"/>
                <w:sz w:val="24"/>
                <w:szCs w:val="24"/>
              </w:rPr>
              <w:t>PGA</w:t>
            </w:r>
            <w:r>
              <w:rPr>
                <w:rFonts w:hint="eastAsia" w:ascii="Times New Roman" w:hAnsi="Times New Roman" w:eastAsia="宋体" w:cs="Times New Roman"/>
                <w:kern w:val="2"/>
                <w:sz w:val="24"/>
                <w:szCs w:val="24"/>
              </w:rPr>
              <w:t>评分为</w:t>
            </w:r>
            <w:r>
              <w:rPr>
                <w:rFonts w:ascii="Times New Roman" w:hAnsi="Times New Roman" w:eastAsia="宋体" w:cs="Times New Roman"/>
                <w:kern w:val="2"/>
                <w:sz w:val="24"/>
                <w:szCs w:val="24"/>
              </w:rPr>
              <w:t>0</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应答</w:t>
            </w:r>
            <w:r>
              <w:rPr>
                <w:rFonts w:hint="eastAsia" w:ascii="Times New Roman" w:hAnsi="Times New Roman" w:eastAsia="宋体" w:cs="Times New Roman"/>
                <w:sz w:val="24"/>
                <w:szCs w:val="24"/>
              </w:rPr>
              <w:t>的参与者例数和百分比。如果终点指标访视前发生伴发事件，主要估计目标值根据对应的处理策略进行填补，在考虑伴发事件的处理策略及相应的数据填补</w:t>
            </w:r>
            <w:r>
              <w:rPr>
                <w:rFonts w:ascii="Times New Roman" w:hAnsi="Times New Roman" w:eastAsia="宋体" w:cs="Times New Roman"/>
                <w:sz w:val="24"/>
                <w:szCs w:val="24"/>
              </w:rPr>
              <w:t>/</w:t>
            </w:r>
            <w:r>
              <w:rPr>
                <w:rFonts w:hint="eastAsia" w:ascii="Times New Roman" w:hAnsi="Times New Roman" w:eastAsia="宋体" w:cs="Times New Roman"/>
                <w:sz w:val="24"/>
                <w:szCs w:val="24"/>
              </w:rPr>
              <w:t>预测措施后第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w:t>
            </w:r>
            <w:r>
              <w:rPr>
                <w:rFonts w:ascii="Times New Roman" w:hAnsi="Times New Roman" w:eastAsia="宋体" w:cs="Times New Roman"/>
                <w:sz w:val="24"/>
                <w:szCs w:val="24"/>
              </w:rPr>
              <w:t>PASI 75</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PGA</w:t>
            </w:r>
            <w:r>
              <w:rPr>
                <w:rFonts w:hint="eastAsia" w:ascii="Times New Roman" w:hAnsi="Times New Roman" w:eastAsia="宋体" w:cs="Times New Roman"/>
                <w:sz w:val="24"/>
                <w:szCs w:val="24"/>
              </w:rPr>
              <w:t>仍缺失的数据将采用多重填补法进行填补。将以</w:t>
            </w:r>
            <w:r>
              <w:rPr>
                <w:rStyle w:val="99"/>
                <w:rFonts w:hint="eastAsia" w:ascii="Times New Roman" w:hAnsi="Times New Roman" w:eastAsia="宋体" w:cs="Times New Roman"/>
                <w:sz w:val="24"/>
                <w:szCs w:val="24"/>
              </w:rPr>
              <w:t>随机分层因素</w:t>
            </w:r>
            <w:r>
              <w:rPr>
                <w:rFonts w:hint="eastAsia" w:ascii="Times New Roman" w:hAnsi="Times New Roman" w:eastAsia="宋体" w:cs="Times New Roman"/>
                <w:sz w:val="24"/>
                <w:szCs w:val="24"/>
              </w:rPr>
              <w:t>为固定因素，采用</w:t>
            </w:r>
            <w:r>
              <w:rPr>
                <w:rFonts w:ascii="Times New Roman" w:hAnsi="Times New Roman" w:eastAsia="宋体" w:cs="Times New Roman"/>
                <w:sz w:val="24"/>
                <w:szCs w:val="24"/>
              </w:rPr>
              <w:t>CMH</w:t>
            </w:r>
            <w:r>
              <w:rPr>
                <w:rFonts w:hint="eastAsia" w:ascii="Times New Roman" w:hAnsi="Times New Roman" w:eastAsia="宋体" w:cs="Times New Roman"/>
                <w:sz w:val="24"/>
                <w:szCs w:val="24"/>
              </w:rPr>
              <w:t>检验比较</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片组和安慰剂组第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sz w:val="24"/>
                <w:szCs w:val="24"/>
              </w:rPr>
              <w:t>PASI 75</w:t>
            </w:r>
            <w:r>
              <w:rPr>
                <w:rFonts w:hint="eastAsia" w:ascii="Times New Roman" w:hAnsi="Times New Roman" w:eastAsia="宋体" w:cs="Times New Roman"/>
                <w:sz w:val="24"/>
                <w:szCs w:val="24"/>
              </w:rPr>
              <w:t>应答参与者比例差异，第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kern w:val="2"/>
                <w:sz w:val="24"/>
                <w:szCs w:val="24"/>
              </w:rPr>
              <w:t>PGA</w:t>
            </w:r>
            <w:r>
              <w:rPr>
                <w:rFonts w:hint="eastAsia" w:ascii="Times New Roman" w:hAnsi="Times New Roman" w:eastAsia="宋体" w:cs="Times New Roman"/>
                <w:kern w:val="2"/>
                <w:sz w:val="24"/>
                <w:szCs w:val="24"/>
              </w:rPr>
              <w:t>评分为</w:t>
            </w:r>
            <w:r>
              <w:rPr>
                <w:rFonts w:ascii="Times New Roman" w:hAnsi="Times New Roman" w:eastAsia="宋体" w:cs="Times New Roman"/>
                <w:kern w:val="2"/>
                <w:sz w:val="24"/>
                <w:szCs w:val="24"/>
              </w:rPr>
              <w:t>0</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应答</w:t>
            </w:r>
            <w:r>
              <w:rPr>
                <w:rFonts w:hint="eastAsia" w:ascii="Times New Roman" w:hAnsi="Times New Roman" w:eastAsia="宋体" w:cs="Times New Roman"/>
                <w:sz w:val="24"/>
                <w:szCs w:val="24"/>
              </w:rPr>
              <w:t>的参与者比例的差异，并计算相应的</w:t>
            </w:r>
            <w:r>
              <w:rPr>
                <w:rFonts w:ascii="Times New Roman" w:hAnsi="Times New Roman" w:eastAsia="宋体" w:cs="Times New Roman"/>
                <w:sz w:val="24"/>
                <w:szCs w:val="24"/>
              </w:rPr>
              <w:t>95%</w:t>
            </w:r>
            <w:r>
              <w:rPr>
                <w:rFonts w:hint="eastAsia" w:ascii="Times New Roman" w:hAnsi="Times New Roman" w:eastAsia="宋体" w:cs="Times New Roman"/>
                <w:sz w:val="24"/>
                <w:szCs w:val="24"/>
              </w:rPr>
              <w:t>的置信区间（</w:t>
            </w:r>
            <w:r>
              <w:rPr>
                <w:rFonts w:ascii="Times New Roman" w:hAnsi="Times New Roman" w:eastAsia="宋体" w:cs="Times New Roman"/>
                <w:sz w:val="24"/>
                <w:szCs w:val="24"/>
              </w:rPr>
              <w:t>95% CI</w:t>
            </w:r>
            <w:r>
              <w:rPr>
                <w:rFonts w:hint="eastAsia" w:ascii="Times New Roman" w:hAnsi="Times New Roman" w:eastAsia="宋体" w:cs="Times New Roman"/>
                <w:sz w:val="24"/>
                <w:szCs w:val="24"/>
              </w:rPr>
              <w:t>）。</w:t>
            </w:r>
          </w:p>
          <w:p w14:paraId="53A9E9B4">
            <w:pPr>
              <w:pStyle w:val="60"/>
              <w:numPr>
                <w:ilvl w:val="0"/>
                <w:numId w:val="26"/>
              </w:numPr>
              <w:ind w:firstLineChars="0"/>
              <w:rPr>
                <w:rStyle w:val="99"/>
                <w:rFonts w:cs="Times New Roman"/>
                <w:b/>
                <w:bCs/>
                <w:sz w:val="24"/>
                <w:szCs w:val="24"/>
                <w:lang w:val="zh-CN" w:eastAsia="zh-Hans"/>
              </w:rPr>
            </w:pPr>
            <w:r>
              <w:rPr>
                <w:rStyle w:val="99"/>
                <w:rFonts w:hint="eastAsia" w:cs="Times New Roman"/>
                <w:b/>
                <w:bCs/>
                <w:sz w:val="24"/>
                <w:szCs w:val="24"/>
                <w:lang w:val="zh-CN" w:eastAsia="zh-Hans"/>
              </w:rPr>
              <w:t>次要</w:t>
            </w:r>
            <w:r>
              <w:rPr>
                <w:rStyle w:val="99"/>
                <w:rFonts w:hint="eastAsia" w:cs="Times New Roman"/>
                <w:b/>
                <w:bCs/>
                <w:sz w:val="24"/>
                <w:szCs w:val="24"/>
                <w:lang w:eastAsia="zh-Hans"/>
              </w:rPr>
              <w:t>疗效</w:t>
            </w:r>
            <w:r>
              <w:rPr>
                <w:rStyle w:val="99"/>
                <w:rFonts w:hint="eastAsia" w:cs="Times New Roman"/>
                <w:b/>
                <w:bCs/>
                <w:sz w:val="24"/>
                <w:szCs w:val="24"/>
                <w:lang w:val="zh-CN" w:eastAsia="zh-Hans"/>
              </w:rPr>
              <w:t>指标</w:t>
            </w:r>
          </w:p>
          <w:p w14:paraId="76CA910B">
            <w:pPr>
              <w:pStyle w:val="60"/>
              <w:ind w:firstLine="480"/>
              <w:rPr>
                <w:rStyle w:val="99"/>
                <w:rFonts w:cs="Times New Roman"/>
                <w:sz w:val="24"/>
                <w:szCs w:val="24"/>
                <w:lang w:eastAsia="zh-Hans"/>
              </w:rPr>
            </w:pPr>
            <w:r>
              <w:rPr>
                <w:rStyle w:val="99"/>
                <w:rFonts w:hint="eastAsia" w:cs="Times New Roman"/>
                <w:sz w:val="24"/>
                <w:szCs w:val="24"/>
                <w:lang w:eastAsia="zh-Hans"/>
              </w:rPr>
              <w:t>所有次要疗效终点的分析将根据数据的类型采取相应的统计方法。</w:t>
            </w:r>
          </w:p>
          <w:p w14:paraId="017CD1BD">
            <w:pPr>
              <w:pStyle w:val="60"/>
              <w:ind w:firstLine="482"/>
              <w:rPr>
                <w:rStyle w:val="99"/>
                <w:rFonts w:cs="Times New Roman"/>
                <w:b/>
                <w:bCs/>
                <w:sz w:val="24"/>
                <w:szCs w:val="24"/>
                <w:lang w:val="zh-CN"/>
              </w:rPr>
            </w:pPr>
            <w:r>
              <w:rPr>
                <w:rStyle w:val="99"/>
                <w:rFonts w:hint="eastAsia" w:cs="Times New Roman"/>
                <w:b/>
                <w:bCs/>
                <w:sz w:val="24"/>
                <w:szCs w:val="24"/>
                <w:lang w:val="zh-CN"/>
              </w:rPr>
              <w:t>安全性分析：</w:t>
            </w:r>
          </w:p>
          <w:p w14:paraId="5B7D1157">
            <w:pPr>
              <w:pStyle w:val="60"/>
              <w:ind w:firstLine="480"/>
              <w:rPr>
                <w:rStyle w:val="99"/>
                <w:rFonts w:cs="Times New Roman"/>
                <w:bCs/>
                <w:sz w:val="24"/>
                <w:szCs w:val="24"/>
                <w:lang w:val="zh-CN"/>
              </w:rPr>
            </w:pPr>
            <w:r>
              <w:rPr>
                <w:rStyle w:val="99"/>
                <w:rFonts w:hint="eastAsia" w:cs="Times New Roman"/>
                <w:bCs/>
                <w:sz w:val="24"/>
                <w:szCs w:val="24"/>
                <w:lang w:val="zh-CN"/>
              </w:rPr>
              <w:t>基于</w:t>
            </w:r>
            <w:r>
              <w:rPr>
                <w:rStyle w:val="99"/>
                <w:rFonts w:cs="Times New Roman"/>
                <w:bCs/>
                <w:sz w:val="24"/>
                <w:szCs w:val="24"/>
                <w:lang w:val="zh-CN"/>
              </w:rPr>
              <w:t>SS</w:t>
            </w:r>
            <w:r>
              <w:rPr>
                <w:rStyle w:val="99"/>
                <w:rFonts w:hint="eastAsia" w:cs="Times New Roman"/>
                <w:bCs/>
                <w:sz w:val="24"/>
                <w:szCs w:val="24"/>
                <w:lang w:val="zh-CN"/>
              </w:rPr>
              <w:t>进行安全性分析。</w:t>
            </w:r>
          </w:p>
          <w:p w14:paraId="6A94671E">
            <w:pPr>
              <w:pStyle w:val="60"/>
              <w:ind w:firstLine="480"/>
              <w:rPr>
                <w:rStyle w:val="99"/>
                <w:rFonts w:cs="Times New Roman"/>
                <w:sz w:val="24"/>
                <w:szCs w:val="24"/>
                <w:lang w:val="zh-CN"/>
              </w:rPr>
            </w:pPr>
            <w:r>
              <w:rPr>
                <w:rStyle w:val="99"/>
                <w:rFonts w:hint="eastAsia" w:cs="Times New Roman"/>
                <w:sz w:val="24"/>
                <w:szCs w:val="24"/>
                <w:lang w:val="zh-CN"/>
              </w:rPr>
              <w:t>不良事件采用监管活动医学词典（</w:t>
            </w:r>
            <w:r>
              <w:rPr>
                <w:rStyle w:val="99"/>
                <w:rFonts w:cs="Times New Roman"/>
                <w:sz w:val="24"/>
                <w:szCs w:val="24"/>
                <w:lang w:val="zh-CN"/>
              </w:rPr>
              <w:t>MedDRA</w:t>
            </w:r>
            <w:r>
              <w:rPr>
                <w:rStyle w:val="99"/>
                <w:rFonts w:hint="eastAsia" w:cs="Times New Roman"/>
                <w:sz w:val="24"/>
                <w:szCs w:val="24"/>
                <w:lang w:val="zh-CN"/>
              </w:rPr>
              <w:t>，版本</w:t>
            </w:r>
            <w:r>
              <w:rPr>
                <w:rStyle w:val="99"/>
                <w:rFonts w:cs="Times New Roman"/>
                <w:sz w:val="24"/>
                <w:szCs w:val="24"/>
              </w:rPr>
              <w:t>28.0</w:t>
            </w:r>
            <w:r>
              <w:rPr>
                <w:rStyle w:val="99"/>
                <w:rFonts w:hint="eastAsia" w:cs="Times New Roman"/>
                <w:sz w:val="24"/>
                <w:szCs w:val="24"/>
                <w:lang w:val="zh-CN"/>
              </w:rPr>
              <w:t>或</w:t>
            </w:r>
            <w:r>
              <w:rPr>
                <w:rStyle w:val="99"/>
                <w:rFonts w:hint="eastAsia" w:cs="Times New Roman"/>
                <w:sz w:val="24"/>
                <w:szCs w:val="24"/>
                <w:lang w:eastAsia="zh-Hans"/>
              </w:rPr>
              <w:t>届时最新</w:t>
            </w:r>
            <w:r>
              <w:rPr>
                <w:rStyle w:val="99"/>
                <w:rFonts w:hint="eastAsia" w:cs="Times New Roman"/>
                <w:sz w:val="24"/>
                <w:szCs w:val="24"/>
                <w:lang w:val="zh-CN"/>
              </w:rPr>
              <w:t>版本）进行编码，依据系统器官分类</w:t>
            </w:r>
            <w:r>
              <w:rPr>
                <w:rStyle w:val="99"/>
                <w:rFonts w:hint="eastAsia" w:cs="Times New Roman"/>
                <w:sz w:val="24"/>
                <w:szCs w:val="24"/>
              </w:rPr>
              <w:t>（</w:t>
            </w:r>
            <w:r>
              <w:rPr>
                <w:rStyle w:val="99"/>
                <w:rFonts w:cs="Times New Roman"/>
                <w:sz w:val="24"/>
                <w:szCs w:val="24"/>
                <w:lang w:eastAsia="zh-Hans"/>
              </w:rPr>
              <w:t>SOC</w:t>
            </w:r>
            <w:r>
              <w:rPr>
                <w:rStyle w:val="99"/>
                <w:rFonts w:hint="eastAsia" w:cs="Times New Roman"/>
                <w:sz w:val="24"/>
                <w:szCs w:val="24"/>
                <w:lang w:eastAsia="zh-Hans"/>
              </w:rPr>
              <w:t>）</w:t>
            </w:r>
            <w:r>
              <w:rPr>
                <w:rStyle w:val="99"/>
                <w:rFonts w:hint="eastAsia" w:cs="Times New Roman"/>
                <w:sz w:val="24"/>
                <w:szCs w:val="24"/>
                <w:lang w:val="zh-CN"/>
              </w:rPr>
              <w:t>和首选语</w:t>
            </w:r>
            <w:r>
              <w:rPr>
                <w:rStyle w:val="99"/>
                <w:rFonts w:hint="eastAsia" w:cs="Times New Roman"/>
                <w:sz w:val="24"/>
                <w:szCs w:val="24"/>
              </w:rPr>
              <w:t>（</w:t>
            </w:r>
            <w:r>
              <w:rPr>
                <w:rStyle w:val="99"/>
                <w:rFonts w:cs="Times New Roman"/>
                <w:sz w:val="24"/>
                <w:szCs w:val="24"/>
                <w:lang w:eastAsia="zh-Hans"/>
              </w:rPr>
              <w:t>PT</w:t>
            </w:r>
            <w:r>
              <w:rPr>
                <w:rStyle w:val="99"/>
                <w:rFonts w:hint="eastAsia" w:cs="Times New Roman"/>
                <w:sz w:val="24"/>
                <w:szCs w:val="24"/>
                <w:lang w:eastAsia="zh-Hans"/>
              </w:rPr>
              <w:t>）</w:t>
            </w:r>
            <w:r>
              <w:rPr>
                <w:rStyle w:val="99"/>
                <w:rFonts w:hint="eastAsia" w:cs="Times New Roman"/>
                <w:sz w:val="24"/>
                <w:szCs w:val="24"/>
                <w:lang w:val="zh-CN"/>
              </w:rPr>
              <w:t>进行汇总，报告发生不良事件以及</w:t>
            </w:r>
            <w:r>
              <w:rPr>
                <w:rFonts w:hint="eastAsia" w:cs="Times New Roman"/>
                <w:sz w:val="24"/>
                <w:szCs w:val="24"/>
              </w:rPr>
              <w:t>治疗期出现的不良事件（</w:t>
            </w:r>
            <w:r>
              <w:rPr>
                <w:rFonts w:cs="Times New Roman"/>
                <w:sz w:val="24"/>
                <w:szCs w:val="24"/>
              </w:rPr>
              <w:t>TEAE</w:t>
            </w:r>
            <w:r>
              <w:rPr>
                <w:rFonts w:hint="eastAsia" w:cs="Times New Roman"/>
                <w:sz w:val="24"/>
                <w:szCs w:val="24"/>
              </w:rPr>
              <w:t>）</w:t>
            </w:r>
            <w:r>
              <w:rPr>
                <w:rStyle w:val="99"/>
                <w:rFonts w:hint="eastAsia" w:cs="Times New Roman"/>
                <w:sz w:val="24"/>
                <w:szCs w:val="24"/>
                <w:lang w:val="zh-CN"/>
              </w:rPr>
              <w:t>的参与者例数、例次和发生率，并按照与研究药物的关系和严重程度汇总不良事件并列表。</w:t>
            </w:r>
            <w:r>
              <w:rPr>
                <w:rFonts w:hint="eastAsia" w:cs="Times New Roman"/>
                <w:bCs/>
                <w:sz w:val="24"/>
                <w:szCs w:val="24"/>
              </w:rPr>
              <w:t>对于与研究药物相关的</w:t>
            </w:r>
            <w:r>
              <w:rPr>
                <w:rFonts w:cs="Times New Roman"/>
                <w:bCs/>
                <w:sz w:val="24"/>
                <w:szCs w:val="24"/>
              </w:rPr>
              <w:t>TEAE</w:t>
            </w:r>
            <w:r>
              <w:rPr>
                <w:rFonts w:hint="eastAsia" w:cs="Times New Roman"/>
                <w:bCs/>
                <w:sz w:val="24"/>
                <w:szCs w:val="24"/>
              </w:rPr>
              <w:t>（</w:t>
            </w:r>
            <w:r>
              <w:rPr>
                <w:rFonts w:cs="Times New Roman"/>
                <w:bCs/>
                <w:sz w:val="24"/>
                <w:szCs w:val="24"/>
              </w:rPr>
              <w:t>TRAE</w:t>
            </w:r>
            <w:r>
              <w:rPr>
                <w:rFonts w:hint="eastAsia" w:cs="Times New Roman"/>
                <w:bCs/>
                <w:sz w:val="24"/>
                <w:szCs w:val="24"/>
              </w:rPr>
              <w:t>）、导致永久停用研究药物的</w:t>
            </w:r>
            <w:r>
              <w:rPr>
                <w:rFonts w:cs="Times New Roman"/>
                <w:bCs/>
                <w:sz w:val="24"/>
                <w:szCs w:val="24"/>
              </w:rPr>
              <w:t>TEAE/TRAE</w:t>
            </w:r>
            <w:r>
              <w:rPr>
                <w:rFonts w:hint="eastAsia" w:cs="Times New Roman"/>
                <w:bCs/>
                <w:sz w:val="24"/>
                <w:szCs w:val="24"/>
              </w:rPr>
              <w:t>、导致退出试验的</w:t>
            </w:r>
            <w:r>
              <w:rPr>
                <w:rFonts w:cs="Times New Roman"/>
                <w:bCs/>
                <w:sz w:val="24"/>
                <w:szCs w:val="24"/>
              </w:rPr>
              <w:t>TEAE</w:t>
            </w:r>
            <w:r>
              <w:rPr>
                <w:rFonts w:hint="eastAsia" w:cs="Times New Roman"/>
                <w:bCs/>
                <w:sz w:val="24"/>
                <w:szCs w:val="24"/>
              </w:rPr>
              <w:t>/</w:t>
            </w:r>
            <w:r>
              <w:rPr>
                <w:rFonts w:cs="Times New Roman"/>
                <w:bCs/>
                <w:sz w:val="24"/>
                <w:szCs w:val="24"/>
              </w:rPr>
              <w:t>TRAE</w:t>
            </w:r>
            <w:r>
              <w:rPr>
                <w:rFonts w:hint="eastAsia" w:cs="Times New Roman"/>
                <w:bCs/>
                <w:sz w:val="24"/>
                <w:szCs w:val="24"/>
              </w:rPr>
              <w:t>、导致中断治疗（暂停给药）的</w:t>
            </w:r>
            <w:r>
              <w:rPr>
                <w:rFonts w:cs="Times New Roman"/>
                <w:bCs/>
                <w:sz w:val="24"/>
                <w:szCs w:val="24"/>
              </w:rPr>
              <w:t>TEAE/TRAE</w:t>
            </w:r>
            <w:r>
              <w:rPr>
                <w:rFonts w:hint="eastAsia" w:cs="Times New Roman"/>
                <w:bCs/>
                <w:sz w:val="24"/>
                <w:szCs w:val="24"/>
              </w:rPr>
              <w:t>、严重不良事件、死亡事件进行单独汇总并列表。对治疗前（即签署知情同意后，接受试验用药品前以及接受试验用药品后未发生严重程度加重的不良医学事件）发生的不良医学事件以清单形式列出。</w:t>
            </w:r>
          </w:p>
          <w:p w14:paraId="6EC145B4">
            <w:pPr>
              <w:pStyle w:val="60"/>
              <w:ind w:firstLine="480"/>
              <w:rPr>
                <w:rStyle w:val="99"/>
                <w:rFonts w:cs="Times New Roman"/>
                <w:sz w:val="24"/>
                <w:szCs w:val="24"/>
                <w:lang w:val="zh-CN"/>
              </w:rPr>
            </w:pPr>
            <w:r>
              <w:rPr>
                <w:rStyle w:val="99"/>
                <w:rFonts w:hint="eastAsia" w:cs="Times New Roman"/>
                <w:sz w:val="24"/>
                <w:szCs w:val="24"/>
                <w:lang w:val="zh-CN"/>
              </w:rPr>
              <w:t>按照组别对在计划的评价时间点的参与者</w:t>
            </w:r>
            <w:r>
              <w:rPr>
                <w:rStyle w:val="99"/>
                <w:rFonts w:hint="eastAsia" w:cs="Times New Roman"/>
                <w:sz w:val="24"/>
                <w:szCs w:val="24"/>
                <w:lang w:eastAsia="zh-Hans"/>
              </w:rPr>
              <w:t>实验室检查（例如</w:t>
            </w:r>
            <w:r>
              <w:rPr>
                <w:rStyle w:val="99"/>
                <w:rFonts w:hint="eastAsia" w:cs="Times New Roman"/>
                <w:sz w:val="24"/>
                <w:szCs w:val="24"/>
                <w:lang w:val="zh-CN"/>
              </w:rPr>
              <w:t>血常规、尿常规和血生化等</w:t>
            </w:r>
            <w:r>
              <w:rPr>
                <w:rStyle w:val="99"/>
                <w:rFonts w:hint="eastAsia" w:cs="Times New Roman"/>
                <w:sz w:val="24"/>
                <w:szCs w:val="24"/>
                <w:lang w:val="zh-CN" w:eastAsia="zh-Hans"/>
              </w:rPr>
              <w:t>）</w:t>
            </w:r>
            <w:r>
              <w:rPr>
                <w:rStyle w:val="99"/>
                <w:rFonts w:hint="eastAsia" w:cs="Times New Roman"/>
                <w:sz w:val="24"/>
                <w:szCs w:val="24"/>
                <w:lang w:val="zh-CN"/>
              </w:rPr>
              <w:t>、心电图检查、生命体征的结果进行汇总，描述指标检查结果相对于基线的变化情况，以交叉表的形式，分别描述例数和百分比。</w:t>
            </w:r>
            <w:r>
              <w:rPr>
                <w:rStyle w:val="99"/>
                <w:rFonts w:hint="eastAsia" w:cs="Times New Roman"/>
                <w:sz w:val="24"/>
                <w:szCs w:val="24"/>
              </w:rPr>
              <w:t>列出所有具有生育能力的女性的血妊娠检查结果。</w:t>
            </w:r>
            <w:r>
              <w:rPr>
                <w:rStyle w:val="99"/>
                <w:rFonts w:hint="eastAsia" w:cs="Times New Roman"/>
                <w:sz w:val="24"/>
                <w:szCs w:val="24"/>
                <w:lang w:val="zh-CN"/>
              </w:rPr>
              <w:t>按照组别对参与者的体格检查数据进行列表，以交叉表的形式，分别描述例数和百分比，并对异常结果进行汇总。</w:t>
            </w:r>
          </w:p>
          <w:p w14:paraId="7F7BED4C">
            <w:pPr>
              <w:pStyle w:val="60"/>
              <w:ind w:firstLine="480"/>
              <w:rPr>
                <w:rStyle w:val="99"/>
                <w:rFonts w:cs="Times New Roman"/>
                <w:sz w:val="24"/>
                <w:szCs w:val="24"/>
                <w:lang w:val="zh-CN"/>
              </w:rPr>
            </w:pPr>
            <w:r>
              <w:rPr>
                <w:rStyle w:val="99"/>
                <w:rFonts w:hint="eastAsia" w:cs="Times New Roman"/>
                <w:sz w:val="24"/>
                <w:szCs w:val="24"/>
                <w:lang w:val="zh-CN"/>
              </w:rPr>
              <w:t>按照组别对合并用药及治疗进行汇总并列表。</w:t>
            </w:r>
          </w:p>
          <w:p w14:paraId="2E8848C6">
            <w:pPr>
              <w:pStyle w:val="60"/>
              <w:ind w:firstLine="482"/>
              <w:rPr>
                <w:rStyle w:val="99"/>
                <w:rFonts w:cs="Times New Roman"/>
                <w:b/>
                <w:bCs/>
                <w:sz w:val="24"/>
                <w:szCs w:val="24"/>
                <w:lang w:val="zh-CN" w:eastAsia="zh-Hans"/>
              </w:rPr>
            </w:pPr>
            <w:r>
              <w:rPr>
                <w:rStyle w:val="99"/>
                <w:rFonts w:hint="eastAsia" w:cs="Times New Roman"/>
                <w:b/>
                <w:bCs/>
                <w:sz w:val="24"/>
                <w:szCs w:val="24"/>
                <w:lang w:val="zh-CN" w:eastAsia="zh-Hans"/>
              </w:rPr>
              <w:t>药代动力学分析：</w:t>
            </w:r>
          </w:p>
          <w:p w14:paraId="55F78D2D">
            <w:pPr>
              <w:pStyle w:val="60"/>
              <w:ind w:firstLine="480"/>
              <w:rPr>
                <w:rStyle w:val="99"/>
                <w:rFonts w:cs="Times New Roman"/>
                <w:sz w:val="24"/>
                <w:szCs w:val="24"/>
                <w:lang w:val="zh-CN" w:eastAsia="zh-Hans"/>
              </w:rPr>
            </w:pPr>
            <w:r>
              <w:rPr>
                <w:rStyle w:val="99"/>
                <w:rFonts w:hint="eastAsia" w:cs="Times New Roman"/>
                <w:sz w:val="24"/>
                <w:szCs w:val="24"/>
                <w:lang w:val="zh-CN" w:eastAsia="zh-Hans"/>
              </w:rPr>
              <w:t>本研究将基于</w:t>
            </w:r>
            <w:r>
              <w:rPr>
                <w:rStyle w:val="99"/>
                <w:rFonts w:cs="Times New Roman"/>
                <w:sz w:val="24"/>
                <w:szCs w:val="24"/>
                <w:lang w:val="zh-CN" w:eastAsia="zh-Hans"/>
              </w:rPr>
              <w:t>PKCS</w:t>
            </w:r>
            <w:r>
              <w:rPr>
                <w:rStyle w:val="99"/>
                <w:rFonts w:hint="eastAsia" w:cs="Times New Roman"/>
                <w:sz w:val="24"/>
                <w:szCs w:val="24"/>
                <w:lang w:val="zh-CN" w:eastAsia="zh-Hans"/>
              </w:rPr>
              <w:t>，按照剂量组对各计划</w:t>
            </w:r>
            <w:r>
              <w:rPr>
                <w:rStyle w:val="99"/>
                <w:rFonts w:cs="Times New Roman"/>
                <w:sz w:val="24"/>
                <w:szCs w:val="24"/>
                <w:lang w:val="zh-CN"/>
              </w:rPr>
              <w:t>PK</w:t>
            </w:r>
            <w:r>
              <w:rPr>
                <w:rStyle w:val="99"/>
                <w:rFonts w:hint="eastAsia" w:cs="Times New Roman"/>
                <w:sz w:val="24"/>
                <w:szCs w:val="24"/>
                <w:lang w:val="zh-CN"/>
              </w:rPr>
              <w:t>采样时间的</w:t>
            </w:r>
            <w:r>
              <w:rPr>
                <w:rStyle w:val="99"/>
                <w:rFonts w:cs="Times New Roman"/>
                <w:sz w:val="24"/>
                <w:szCs w:val="24"/>
                <w:lang w:val="zh-CN"/>
              </w:rPr>
              <w:t>CMS-D001</w:t>
            </w:r>
            <w:r>
              <w:rPr>
                <w:rStyle w:val="99"/>
                <w:rFonts w:hint="eastAsia" w:cs="Times New Roman"/>
                <w:sz w:val="24"/>
                <w:szCs w:val="24"/>
                <w:lang w:val="zh-CN" w:eastAsia="zh-Hans"/>
              </w:rPr>
              <w:t>及其主要代谢产物（如适用）血药浓度（血浆</w:t>
            </w:r>
            <w:r>
              <w:rPr>
                <w:rStyle w:val="99"/>
                <w:rFonts w:cs="Times New Roman"/>
                <w:sz w:val="24"/>
                <w:szCs w:val="24"/>
                <w:lang w:val="zh-CN" w:eastAsia="zh-Hans"/>
              </w:rPr>
              <w:t>C</w:t>
            </w:r>
            <w:r>
              <w:rPr>
                <w:rStyle w:val="99"/>
                <w:rFonts w:cs="Times New Roman"/>
                <w:sz w:val="24"/>
                <w:szCs w:val="24"/>
                <w:vertAlign w:val="subscript"/>
                <w:lang w:val="zh-CN" w:eastAsia="zh-Hans"/>
              </w:rPr>
              <w:t>trough</w:t>
            </w:r>
            <w:r>
              <w:rPr>
                <w:rStyle w:val="99"/>
                <w:rFonts w:hint="eastAsia" w:cs="Times New Roman"/>
                <w:sz w:val="24"/>
                <w:szCs w:val="24"/>
                <w:lang w:val="zh-CN" w:eastAsia="zh-Hans"/>
              </w:rPr>
              <w:t>或</w:t>
            </w:r>
            <w:r>
              <w:rPr>
                <w:rStyle w:val="99"/>
                <w:rFonts w:cs="Times New Roman"/>
                <w:sz w:val="24"/>
                <w:szCs w:val="24"/>
                <w:lang w:val="zh-CN"/>
              </w:rPr>
              <w:t>C</w:t>
            </w:r>
            <w:r>
              <w:rPr>
                <w:rStyle w:val="99"/>
                <w:rFonts w:cs="Times New Roman"/>
                <w:sz w:val="24"/>
                <w:szCs w:val="24"/>
                <w:vertAlign w:val="subscript"/>
                <w:lang w:val="zh-CN"/>
              </w:rPr>
              <w:t>max</w:t>
            </w:r>
            <w:r>
              <w:rPr>
                <w:rStyle w:val="99"/>
                <w:rFonts w:hint="eastAsia" w:cs="Times New Roman"/>
                <w:sz w:val="24"/>
                <w:szCs w:val="24"/>
                <w:lang w:val="zh-CN"/>
              </w:rPr>
              <w:t>）</w:t>
            </w:r>
            <w:r>
              <w:rPr>
                <w:rFonts w:hint="eastAsia" w:cs="Times New Roman"/>
                <w:sz w:val="24"/>
                <w:szCs w:val="24"/>
                <w:lang w:eastAsia="zh-Hans"/>
              </w:rPr>
              <w:t>进行列表和描述性统计汇总，包括例数、</w:t>
            </w:r>
            <w:r>
              <w:rPr>
                <w:rStyle w:val="99"/>
                <w:rFonts w:hint="eastAsia" w:cs="Times New Roman"/>
                <w:sz w:val="24"/>
                <w:szCs w:val="24"/>
                <w:lang w:val="zh-CN" w:eastAsia="zh-Hans"/>
              </w:rPr>
              <w:t>算术均值、标准差、变异系数、几何均值、几何变异系数、中位数、最大值和最小值等。还将按实际</w:t>
            </w:r>
            <w:r>
              <w:rPr>
                <w:rStyle w:val="99"/>
                <w:rFonts w:cs="Times New Roman"/>
                <w:sz w:val="24"/>
                <w:szCs w:val="24"/>
                <w:lang w:val="zh-CN"/>
              </w:rPr>
              <w:t>PK</w:t>
            </w:r>
            <w:r>
              <w:rPr>
                <w:rStyle w:val="99"/>
                <w:rFonts w:hint="eastAsia" w:cs="Times New Roman"/>
                <w:sz w:val="24"/>
                <w:szCs w:val="24"/>
                <w:lang w:val="zh-CN"/>
              </w:rPr>
              <w:t>采样</w:t>
            </w:r>
            <w:r>
              <w:rPr>
                <w:rStyle w:val="99"/>
                <w:rFonts w:hint="eastAsia" w:cs="Times New Roman"/>
                <w:sz w:val="24"/>
                <w:szCs w:val="24"/>
                <w:lang w:val="zh-CN" w:eastAsia="zh-Hans"/>
              </w:rPr>
              <w:t>时间，绘制个体血药浓度</w:t>
            </w:r>
            <w:r>
              <w:rPr>
                <w:rStyle w:val="99"/>
                <w:rFonts w:cs="Times New Roman"/>
                <w:sz w:val="24"/>
                <w:szCs w:val="24"/>
                <w:lang w:val="zh-CN" w:eastAsia="zh-Hans"/>
              </w:rPr>
              <w:t>-</w:t>
            </w:r>
            <w:r>
              <w:rPr>
                <w:rStyle w:val="99"/>
                <w:rFonts w:hint="eastAsia" w:cs="Times New Roman"/>
                <w:sz w:val="24"/>
                <w:szCs w:val="24"/>
                <w:lang w:val="zh-CN" w:eastAsia="zh-Hans"/>
              </w:rPr>
              <w:t>时间曲线图（线性和半对数）；按计划</w:t>
            </w:r>
            <w:r>
              <w:rPr>
                <w:rStyle w:val="99"/>
                <w:rFonts w:cs="Times New Roman"/>
                <w:sz w:val="24"/>
                <w:szCs w:val="24"/>
                <w:lang w:val="zh-CN"/>
              </w:rPr>
              <w:t>PK</w:t>
            </w:r>
            <w:r>
              <w:rPr>
                <w:rStyle w:val="99"/>
                <w:rFonts w:hint="eastAsia" w:cs="Times New Roman"/>
                <w:sz w:val="24"/>
                <w:szCs w:val="24"/>
                <w:lang w:val="zh-CN"/>
              </w:rPr>
              <w:t>采样</w:t>
            </w:r>
            <w:r>
              <w:rPr>
                <w:rStyle w:val="99"/>
                <w:rFonts w:hint="eastAsia" w:cs="Times New Roman"/>
                <w:sz w:val="24"/>
                <w:szCs w:val="24"/>
                <w:lang w:val="zh-CN" w:eastAsia="zh-Hans"/>
              </w:rPr>
              <w:t>时间，绘制各剂量组的平均血药浓度</w:t>
            </w:r>
            <w:r>
              <w:rPr>
                <w:rStyle w:val="99"/>
                <w:rFonts w:cs="Times New Roman"/>
                <w:sz w:val="24"/>
                <w:szCs w:val="24"/>
                <w:lang w:val="zh-CN" w:eastAsia="zh-Hans"/>
              </w:rPr>
              <w:t>-</w:t>
            </w:r>
            <w:r>
              <w:rPr>
                <w:rStyle w:val="99"/>
                <w:rFonts w:hint="eastAsia" w:cs="Times New Roman"/>
                <w:sz w:val="24"/>
                <w:szCs w:val="24"/>
                <w:lang w:val="zh-CN" w:eastAsia="zh-Hans"/>
              </w:rPr>
              <w:t>时间曲线图（线性和半对数）。</w:t>
            </w:r>
            <w:bookmarkStart w:id="7" w:name="_Hlk212629425"/>
          </w:p>
          <w:p w14:paraId="0A45A74F">
            <w:pPr>
              <w:pStyle w:val="60"/>
              <w:ind w:firstLine="482"/>
              <w:rPr>
                <w:rStyle w:val="99"/>
                <w:rFonts w:cs="Times New Roman"/>
                <w:b/>
                <w:bCs/>
                <w:sz w:val="24"/>
                <w:szCs w:val="24"/>
                <w:lang w:val="zh-CN" w:eastAsia="zh-Hans"/>
              </w:rPr>
            </w:pPr>
            <w:r>
              <w:rPr>
                <w:rStyle w:val="99"/>
                <w:rFonts w:hint="eastAsia" w:cs="Times New Roman"/>
                <w:b/>
                <w:bCs/>
                <w:sz w:val="24"/>
                <w:szCs w:val="24"/>
                <w:lang w:val="zh-CN" w:eastAsia="zh-Hans"/>
              </w:rPr>
              <w:t>群体药代动力学分析：</w:t>
            </w:r>
          </w:p>
          <w:p w14:paraId="619B6352">
            <w:pPr>
              <w:pStyle w:val="60"/>
              <w:ind w:firstLine="480"/>
              <w:rPr>
                <w:rStyle w:val="99"/>
                <w:rFonts w:cs="Times New Roman"/>
                <w:sz w:val="24"/>
                <w:szCs w:val="24"/>
                <w:lang w:val="zh-CN" w:eastAsia="zh-Hans"/>
              </w:rPr>
            </w:pPr>
            <w:r>
              <w:rPr>
                <w:rStyle w:val="99"/>
                <w:rFonts w:hint="eastAsia" w:cs="Times New Roman"/>
                <w:sz w:val="24"/>
                <w:szCs w:val="24"/>
                <w:lang w:val="zh-CN" w:eastAsia="zh-Hans"/>
              </w:rPr>
              <w:t>在本研究中获得的所有</w:t>
            </w:r>
            <w:r>
              <w:rPr>
                <w:rStyle w:val="99"/>
                <w:rFonts w:cs="Times New Roman"/>
                <w:sz w:val="24"/>
                <w:szCs w:val="24"/>
                <w:lang w:val="zh-CN" w:eastAsia="zh-Hans"/>
              </w:rPr>
              <w:t>CMS-D001</w:t>
            </w:r>
            <w:r>
              <w:rPr>
                <w:rStyle w:val="99"/>
                <w:rFonts w:hint="eastAsia" w:cs="Times New Roman"/>
                <w:sz w:val="24"/>
                <w:szCs w:val="24"/>
                <w:lang w:val="zh-CN" w:eastAsia="zh-Hans"/>
              </w:rPr>
              <w:t>及其主要代谢产物（如适用）的血药浓度数据将与前期已完成研究的数据合并，用于</w:t>
            </w:r>
            <w:r>
              <w:rPr>
                <w:rStyle w:val="99"/>
                <w:rFonts w:cs="Times New Roman"/>
                <w:sz w:val="24"/>
                <w:szCs w:val="24"/>
                <w:lang w:val="zh-CN" w:eastAsia="zh-Hans"/>
              </w:rPr>
              <w:t>PopPK</w:t>
            </w:r>
            <w:r>
              <w:rPr>
                <w:rStyle w:val="99"/>
                <w:rFonts w:hint="eastAsia" w:cs="Times New Roman"/>
                <w:sz w:val="24"/>
                <w:szCs w:val="24"/>
                <w:lang w:val="zh-CN" w:eastAsia="zh-Hans"/>
              </w:rPr>
              <w:t>分析</w:t>
            </w:r>
            <w:r>
              <w:rPr>
                <w:rFonts w:hint="eastAsia" w:cs="Times New Roman"/>
                <w:sz w:val="24"/>
                <w:szCs w:val="24"/>
                <w:lang w:eastAsia="zh-Hans"/>
              </w:rPr>
              <w:t>（使用非线性混合效应模型</w:t>
            </w:r>
            <w:r>
              <w:rPr>
                <w:rFonts w:cs="Times New Roman"/>
                <w:sz w:val="24"/>
                <w:szCs w:val="24"/>
                <w:lang w:eastAsia="zh-Hans"/>
              </w:rPr>
              <w:t>[NONMEM]</w:t>
            </w:r>
            <w:r>
              <w:rPr>
                <w:rFonts w:hint="eastAsia" w:cs="Times New Roman"/>
                <w:sz w:val="24"/>
                <w:szCs w:val="24"/>
                <w:lang w:eastAsia="zh-Hans"/>
              </w:rPr>
              <w:t>）</w:t>
            </w:r>
            <w:r>
              <w:rPr>
                <w:rStyle w:val="99"/>
                <w:rFonts w:hint="eastAsia" w:cs="Times New Roman"/>
                <w:sz w:val="24"/>
                <w:szCs w:val="24"/>
                <w:lang w:val="zh-CN" w:eastAsia="zh-Hans"/>
              </w:rPr>
              <w:t>，建立</w:t>
            </w:r>
            <w:r>
              <w:rPr>
                <w:rStyle w:val="99"/>
                <w:rFonts w:cs="Times New Roman"/>
                <w:sz w:val="24"/>
                <w:szCs w:val="24"/>
                <w:lang w:val="zh-CN" w:eastAsia="zh-Hans"/>
              </w:rPr>
              <w:t>PopPK</w:t>
            </w:r>
            <w:r>
              <w:rPr>
                <w:rStyle w:val="99"/>
                <w:rFonts w:hint="eastAsia" w:cs="Times New Roman"/>
                <w:sz w:val="24"/>
                <w:szCs w:val="24"/>
                <w:lang w:val="zh-CN" w:eastAsia="zh-Hans"/>
              </w:rPr>
              <w:t>模型以表征</w:t>
            </w:r>
            <w:r>
              <w:rPr>
                <w:rStyle w:val="99"/>
                <w:rFonts w:cs="Times New Roman"/>
                <w:sz w:val="24"/>
                <w:szCs w:val="24"/>
                <w:lang w:val="zh-CN" w:eastAsia="zh-Hans"/>
              </w:rPr>
              <w:t>CMS-D001</w:t>
            </w:r>
            <w:r>
              <w:rPr>
                <w:rStyle w:val="99"/>
                <w:rFonts w:hint="eastAsia" w:cs="Times New Roman"/>
                <w:sz w:val="24"/>
                <w:szCs w:val="24"/>
                <w:lang w:val="zh-CN" w:eastAsia="zh-Hans"/>
              </w:rPr>
              <w:t>及其主要代谢产物（如适用）的</w:t>
            </w:r>
            <w:r>
              <w:rPr>
                <w:rStyle w:val="99"/>
                <w:rFonts w:cs="Times New Roman"/>
                <w:sz w:val="24"/>
                <w:szCs w:val="24"/>
                <w:lang w:val="zh-CN" w:eastAsia="zh-Hans"/>
              </w:rPr>
              <w:t>PK</w:t>
            </w:r>
            <w:r>
              <w:rPr>
                <w:rStyle w:val="99"/>
                <w:rFonts w:hint="eastAsia" w:cs="Times New Roman"/>
                <w:sz w:val="24"/>
                <w:szCs w:val="24"/>
                <w:lang w:val="zh-CN" w:eastAsia="zh-Hans"/>
              </w:rPr>
              <w:t>特征。这些分析将另行准备定量药理分析计划及报告。</w:t>
            </w:r>
          </w:p>
          <w:p w14:paraId="003D5FBD">
            <w:pPr>
              <w:pStyle w:val="60"/>
              <w:ind w:firstLine="482"/>
              <w:rPr>
                <w:rStyle w:val="99"/>
                <w:rFonts w:cs="Times New Roman"/>
                <w:b/>
                <w:bCs/>
                <w:sz w:val="24"/>
                <w:szCs w:val="24"/>
                <w:lang w:val="zh-CN" w:eastAsia="zh-Hans"/>
              </w:rPr>
            </w:pPr>
            <w:r>
              <w:rPr>
                <w:rStyle w:val="99"/>
                <w:rFonts w:hint="eastAsia" w:cs="Times New Roman"/>
                <w:b/>
                <w:bCs/>
                <w:sz w:val="24"/>
                <w:szCs w:val="24"/>
                <w:lang w:val="zh-CN" w:eastAsia="zh-Hans"/>
              </w:rPr>
              <w:t>暴露</w:t>
            </w:r>
            <w:r>
              <w:rPr>
                <w:rStyle w:val="99"/>
                <w:rFonts w:cs="Times New Roman"/>
                <w:b/>
                <w:bCs/>
                <w:sz w:val="24"/>
                <w:szCs w:val="24"/>
                <w:lang w:val="zh-CN" w:eastAsia="zh-Hans"/>
              </w:rPr>
              <w:t>-</w:t>
            </w:r>
            <w:r>
              <w:rPr>
                <w:rStyle w:val="99"/>
                <w:rFonts w:hint="eastAsia" w:cs="Times New Roman"/>
                <w:b/>
                <w:bCs/>
                <w:sz w:val="24"/>
                <w:szCs w:val="24"/>
                <w:lang w:val="zh-CN" w:eastAsia="zh-Hans"/>
              </w:rPr>
              <w:t>效应分析：</w:t>
            </w:r>
          </w:p>
          <w:p w14:paraId="1D7A6EEB">
            <w:pPr>
              <w:pStyle w:val="60"/>
              <w:ind w:firstLine="480"/>
              <w:rPr>
                <w:rStyle w:val="99"/>
                <w:rFonts w:cs="Times New Roman"/>
                <w:sz w:val="24"/>
                <w:szCs w:val="24"/>
                <w:lang w:val="zh-CN" w:eastAsia="zh-Hans"/>
              </w:rPr>
            </w:pPr>
            <w:r>
              <w:rPr>
                <w:rStyle w:val="99"/>
                <w:rFonts w:hint="eastAsia" w:cs="Times New Roman"/>
                <w:sz w:val="24"/>
                <w:szCs w:val="24"/>
                <w:lang w:val="zh-CN" w:eastAsia="zh-Hans"/>
              </w:rPr>
              <w:t>如数据允许，根据建立的最终</w:t>
            </w:r>
            <w:r>
              <w:rPr>
                <w:rStyle w:val="99"/>
                <w:rFonts w:cs="Times New Roman"/>
                <w:sz w:val="24"/>
                <w:szCs w:val="24"/>
                <w:lang w:val="zh-CN" w:eastAsia="zh-Hans"/>
              </w:rPr>
              <w:t>PopPK</w:t>
            </w:r>
            <w:r>
              <w:rPr>
                <w:rStyle w:val="99"/>
                <w:rFonts w:hint="eastAsia" w:cs="Times New Roman"/>
                <w:sz w:val="24"/>
                <w:szCs w:val="24"/>
                <w:lang w:val="zh-CN" w:eastAsia="zh-Hans"/>
              </w:rPr>
              <w:t>模型参数估计值，估算个体暴露参数，用于进一步的暴露</w:t>
            </w:r>
            <w:r>
              <w:rPr>
                <w:rStyle w:val="99"/>
                <w:rFonts w:cs="Times New Roman"/>
                <w:sz w:val="24"/>
                <w:szCs w:val="24"/>
                <w:lang w:val="zh-CN" w:eastAsia="zh-Hans"/>
              </w:rPr>
              <w:t>-</w:t>
            </w:r>
            <w:r>
              <w:rPr>
                <w:rStyle w:val="99"/>
                <w:rFonts w:hint="eastAsia" w:cs="Times New Roman"/>
                <w:sz w:val="24"/>
                <w:szCs w:val="24"/>
                <w:lang w:val="zh-CN" w:eastAsia="zh-Hans"/>
              </w:rPr>
              <w:t>效应分析，包括暴露</w:t>
            </w:r>
            <w:r>
              <w:rPr>
                <w:rStyle w:val="99"/>
                <w:rFonts w:cs="Times New Roman"/>
                <w:sz w:val="24"/>
                <w:szCs w:val="24"/>
                <w:lang w:val="zh-CN" w:eastAsia="zh-Hans"/>
              </w:rPr>
              <w:t>/</w:t>
            </w:r>
            <w:r>
              <w:rPr>
                <w:rStyle w:val="99"/>
                <w:rFonts w:hint="eastAsia" w:cs="Times New Roman"/>
                <w:sz w:val="24"/>
                <w:szCs w:val="24"/>
                <w:lang w:val="zh-CN" w:eastAsia="zh-Hans"/>
              </w:rPr>
              <w:t>疗效、暴露</w:t>
            </w:r>
            <w:r>
              <w:rPr>
                <w:rStyle w:val="99"/>
                <w:rFonts w:cs="Times New Roman"/>
                <w:sz w:val="24"/>
                <w:szCs w:val="24"/>
                <w:lang w:val="zh-CN" w:eastAsia="zh-Hans"/>
              </w:rPr>
              <w:t>/</w:t>
            </w:r>
            <w:r>
              <w:rPr>
                <w:rStyle w:val="99"/>
                <w:rFonts w:hint="eastAsia" w:cs="Times New Roman"/>
                <w:sz w:val="24"/>
                <w:szCs w:val="24"/>
                <w:lang w:val="zh-CN" w:eastAsia="zh-Hans"/>
              </w:rPr>
              <w:t>安全性的相关性探索。这些分析将另行准备定量药理分析计划及报告。</w:t>
            </w:r>
            <w:bookmarkEnd w:id="7"/>
          </w:p>
          <w:p w14:paraId="63655718">
            <w:pPr>
              <w:pStyle w:val="60"/>
              <w:ind w:firstLine="480"/>
              <w:rPr>
                <w:rStyle w:val="99"/>
                <w:rFonts w:cs="Times New Roman"/>
                <w:i/>
                <w:iCs/>
                <w:sz w:val="24"/>
                <w:szCs w:val="24"/>
              </w:rPr>
            </w:pPr>
            <w:r>
              <w:rPr>
                <w:rStyle w:val="99"/>
                <w:rFonts w:hint="eastAsia" w:cs="Times New Roman"/>
                <w:sz w:val="24"/>
                <w:szCs w:val="24"/>
                <w:lang w:val="zh-CN" w:eastAsia="zh-Hans"/>
              </w:rPr>
              <w:t>所有统计分析更具体的细节将体现在统计分析计划（</w:t>
            </w:r>
            <w:r>
              <w:rPr>
                <w:rStyle w:val="99"/>
                <w:rFonts w:cs="Times New Roman"/>
                <w:sz w:val="24"/>
                <w:szCs w:val="24"/>
                <w:lang w:val="zh-CN" w:eastAsia="zh-Hans"/>
              </w:rPr>
              <w:t>SAP</w:t>
            </w:r>
            <w:r>
              <w:rPr>
                <w:rStyle w:val="99"/>
                <w:rFonts w:hint="eastAsia" w:cs="Times New Roman"/>
                <w:sz w:val="24"/>
                <w:szCs w:val="24"/>
                <w:lang w:val="zh-CN" w:eastAsia="zh-Hans"/>
              </w:rPr>
              <w:t>）中。</w:t>
            </w:r>
          </w:p>
        </w:tc>
      </w:tr>
    </w:tbl>
    <w:p w14:paraId="68AF5D0A">
      <w:pPr>
        <w:pStyle w:val="60"/>
        <w:ind w:firstLine="422"/>
        <w:rPr>
          <w:rStyle w:val="99"/>
          <w:rFonts w:cs="Times New Roman"/>
          <w:b/>
        </w:rPr>
      </w:pPr>
    </w:p>
    <w:p w14:paraId="0A9BF279">
      <w:pPr>
        <w:pStyle w:val="116"/>
        <w:numPr>
          <w:ilvl w:val="0"/>
          <w:numId w:val="27"/>
        </w:numPr>
        <w:rPr>
          <w:rFonts w:cs="Times New Roman"/>
        </w:rPr>
        <w:sectPr>
          <w:pgSz w:w="11910" w:h="16840"/>
          <w:pgMar w:top="1701" w:right="1418" w:bottom="1418" w:left="1418" w:header="850" w:footer="850" w:gutter="284"/>
          <w:cols w:space="720" w:num="1"/>
          <w:docGrid w:linePitch="299" w:charSpace="0"/>
        </w:sectPr>
      </w:pPr>
    </w:p>
    <w:p w14:paraId="1EB18F85">
      <w:pPr>
        <w:pStyle w:val="116"/>
        <w:numPr>
          <w:ilvl w:val="1"/>
          <w:numId w:val="12"/>
        </w:numPr>
        <w:jc w:val="left"/>
        <w:rPr>
          <w:rFonts w:cs="Times New Roman"/>
        </w:rPr>
      </w:pPr>
      <w:bookmarkStart w:id="8" w:name="_Toc217032198"/>
      <w:r>
        <w:rPr>
          <w:rFonts w:hint="eastAsia" w:cs="Times New Roman"/>
        </w:rPr>
        <w:t>研究示意图</w:t>
      </w:r>
      <w:bookmarkEnd w:id="8"/>
    </w:p>
    <w:p w14:paraId="67DE727A">
      <w:pPr>
        <w:rPr>
          <w:rFonts w:ascii="Times New Roman" w:hAnsi="Times New Roman" w:cs="Times New Roman" w:eastAsiaTheme="minorEastAsia"/>
          <w:szCs w:val="21"/>
        </w:rPr>
      </w:pPr>
      <w:r>
        <w:rPr>
          <w:rFonts w:ascii="Times New Roman" w:hAnsi="Times New Roman" w:cs="Times New Roman"/>
        </w:rPr>
        <w:drawing>
          <wp:inline distT="0" distB="0" distL="0" distR="0">
            <wp:extent cx="5581650" cy="1910080"/>
            <wp:effectExtent l="0" t="0" r="0" b="0"/>
            <wp:docPr id="1823903211" name="图片 17" descr="图片包含 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3211" name="图片 17" descr="图片包含 QR 代码&#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581650" cy="1910080"/>
                    </a:xfrm>
                    <a:prstGeom prst="rect">
                      <a:avLst/>
                    </a:prstGeom>
                    <a:noFill/>
                    <a:ln>
                      <a:noFill/>
                    </a:ln>
                  </pic:spPr>
                </pic:pic>
              </a:graphicData>
            </a:graphic>
          </wp:inline>
        </w:drawing>
      </w:r>
    </w:p>
    <w:p w14:paraId="3309585E">
      <w:pPr>
        <w:pStyle w:val="4"/>
        <w:jc w:val="both"/>
        <w:rPr>
          <w:rFonts w:ascii="Times New Roman" w:hAnsi="Times New Roman" w:cs="Times New Roman" w:eastAsiaTheme="minorEastAsia"/>
          <w:i w:val="0"/>
          <w:szCs w:val="21"/>
        </w:rPr>
      </w:pPr>
    </w:p>
    <w:p w14:paraId="21E5F6A0">
      <w:pPr>
        <w:pStyle w:val="4"/>
        <w:jc w:val="both"/>
        <w:rPr>
          <w:rFonts w:ascii="Times New Roman" w:hAnsi="Times New Roman" w:cs="Times New Roman" w:eastAsiaTheme="minorEastAsia"/>
          <w:i w:val="0"/>
          <w:szCs w:val="21"/>
        </w:rPr>
      </w:pPr>
    </w:p>
    <w:p w14:paraId="0FEFDA74">
      <w:pPr>
        <w:pStyle w:val="116"/>
        <w:numPr>
          <w:ilvl w:val="0"/>
          <w:numId w:val="27"/>
        </w:numPr>
        <w:jc w:val="left"/>
        <w:rPr>
          <w:rFonts w:cs="Times New Roman"/>
        </w:rPr>
        <w:sectPr>
          <w:pgSz w:w="11910" w:h="16840"/>
          <w:pgMar w:top="1701" w:right="1418" w:bottom="1418" w:left="1418" w:header="851" w:footer="851" w:gutter="284"/>
          <w:cols w:space="720" w:num="1"/>
          <w:docGrid w:linePitch="299" w:charSpace="0"/>
        </w:sectPr>
      </w:pPr>
    </w:p>
    <w:p w14:paraId="3CBB8330">
      <w:pPr>
        <w:pStyle w:val="116"/>
        <w:numPr>
          <w:ilvl w:val="1"/>
          <w:numId w:val="12"/>
        </w:numPr>
        <w:jc w:val="left"/>
        <w:rPr>
          <w:rFonts w:cs="Times New Roman"/>
        </w:rPr>
      </w:pPr>
      <w:bookmarkStart w:id="9" w:name="_Toc217032199"/>
      <w:r>
        <w:rPr>
          <w:rFonts w:hint="eastAsia" w:cs="Times New Roman"/>
        </w:rPr>
        <w:t>研究流程表</w:t>
      </w:r>
      <w:bookmarkEnd w:id="9"/>
    </w:p>
    <w:p w14:paraId="46174354">
      <w:pPr>
        <w:pStyle w:val="23"/>
        <w:jc w:val="center"/>
        <w:rPr>
          <w:rFonts w:ascii="Times New Roman" w:hAnsi="Times New Roman" w:eastAsia="宋体" w:cs="Times New Roman"/>
          <w:b/>
          <w:bCs/>
        </w:rPr>
      </w:pPr>
      <w:r>
        <w:rPr>
          <w:rFonts w:hint="eastAsia" w:ascii="Times New Roman" w:hAnsi="Times New Roman" w:eastAsia="宋体" w:cs="Times New Roman"/>
          <w:b/>
          <w:bCs/>
        </w:rPr>
        <w:t>表</w:t>
      </w:r>
      <w:r>
        <w:rPr>
          <w:rFonts w:ascii="Times New Roman" w:hAnsi="Times New Roman" w:eastAsia="宋体" w:cs="Times New Roman"/>
          <w:b/>
          <w:bCs/>
        </w:rPr>
        <w:t xml:space="preserve"> </w:t>
      </w:r>
      <w:r>
        <w:rPr>
          <w:rFonts w:ascii="Times New Roman" w:hAnsi="Times New Roman" w:eastAsia="宋体" w:cs="Times New Roman"/>
          <w:b/>
          <w:bCs/>
        </w:rPr>
        <w:fldChar w:fldCharType="begin"/>
      </w:r>
      <w:r>
        <w:rPr>
          <w:rFonts w:ascii="Times New Roman" w:hAnsi="Times New Roman" w:eastAsia="宋体" w:cs="Times New Roman"/>
          <w:b/>
          <w:bCs/>
        </w:rPr>
        <w:instrText xml:space="preserve"> SEQ </w:instrText>
      </w:r>
      <w:r>
        <w:rPr>
          <w:rFonts w:hint="eastAsia" w:ascii="Times New Roman" w:hAnsi="Times New Roman" w:eastAsia="宋体" w:cs="Times New Roman"/>
          <w:b/>
          <w:bCs/>
        </w:rPr>
        <w:instrText xml:space="preserve">表</w:instrText>
      </w:r>
      <w:r>
        <w:rPr>
          <w:rFonts w:ascii="Times New Roman" w:hAnsi="Times New Roman" w:eastAsia="宋体" w:cs="Times New Roman"/>
          <w:b/>
          <w:bCs/>
        </w:rPr>
        <w:instrText xml:space="preserve"> \* ARABIC </w:instrText>
      </w:r>
      <w:r>
        <w:rPr>
          <w:rFonts w:ascii="Times New Roman" w:hAnsi="Times New Roman" w:eastAsia="宋体" w:cs="Times New Roman"/>
          <w:b/>
          <w:bCs/>
        </w:rPr>
        <w:fldChar w:fldCharType="separate"/>
      </w:r>
      <w:r>
        <w:rPr>
          <w:rFonts w:ascii="Times New Roman" w:hAnsi="Times New Roman" w:eastAsia="宋体" w:cs="Times New Roman"/>
          <w:b/>
          <w:bCs/>
        </w:rPr>
        <w:t>1</w:t>
      </w:r>
      <w:r>
        <w:rPr>
          <w:rFonts w:ascii="Times New Roman" w:hAnsi="Times New Roman" w:eastAsia="宋体" w:cs="Times New Roman"/>
          <w:b/>
          <w:bCs/>
        </w:rPr>
        <w:fldChar w:fldCharType="end"/>
      </w:r>
      <w:r>
        <w:rPr>
          <w:rFonts w:ascii="Times New Roman" w:hAnsi="Times New Roman" w:eastAsia="宋体" w:cs="Times New Roman"/>
          <w:b/>
          <w:bCs/>
        </w:rPr>
        <w:t xml:space="preserve"> </w:t>
      </w:r>
      <w:r>
        <w:rPr>
          <w:rStyle w:val="99"/>
          <w:rFonts w:hint="eastAsia" w:ascii="Times New Roman" w:hAnsi="Times New Roman" w:eastAsia="宋体" w:cs="Times New Roman"/>
          <w:b/>
          <w:bCs/>
          <w:lang w:eastAsia="zh-Hans"/>
        </w:rPr>
        <w:t>Ⅱ期</w:t>
      </w:r>
      <w:r>
        <w:rPr>
          <w:rStyle w:val="99"/>
          <w:rFonts w:hint="eastAsia" w:ascii="Times New Roman" w:hAnsi="Times New Roman" w:eastAsia="宋体" w:cs="Times New Roman"/>
          <w:b/>
          <w:bCs/>
        </w:rPr>
        <w:t>临床研究阶段流程表</w:t>
      </w:r>
    </w:p>
    <w:tbl>
      <w:tblPr>
        <w:tblStyle w:val="89"/>
        <w:tblW w:w="5041" w:type="pct"/>
        <w:tblInd w:w="-113" w:type="dxa"/>
        <w:tblLayout w:type="autofit"/>
        <w:tblCellMar>
          <w:top w:w="0" w:type="dxa"/>
          <w:left w:w="108" w:type="dxa"/>
          <w:bottom w:w="0" w:type="dxa"/>
          <w:right w:w="108" w:type="dxa"/>
        </w:tblCellMar>
      </w:tblPr>
      <w:tblGrid>
        <w:gridCol w:w="4072"/>
        <w:gridCol w:w="1352"/>
        <w:gridCol w:w="976"/>
        <w:gridCol w:w="639"/>
        <w:gridCol w:w="799"/>
        <w:gridCol w:w="799"/>
        <w:gridCol w:w="799"/>
        <w:gridCol w:w="799"/>
        <w:gridCol w:w="1582"/>
        <w:gridCol w:w="2234"/>
      </w:tblGrid>
      <w:tr w14:paraId="44E40101">
        <w:tblPrEx>
          <w:tblCellMar>
            <w:top w:w="0" w:type="dxa"/>
            <w:left w:w="108" w:type="dxa"/>
            <w:bottom w:w="0" w:type="dxa"/>
            <w:right w:w="108" w:type="dxa"/>
          </w:tblCellMar>
        </w:tblPrEx>
        <w:trPr>
          <w:trHeight w:val="348" w:hRule="atLeast"/>
          <w:tblHeader/>
        </w:trPr>
        <w:tc>
          <w:tcPr>
            <w:tcW w:w="0" w:type="auto"/>
            <w:vMerge w:val="restart"/>
            <w:tcBorders>
              <w:top w:val="single" w:color="auto" w:sz="4" w:space="0"/>
              <w:left w:val="single" w:color="auto" w:sz="4" w:space="0"/>
              <w:bottom w:val="single" w:color="auto" w:sz="4" w:space="0"/>
              <w:right w:val="single" w:color="auto" w:sz="4" w:space="0"/>
            </w:tcBorders>
            <w:shd w:val="clear" w:color="000000" w:fill="E7E6E6"/>
            <w:noWrap/>
            <w:vAlign w:val="center"/>
          </w:tcPr>
          <w:p w14:paraId="39B5C1BD">
            <w:pPr>
              <w:widowControl/>
              <w:jc w:val="center"/>
              <w:rPr>
                <w:rFonts w:ascii="Times New Roman" w:hAnsi="Times New Roman" w:eastAsia="宋体" w:cs="Times New Roman"/>
                <w:b/>
                <w:bCs/>
                <w:color w:val="000000"/>
              </w:rPr>
            </w:pPr>
            <w:r>
              <w:rPr>
                <w:rFonts w:hint="eastAsia" w:ascii="Times New Roman" w:hAnsi="Times New Roman" w:eastAsia="宋体" w:cs="Times New Roman"/>
                <w:b/>
                <w:bCs/>
                <w:color w:val="000000"/>
              </w:rPr>
              <w:t>项目</w:t>
            </w:r>
          </w:p>
        </w:tc>
        <w:tc>
          <w:tcPr>
            <w:tcW w:w="0" w:type="auto"/>
            <w:gridSpan w:val="2"/>
            <w:tcBorders>
              <w:top w:val="single" w:color="auto" w:sz="4" w:space="0"/>
              <w:left w:val="nil"/>
              <w:bottom w:val="single" w:color="auto" w:sz="4" w:space="0"/>
              <w:right w:val="single" w:color="auto" w:sz="4" w:space="0"/>
            </w:tcBorders>
            <w:shd w:val="clear" w:color="000000" w:fill="E7E6E6"/>
            <w:noWrap/>
            <w:vAlign w:val="center"/>
          </w:tcPr>
          <w:p w14:paraId="42BFBF76">
            <w:pPr>
              <w:widowControl/>
              <w:jc w:val="center"/>
              <w:rPr>
                <w:rFonts w:ascii="Times New Roman" w:hAnsi="Times New Roman" w:eastAsia="宋体" w:cs="Times New Roman"/>
                <w:b/>
                <w:bCs/>
                <w:color w:val="000000"/>
              </w:rPr>
            </w:pPr>
            <w:r>
              <w:rPr>
                <w:rFonts w:hint="eastAsia" w:ascii="Times New Roman" w:hAnsi="Times New Roman" w:eastAsia="宋体" w:cs="Times New Roman"/>
                <w:b/>
                <w:bCs/>
                <w:color w:val="000000"/>
              </w:rPr>
              <w:t>筛选期</w:t>
            </w:r>
            <w:r>
              <w:rPr>
                <w:rFonts w:ascii="Times New Roman" w:hAnsi="Times New Roman" w:eastAsia="宋体" w:cs="Times New Roman"/>
                <w:b/>
                <w:bCs/>
                <w:color w:val="000000"/>
              </w:rPr>
              <w:t>(D-28~D-1)</w:t>
            </w:r>
          </w:p>
        </w:tc>
        <w:tc>
          <w:tcPr>
            <w:tcW w:w="0" w:type="auto"/>
            <w:gridSpan w:val="5"/>
            <w:vMerge w:val="restart"/>
            <w:tcBorders>
              <w:top w:val="single" w:color="auto" w:sz="4" w:space="0"/>
              <w:left w:val="single" w:color="auto" w:sz="4" w:space="0"/>
              <w:bottom w:val="single" w:color="auto" w:sz="4" w:space="0"/>
              <w:right w:val="single" w:color="auto" w:sz="4" w:space="0"/>
            </w:tcBorders>
            <w:shd w:val="clear" w:color="000000" w:fill="E7E6E6"/>
            <w:noWrap/>
            <w:vAlign w:val="center"/>
          </w:tcPr>
          <w:p w14:paraId="19CEA18B">
            <w:pPr>
              <w:widowControl/>
              <w:jc w:val="center"/>
              <w:rPr>
                <w:rFonts w:ascii="Times New Roman" w:hAnsi="Times New Roman" w:eastAsia="宋体" w:cs="Times New Roman"/>
                <w:b/>
                <w:bCs/>
                <w:color w:val="000000"/>
              </w:rPr>
            </w:pPr>
            <w:r>
              <w:rPr>
                <w:rFonts w:hint="eastAsia" w:ascii="Times New Roman" w:hAnsi="Times New Roman" w:eastAsia="宋体" w:cs="Times New Roman"/>
                <w:b/>
                <w:bCs/>
                <w:color w:val="000000"/>
              </w:rPr>
              <w:t>治疗期</w:t>
            </w:r>
            <w:r>
              <w:rPr>
                <w:rFonts w:ascii="Times New Roman" w:hAnsi="Times New Roman" w:eastAsia="宋体" w:cs="Times New Roman"/>
                <w:b/>
                <w:bCs/>
                <w:color w:val="000000"/>
                <w:vertAlign w:val="superscript"/>
              </w:rPr>
              <w:t>26</w:t>
            </w:r>
          </w:p>
        </w:tc>
        <w:tc>
          <w:tcPr>
            <w:tcW w:w="0" w:type="auto"/>
            <w:vMerge w:val="restart"/>
            <w:tcBorders>
              <w:top w:val="single" w:color="auto" w:sz="4" w:space="0"/>
              <w:left w:val="single" w:color="auto" w:sz="4" w:space="0"/>
              <w:bottom w:val="single" w:color="auto" w:sz="4" w:space="0"/>
              <w:right w:val="single" w:color="auto" w:sz="4" w:space="0"/>
            </w:tcBorders>
            <w:shd w:val="clear" w:color="000000" w:fill="E7E6E6"/>
            <w:noWrap/>
            <w:vAlign w:val="center"/>
          </w:tcPr>
          <w:p w14:paraId="77441657">
            <w:pPr>
              <w:widowControl/>
              <w:jc w:val="center"/>
              <w:rPr>
                <w:rFonts w:ascii="Times New Roman" w:hAnsi="Times New Roman" w:eastAsia="宋体" w:cs="Times New Roman"/>
                <w:b/>
                <w:bCs/>
                <w:color w:val="000000"/>
              </w:rPr>
            </w:pPr>
            <w:r>
              <w:rPr>
                <w:rFonts w:hint="eastAsia" w:ascii="Times New Roman" w:hAnsi="Times New Roman" w:eastAsia="宋体" w:cs="Times New Roman"/>
                <w:b/>
                <w:bCs/>
                <w:color w:val="000000"/>
              </w:rPr>
              <w:t>安全性随访</w:t>
            </w:r>
          </w:p>
        </w:tc>
        <w:tc>
          <w:tcPr>
            <w:tcW w:w="0" w:type="auto"/>
            <w:vMerge w:val="restart"/>
            <w:tcBorders>
              <w:top w:val="single" w:color="auto" w:sz="4" w:space="0"/>
              <w:left w:val="single" w:color="auto" w:sz="4" w:space="0"/>
              <w:bottom w:val="single" w:color="auto" w:sz="4" w:space="0"/>
              <w:right w:val="single" w:color="auto" w:sz="4" w:space="0"/>
            </w:tcBorders>
            <w:shd w:val="clear" w:color="000000" w:fill="E7E6E6"/>
            <w:noWrap/>
            <w:vAlign w:val="center"/>
          </w:tcPr>
          <w:p w14:paraId="678362F1">
            <w:pPr>
              <w:widowControl/>
              <w:jc w:val="center"/>
              <w:rPr>
                <w:rFonts w:ascii="Times New Roman" w:hAnsi="Times New Roman" w:eastAsia="宋体" w:cs="Times New Roman"/>
                <w:b/>
                <w:bCs/>
                <w:color w:val="000000"/>
              </w:rPr>
            </w:pPr>
            <w:r>
              <w:rPr>
                <w:rFonts w:hint="eastAsia" w:ascii="Times New Roman" w:hAnsi="Times New Roman" w:eastAsia="宋体" w:cs="Times New Roman"/>
                <w:b/>
                <w:bCs/>
                <w:color w:val="000000"/>
              </w:rPr>
              <w:t>提前退出</w:t>
            </w:r>
            <w:r>
              <w:rPr>
                <w:rFonts w:ascii="Times New Roman" w:hAnsi="Times New Roman" w:eastAsia="宋体" w:cs="Times New Roman"/>
                <w:b/>
                <w:bCs/>
                <w:color w:val="000000"/>
                <w:vertAlign w:val="superscript"/>
              </w:rPr>
              <w:t>26</w:t>
            </w:r>
          </w:p>
        </w:tc>
      </w:tr>
      <w:tr w14:paraId="18E17F01">
        <w:tblPrEx>
          <w:tblCellMar>
            <w:top w:w="0" w:type="dxa"/>
            <w:left w:w="108" w:type="dxa"/>
            <w:bottom w:w="0" w:type="dxa"/>
            <w:right w:w="108" w:type="dxa"/>
          </w:tblCellMar>
        </w:tblPrEx>
        <w:trPr>
          <w:trHeight w:val="336" w:hRule="atLeast"/>
          <w:tblHead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21631172">
            <w:pPr>
              <w:widowControl/>
              <w:rPr>
                <w:rFonts w:ascii="Times New Roman" w:hAnsi="Times New Roman" w:eastAsia="宋体" w:cs="Times New Roman"/>
                <w:color w:val="000000"/>
              </w:rPr>
            </w:pPr>
          </w:p>
        </w:tc>
        <w:tc>
          <w:tcPr>
            <w:tcW w:w="0" w:type="auto"/>
            <w:tcBorders>
              <w:top w:val="nil"/>
              <w:left w:val="nil"/>
              <w:bottom w:val="single" w:color="auto" w:sz="4" w:space="0"/>
              <w:right w:val="single" w:color="auto" w:sz="4" w:space="0"/>
            </w:tcBorders>
            <w:shd w:val="clear" w:color="000000" w:fill="E7E6E6"/>
            <w:noWrap/>
            <w:vAlign w:val="center"/>
          </w:tcPr>
          <w:p w14:paraId="006AE1A3">
            <w:pPr>
              <w:widowControl/>
              <w:rPr>
                <w:rFonts w:ascii="Times New Roman" w:hAnsi="Times New Roman" w:eastAsia="宋体" w:cs="Times New Roman"/>
                <w:b/>
                <w:bCs/>
                <w:color w:val="000000"/>
              </w:rPr>
            </w:pPr>
            <w:r>
              <w:rPr>
                <w:rFonts w:hint="eastAsia" w:ascii="Times New Roman" w:hAnsi="Times New Roman" w:eastAsia="宋体" w:cs="Times New Roman"/>
                <w:b/>
                <w:bCs/>
                <w:color w:val="000000"/>
              </w:rPr>
              <w:t>筛选</w:t>
            </w:r>
          </w:p>
        </w:tc>
        <w:tc>
          <w:tcPr>
            <w:tcW w:w="0" w:type="auto"/>
            <w:tcBorders>
              <w:top w:val="nil"/>
              <w:left w:val="nil"/>
              <w:bottom w:val="single" w:color="auto" w:sz="4" w:space="0"/>
              <w:right w:val="single" w:color="auto" w:sz="4" w:space="0"/>
            </w:tcBorders>
            <w:shd w:val="clear" w:color="000000" w:fill="E7E6E6"/>
            <w:noWrap/>
            <w:vAlign w:val="center"/>
          </w:tcPr>
          <w:p w14:paraId="40B3B0B5">
            <w:pPr>
              <w:widowControl/>
              <w:rPr>
                <w:rFonts w:ascii="Times New Roman" w:hAnsi="Times New Roman" w:eastAsia="宋体" w:cs="Times New Roman"/>
                <w:b/>
                <w:bCs/>
                <w:color w:val="000000"/>
              </w:rPr>
            </w:pPr>
            <w:r>
              <w:rPr>
                <w:rFonts w:hint="eastAsia" w:ascii="Times New Roman" w:hAnsi="Times New Roman" w:eastAsia="宋体" w:cs="Times New Roman"/>
                <w:b/>
                <w:bCs/>
                <w:color w:val="000000"/>
              </w:rPr>
              <w:t>基线</w:t>
            </w:r>
            <w:r>
              <w:rPr>
                <w:rFonts w:ascii="Times New Roman" w:hAnsi="Times New Roman" w:eastAsia="宋体" w:cs="Times New Roman"/>
                <w:b/>
                <w:bCs/>
                <w:color w:val="000000"/>
                <w:vertAlign w:val="superscript"/>
              </w:rPr>
              <w:t>2</w:t>
            </w:r>
          </w:p>
        </w:tc>
        <w:tc>
          <w:tcPr>
            <w:tcW w:w="0" w:type="auto"/>
            <w:gridSpan w:val="5"/>
            <w:vMerge w:val="continue"/>
            <w:tcBorders>
              <w:top w:val="nil"/>
              <w:left w:val="nil"/>
              <w:bottom w:val="single" w:color="auto" w:sz="4" w:space="0"/>
              <w:right w:val="single" w:color="auto" w:sz="4" w:space="0"/>
            </w:tcBorders>
            <w:vAlign w:val="center"/>
          </w:tcPr>
          <w:p w14:paraId="69E9F6FA">
            <w:pPr>
              <w:widowControl/>
              <w:rPr>
                <w:rFonts w:ascii="Times New Roman" w:hAnsi="Times New Roman" w:eastAsia="宋体" w:cs="Times New Roman"/>
                <w:color w:val="000000"/>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0C7CE6CD">
            <w:pPr>
              <w:widowControl/>
              <w:rPr>
                <w:rFonts w:ascii="Times New Roman" w:hAnsi="Times New Roman" w:eastAsia="宋体" w:cs="Times New Roman"/>
                <w:color w:val="000000"/>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0405C54B">
            <w:pPr>
              <w:widowControl/>
              <w:rPr>
                <w:rFonts w:ascii="Times New Roman" w:hAnsi="Times New Roman" w:eastAsia="宋体" w:cs="Times New Roman"/>
                <w:color w:val="000000"/>
              </w:rPr>
            </w:pPr>
          </w:p>
        </w:tc>
      </w:tr>
      <w:tr w14:paraId="547D679C">
        <w:tblPrEx>
          <w:tblCellMar>
            <w:top w:w="0" w:type="dxa"/>
            <w:left w:w="108" w:type="dxa"/>
            <w:bottom w:w="0" w:type="dxa"/>
            <w:right w:w="108" w:type="dxa"/>
          </w:tblCellMar>
        </w:tblPrEx>
        <w:trPr>
          <w:trHeight w:val="288" w:hRule="atLeast"/>
          <w:tblHeader/>
        </w:trPr>
        <w:tc>
          <w:tcPr>
            <w:tcW w:w="0" w:type="auto"/>
            <w:tcBorders>
              <w:top w:val="nil"/>
              <w:left w:val="single" w:color="auto" w:sz="4" w:space="0"/>
              <w:bottom w:val="single" w:color="auto" w:sz="4" w:space="0"/>
              <w:right w:val="single" w:color="auto" w:sz="4" w:space="0"/>
            </w:tcBorders>
            <w:shd w:val="clear" w:color="000000" w:fill="E7E6E6"/>
            <w:noWrap/>
            <w:vAlign w:val="center"/>
          </w:tcPr>
          <w:p w14:paraId="3122D82C">
            <w:pPr>
              <w:widowControl/>
              <w:rPr>
                <w:rFonts w:ascii="Times New Roman" w:hAnsi="Times New Roman" w:eastAsia="宋体" w:cs="Times New Roman"/>
                <w:color w:val="000000"/>
              </w:rPr>
            </w:pPr>
            <w:r>
              <w:rPr>
                <w:rFonts w:hint="eastAsia" w:ascii="Times New Roman" w:hAnsi="Times New Roman" w:eastAsia="宋体" w:cs="Times New Roman"/>
                <w:color w:val="000000"/>
              </w:rPr>
              <w:t>访视(周)</w:t>
            </w:r>
          </w:p>
        </w:tc>
        <w:tc>
          <w:tcPr>
            <w:tcW w:w="0" w:type="auto"/>
            <w:gridSpan w:val="2"/>
            <w:tcBorders>
              <w:top w:val="single" w:color="auto" w:sz="4" w:space="0"/>
              <w:left w:val="nil"/>
              <w:bottom w:val="single" w:color="auto" w:sz="4" w:space="0"/>
              <w:right w:val="single" w:color="000000" w:sz="4" w:space="0"/>
            </w:tcBorders>
            <w:shd w:val="clear" w:color="000000" w:fill="E7E6E6"/>
            <w:noWrap/>
            <w:vAlign w:val="center"/>
          </w:tcPr>
          <w:p w14:paraId="39CEF342">
            <w:pPr>
              <w:widowControl/>
              <w:jc w:val="center"/>
              <w:rPr>
                <w:rFonts w:ascii="Times New Roman" w:hAnsi="Times New Roman" w:eastAsia="宋体" w:cs="Times New Roman"/>
                <w:color w:val="000000"/>
              </w:rPr>
            </w:pPr>
            <w:r>
              <w:rPr>
                <w:rFonts w:ascii="Times New Roman" w:hAnsi="Times New Roman" w:eastAsia="宋体" w:cs="Times New Roman"/>
                <w:color w:val="000000"/>
              </w:rPr>
              <w:t>W-4~W-1</w:t>
            </w:r>
          </w:p>
        </w:tc>
        <w:tc>
          <w:tcPr>
            <w:tcW w:w="0" w:type="auto"/>
            <w:tcBorders>
              <w:top w:val="nil"/>
              <w:left w:val="nil"/>
              <w:bottom w:val="single" w:color="auto" w:sz="4" w:space="0"/>
              <w:right w:val="single" w:color="auto" w:sz="4" w:space="0"/>
            </w:tcBorders>
            <w:shd w:val="clear" w:color="000000" w:fill="E7E6E6"/>
            <w:noWrap/>
            <w:vAlign w:val="center"/>
          </w:tcPr>
          <w:p w14:paraId="1EF539A8">
            <w:pPr>
              <w:widowControl/>
              <w:jc w:val="center"/>
              <w:rPr>
                <w:rFonts w:ascii="Times New Roman" w:hAnsi="Times New Roman" w:eastAsia="等线" w:cs="Times New Roman"/>
                <w:color w:val="000000"/>
              </w:rPr>
            </w:pPr>
            <w:r>
              <w:rPr>
                <w:rFonts w:ascii="Times New Roman" w:hAnsi="Times New Roman" w:eastAsia="等线" w:cs="Times New Roman"/>
                <w:color w:val="000000"/>
              </w:rPr>
              <w:t>W0</w:t>
            </w:r>
          </w:p>
        </w:tc>
        <w:tc>
          <w:tcPr>
            <w:tcW w:w="0" w:type="auto"/>
            <w:tcBorders>
              <w:top w:val="nil"/>
              <w:left w:val="nil"/>
              <w:bottom w:val="single" w:color="auto" w:sz="4" w:space="0"/>
              <w:right w:val="single" w:color="auto" w:sz="4" w:space="0"/>
            </w:tcBorders>
            <w:shd w:val="clear" w:color="000000" w:fill="E7E6E6"/>
            <w:noWrap/>
            <w:vAlign w:val="center"/>
          </w:tcPr>
          <w:p w14:paraId="19D6E96D">
            <w:pPr>
              <w:widowControl/>
              <w:rPr>
                <w:rFonts w:ascii="Times New Roman" w:hAnsi="Times New Roman" w:eastAsia="等线" w:cs="Times New Roman"/>
                <w:color w:val="000000"/>
              </w:rPr>
            </w:pPr>
            <w:r>
              <w:rPr>
                <w:rFonts w:ascii="Times New Roman" w:hAnsi="Times New Roman" w:eastAsia="等线" w:cs="Times New Roman"/>
                <w:color w:val="000000"/>
              </w:rPr>
              <w:t>W2</w:t>
            </w:r>
          </w:p>
        </w:tc>
        <w:tc>
          <w:tcPr>
            <w:tcW w:w="0" w:type="auto"/>
            <w:tcBorders>
              <w:top w:val="nil"/>
              <w:left w:val="nil"/>
              <w:bottom w:val="single" w:color="auto" w:sz="4" w:space="0"/>
              <w:right w:val="single" w:color="auto" w:sz="4" w:space="0"/>
            </w:tcBorders>
            <w:shd w:val="clear" w:color="000000" w:fill="E7E6E6"/>
            <w:noWrap/>
            <w:vAlign w:val="center"/>
          </w:tcPr>
          <w:p w14:paraId="68D187E6">
            <w:pPr>
              <w:widowControl/>
              <w:rPr>
                <w:rFonts w:ascii="Times New Roman" w:hAnsi="Times New Roman" w:eastAsia="等线" w:cs="Times New Roman"/>
                <w:color w:val="000000"/>
              </w:rPr>
            </w:pPr>
            <w:r>
              <w:rPr>
                <w:rFonts w:ascii="Times New Roman" w:hAnsi="Times New Roman" w:eastAsia="等线" w:cs="Times New Roman"/>
                <w:color w:val="000000"/>
              </w:rPr>
              <w:t>W4</w:t>
            </w:r>
          </w:p>
        </w:tc>
        <w:tc>
          <w:tcPr>
            <w:tcW w:w="0" w:type="auto"/>
            <w:tcBorders>
              <w:top w:val="nil"/>
              <w:left w:val="nil"/>
              <w:bottom w:val="single" w:color="auto" w:sz="4" w:space="0"/>
              <w:right w:val="single" w:color="auto" w:sz="4" w:space="0"/>
            </w:tcBorders>
            <w:shd w:val="clear" w:color="000000" w:fill="E7E6E6"/>
            <w:noWrap/>
            <w:vAlign w:val="center"/>
          </w:tcPr>
          <w:p w14:paraId="3C5A649B">
            <w:pPr>
              <w:widowControl/>
              <w:rPr>
                <w:rFonts w:ascii="Times New Roman" w:hAnsi="Times New Roman" w:eastAsia="等线" w:cs="Times New Roman"/>
                <w:color w:val="000000"/>
              </w:rPr>
            </w:pPr>
            <w:r>
              <w:rPr>
                <w:rFonts w:ascii="Times New Roman" w:hAnsi="Times New Roman" w:eastAsia="等线" w:cs="Times New Roman"/>
                <w:color w:val="000000"/>
              </w:rPr>
              <w:t>W8</w:t>
            </w:r>
          </w:p>
        </w:tc>
        <w:tc>
          <w:tcPr>
            <w:tcW w:w="0" w:type="auto"/>
            <w:tcBorders>
              <w:top w:val="nil"/>
              <w:left w:val="nil"/>
              <w:bottom w:val="single" w:color="auto" w:sz="4" w:space="0"/>
              <w:right w:val="single" w:color="auto" w:sz="4" w:space="0"/>
            </w:tcBorders>
            <w:shd w:val="clear" w:color="000000" w:fill="E7E6E6"/>
            <w:noWrap/>
            <w:vAlign w:val="center"/>
          </w:tcPr>
          <w:p w14:paraId="1ABCBC5C">
            <w:pPr>
              <w:widowControl/>
              <w:rPr>
                <w:rFonts w:ascii="Times New Roman" w:hAnsi="Times New Roman" w:eastAsia="等线" w:cs="Times New Roman"/>
                <w:color w:val="000000"/>
              </w:rPr>
            </w:pPr>
            <w:r>
              <w:rPr>
                <w:rFonts w:ascii="Times New Roman" w:hAnsi="Times New Roman" w:eastAsia="等线" w:cs="Times New Roman"/>
                <w:color w:val="000000"/>
              </w:rPr>
              <w:t>W12</w:t>
            </w:r>
          </w:p>
        </w:tc>
        <w:tc>
          <w:tcPr>
            <w:tcW w:w="0" w:type="auto"/>
            <w:tcBorders>
              <w:top w:val="nil"/>
              <w:left w:val="nil"/>
              <w:bottom w:val="single" w:color="auto" w:sz="4" w:space="0"/>
              <w:right w:val="single" w:color="auto" w:sz="4" w:space="0"/>
            </w:tcBorders>
            <w:shd w:val="clear" w:color="000000" w:fill="E7E6E6"/>
            <w:noWrap/>
            <w:vAlign w:val="center"/>
          </w:tcPr>
          <w:p w14:paraId="69CC0DBB">
            <w:pPr>
              <w:widowControl/>
              <w:rPr>
                <w:rFonts w:ascii="Times New Roman" w:hAnsi="Times New Roman" w:eastAsia="等线" w:cs="Times New Roman"/>
                <w:color w:val="000000"/>
              </w:rPr>
            </w:pPr>
            <w:r>
              <w:rPr>
                <w:rFonts w:ascii="Times New Roman" w:hAnsi="Times New Roman" w:eastAsia="等线" w:cs="Times New Roman"/>
                <w:color w:val="000000"/>
              </w:rPr>
              <w:t>W16</w:t>
            </w:r>
          </w:p>
        </w:tc>
        <w:tc>
          <w:tcPr>
            <w:tcW w:w="0" w:type="auto"/>
            <w:tcBorders>
              <w:top w:val="nil"/>
              <w:left w:val="nil"/>
              <w:bottom w:val="single" w:color="auto" w:sz="4" w:space="0"/>
              <w:right w:val="single" w:color="auto" w:sz="4" w:space="0"/>
            </w:tcBorders>
            <w:shd w:val="clear" w:color="000000" w:fill="E7E6E6"/>
            <w:noWrap/>
            <w:vAlign w:val="center"/>
          </w:tcPr>
          <w:p w14:paraId="5B9F2929">
            <w:pPr>
              <w:widowControl/>
              <w:rPr>
                <w:rFonts w:ascii="Times New Roman" w:hAnsi="Times New Roman" w:eastAsia="宋体" w:cs="Times New Roman"/>
                <w:color w:val="000000"/>
              </w:rPr>
            </w:pPr>
            <w:r>
              <w:rPr>
                <w:rFonts w:hint="eastAsia" w:ascii="Times New Roman" w:hAnsi="Times New Roman" w:eastAsia="宋体" w:cs="Times New Roman"/>
                <w:color w:val="000000"/>
              </w:rPr>
              <w:t xml:space="preserve"> -</w:t>
            </w:r>
          </w:p>
        </w:tc>
      </w:tr>
      <w:tr w14:paraId="6DEFC8E4">
        <w:tblPrEx>
          <w:tblCellMar>
            <w:top w:w="0" w:type="dxa"/>
            <w:left w:w="108" w:type="dxa"/>
            <w:bottom w:w="0" w:type="dxa"/>
            <w:right w:w="108" w:type="dxa"/>
          </w:tblCellMar>
        </w:tblPrEx>
        <w:trPr>
          <w:trHeight w:val="392" w:hRule="atLeast"/>
          <w:tblHeader/>
        </w:trPr>
        <w:tc>
          <w:tcPr>
            <w:tcW w:w="0" w:type="auto"/>
            <w:tcBorders>
              <w:top w:val="nil"/>
              <w:left w:val="single" w:color="auto" w:sz="4" w:space="0"/>
              <w:bottom w:val="single" w:color="auto" w:sz="4" w:space="0"/>
              <w:right w:val="single" w:color="auto" w:sz="4" w:space="0"/>
            </w:tcBorders>
            <w:shd w:val="clear" w:color="000000" w:fill="E7E6E6"/>
            <w:noWrap/>
            <w:vAlign w:val="center"/>
          </w:tcPr>
          <w:p w14:paraId="3ABEFC4C">
            <w:pPr>
              <w:widowControl/>
              <w:rPr>
                <w:rFonts w:ascii="Times New Roman" w:hAnsi="Times New Roman" w:eastAsia="宋体" w:cs="Times New Roman"/>
                <w:color w:val="000000"/>
              </w:rPr>
            </w:pPr>
            <w:r>
              <w:rPr>
                <w:rFonts w:hint="eastAsia" w:ascii="Times New Roman" w:hAnsi="Times New Roman" w:eastAsia="宋体" w:cs="Times New Roman"/>
                <w:color w:val="000000"/>
              </w:rPr>
              <w:t>访视</w:t>
            </w:r>
            <w:r>
              <w:rPr>
                <w:rFonts w:ascii="Times New Roman" w:hAnsi="Times New Roman" w:eastAsia="宋体" w:cs="Times New Roman"/>
                <w:color w:val="000000"/>
              </w:rPr>
              <w:t>(</w:t>
            </w:r>
            <w:r>
              <w:rPr>
                <w:rFonts w:hint="eastAsia" w:ascii="Times New Roman" w:hAnsi="Times New Roman" w:eastAsia="宋体" w:cs="Times New Roman"/>
                <w:color w:val="000000"/>
              </w:rPr>
              <w:t>天</w:t>
            </w:r>
            <w:r>
              <w:rPr>
                <w:rFonts w:ascii="Times New Roman" w:hAnsi="Times New Roman" w:eastAsia="宋体" w:cs="Times New Roman"/>
                <w:color w:val="000000"/>
              </w:rPr>
              <w:t>)</w:t>
            </w:r>
          </w:p>
        </w:tc>
        <w:tc>
          <w:tcPr>
            <w:tcW w:w="0" w:type="auto"/>
            <w:tcBorders>
              <w:top w:val="nil"/>
              <w:left w:val="nil"/>
              <w:bottom w:val="single" w:color="auto" w:sz="4" w:space="0"/>
              <w:right w:val="single" w:color="auto" w:sz="4" w:space="0"/>
            </w:tcBorders>
            <w:shd w:val="clear" w:color="000000" w:fill="E7E6E6"/>
            <w:noWrap/>
            <w:vAlign w:val="center"/>
          </w:tcPr>
          <w:p w14:paraId="38E8AA86">
            <w:pPr>
              <w:widowControl/>
              <w:rPr>
                <w:rFonts w:ascii="Times New Roman" w:hAnsi="Times New Roman" w:eastAsia="宋体" w:cs="Times New Roman"/>
                <w:color w:val="000000"/>
              </w:rPr>
            </w:pPr>
            <w:r>
              <w:rPr>
                <w:rFonts w:ascii="Times New Roman" w:hAnsi="Times New Roman" w:eastAsia="宋体" w:cs="Times New Roman"/>
                <w:color w:val="000000"/>
              </w:rPr>
              <w:t>D-28~D-1</w:t>
            </w:r>
          </w:p>
        </w:tc>
        <w:tc>
          <w:tcPr>
            <w:tcW w:w="0" w:type="auto"/>
            <w:tcBorders>
              <w:top w:val="nil"/>
              <w:left w:val="nil"/>
              <w:bottom w:val="single" w:color="auto" w:sz="4" w:space="0"/>
              <w:right w:val="single" w:color="auto" w:sz="4" w:space="0"/>
            </w:tcBorders>
            <w:shd w:val="clear" w:color="000000" w:fill="E7E6E6"/>
            <w:noWrap/>
            <w:vAlign w:val="center"/>
          </w:tcPr>
          <w:p w14:paraId="170D3FB4">
            <w:pPr>
              <w:widowControl/>
              <w:jc w:val="center"/>
              <w:rPr>
                <w:rFonts w:ascii="Times New Roman" w:hAnsi="Times New Roman" w:eastAsia="宋体" w:cs="Times New Roman"/>
                <w:color w:val="000000"/>
              </w:rPr>
            </w:pPr>
            <w:r>
              <w:rPr>
                <w:rFonts w:ascii="Times New Roman" w:hAnsi="Times New Roman" w:eastAsia="宋体" w:cs="Times New Roman"/>
                <w:color w:val="000000"/>
              </w:rPr>
              <w:t>D</w:t>
            </w:r>
            <w:r>
              <w:rPr>
                <w:rFonts w:hint="eastAsia" w:ascii="Times New Roman" w:hAnsi="Times New Roman" w:eastAsia="微软雅黑" w:cs="Times New Roman"/>
                <w:color w:val="000000"/>
              </w:rPr>
              <w:t>≤</w:t>
            </w:r>
            <w:r>
              <w:rPr>
                <w:rFonts w:ascii="Times New Roman" w:hAnsi="Times New Roman" w:eastAsia="宋体" w:cs="Times New Roman"/>
                <w:color w:val="000000"/>
              </w:rPr>
              <w:t>-7</w:t>
            </w:r>
          </w:p>
        </w:tc>
        <w:tc>
          <w:tcPr>
            <w:tcW w:w="0" w:type="auto"/>
            <w:tcBorders>
              <w:top w:val="nil"/>
              <w:left w:val="nil"/>
              <w:bottom w:val="single" w:color="auto" w:sz="4" w:space="0"/>
              <w:right w:val="single" w:color="auto" w:sz="4" w:space="0"/>
            </w:tcBorders>
            <w:shd w:val="clear" w:color="000000" w:fill="E7E6E6"/>
            <w:noWrap/>
            <w:vAlign w:val="center"/>
          </w:tcPr>
          <w:p w14:paraId="738D5C20">
            <w:pPr>
              <w:widowControl/>
              <w:jc w:val="center"/>
              <w:rPr>
                <w:rFonts w:ascii="Times New Roman" w:hAnsi="Times New Roman" w:eastAsia="等线" w:cs="Times New Roman"/>
                <w:color w:val="000000"/>
              </w:rPr>
            </w:pPr>
            <w:r>
              <w:rPr>
                <w:rFonts w:ascii="Times New Roman" w:hAnsi="Times New Roman" w:eastAsia="等线" w:cs="Times New Roman"/>
                <w:color w:val="000000"/>
              </w:rPr>
              <w:t>D1</w:t>
            </w:r>
          </w:p>
        </w:tc>
        <w:tc>
          <w:tcPr>
            <w:tcW w:w="0" w:type="auto"/>
            <w:tcBorders>
              <w:top w:val="nil"/>
              <w:left w:val="nil"/>
              <w:bottom w:val="single" w:color="auto" w:sz="4" w:space="0"/>
              <w:right w:val="single" w:color="auto" w:sz="4" w:space="0"/>
            </w:tcBorders>
            <w:shd w:val="clear" w:color="000000" w:fill="E7E6E6"/>
            <w:noWrap/>
            <w:vAlign w:val="center"/>
          </w:tcPr>
          <w:p w14:paraId="5D275EB5">
            <w:pPr>
              <w:widowControl/>
              <w:rPr>
                <w:rFonts w:ascii="Times New Roman" w:hAnsi="Times New Roman" w:eastAsia="等线" w:cs="Times New Roman"/>
                <w:color w:val="000000"/>
              </w:rPr>
            </w:pPr>
            <w:r>
              <w:rPr>
                <w:rFonts w:ascii="Times New Roman" w:hAnsi="Times New Roman" w:eastAsia="等线" w:cs="Times New Roman"/>
                <w:color w:val="000000"/>
              </w:rPr>
              <w:t>D15</w:t>
            </w:r>
          </w:p>
        </w:tc>
        <w:tc>
          <w:tcPr>
            <w:tcW w:w="0" w:type="auto"/>
            <w:tcBorders>
              <w:top w:val="nil"/>
              <w:left w:val="nil"/>
              <w:bottom w:val="single" w:color="auto" w:sz="4" w:space="0"/>
              <w:right w:val="single" w:color="auto" w:sz="4" w:space="0"/>
            </w:tcBorders>
            <w:shd w:val="clear" w:color="000000" w:fill="E7E6E6"/>
            <w:noWrap/>
            <w:vAlign w:val="center"/>
          </w:tcPr>
          <w:p w14:paraId="197918CA">
            <w:pPr>
              <w:widowControl/>
              <w:rPr>
                <w:rFonts w:ascii="Times New Roman" w:hAnsi="Times New Roman" w:eastAsia="等线" w:cs="Times New Roman"/>
                <w:color w:val="000000"/>
              </w:rPr>
            </w:pPr>
            <w:r>
              <w:rPr>
                <w:rFonts w:ascii="Times New Roman" w:hAnsi="Times New Roman" w:eastAsia="等线" w:cs="Times New Roman"/>
                <w:color w:val="000000"/>
              </w:rPr>
              <w:t>D29</w:t>
            </w:r>
          </w:p>
        </w:tc>
        <w:tc>
          <w:tcPr>
            <w:tcW w:w="0" w:type="auto"/>
            <w:tcBorders>
              <w:top w:val="nil"/>
              <w:left w:val="nil"/>
              <w:bottom w:val="single" w:color="auto" w:sz="4" w:space="0"/>
              <w:right w:val="single" w:color="auto" w:sz="4" w:space="0"/>
            </w:tcBorders>
            <w:shd w:val="clear" w:color="000000" w:fill="E7E6E6"/>
            <w:noWrap/>
            <w:vAlign w:val="center"/>
          </w:tcPr>
          <w:p w14:paraId="0B15D0F7">
            <w:pPr>
              <w:widowControl/>
              <w:rPr>
                <w:rFonts w:ascii="Times New Roman" w:hAnsi="Times New Roman" w:eastAsia="等线" w:cs="Times New Roman"/>
                <w:color w:val="000000"/>
              </w:rPr>
            </w:pPr>
            <w:r>
              <w:rPr>
                <w:rFonts w:ascii="Times New Roman" w:hAnsi="Times New Roman" w:eastAsia="等线" w:cs="Times New Roman"/>
                <w:color w:val="000000"/>
              </w:rPr>
              <w:t>D57</w:t>
            </w:r>
          </w:p>
        </w:tc>
        <w:tc>
          <w:tcPr>
            <w:tcW w:w="0" w:type="auto"/>
            <w:tcBorders>
              <w:top w:val="nil"/>
              <w:left w:val="nil"/>
              <w:bottom w:val="single" w:color="auto" w:sz="4" w:space="0"/>
              <w:right w:val="single" w:color="auto" w:sz="4" w:space="0"/>
            </w:tcBorders>
            <w:shd w:val="clear" w:color="000000" w:fill="E7E6E6"/>
            <w:noWrap/>
            <w:vAlign w:val="center"/>
          </w:tcPr>
          <w:p w14:paraId="167BBF0A">
            <w:pPr>
              <w:widowControl/>
              <w:rPr>
                <w:rFonts w:ascii="Times New Roman" w:hAnsi="Times New Roman" w:eastAsia="等线" w:cs="Times New Roman"/>
                <w:color w:val="000000"/>
              </w:rPr>
            </w:pPr>
            <w:r>
              <w:rPr>
                <w:rFonts w:ascii="Times New Roman" w:hAnsi="Times New Roman" w:eastAsia="等线" w:cs="Times New Roman"/>
                <w:color w:val="000000"/>
              </w:rPr>
              <w:t>D85</w:t>
            </w:r>
          </w:p>
        </w:tc>
        <w:tc>
          <w:tcPr>
            <w:tcW w:w="0" w:type="auto"/>
            <w:tcBorders>
              <w:top w:val="nil"/>
              <w:left w:val="nil"/>
              <w:bottom w:val="single" w:color="auto" w:sz="4" w:space="0"/>
              <w:right w:val="single" w:color="auto" w:sz="4" w:space="0"/>
            </w:tcBorders>
            <w:shd w:val="clear" w:color="000000" w:fill="E7E6E6"/>
            <w:noWrap/>
            <w:vAlign w:val="center"/>
          </w:tcPr>
          <w:p w14:paraId="3BF2D9AB">
            <w:pPr>
              <w:widowControl/>
              <w:rPr>
                <w:rFonts w:ascii="Times New Roman" w:hAnsi="Times New Roman" w:eastAsia="等线" w:cs="Times New Roman"/>
                <w:color w:val="000000"/>
              </w:rPr>
            </w:pPr>
            <w:r>
              <w:rPr>
                <w:rFonts w:ascii="Times New Roman" w:hAnsi="Times New Roman" w:eastAsia="等线" w:cs="Times New Roman"/>
                <w:color w:val="000000"/>
              </w:rPr>
              <w:t>D113</w:t>
            </w:r>
          </w:p>
        </w:tc>
        <w:tc>
          <w:tcPr>
            <w:tcW w:w="0" w:type="auto"/>
            <w:tcBorders>
              <w:top w:val="nil"/>
              <w:left w:val="nil"/>
              <w:bottom w:val="single" w:color="auto" w:sz="4" w:space="0"/>
              <w:right w:val="single" w:color="auto" w:sz="4" w:space="0"/>
            </w:tcBorders>
            <w:shd w:val="clear" w:color="000000" w:fill="E7E6E6"/>
            <w:noWrap/>
            <w:vAlign w:val="center"/>
          </w:tcPr>
          <w:p w14:paraId="283FA48C">
            <w:pPr>
              <w:widowControl/>
              <w:rPr>
                <w:rFonts w:ascii="Times New Roman" w:hAnsi="Times New Roman" w:eastAsia="宋体" w:cs="Times New Roman"/>
                <w:color w:val="000000"/>
              </w:rPr>
            </w:pPr>
            <w:r>
              <w:rPr>
                <w:rFonts w:hint="eastAsia" w:ascii="Times New Roman" w:hAnsi="Times New Roman" w:eastAsia="宋体" w:cs="Times New Roman"/>
                <w:color w:val="000000"/>
              </w:rPr>
              <w:t>末次给药后</w:t>
            </w:r>
            <w:r>
              <w:rPr>
                <w:rFonts w:ascii="Times New Roman" w:hAnsi="Times New Roman" w:eastAsia="宋体" w:cs="Times New Roman"/>
                <w:color w:val="000000"/>
              </w:rPr>
              <w:t>7</w:t>
            </w:r>
            <w:r>
              <w:rPr>
                <w:rFonts w:hint="eastAsia" w:ascii="Times New Roman" w:hAnsi="Times New Roman" w:eastAsia="宋体" w:cs="Times New Roman"/>
                <w:color w:val="000000"/>
              </w:rPr>
              <w:t>天内</w:t>
            </w:r>
          </w:p>
        </w:tc>
      </w:tr>
      <w:tr w14:paraId="77B53DA6">
        <w:tblPrEx>
          <w:tblCellMar>
            <w:top w:w="0" w:type="dxa"/>
            <w:left w:w="108" w:type="dxa"/>
            <w:bottom w:w="0" w:type="dxa"/>
            <w:right w:w="108" w:type="dxa"/>
          </w:tblCellMar>
        </w:tblPrEx>
        <w:trPr>
          <w:trHeight w:val="288" w:hRule="atLeast"/>
          <w:tblHeader/>
        </w:trPr>
        <w:tc>
          <w:tcPr>
            <w:tcW w:w="0" w:type="auto"/>
            <w:tcBorders>
              <w:top w:val="nil"/>
              <w:left w:val="single" w:color="auto" w:sz="4" w:space="0"/>
              <w:bottom w:val="single" w:color="auto" w:sz="4" w:space="0"/>
              <w:right w:val="single" w:color="auto" w:sz="4" w:space="0"/>
            </w:tcBorders>
            <w:shd w:val="clear" w:color="000000" w:fill="E7E6E6"/>
            <w:noWrap/>
            <w:vAlign w:val="center"/>
          </w:tcPr>
          <w:p w14:paraId="306B327C">
            <w:pPr>
              <w:widowControl/>
              <w:rPr>
                <w:rFonts w:ascii="Times New Roman" w:hAnsi="Times New Roman" w:eastAsia="宋体" w:cs="Times New Roman"/>
                <w:color w:val="000000"/>
              </w:rPr>
            </w:pPr>
            <w:r>
              <w:rPr>
                <w:rFonts w:hint="eastAsia" w:ascii="Times New Roman" w:hAnsi="Times New Roman" w:eastAsia="宋体" w:cs="Times New Roman"/>
                <w:color w:val="000000"/>
              </w:rPr>
              <w:t>时间窗</w:t>
            </w:r>
          </w:p>
        </w:tc>
        <w:tc>
          <w:tcPr>
            <w:tcW w:w="0" w:type="auto"/>
            <w:tcBorders>
              <w:top w:val="nil"/>
              <w:left w:val="nil"/>
              <w:bottom w:val="single" w:color="auto" w:sz="4" w:space="0"/>
              <w:right w:val="single" w:color="auto" w:sz="4" w:space="0"/>
            </w:tcBorders>
            <w:shd w:val="clear" w:color="000000" w:fill="E7E6E6"/>
            <w:noWrap/>
            <w:vAlign w:val="center"/>
          </w:tcPr>
          <w:p w14:paraId="6AE3B1C7">
            <w:pPr>
              <w:widowControl/>
              <w:jc w:val="center"/>
              <w:rPr>
                <w:rFonts w:ascii="Times New Roman" w:hAnsi="Times New Roman" w:eastAsia="等线" w:cs="Times New Roman"/>
                <w:color w:val="000000"/>
              </w:rPr>
            </w:pPr>
            <w:r>
              <w:rPr>
                <w:rFonts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shd w:val="clear" w:color="000000" w:fill="E7E6E6"/>
            <w:noWrap/>
            <w:vAlign w:val="center"/>
          </w:tcPr>
          <w:p w14:paraId="04B6B758">
            <w:pPr>
              <w:widowControl/>
              <w:jc w:val="center"/>
              <w:rPr>
                <w:rFonts w:ascii="Times New Roman" w:hAnsi="Times New Roman" w:eastAsia="等线" w:cs="Times New Roman"/>
                <w:color w:val="000000"/>
              </w:rPr>
            </w:pPr>
            <w:r>
              <w:rPr>
                <w:rFonts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shd w:val="clear" w:color="000000" w:fill="E7E6E6"/>
            <w:noWrap/>
            <w:vAlign w:val="center"/>
          </w:tcPr>
          <w:p w14:paraId="2FE360D6">
            <w:pPr>
              <w:widowControl/>
              <w:jc w:val="center"/>
              <w:rPr>
                <w:rFonts w:ascii="Times New Roman" w:hAnsi="Times New Roman" w:eastAsia="等线" w:cs="Times New Roman"/>
                <w:color w:val="000000"/>
              </w:rPr>
            </w:pPr>
            <w:r>
              <w:rPr>
                <w:rFonts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shd w:val="clear" w:color="000000" w:fill="E7E6E6"/>
            <w:noWrap/>
            <w:vAlign w:val="center"/>
          </w:tcPr>
          <w:p w14:paraId="652EFF07">
            <w:pPr>
              <w:widowControl/>
              <w:jc w:val="center"/>
              <w:rPr>
                <w:rFonts w:ascii="Times New Roman" w:hAnsi="Times New Roman" w:eastAsia="等线" w:cs="Times New Roman"/>
                <w:color w:val="000000"/>
              </w:rPr>
            </w:pPr>
            <w:r>
              <w:rPr>
                <w:rFonts w:ascii="Times New Roman" w:hAnsi="Times New Roman" w:eastAsia="等线" w:cs="Times New Roman"/>
                <w:color w:val="000000"/>
              </w:rPr>
              <w:t>±3</w:t>
            </w:r>
            <w:r>
              <w:rPr>
                <w:rFonts w:hint="eastAsia" w:ascii="Times New Roman" w:hAnsi="Times New Roman" w:eastAsia="宋体" w:cs="Times New Roman"/>
                <w:color w:val="000000"/>
              </w:rPr>
              <w:t>天</w:t>
            </w:r>
          </w:p>
        </w:tc>
        <w:tc>
          <w:tcPr>
            <w:tcW w:w="0" w:type="auto"/>
            <w:tcBorders>
              <w:top w:val="nil"/>
              <w:left w:val="nil"/>
              <w:bottom w:val="single" w:color="auto" w:sz="4" w:space="0"/>
              <w:right w:val="single" w:color="auto" w:sz="4" w:space="0"/>
            </w:tcBorders>
            <w:shd w:val="clear" w:color="000000" w:fill="E7E6E6"/>
            <w:noWrap/>
            <w:vAlign w:val="center"/>
          </w:tcPr>
          <w:p w14:paraId="2A8DD50D">
            <w:pPr>
              <w:widowControl/>
              <w:jc w:val="center"/>
              <w:rPr>
                <w:rFonts w:ascii="Times New Roman" w:hAnsi="Times New Roman" w:eastAsia="等线" w:cs="Times New Roman"/>
                <w:color w:val="000000"/>
              </w:rPr>
            </w:pPr>
            <w:r>
              <w:rPr>
                <w:rFonts w:ascii="Times New Roman" w:hAnsi="Times New Roman" w:eastAsia="等线" w:cs="Times New Roman"/>
                <w:color w:val="000000"/>
              </w:rPr>
              <w:t>±3</w:t>
            </w:r>
            <w:r>
              <w:rPr>
                <w:rFonts w:hint="eastAsia" w:ascii="Times New Roman" w:hAnsi="Times New Roman" w:eastAsia="宋体" w:cs="Times New Roman"/>
                <w:color w:val="000000"/>
              </w:rPr>
              <w:t>天</w:t>
            </w:r>
          </w:p>
        </w:tc>
        <w:tc>
          <w:tcPr>
            <w:tcW w:w="0" w:type="auto"/>
            <w:tcBorders>
              <w:top w:val="nil"/>
              <w:left w:val="nil"/>
              <w:bottom w:val="single" w:color="auto" w:sz="4" w:space="0"/>
              <w:right w:val="single" w:color="auto" w:sz="4" w:space="0"/>
            </w:tcBorders>
            <w:shd w:val="clear" w:color="000000" w:fill="E7E6E6"/>
            <w:noWrap/>
            <w:vAlign w:val="center"/>
          </w:tcPr>
          <w:p w14:paraId="5266C6A1">
            <w:pPr>
              <w:widowControl/>
              <w:jc w:val="center"/>
              <w:rPr>
                <w:rFonts w:ascii="Times New Roman" w:hAnsi="Times New Roman" w:eastAsia="等线" w:cs="Times New Roman"/>
                <w:color w:val="000000"/>
              </w:rPr>
            </w:pPr>
            <w:r>
              <w:rPr>
                <w:rFonts w:ascii="Times New Roman" w:hAnsi="Times New Roman" w:eastAsia="等线" w:cs="Times New Roman"/>
                <w:color w:val="000000"/>
              </w:rPr>
              <w:t>±3</w:t>
            </w:r>
            <w:r>
              <w:rPr>
                <w:rFonts w:hint="eastAsia" w:ascii="Times New Roman" w:hAnsi="Times New Roman" w:eastAsia="宋体" w:cs="Times New Roman"/>
                <w:color w:val="000000"/>
              </w:rPr>
              <w:t>天</w:t>
            </w:r>
          </w:p>
        </w:tc>
        <w:tc>
          <w:tcPr>
            <w:tcW w:w="0" w:type="auto"/>
            <w:tcBorders>
              <w:top w:val="nil"/>
              <w:left w:val="nil"/>
              <w:bottom w:val="single" w:color="auto" w:sz="4" w:space="0"/>
              <w:right w:val="single" w:color="auto" w:sz="4" w:space="0"/>
            </w:tcBorders>
            <w:shd w:val="clear" w:color="000000" w:fill="E7E6E6"/>
            <w:noWrap/>
            <w:vAlign w:val="center"/>
          </w:tcPr>
          <w:p w14:paraId="19A95DE5">
            <w:pPr>
              <w:widowControl/>
              <w:jc w:val="center"/>
              <w:rPr>
                <w:rFonts w:ascii="Times New Roman" w:hAnsi="Times New Roman" w:eastAsia="等线" w:cs="Times New Roman"/>
                <w:color w:val="000000"/>
              </w:rPr>
            </w:pPr>
            <w:r>
              <w:rPr>
                <w:rFonts w:ascii="Times New Roman" w:hAnsi="Times New Roman" w:eastAsia="等线" w:cs="Times New Roman"/>
                <w:color w:val="000000"/>
              </w:rPr>
              <w:t>±3</w:t>
            </w:r>
            <w:r>
              <w:rPr>
                <w:rFonts w:hint="eastAsia" w:ascii="Times New Roman" w:hAnsi="Times New Roman" w:eastAsia="宋体" w:cs="Times New Roman"/>
                <w:color w:val="000000"/>
              </w:rPr>
              <w:t>天</w:t>
            </w:r>
          </w:p>
        </w:tc>
        <w:tc>
          <w:tcPr>
            <w:tcW w:w="0" w:type="auto"/>
            <w:tcBorders>
              <w:top w:val="nil"/>
              <w:left w:val="nil"/>
              <w:bottom w:val="single" w:color="auto" w:sz="4" w:space="0"/>
              <w:right w:val="single" w:color="auto" w:sz="4" w:space="0"/>
            </w:tcBorders>
            <w:shd w:val="clear" w:color="000000" w:fill="E7E6E6"/>
            <w:noWrap/>
            <w:vAlign w:val="center"/>
          </w:tcPr>
          <w:p w14:paraId="210ADE71">
            <w:pPr>
              <w:widowControl/>
              <w:jc w:val="center"/>
              <w:rPr>
                <w:rFonts w:ascii="Times New Roman" w:hAnsi="Times New Roman" w:eastAsia="等线" w:cs="Times New Roman"/>
                <w:color w:val="000000"/>
              </w:rPr>
            </w:pPr>
            <w:r>
              <w:rPr>
                <w:rFonts w:ascii="Times New Roman" w:hAnsi="Times New Roman" w:eastAsia="等线" w:cs="Times New Roman"/>
                <w:color w:val="000000"/>
              </w:rPr>
              <w:t>±3</w:t>
            </w:r>
            <w:r>
              <w:rPr>
                <w:rFonts w:hint="eastAsia" w:ascii="Times New Roman" w:hAnsi="Times New Roman" w:eastAsia="宋体" w:cs="Times New Roman"/>
                <w:color w:val="000000"/>
              </w:rPr>
              <w:t>天</w:t>
            </w:r>
          </w:p>
        </w:tc>
        <w:tc>
          <w:tcPr>
            <w:tcW w:w="0" w:type="auto"/>
            <w:tcBorders>
              <w:top w:val="nil"/>
              <w:left w:val="nil"/>
              <w:bottom w:val="single" w:color="auto" w:sz="4" w:space="0"/>
              <w:right w:val="single" w:color="auto" w:sz="4" w:space="0"/>
            </w:tcBorders>
            <w:shd w:val="clear" w:color="000000" w:fill="E7E6E6"/>
            <w:noWrap/>
            <w:vAlign w:val="center"/>
          </w:tcPr>
          <w:p w14:paraId="34D8F8B0">
            <w:pPr>
              <w:widowControl/>
              <w:jc w:val="center"/>
              <w:rPr>
                <w:rFonts w:ascii="Times New Roman" w:hAnsi="Times New Roman" w:eastAsia="等线" w:cs="Times New Roman"/>
                <w:color w:val="000000"/>
              </w:rPr>
            </w:pPr>
            <w:r>
              <w:rPr>
                <w:rFonts w:ascii="Times New Roman" w:hAnsi="Times New Roman" w:eastAsia="等线" w:cs="Times New Roman"/>
                <w:color w:val="000000"/>
              </w:rPr>
              <w:t>-</w:t>
            </w:r>
          </w:p>
        </w:tc>
      </w:tr>
      <w:tr w14:paraId="616BD39A">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69A494EE">
            <w:pPr>
              <w:widowControl/>
              <w:rPr>
                <w:rFonts w:ascii="Times New Roman" w:hAnsi="Times New Roman" w:eastAsia="宋体" w:cs="Times New Roman"/>
                <w:color w:val="000000"/>
              </w:rPr>
            </w:pPr>
            <w:r>
              <w:rPr>
                <w:rFonts w:hint="eastAsia" w:ascii="Times New Roman" w:hAnsi="Times New Roman" w:eastAsia="宋体" w:cs="Times New Roman"/>
                <w:color w:val="000000"/>
              </w:rPr>
              <w:t>签署知情同意书</w:t>
            </w:r>
            <w:r>
              <w:rPr>
                <w:rFonts w:ascii="Times New Roman" w:hAnsi="Times New Roman" w:eastAsia="宋体" w:cs="Times New Roman"/>
                <w:color w:val="000000"/>
                <w:vertAlign w:val="superscript"/>
              </w:rPr>
              <w:t>1</w:t>
            </w:r>
          </w:p>
        </w:tc>
        <w:tc>
          <w:tcPr>
            <w:tcW w:w="0" w:type="auto"/>
            <w:tcBorders>
              <w:top w:val="nil"/>
              <w:left w:val="nil"/>
              <w:bottom w:val="single" w:color="auto" w:sz="4" w:space="0"/>
              <w:right w:val="single" w:color="auto" w:sz="4" w:space="0"/>
            </w:tcBorders>
            <w:noWrap/>
            <w:vAlign w:val="center"/>
          </w:tcPr>
          <w:p w14:paraId="2A9BDCD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D5AA7F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3C4FF4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5C75E6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179D7A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31E2A6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2359C3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CD8CD0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6F01A91">
            <w:pPr>
              <w:widowControl/>
              <w:jc w:val="center"/>
              <w:rPr>
                <w:rFonts w:ascii="Times New Roman" w:hAnsi="Times New Roman" w:eastAsia="等线" w:cs="Times New Roman"/>
                <w:color w:val="000000"/>
              </w:rPr>
            </w:pPr>
          </w:p>
        </w:tc>
      </w:tr>
      <w:tr w14:paraId="46248787">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23E436B5">
            <w:pPr>
              <w:widowControl/>
              <w:rPr>
                <w:rFonts w:ascii="Times New Roman" w:hAnsi="Times New Roman" w:eastAsia="宋体" w:cs="Times New Roman"/>
                <w:color w:val="000000"/>
              </w:rPr>
            </w:pPr>
            <w:r>
              <w:rPr>
                <w:rFonts w:hint="eastAsia" w:ascii="Times New Roman" w:hAnsi="Times New Roman" w:eastAsia="宋体" w:cs="Times New Roman"/>
                <w:color w:val="000000"/>
              </w:rPr>
              <w:t>采集人口学资料</w:t>
            </w:r>
            <w:r>
              <w:rPr>
                <w:rFonts w:ascii="Times New Roman" w:hAnsi="Times New Roman" w:eastAsia="宋体" w:cs="Times New Roman"/>
                <w:color w:val="000000"/>
                <w:vertAlign w:val="superscript"/>
              </w:rPr>
              <w:t>3</w:t>
            </w:r>
          </w:p>
        </w:tc>
        <w:tc>
          <w:tcPr>
            <w:tcW w:w="0" w:type="auto"/>
            <w:tcBorders>
              <w:top w:val="nil"/>
              <w:left w:val="nil"/>
              <w:bottom w:val="single" w:color="auto" w:sz="4" w:space="0"/>
              <w:right w:val="single" w:color="auto" w:sz="4" w:space="0"/>
            </w:tcBorders>
            <w:noWrap/>
            <w:vAlign w:val="center"/>
          </w:tcPr>
          <w:p w14:paraId="33E2868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29C020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C090CF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5FE342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3FBE440">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A751D0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97C7BD8">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97E072B">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E149851">
            <w:pPr>
              <w:widowControl/>
              <w:jc w:val="center"/>
              <w:rPr>
                <w:rFonts w:ascii="Times New Roman" w:hAnsi="Times New Roman" w:eastAsia="等线" w:cs="Times New Roman"/>
                <w:color w:val="000000"/>
              </w:rPr>
            </w:pPr>
          </w:p>
        </w:tc>
      </w:tr>
      <w:tr w14:paraId="6B0E9FF8">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6796C842">
            <w:pPr>
              <w:widowControl/>
              <w:rPr>
                <w:rFonts w:ascii="Times New Roman" w:hAnsi="Times New Roman" w:eastAsia="宋体" w:cs="Times New Roman"/>
                <w:color w:val="000000"/>
              </w:rPr>
            </w:pPr>
            <w:r>
              <w:rPr>
                <w:rFonts w:hint="eastAsia" w:ascii="Times New Roman" w:hAnsi="Times New Roman" w:eastAsia="宋体" w:cs="Times New Roman"/>
                <w:color w:val="000000"/>
              </w:rPr>
              <w:t>既往和现病史</w:t>
            </w:r>
            <w:r>
              <w:rPr>
                <w:rFonts w:ascii="Times New Roman" w:hAnsi="Times New Roman" w:eastAsia="宋体" w:cs="Times New Roman"/>
                <w:color w:val="000000"/>
                <w:vertAlign w:val="superscript"/>
              </w:rPr>
              <w:t>4</w:t>
            </w:r>
          </w:p>
        </w:tc>
        <w:tc>
          <w:tcPr>
            <w:tcW w:w="0" w:type="auto"/>
            <w:tcBorders>
              <w:top w:val="nil"/>
              <w:left w:val="nil"/>
              <w:bottom w:val="single" w:color="auto" w:sz="4" w:space="0"/>
              <w:right w:val="single" w:color="auto" w:sz="4" w:space="0"/>
            </w:tcBorders>
            <w:noWrap/>
            <w:vAlign w:val="center"/>
          </w:tcPr>
          <w:p w14:paraId="190D396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77824F6">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42D07A6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F5F431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5A4020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B39297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AA79F4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EA2CCA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2B64CC5">
            <w:pPr>
              <w:widowControl/>
              <w:jc w:val="center"/>
              <w:rPr>
                <w:rFonts w:ascii="Times New Roman" w:hAnsi="Times New Roman" w:eastAsia="等线" w:cs="Times New Roman"/>
                <w:color w:val="000000"/>
              </w:rPr>
            </w:pPr>
          </w:p>
        </w:tc>
      </w:tr>
      <w:tr w14:paraId="33FB6551">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69979BA6">
            <w:pPr>
              <w:widowControl/>
              <w:rPr>
                <w:rFonts w:ascii="Times New Roman" w:hAnsi="Times New Roman" w:eastAsia="宋体" w:cs="Times New Roman"/>
                <w:color w:val="000000"/>
              </w:rPr>
            </w:pPr>
            <w:r>
              <w:rPr>
                <w:rFonts w:hint="eastAsia" w:ascii="Times New Roman" w:hAnsi="Times New Roman" w:eastAsia="宋体" w:cs="Times New Roman"/>
                <w:color w:val="000000"/>
              </w:rPr>
              <w:t>治疗史</w:t>
            </w:r>
            <w:r>
              <w:rPr>
                <w:rFonts w:ascii="Times New Roman" w:hAnsi="Times New Roman" w:eastAsia="宋体" w:cs="Times New Roman"/>
                <w:color w:val="000000"/>
                <w:vertAlign w:val="superscript"/>
              </w:rPr>
              <w:t>5</w:t>
            </w:r>
          </w:p>
        </w:tc>
        <w:tc>
          <w:tcPr>
            <w:tcW w:w="0" w:type="auto"/>
            <w:tcBorders>
              <w:top w:val="nil"/>
              <w:left w:val="nil"/>
              <w:bottom w:val="single" w:color="auto" w:sz="4" w:space="0"/>
              <w:right w:val="single" w:color="auto" w:sz="4" w:space="0"/>
            </w:tcBorders>
            <w:noWrap/>
            <w:vAlign w:val="center"/>
          </w:tcPr>
          <w:p w14:paraId="2C42C0F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3335264">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32A2568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674F01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70F8A8A">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F7818F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4F4D2A6">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694E43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61F4B4D">
            <w:pPr>
              <w:widowControl/>
              <w:jc w:val="center"/>
              <w:rPr>
                <w:rFonts w:ascii="Times New Roman" w:hAnsi="Times New Roman" w:eastAsia="等线" w:cs="Times New Roman"/>
                <w:color w:val="000000"/>
              </w:rPr>
            </w:pPr>
          </w:p>
        </w:tc>
      </w:tr>
      <w:tr w14:paraId="3BDB69AA">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1D802D60">
            <w:pPr>
              <w:widowControl/>
              <w:rPr>
                <w:rFonts w:ascii="Times New Roman" w:hAnsi="Times New Roman" w:eastAsia="宋体" w:cs="Times New Roman"/>
                <w:color w:val="000000"/>
              </w:rPr>
            </w:pPr>
            <w:r>
              <w:rPr>
                <w:rFonts w:hint="eastAsia" w:ascii="Times New Roman" w:hAnsi="Times New Roman" w:eastAsia="宋体" w:cs="Times New Roman"/>
                <w:color w:val="000000"/>
              </w:rPr>
              <w:t>身高及体重</w:t>
            </w:r>
            <w:r>
              <w:rPr>
                <w:rFonts w:ascii="Times New Roman" w:hAnsi="Times New Roman" w:eastAsia="宋体" w:cs="Times New Roman"/>
                <w:color w:val="000000"/>
                <w:vertAlign w:val="superscript"/>
              </w:rPr>
              <w:t>6</w:t>
            </w:r>
          </w:p>
        </w:tc>
        <w:tc>
          <w:tcPr>
            <w:tcW w:w="0" w:type="auto"/>
            <w:tcBorders>
              <w:top w:val="nil"/>
              <w:left w:val="nil"/>
              <w:bottom w:val="single" w:color="auto" w:sz="4" w:space="0"/>
              <w:right w:val="single" w:color="auto" w:sz="4" w:space="0"/>
            </w:tcBorders>
            <w:noWrap/>
            <w:vAlign w:val="center"/>
          </w:tcPr>
          <w:p w14:paraId="19ACF6A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79D3B87">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7BB1CBA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DF925D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0F9B83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1792DF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A0A03F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E67409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C8A73F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1E4B9ED5">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357FC1AA">
            <w:pPr>
              <w:widowControl/>
              <w:rPr>
                <w:rFonts w:ascii="Times New Roman" w:hAnsi="Times New Roman" w:eastAsia="宋体" w:cs="Times New Roman"/>
                <w:color w:val="000000"/>
              </w:rPr>
            </w:pPr>
            <w:r>
              <w:rPr>
                <w:rFonts w:hint="eastAsia" w:ascii="Times New Roman" w:hAnsi="Times New Roman" w:eastAsia="宋体" w:cs="Times New Roman"/>
                <w:color w:val="000000"/>
              </w:rPr>
              <w:t>生命体征</w:t>
            </w:r>
            <w:r>
              <w:rPr>
                <w:rFonts w:ascii="Times New Roman" w:hAnsi="Times New Roman" w:eastAsia="宋体" w:cs="Times New Roman"/>
                <w:color w:val="000000"/>
                <w:vertAlign w:val="superscript"/>
              </w:rPr>
              <w:t>7</w:t>
            </w:r>
          </w:p>
        </w:tc>
        <w:tc>
          <w:tcPr>
            <w:tcW w:w="0" w:type="auto"/>
            <w:tcBorders>
              <w:top w:val="nil"/>
              <w:left w:val="nil"/>
              <w:bottom w:val="single" w:color="auto" w:sz="4" w:space="0"/>
              <w:right w:val="single" w:color="auto" w:sz="4" w:space="0"/>
            </w:tcBorders>
            <w:noWrap/>
            <w:vAlign w:val="center"/>
          </w:tcPr>
          <w:p w14:paraId="3FBCE3C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F4D700B">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57D5DCD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2297F8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B5C920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7CDC10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074763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1A1CC6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E734AF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53FD3B34">
        <w:tblPrEx>
          <w:tblCellMar>
            <w:top w:w="0" w:type="dxa"/>
            <w:left w:w="108" w:type="dxa"/>
            <w:bottom w:w="0" w:type="dxa"/>
            <w:right w:w="108" w:type="dxa"/>
          </w:tblCellMar>
        </w:tblPrEx>
        <w:trPr>
          <w:trHeight w:val="90" w:hRule="atLeast"/>
        </w:trPr>
        <w:tc>
          <w:tcPr>
            <w:tcW w:w="0" w:type="auto"/>
            <w:tcBorders>
              <w:top w:val="nil"/>
              <w:left w:val="single" w:color="auto" w:sz="4" w:space="0"/>
              <w:bottom w:val="single" w:color="auto" w:sz="4" w:space="0"/>
              <w:right w:val="single" w:color="auto" w:sz="4" w:space="0"/>
            </w:tcBorders>
            <w:noWrap/>
            <w:vAlign w:val="center"/>
          </w:tcPr>
          <w:p w14:paraId="19C5B55D">
            <w:pPr>
              <w:widowControl/>
              <w:rPr>
                <w:rFonts w:ascii="Times New Roman" w:hAnsi="Times New Roman" w:eastAsia="宋体" w:cs="Times New Roman"/>
                <w:color w:val="000000"/>
              </w:rPr>
            </w:pPr>
            <w:r>
              <w:rPr>
                <w:rFonts w:hint="eastAsia" w:ascii="Times New Roman" w:hAnsi="Times New Roman" w:eastAsia="宋体" w:cs="Times New Roman"/>
                <w:color w:val="000000"/>
              </w:rPr>
              <w:t>体格检查</w:t>
            </w:r>
            <w:r>
              <w:rPr>
                <w:rFonts w:ascii="Times New Roman" w:hAnsi="Times New Roman" w:eastAsia="宋体" w:cs="Times New Roman"/>
                <w:color w:val="000000"/>
                <w:vertAlign w:val="superscript"/>
              </w:rPr>
              <w:t>8</w:t>
            </w:r>
          </w:p>
        </w:tc>
        <w:tc>
          <w:tcPr>
            <w:tcW w:w="0" w:type="auto"/>
            <w:tcBorders>
              <w:top w:val="nil"/>
              <w:left w:val="nil"/>
              <w:bottom w:val="single" w:color="auto" w:sz="4" w:space="0"/>
              <w:right w:val="single" w:color="auto" w:sz="4" w:space="0"/>
            </w:tcBorders>
            <w:noWrap/>
            <w:vAlign w:val="center"/>
          </w:tcPr>
          <w:p w14:paraId="0DA03E7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BAA916B">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70BE84E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8FEDC7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4F078B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C5A093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D15641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652576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81D676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0E95E2B5">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5381182D">
            <w:pPr>
              <w:widowControl/>
              <w:rPr>
                <w:rFonts w:ascii="Times New Roman" w:hAnsi="Times New Roman" w:eastAsia="宋体" w:cs="Times New Roman"/>
                <w:color w:val="000000"/>
              </w:rPr>
            </w:pPr>
            <w:r>
              <w:rPr>
                <w:rFonts w:hint="eastAsia" w:ascii="Times New Roman" w:hAnsi="Times New Roman" w:eastAsia="宋体" w:cs="Times New Roman"/>
                <w:color w:val="000000"/>
              </w:rPr>
              <w:t>血常规</w:t>
            </w:r>
            <w:r>
              <w:rPr>
                <w:rFonts w:ascii="Times New Roman" w:hAnsi="Times New Roman" w:eastAsia="宋体" w:cs="Times New Roman"/>
                <w:color w:val="000000"/>
                <w:vertAlign w:val="superscript"/>
              </w:rPr>
              <w:t>9</w:t>
            </w:r>
          </w:p>
        </w:tc>
        <w:tc>
          <w:tcPr>
            <w:tcW w:w="0" w:type="auto"/>
            <w:tcBorders>
              <w:top w:val="nil"/>
              <w:left w:val="nil"/>
              <w:bottom w:val="single" w:color="auto" w:sz="4" w:space="0"/>
              <w:right w:val="single" w:color="auto" w:sz="4" w:space="0"/>
            </w:tcBorders>
            <w:noWrap/>
            <w:vAlign w:val="center"/>
          </w:tcPr>
          <w:p w14:paraId="4796AAE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F152BFB">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6B3EE9E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0C1A86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88812C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862AE9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C778DA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0FA691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F61EA2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0D06C639">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6FE6AEBA">
            <w:pPr>
              <w:widowControl/>
              <w:rPr>
                <w:rFonts w:ascii="Times New Roman" w:hAnsi="Times New Roman" w:eastAsia="宋体" w:cs="Times New Roman"/>
                <w:color w:val="000000"/>
              </w:rPr>
            </w:pPr>
            <w:r>
              <w:rPr>
                <w:rFonts w:hint="eastAsia" w:ascii="Times New Roman" w:hAnsi="Times New Roman" w:eastAsia="宋体" w:cs="Times New Roman"/>
                <w:color w:val="000000"/>
              </w:rPr>
              <w:t>尿常规</w:t>
            </w:r>
            <w:r>
              <w:rPr>
                <w:rFonts w:ascii="Times New Roman" w:hAnsi="Times New Roman" w:eastAsia="宋体" w:cs="Times New Roman"/>
                <w:color w:val="000000"/>
                <w:vertAlign w:val="superscript"/>
              </w:rPr>
              <w:t>10</w:t>
            </w:r>
          </w:p>
        </w:tc>
        <w:tc>
          <w:tcPr>
            <w:tcW w:w="0" w:type="auto"/>
            <w:tcBorders>
              <w:top w:val="nil"/>
              <w:left w:val="nil"/>
              <w:bottom w:val="single" w:color="auto" w:sz="4" w:space="0"/>
              <w:right w:val="single" w:color="auto" w:sz="4" w:space="0"/>
            </w:tcBorders>
            <w:noWrap/>
            <w:vAlign w:val="center"/>
          </w:tcPr>
          <w:p w14:paraId="6BB368E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3F8A1B5">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500388A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5CD19E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218F00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557463C">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A71B3D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9690E8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AA7DEA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73E7CF50">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5400BD99">
            <w:pPr>
              <w:widowControl/>
              <w:rPr>
                <w:rFonts w:ascii="Times New Roman" w:hAnsi="Times New Roman" w:eastAsia="宋体" w:cs="Times New Roman"/>
                <w:color w:val="000000"/>
              </w:rPr>
            </w:pPr>
            <w:r>
              <w:rPr>
                <w:rFonts w:hint="eastAsia" w:ascii="Times New Roman" w:hAnsi="Times New Roman" w:eastAsia="宋体" w:cs="Times New Roman"/>
                <w:color w:val="000000"/>
              </w:rPr>
              <w:t>血生化</w:t>
            </w:r>
            <w:r>
              <w:rPr>
                <w:rFonts w:ascii="Times New Roman" w:hAnsi="Times New Roman" w:eastAsia="宋体" w:cs="Times New Roman"/>
                <w:color w:val="000000"/>
                <w:vertAlign w:val="superscript"/>
              </w:rPr>
              <w:t>11</w:t>
            </w:r>
          </w:p>
        </w:tc>
        <w:tc>
          <w:tcPr>
            <w:tcW w:w="0" w:type="auto"/>
            <w:tcBorders>
              <w:top w:val="nil"/>
              <w:left w:val="nil"/>
              <w:bottom w:val="single" w:color="auto" w:sz="4" w:space="0"/>
              <w:right w:val="single" w:color="auto" w:sz="4" w:space="0"/>
            </w:tcBorders>
            <w:noWrap/>
            <w:vAlign w:val="center"/>
          </w:tcPr>
          <w:p w14:paraId="63FCDDEC">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21FE991">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392EA2A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7DCB69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0D3377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AB73C6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7E33FAC">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75758B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F12D58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51145291">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7D12AE83">
            <w:pPr>
              <w:widowControl/>
              <w:rPr>
                <w:rFonts w:ascii="Times New Roman" w:hAnsi="Times New Roman" w:eastAsia="宋体" w:cs="Times New Roman"/>
                <w:color w:val="000000"/>
              </w:rPr>
            </w:pPr>
            <w:r>
              <w:rPr>
                <w:rFonts w:hint="eastAsia" w:ascii="Times New Roman" w:hAnsi="Times New Roman" w:eastAsia="宋体" w:cs="Times New Roman"/>
                <w:color w:val="000000"/>
              </w:rPr>
              <w:t>凝血功能</w:t>
            </w:r>
            <w:r>
              <w:rPr>
                <w:rFonts w:ascii="Times New Roman" w:hAnsi="Times New Roman" w:eastAsia="宋体" w:cs="Times New Roman"/>
                <w:color w:val="000000"/>
                <w:vertAlign w:val="superscript"/>
              </w:rPr>
              <w:t>12</w:t>
            </w:r>
          </w:p>
        </w:tc>
        <w:tc>
          <w:tcPr>
            <w:tcW w:w="0" w:type="auto"/>
            <w:tcBorders>
              <w:top w:val="nil"/>
              <w:left w:val="nil"/>
              <w:bottom w:val="single" w:color="auto" w:sz="4" w:space="0"/>
              <w:right w:val="single" w:color="auto" w:sz="4" w:space="0"/>
            </w:tcBorders>
            <w:noWrap/>
            <w:vAlign w:val="center"/>
          </w:tcPr>
          <w:p w14:paraId="36BB379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8CB4073">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59C3B41B">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5CE0EB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2E904F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4FDE63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014A3E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7841D7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EB18862">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6D234433">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7BD66380">
            <w:pPr>
              <w:widowControl/>
              <w:rPr>
                <w:rFonts w:ascii="Times New Roman" w:hAnsi="Times New Roman" w:eastAsia="宋体" w:cs="Times New Roman"/>
                <w:color w:val="000000"/>
              </w:rPr>
            </w:pPr>
            <w:r>
              <w:rPr>
                <w:rFonts w:hint="eastAsia" w:ascii="Times New Roman" w:hAnsi="Times New Roman" w:eastAsia="宋体" w:cs="Times New Roman"/>
                <w:color w:val="000000"/>
              </w:rPr>
              <w:t>妊娠试验或卵泡刺激素（</w:t>
            </w:r>
            <w:r>
              <w:rPr>
                <w:rFonts w:ascii="Times New Roman" w:hAnsi="Times New Roman" w:eastAsia="宋体" w:cs="Times New Roman"/>
                <w:color w:val="000000"/>
              </w:rPr>
              <w:t>FSH</w:t>
            </w:r>
            <w:r>
              <w:rPr>
                <w:rFonts w:hint="eastAsia" w:ascii="Times New Roman" w:hAnsi="Times New Roman" w:eastAsia="宋体" w:cs="Times New Roman"/>
                <w:color w:val="000000"/>
              </w:rPr>
              <w:t>）</w:t>
            </w:r>
            <w:r>
              <w:rPr>
                <w:rFonts w:ascii="Times New Roman" w:hAnsi="Times New Roman" w:eastAsia="宋体" w:cs="Times New Roman"/>
                <w:color w:val="000000"/>
                <w:vertAlign w:val="superscript"/>
              </w:rPr>
              <w:t>13</w:t>
            </w:r>
          </w:p>
        </w:tc>
        <w:tc>
          <w:tcPr>
            <w:tcW w:w="0" w:type="auto"/>
            <w:tcBorders>
              <w:top w:val="nil"/>
              <w:left w:val="nil"/>
              <w:bottom w:val="single" w:color="auto" w:sz="4" w:space="0"/>
              <w:right w:val="single" w:color="auto" w:sz="4" w:space="0"/>
            </w:tcBorders>
            <w:noWrap/>
            <w:vAlign w:val="center"/>
          </w:tcPr>
          <w:p w14:paraId="0E217062">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D86BEF9">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0A6774F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635972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8B508C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797BD8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CEBCF3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C83F21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A96F23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50475B5C">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576B3E32">
            <w:pPr>
              <w:widowControl/>
              <w:rPr>
                <w:rFonts w:ascii="Times New Roman" w:hAnsi="Times New Roman" w:eastAsia="宋体" w:cs="Times New Roman"/>
                <w:color w:val="000000"/>
              </w:rPr>
            </w:pPr>
            <w:r>
              <w:rPr>
                <w:rFonts w:hint="eastAsia" w:ascii="Times New Roman" w:hAnsi="Times New Roman" w:eastAsia="宋体" w:cs="Times New Roman"/>
                <w:color w:val="000000"/>
              </w:rPr>
              <w:t>糖化血红蛋白</w:t>
            </w:r>
          </w:p>
        </w:tc>
        <w:tc>
          <w:tcPr>
            <w:tcW w:w="0" w:type="auto"/>
            <w:tcBorders>
              <w:top w:val="nil"/>
              <w:left w:val="nil"/>
              <w:bottom w:val="single" w:color="auto" w:sz="4" w:space="0"/>
              <w:right w:val="single" w:color="auto" w:sz="4" w:space="0"/>
            </w:tcBorders>
            <w:noWrap/>
            <w:vAlign w:val="center"/>
          </w:tcPr>
          <w:p w14:paraId="57C4187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AEC722C">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9B135C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1FFCCBA">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D7BBE5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B407725">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4AFF1B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99F199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5D9E9FA">
            <w:pPr>
              <w:widowControl/>
              <w:jc w:val="center"/>
              <w:rPr>
                <w:rFonts w:ascii="Times New Roman" w:hAnsi="Times New Roman" w:eastAsia="等线" w:cs="Times New Roman"/>
                <w:color w:val="000000"/>
              </w:rPr>
            </w:pPr>
          </w:p>
        </w:tc>
      </w:tr>
      <w:tr w14:paraId="69A41DBD">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480FA92A">
            <w:pPr>
              <w:widowControl/>
              <w:rPr>
                <w:rFonts w:ascii="Times New Roman" w:hAnsi="Times New Roman" w:eastAsia="宋体" w:cs="Times New Roman"/>
                <w:color w:val="000000"/>
              </w:rPr>
            </w:pPr>
            <w:r>
              <w:rPr>
                <w:rFonts w:hint="eastAsia" w:ascii="Times New Roman" w:hAnsi="Times New Roman" w:eastAsia="宋体" w:cs="Times New Roman"/>
                <w:color w:val="000000"/>
              </w:rPr>
              <w:t>病毒学检查</w:t>
            </w:r>
            <w:r>
              <w:rPr>
                <w:rFonts w:ascii="Times New Roman" w:hAnsi="Times New Roman" w:eastAsia="宋体" w:cs="Times New Roman"/>
                <w:color w:val="000000"/>
                <w:vertAlign w:val="superscript"/>
              </w:rPr>
              <w:t>14</w:t>
            </w:r>
          </w:p>
        </w:tc>
        <w:tc>
          <w:tcPr>
            <w:tcW w:w="0" w:type="auto"/>
            <w:tcBorders>
              <w:top w:val="nil"/>
              <w:left w:val="nil"/>
              <w:bottom w:val="single" w:color="auto" w:sz="4" w:space="0"/>
              <w:right w:val="single" w:color="auto" w:sz="4" w:space="0"/>
            </w:tcBorders>
            <w:noWrap/>
            <w:vAlign w:val="center"/>
          </w:tcPr>
          <w:p w14:paraId="41DCAB5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CF273C8">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5D27BB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6AC6550">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50D4D3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D7C621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E6D18B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F17D0A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7027309">
            <w:pPr>
              <w:widowControl/>
              <w:jc w:val="center"/>
              <w:rPr>
                <w:rFonts w:ascii="Times New Roman" w:hAnsi="Times New Roman" w:eastAsia="等线" w:cs="Times New Roman"/>
                <w:color w:val="000000"/>
              </w:rPr>
            </w:pPr>
          </w:p>
        </w:tc>
      </w:tr>
      <w:tr w14:paraId="1FE83359">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11416650">
            <w:pPr>
              <w:widowControl/>
              <w:rPr>
                <w:rFonts w:ascii="Times New Roman" w:hAnsi="Times New Roman" w:eastAsia="宋体" w:cs="Times New Roman"/>
                <w:color w:val="000000"/>
              </w:rPr>
            </w:pPr>
            <w:r>
              <w:rPr>
                <w:rFonts w:hint="eastAsia" w:ascii="Times New Roman" w:hAnsi="Times New Roman" w:eastAsia="宋体" w:cs="Times New Roman"/>
                <w:color w:val="000000"/>
              </w:rPr>
              <w:t>结核检测</w:t>
            </w:r>
            <w:r>
              <w:rPr>
                <w:rFonts w:ascii="Times New Roman" w:hAnsi="Times New Roman" w:eastAsia="宋体" w:cs="Times New Roman"/>
                <w:color w:val="000000"/>
                <w:vertAlign w:val="superscript"/>
              </w:rPr>
              <w:t>15</w:t>
            </w:r>
          </w:p>
        </w:tc>
        <w:tc>
          <w:tcPr>
            <w:tcW w:w="0" w:type="auto"/>
            <w:tcBorders>
              <w:top w:val="nil"/>
              <w:left w:val="nil"/>
              <w:bottom w:val="single" w:color="auto" w:sz="4" w:space="0"/>
              <w:right w:val="single" w:color="auto" w:sz="4" w:space="0"/>
            </w:tcBorders>
            <w:noWrap/>
            <w:vAlign w:val="center"/>
          </w:tcPr>
          <w:p w14:paraId="0D893C6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0D6A8BA">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EBD2FB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650261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194636C">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6F32837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BEA150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2DAC5D6">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632041F2">
            <w:pPr>
              <w:widowControl/>
              <w:jc w:val="center"/>
              <w:rPr>
                <w:rFonts w:ascii="Times New Roman" w:hAnsi="Times New Roman" w:eastAsia="等线" w:cs="Times New Roman"/>
                <w:color w:val="000000"/>
              </w:rPr>
            </w:pPr>
          </w:p>
        </w:tc>
      </w:tr>
      <w:tr w14:paraId="195C1A4A">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450E2E9B">
            <w:pPr>
              <w:widowControl/>
              <w:rPr>
                <w:rFonts w:ascii="Times New Roman" w:hAnsi="Times New Roman" w:eastAsia="宋体" w:cs="Times New Roman"/>
                <w:color w:val="000000"/>
              </w:rPr>
            </w:pPr>
            <w:r>
              <w:rPr>
                <w:rFonts w:hint="eastAsia" w:ascii="Times New Roman" w:hAnsi="Times New Roman" w:eastAsia="宋体" w:cs="Times New Roman"/>
                <w:color w:val="000000"/>
              </w:rPr>
              <w:t>胸部</w:t>
            </w:r>
            <w:r>
              <w:rPr>
                <w:rFonts w:ascii="Times New Roman" w:hAnsi="Times New Roman" w:eastAsia="宋体" w:cs="Times New Roman"/>
                <w:color w:val="000000"/>
              </w:rPr>
              <w:t>CT</w:t>
            </w:r>
            <w:r>
              <w:rPr>
                <w:rFonts w:hint="eastAsia" w:ascii="Times New Roman" w:hAnsi="Times New Roman" w:eastAsia="宋体" w:cs="Times New Roman"/>
                <w:color w:val="000000"/>
              </w:rPr>
              <w:t>平扫</w:t>
            </w:r>
            <w:r>
              <w:rPr>
                <w:rFonts w:ascii="Times New Roman" w:hAnsi="Times New Roman" w:eastAsia="宋体" w:cs="Times New Roman"/>
                <w:color w:val="000000"/>
                <w:vertAlign w:val="superscript"/>
              </w:rPr>
              <w:t>16</w:t>
            </w:r>
          </w:p>
        </w:tc>
        <w:tc>
          <w:tcPr>
            <w:tcW w:w="0" w:type="auto"/>
            <w:tcBorders>
              <w:top w:val="nil"/>
              <w:left w:val="nil"/>
              <w:bottom w:val="single" w:color="auto" w:sz="4" w:space="0"/>
              <w:right w:val="single" w:color="auto" w:sz="4" w:space="0"/>
            </w:tcBorders>
            <w:noWrap/>
            <w:vAlign w:val="center"/>
          </w:tcPr>
          <w:p w14:paraId="3E208A7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30B0657">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5D16215">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D9F1E8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CB2848B">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7B37B18">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574F5D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89C0CA6">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1333643">
            <w:pPr>
              <w:widowControl/>
              <w:jc w:val="center"/>
              <w:rPr>
                <w:rFonts w:ascii="Times New Roman" w:hAnsi="Times New Roman" w:eastAsia="等线" w:cs="Times New Roman"/>
                <w:color w:val="000000"/>
              </w:rPr>
            </w:pPr>
          </w:p>
        </w:tc>
      </w:tr>
      <w:tr w14:paraId="26410210">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332A748B">
            <w:pPr>
              <w:widowControl/>
              <w:rPr>
                <w:rFonts w:ascii="Times New Roman" w:hAnsi="Times New Roman" w:eastAsia="等线" w:cs="Times New Roman"/>
                <w:color w:val="000000"/>
              </w:rPr>
            </w:pPr>
            <w:r>
              <w:rPr>
                <w:rFonts w:ascii="Times New Roman" w:hAnsi="Times New Roman" w:eastAsia="等线" w:cs="Times New Roman"/>
                <w:color w:val="000000"/>
              </w:rPr>
              <w:t>12-</w:t>
            </w:r>
            <w:r>
              <w:rPr>
                <w:rFonts w:hint="eastAsia" w:ascii="Times New Roman" w:hAnsi="Times New Roman" w:eastAsia="宋体" w:cs="Times New Roman"/>
                <w:color w:val="000000"/>
              </w:rPr>
              <w:t>导联心电图</w:t>
            </w:r>
            <w:r>
              <w:rPr>
                <w:rFonts w:ascii="Times New Roman" w:hAnsi="Times New Roman" w:eastAsia="等线" w:cs="Times New Roman"/>
                <w:color w:val="000000"/>
                <w:vertAlign w:val="superscript"/>
              </w:rPr>
              <w:t>17</w:t>
            </w:r>
          </w:p>
        </w:tc>
        <w:tc>
          <w:tcPr>
            <w:tcW w:w="0" w:type="auto"/>
            <w:tcBorders>
              <w:top w:val="nil"/>
              <w:left w:val="nil"/>
              <w:bottom w:val="single" w:color="auto" w:sz="4" w:space="0"/>
              <w:right w:val="single" w:color="auto" w:sz="4" w:space="0"/>
            </w:tcBorders>
            <w:noWrap/>
            <w:vAlign w:val="center"/>
          </w:tcPr>
          <w:p w14:paraId="739886E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4AED3C0">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64037C8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FD3DFA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FE70EB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87482E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ABC501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34B29C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7216D8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5C802225">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1A79B652">
            <w:pPr>
              <w:widowControl/>
              <w:rPr>
                <w:rFonts w:ascii="Times New Roman" w:hAnsi="Times New Roman" w:eastAsia="等线" w:cs="Times New Roman"/>
                <w:color w:val="000000"/>
              </w:rPr>
            </w:pPr>
            <w:r>
              <w:rPr>
                <w:rFonts w:ascii="Times New Roman" w:hAnsi="Times New Roman" w:eastAsia="等线" w:cs="Times New Roman"/>
                <w:color w:val="000000"/>
              </w:rPr>
              <w:t>PASI</w:t>
            </w:r>
            <w:r>
              <w:rPr>
                <w:rFonts w:hint="eastAsia" w:ascii="Times New Roman" w:hAnsi="Times New Roman" w:eastAsia="宋体" w:cs="Times New Roman"/>
                <w:color w:val="000000"/>
              </w:rPr>
              <w:t>评分</w:t>
            </w:r>
          </w:p>
        </w:tc>
        <w:tc>
          <w:tcPr>
            <w:tcW w:w="0" w:type="auto"/>
            <w:tcBorders>
              <w:top w:val="nil"/>
              <w:left w:val="nil"/>
              <w:bottom w:val="single" w:color="auto" w:sz="4" w:space="0"/>
              <w:right w:val="single" w:color="auto" w:sz="4" w:space="0"/>
            </w:tcBorders>
            <w:noWrap/>
            <w:vAlign w:val="center"/>
          </w:tcPr>
          <w:p w14:paraId="286B2EB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349B619">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268DFED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70D34A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EF083C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598416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C33E46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7737B7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E8DB25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25DE6F2E">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6360D439">
            <w:pPr>
              <w:widowControl/>
              <w:rPr>
                <w:rFonts w:ascii="Times New Roman" w:hAnsi="Times New Roman" w:eastAsia="等线" w:cs="Times New Roman"/>
                <w:color w:val="000000"/>
              </w:rPr>
            </w:pPr>
            <w:r>
              <w:rPr>
                <w:rFonts w:ascii="Times New Roman" w:hAnsi="Times New Roman" w:eastAsia="等线" w:cs="Times New Roman"/>
                <w:color w:val="000000"/>
              </w:rPr>
              <w:t>PGA</w:t>
            </w:r>
            <w:r>
              <w:rPr>
                <w:rFonts w:hint="eastAsia" w:ascii="Times New Roman" w:hAnsi="Times New Roman" w:eastAsia="宋体" w:cs="Times New Roman"/>
                <w:color w:val="000000"/>
              </w:rPr>
              <w:t>评分</w:t>
            </w:r>
          </w:p>
        </w:tc>
        <w:tc>
          <w:tcPr>
            <w:tcW w:w="0" w:type="auto"/>
            <w:tcBorders>
              <w:top w:val="nil"/>
              <w:left w:val="nil"/>
              <w:bottom w:val="single" w:color="auto" w:sz="4" w:space="0"/>
              <w:right w:val="single" w:color="auto" w:sz="4" w:space="0"/>
            </w:tcBorders>
            <w:noWrap/>
            <w:vAlign w:val="center"/>
          </w:tcPr>
          <w:p w14:paraId="0D5CE97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03969B2">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51E6DDD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7021EA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D726F4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5B505E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F7F993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27AD68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23F9AA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66D45F0C">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7E442292">
            <w:pPr>
              <w:widowControl/>
              <w:rPr>
                <w:rFonts w:ascii="Times New Roman" w:hAnsi="Times New Roman" w:eastAsia="等线" w:cs="Times New Roman"/>
                <w:color w:val="000000"/>
              </w:rPr>
            </w:pPr>
            <w:r>
              <w:rPr>
                <w:rFonts w:ascii="Times New Roman" w:hAnsi="Times New Roman" w:eastAsia="等线" w:cs="Times New Roman"/>
                <w:color w:val="000000"/>
              </w:rPr>
              <w:t>BSA</w:t>
            </w:r>
            <w:r>
              <w:rPr>
                <w:rFonts w:hint="eastAsia" w:ascii="Times New Roman" w:hAnsi="Times New Roman" w:eastAsia="宋体" w:cs="Times New Roman"/>
                <w:color w:val="000000"/>
              </w:rPr>
              <w:t>评分</w:t>
            </w:r>
          </w:p>
        </w:tc>
        <w:tc>
          <w:tcPr>
            <w:tcW w:w="0" w:type="auto"/>
            <w:tcBorders>
              <w:top w:val="nil"/>
              <w:left w:val="nil"/>
              <w:bottom w:val="single" w:color="auto" w:sz="4" w:space="0"/>
              <w:right w:val="single" w:color="auto" w:sz="4" w:space="0"/>
            </w:tcBorders>
            <w:noWrap/>
            <w:vAlign w:val="center"/>
          </w:tcPr>
          <w:p w14:paraId="3E4712A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D23B81A">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6B63B0B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34E400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293466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B2C6C40">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7BF8BD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F4DD74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AF4ADA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5C84575E">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3D6CF826">
            <w:pPr>
              <w:widowControl/>
              <w:rPr>
                <w:rFonts w:ascii="Times New Roman" w:hAnsi="Times New Roman" w:eastAsia="等线" w:cs="Times New Roman"/>
                <w:color w:val="000000"/>
              </w:rPr>
            </w:pPr>
            <w:r>
              <w:rPr>
                <w:rFonts w:ascii="Times New Roman" w:hAnsi="Times New Roman" w:eastAsia="等线" w:cs="Times New Roman"/>
                <w:color w:val="000000"/>
              </w:rPr>
              <w:t>DLQI</w:t>
            </w:r>
            <w:r>
              <w:rPr>
                <w:rFonts w:hint="eastAsia" w:ascii="Times New Roman" w:hAnsi="Times New Roman" w:eastAsia="宋体" w:cs="Times New Roman"/>
                <w:color w:val="000000"/>
              </w:rPr>
              <w:t>评分</w:t>
            </w:r>
          </w:p>
        </w:tc>
        <w:tc>
          <w:tcPr>
            <w:tcW w:w="0" w:type="auto"/>
            <w:tcBorders>
              <w:top w:val="nil"/>
              <w:left w:val="nil"/>
              <w:bottom w:val="single" w:color="auto" w:sz="4" w:space="0"/>
              <w:right w:val="single" w:color="auto" w:sz="4" w:space="0"/>
            </w:tcBorders>
            <w:noWrap/>
            <w:vAlign w:val="center"/>
          </w:tcPr>
          <w:p w14:paraId="0DDC8CB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1BD6B7C">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567E2C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E32040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EBC70C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2350DC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2B963CC">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8A73D8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34B985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29F285CB">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740AB63D">
            <w:pPr>
              <w:widowControl/>
              <w:rPr>
                <w:rFonts w:ascii="Times New Roman" w:hAnsi="Times New Roman" w:eastAsia="宋体" w:cs="Times New Roman"/>
                <w:color w:val="000000"/>
                <w:highlight w:val="yellow"/>
              </w:rPr>
            </w:pPr>
            <w:r>
              <w:rPr>
                <w:rFonts w:hint="eastAsia" w:ascii="Times New Roman" w:hAnsi="Times New Roman" w:eastAsia="宋体" w:cs="Times New Roman"/>
                <w:color w:val="000000"/>
              </w:rPr>
              <w:t>获取皮损照片</w:t>
            </w:r>
            <w:r>
              <w:rPr>
                <w:rFonts w:ascii="Times New Roman" w:hAnsi="Times New Roman" w:eastAsia="宋体" w:cs="Times New Roman"/>
                <w:color w:val="000000"/>
                <w:vertAlign w:val="superscript"/>
              </w:rPr>
              <w:t>18</w:t>
            </w:r>
          </w:p>
        </w:tc>
        <w:tc>
          <w:tcPr>
            <w:tcW w:w="0" w:type="auto"/>
            <w:tcBorders>
              <w:top w:val="nil"/>
              <w:left w:val="nil"/>
              <w:bottom w:val="single" w:color="auto" w:sz="4" w:space="0"/>
              <w:right w:val="single" w:color="auto" w:sz="4" w:space="0"/>
            </w:tcBorders>
            <w:noWrap/>
            <w:vAlign w:val="center"/>
          </w:tcPr>
          <w:p w14:paraId="0154993E">
            <w:pPr>
              <w:widowControl/>
              <w:jc w:val="center"/>
              <w:rPr>
                <w:rFonts w:ascii="Times New Roman" w:hAnsi="Times New Roman" w:eastAsia="等线" w:cs="Times New Roman"/>
                <w:color w:val="000000"/>
                <w:highlight w:val="yellow"/>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4D80291">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5E8493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E57112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1B49AC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2CFE21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218DFF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C54208C">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5BDE8B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077F6DF9">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66009186">
            <w:pPr>
              <w:widowControl/>
              <w:rPr>
                <w:rFonts w:ascii="Times New Roman" w:hAnsi="Times New Roman" w:eastAsia="宋体" w:cs="Times New Roman"/>
                <w:color w:val="000000"/>
              </w:rPr>
            </w:pPr>
            <w:r>
              <w:rPr>
                <w:rFonts w:hint="eastAsia" w:ascii="Times New Roman" w:hAnsi="Times New Roman" w:eastAsia="宋体" w:cs="Times New Roman"/>
                <w:color w:val="000000"/>
              </w:rPr>
              <w:t>入排标准审核</w:t>
            </w:r>
          </w:p>
        </w:tc>
        <w:tc>
          <w:tcPr>
            <w:tcW w:w="0" w:type="auto"/>
            <w:tcBorders>
              <w:top w:val="nil"/>
              <w:left w:val="nil"/>
              <w:bottom w:val="single" w:color="auto" w:sz="4" w:space="0"/>
              <w:right w:val="single" w:color="auto" w:sz="4" w:space="0"/>
            </w:tcBorders>
            <w:noWrap/>
            <w:vAlign w:val="center"/>
          </w:tcPr>
          <w:p w14:paraId="418B13AC">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30CD17F">
            <w:pPr>
              <w:widowControl/>
              <w:jc w:val="center"/>
              <w:rPr>
                <w:rFonts w:ascii="Times New Roman" w:hAnsi="Times New Roman" w:eastAsia="等线" w:cs="Times New Roman"/>
                <w:color w:val="000000"/>
              </w:rPr>
            </w:pPr>
            <w:r>
              <w:rPr>
                <w:rFonts w:hint="eastAsia" w:ascii="Times New Roman" w:hAnsi="Times New Roman" w:eastAsia="等线" w:cs="Times New Roman"/>
                <w:color w:val="000000"/>
              </w:rPr>
              <w:t>（</w:t>
            </w:r>
            <w:r>
              <w:rPr>
                <w:rFonts w:ascii="Times New Roman" w:hAnsi="Times New Roman" w:eastAsia="等线" w:cs="Times New Roman"/>
                <w:color w:val="000000"/>
              </w:rPr>
              <w:t>X</w:t>
            </w:r>
            <w:r>
              <w:rPr>
                <w:rFonts w:hint="eastAsia" w:ascii="Times New Roman" w:hAnsi="Times New Roman" w:eastAsia="等线" w:cs="Times New Roman"/>
                <w:color w:val="000000"/>
              </w:rPr>
              <w:t>）</w:t>
            </w:r>
          </w:p>
        </w:tc>
        <w:tc>
          <w:tcPr>
            <w:tcW w:w="0" w:type="auto"/>
            <w:tcBorders>
              <w:top w:val="nil"/>
              <w:left w:val="nil"/>
              <w:bottom w:val="single" w:color="auto" w:sz="4" w:space="0"/>
              <w:right w:val="single" w:color="auto" w:sz="4" w:space="0"/>
            </w:tcBorders>
            <w:noWrap/>
            <w:vAlign w:val="center"/>
          </w:tcPr>
          <w:p w14:paraId="05ECA972">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AC20B20">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FD49BBF">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076072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16D8EF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5774E4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67A6E666">
            <w:pPr>
              <w:widowControl/>
              <w:jc w:val="center"/>
              <w:rPr>
                <w:rFonts w:ascii="Times New Roman" w:hAnsi="Times New Roman" w:eastAsia="等线" w:cs="Times New Roman"/>
                <w:color w:val="000000"/>
              </w:rPr>
            </w:pPr>
          </w:p>
        </w:tc>
      </w:tr>
      <w:tr w14:paraId="25B32126">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77AF2B80">
            <w:pPr>
              <w:widowControl/>
              <w:rPr>
                <w:rFonts w:ascii="Times New Roman" w:hAnsi="Times New Roman" w:eastAsia="宋体" w:cs="Times New Roman"/>
                <w:color w:val="000000"/>
              </w:rPr>
            </w:pPr>
            <w:r>
              <w:rPr>
                <w:rFonts w:hint="eastAsia" w:ascii="Times New Roman" w:hAnsi="Times New Roman" w:eastAsia="宋体" w:cs="Times New Roman"/>
                <w:color w:val="000000"/>
              </w:rPr>
              <w:t>随机</w:t>
            </w:r>
            <w:r>
              <w:rPr>
                <w:rFonts w:ascii="Times New Roman" w:hAnsi="Times New Roman" w:eastAsia="宋体" w:cs="Times New Roman"/>
                <w:color w:val="000000"/>
                <w:vertAlign w:val="superscript"/>
              </w:rPr>
              <w:t>19</w:t>
            </w:r>
          </w:p>
        </w:tc>
        <w:tc>
          <w:tcPr>
            <w:tcW w:w="0" w:type="auto"/>
            <w:tcBorders>
              <w:top w:val="nil"/>
              <w:left w:val="nil"/>
              <w:bottom w:val="single" w:color="auto" w:sz="4" w:space="0"/>
              <w:right w:val="single" w:color="auto" w:sz="4" w:space="0"/>
            </w:tcBorders>
            <w:noWrap/>
            <w:vAlign w:val="center"/>
          </w:tcPr>
          <w:p w14:paraId="7D7252FE">
            <w:pPr>
              <w:widowControl/>
              <w:jc w:val="center"/>
              <w:rPr>
                <w:rFonts w:ascii="Times New Roman" w:hAnsi="Times New Roman" w:eastAsia="等线" w:cs="Times New Roman"/>
                <w:color w:val="000000"/>
              </w:rPr>
            </w:pPr>
          </w:p>
        </w:tc>
        <w:tc>
          <w:tcPr>
            <w:tcW w:w="0" w:type="auto"/>
            <w:tcBorders>
              <w:top w:val="nil"/>
              <w:left w:val="nil"/>
              <w:bottom w:val="nil"/>
              <w:right w:val="nil"/>
            </w:tcBorders>
            <w:noWrap/>
            <w:vAlign w:val="bottom"/>
          </w:tcPr>
          <w:p w14:paraId="6D2DD701">
            <w:pPr>
              <w:widowControl/>
              <w:jc w:val="center"/>
              <w:rPr>
                <w:rFonts w:ascii="Times New Roman" w:hAnsi="Times New Roman" w:eastAsia="等线" w:cs="Times New Roman"/>
                <w:color w:val="000000"/>
              </w:rPr>
            </w:pPr>
          </w:p>
        </w:tc>
        <w:tc>
          <w:tcPr>
            <w:tcW w:w="0" w:type="auto"/>
            <w:tcBorders>
              <w:top w:val="nil"/>
              <w:left w:val="single" w:color="auto" w:sz="4" w:space="0"/>
              <w:bottom w:val="single" w:color="auto" w:sz="4" w:space="0"/>
              <w:right w:val="single" w:color="auto" w:sz="4" w:space="0"/>
            </w:tcBorders>
            <w:noWrap/>
            <w:vAlign w:val="center"/>
          </w:tcPr>
          <w:p w14:paraId="2071641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F29E94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FC401E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9AB5BD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D68F36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A8127B3">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C3725C7">
            <w:pPr>
              <w:widowControl/>
              <w:jc w:val="center"/>
              <w:rPr>
                <w:rFonts w:ascii="Times New Roman" w:hAnsi="Times New Roman" w:eastAsia="等线" w:cs="Times New Roman"/>
                <w:color w:val="000000"/>
              </w:rPr>
            </w:pPr>
          </w:p>
        </w:tc>
      </w:tr>
      <w:tr w14:paraId="75AE495F">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59E93235">
            <w:pPr>
              <w:widowControl/>
              <w:rPr>
                <w:rFonts w:ascii="Times New Roman" w:hAnsi="Times New Roman" w:eastAsia="等线" w:cs="Times New Roman"/>
                <w:color w:val="000000"/>
              </w:rPr>
            </w:pPr>
            <w:r>
              <w:rPr>
                <w:rFonts w:ascii="Times New Roman" w:hAnsi="Times New Roman" w:eastAsia="等线" w:cs="Times New Roman"/>
                <w:color w:val="000000"/>
              </w:rPr>
              <w:t>PK</w:t>
            </w:r>
            <w:r>
              <w:rPr>
                <w:rFonts w:hint="eastAsia" w:ascii="Times New Roman" w:hAnsi="Times New Roman" w:eastAsia="宋体" w:cs="Times New Roman"/>
                <w:color w:val="000000"/>
              </w:rPr>
              <w:t>采血</w:t>
            </w:r>
            <w:r>
              <w:rPr>
                <w:rFonts w:ascii="Times New Roman" w:hAnsi="Times New Roman" w:eastAsia="等线" w:cs="Times New Roman"/>
                <w:color w:val="000000"/>
                <w:vertAlign w:val="superscript"/>
              </w:rPr>
              <w:t>20</w:t>
            </w:r>
          </w:p>
        </w:tc>
        <w:tc>
          <w:tcPr>
            <w:tcW w:w="0" w:type="auto"/>
            <w:tcBorders>
              <w:top w:val="nil"/>
              <w:left w:val="nil"/>
              <w:bottom w:val="single" w:color="auto" w:sz="4" w:space="0"/>
              <w:right w:val="single" w:color="auto" w:sz="4" w:space="0"/>
            </w:tcBorders>
            <w:noWrap/>
            <w:vAlign w:val="center"/>
          </w:tcPr>
          <w:p w14:paraId="56674569">
            <w:pPr>
              <w:widowControl/>
              <w:jc w:val="center"/>
              <w:rPr>
                <w:rFonts w:ascii="Times New Roman" w:hAnsi="Times New Roman" w:eastAsia="等线" w:cs="Times New Roman"/>
                <w:color w:val="000000"/>
              </w:rPr>
            </w:pPr>
          </w:p>
        </w:tc>
        <w:tc>
          <w:tcPr>
            <w:tcW w:w="0" w:type="auto"/>
            <w:tcBorders>
              <w:top w:val="single" w:color="auto" w:sz="4" w:space="0"/>
              <w:left w:val="nil"/>
              <w:bottom w:val="single" w:color="auto" w:sz="4" w:space="0"/>
              <w:right w:val="single" w:color="auto" w:sz="4" w:space="0"/>
            </w:tcBorders>
            <w:noWrap/>
            <w:vAlign w:val="center"/>
          </w:tcPr>
          <w:p w14:paraId="03B40C8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B2A9B3B">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D2D52B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64EE5E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D14274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97A501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219B2C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638617A">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372AB86F">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7D58EF58">
            <w:pPr>
              <w:widowControl/>
              <w:rPr>
                <w:rFonts w:ascii="Times New Roman" w:hAnsi="Times New Roman" w:eastAsia="宋体" w:cs="Times New Roman"/>
                <w:color w:val="000000"/>
              </w:rPr>
            </w:pPr>
            <w:r>
              <w:rPr>
                <w:rFonts w:ascii="Times New Roman" w:hAnsi="Times New Roman" w:eastAsia="宋体" w:cs="Times New Roman"/>
                <w:color w:val="000000"/>
              </w:rPr>
              <w:t>IL-17A</w:t>
            </w:r>
            <w:r>
              <w:rPr>
                <w:rFonts w:hint="eastAsia" w:ascii="Times New Roman" w:hAnsi="Times New Roman" w:eastAsia="宋体" w:cs="Times New Roman"/>
                <w:color w:val="000000"/>
              </w:rPr>
              <w:t>采血</w:t>
            </w:r>
            <w:r>
              <w:rPr>
                <w:rFonts w:ascii="Times New Roman" w:hAnsi="Times New Roman" w:eastAsia="等线" w:cs="Times New Roman"/>
                <w:color w:val="000000"/>
                <w:vertAlign w:val="superscript"/>
              </w:rPr>
              <w:t>21</w:t>
            </w:r>
          </w:p>
        </w:tc>
        <w:tc>
          <w:tcPr>
            <w:tcW w:w="0" w:type="auto"/>
            <w:tcBorders>
              <w:top w:val="nil"/>
              <w:left w:val="nil"/>
              <w:bottom w:val="single" w:color="auto" w:sz="4" w:space="0"/>
              <w:right w:val="single" w:color="auto" w:sz="4" w:space="0"/>
            </w:tcBorders>
            <w:noWrap/>
            <w:vAlign w:val="center"/>
          </w:tcPr>
          <w:p w14:paraId="57E30B7D">
            <w:pPr>
              <w:widowControl/>
              <w:jc w:val="center"/>
              <w:rPr>
                <w:rFonts w:ascii="Times New Roman" w:hAnsi="Times New Roman" w:eastAsia="等线" w:cs="Times New Roman"/>
                <w:color w:val="000000"/>
              </w:rPr>
            </w:pPr>
          </w:p>
        </w:tc>
        <w:tc>
          <w:tcPr>
            <w:tcW w:w="0" w:type="auto"/>
            <w:tcBorders>
              <w:top w:val="single" w:color="auto" w:sz="4" w:space="0"/>
              <w:left w:val="nil"/>
              <w:bottom w:val="single" w:color="auto" w:sz="4" w:space="0"/>
              <w:right w:val="single" w:color="auto" w:sz="4" w:space="0"/>
            </w:tcBorders>
            <w:noWrap/>
            <w:vAlign w:val="center"/>
          </w:tcPr>
          <w:p w14:paraId="3C3C927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ACB300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FFE45B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8C69C0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65DC5F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680586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4CBCEF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9D0B7D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39B31A91">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270474C1">
            <w:pPr>
              <w:widowControl/>
              <w:rPr>
                <w:rFonts w:ascii="Times New Roman" w:hAnsi="Times New Roman" w:eastAsia="宋体" w:cs="Times New Roman"/>
                <w:color w:val="000000"/>
              </w:rPr>
            </w:pPr>
            <w:r>
              <w:rPr>
                <w:rFonts w:hint="eastAsia" w:ascii="Times New Roman" w:hAnsi="Times New Roman" w:eastAsia="宋体" w:cs="Times New Roman"/>
                <w:color w:val="000000"/>
              </w:rPr>
              <w:t>服用试验用药品</w:t>
            </w:r>
            <w:r>
              <w:rPr>
                <w:rFonts w:ascii="Times New Roman" w:hAnsi="Times New Roman" w:eastAsia="宋体" w:cs="Times New Roman"/>
                <w:color w:val="000000"/>
                <w:vertAlign w:val="superscript"/>
              </w:rPr>
              <w:t>22</w:t>
            </w:r>
          </w:p>
        </w:tc>
        <w:tc>
          <w:tcPr>
            <w:tcW w:w="0" w:type="auto"/>
            <w:tcBorders>
              <w:top w:val="nil"/>
              <w:left w:val="nil"/>
              <w:bottom w:val="single" w:color="auto" w:sz="4" w:space="0"/>
              <w:right w:val="single" w:color="auto" w:sz="4" w:space="0"/>
            </w:tcBorders>
            <w:noWrap/>
            <w:vAlign w:val="center"/>
          </w:tcPr>
          <w:p w14:paraId="6307E52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3EE3EC3D">
            <w:pPr>
              <w:widowControl/>
              <w:jc w:val="center"/>
              <w:rPr>
                <w:rFonts w:ascii="Times New Roman" w:hAnsi="Times New Roman" w:eastAsia="等线" w:cs="Times New Roman"/>
                <w:color w:val="000000"/>
              </w:rPr>
            </w:pPr>
          </w:p>
        </w:tc>
        <w:tc>
          <w:tcPr>
            <w:tcW w:w="0" w:type="auto"/>
            <w:gridSpan w:val="4"/>
            <w:tcBorders>
              <w:top w:val="nil"/>
              <w:left w:val="nil"/>
              <w:bottom w:val="single" w:color="auto" w:sz="4" w:space="0"/>
              <w:right w:val="single" w:color="auto" w:sz="4" w:space="0"/>
            </w:tcBorders>
            <w:noWrap/>
            <w:vAlign w:val="center"/>
          </w:tcPr>
          <w:p w14:paraId="33B987F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7A95D16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r>
              <w:rPr>
                <w:rFonts w:ascii="Times New Roman" w:hAnsi="Times New Roman" w:eastAsia="宋体" w:cs="Times New Roman"/>
                <w:color w:val="000000"/>
                <w:vertAlign w:val="superscript"/>
              </w:rPr>
              <w:t>22</w:t>
            </w:r>
          </w:p>
        </w:tc>
        <w:tc>
          <w:tcPr>
            <w:tcW w:w="0" w:type="auto"/>
            <w:tcBorders>
              <w:top w:val="nil"/>
              <w:left w:val="nil"/>
              <w:bottom w:val="single" w:color="auto" w:sz="4" w:space="0"/>
              <w:right w:val="single" w:color="auto" w:sz="4" w:space="0"/>
            </w:tcBorders>
            <w:noWrap/>
            <w:vAlign w:val="center"/>
          </w:tcPr>
          <w:p w14:paraId="3C0836D8">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69E39896">
            <w:pPr>
              <w:widowControl/>
              <w:jc w:val="center"/>
              <w:rPr>
                <w:rFonts w:ascii="Times New Roman" w:hAnsi="Times New Roman" w:eastAsia="等线" w:cs="Times New Roman"/>
                <w:color w:val="000000"/>
              </w:rPr>
            </w:pPr>
          </w:p>
        </w:tc>
      </w:tr>
      <w:tr w14:paraId="639A46DC">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0B696BB8">
            <w:pPr>
              <w:widowControl/>
              <w:rPr>
                <w:rFonts w:ascii="Times New Roman" w:hAnsi="Times New Roman" w:eastAsia="宋体" w:cs="Times New Roman"/>
                <w:color w:val="000000"/>
              </w:rPr>
            </w:pPr>
            <w:r>
              <w:rPr>
                <w:rFonts w:hint="eastAsia" w:ascii="Times New Roman" w:hAnsi="Times New Roman" w:eastAsia="宋体" w:cs="Times New Roman"/>
                <w:color w:val="000000"/>
              </w:rPr>
              <w:t>分发试验用药品</w:t>
            </w:r>
            <w:r>
              <w:rPr>
                <w:rFonts w:ascii="Times New Roman" w:hAnsi="Times New Roman" w:eastAsia="宋体" w:cs="Times New Roman"/>
                <w:color w:val="000000"/>
                <w:vertAlign w:val="superscript"/>
              </w:rPr>
              <w:t>22</w:t>
            </w:r>
          </w:p>
        </w:tc>
        <w:tc>
          <w:tcPr>
            <w:tcW w:w="0" w:type="auto"/>
            <w:tcBorders>
              <w:top w:val="nil"/>
              <w:left w:val="nil"/>
              <w:bottom w:val="single" w:color="auto" w:sz="4" w:space="0"/>
              <w:right w:val="single" w:color="auto" w:sz="4" w:space="0"/>
            </w:tcBorders>
            <w:noWrap/>
            <w:vAlign w:val="center"/>
          </w:tcPr>
          <w:p w14:paraId="1389DAE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3B56358">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E483B4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47ADAAF">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DADD9A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7CD24F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B4B264B">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0071595">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51FA02A0">
            <w:pPr>
              <w:widowControl/>
              <w:jc w:val="center"/>
              <w:rPr>
                <w:rFonts w:ascii="Times New Roman" w:hAnsi="Times New Roman" w:eastAsia="等线" w:cs="Times New Roman"/>
                <w:color w:val="000000"/>
              </w:rPr>
            </w:pPr>
          </w:p>
        </w:tc>
      </w:tr>
      <w:tr w14:paraId="2E991254">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4B668124">
            <w:pPr>
              <w:widowControl/>
              <w:rPr>
                <w:rFonts w:ascii="Times New Roman" w:hAnsi="Times New Roman" w:eastAsia="宋体" w:cs="Times New Roman"/>
                <w:color w:val="000000"/>
              </w:rPr>
            </w:pPr>
            <w:r>
              <w:rPr>
                <w:rFonts w:hint="eastAsia" w:ascii="Times New Roman" w:hAnsi="Times New Roman" w:eastAsia="宋体" w:cs="Times New Roman"/>
                <w:color w:val="000000"/>
              </w:rPr>
              <w:t>回收试验用药品</w:t>
            </w:r>
            <w:r>
              <w:rPr>
                <w:rFonts w:ascii="Times New Roman" w:hAnsi="Times New Roman" w:eastAsia="宋体" w:cs="Times New Roman"/>
                <w:color w:val="000000"/>
                <w:vertAlign w:val="superscript"/>
              </w:rPr>
              <w:t>22</w:t>
            </w:r>
          </w:p>
        </w:tc>
        <w:tc>
          <w:tcPr>
            <w:tcW w:w="0" w:type="auto"/>
            <w:tcBorders>
              <w:top w:val="nil"/>
              <w:left w:val="nil"/>
              <w:bottom w:val="single" w:color="auto" w:sz="4" w:space="0"/>
              <w:right w:val="single" w:color="auto" w:sz="4" w:space="0"/>
            </w:tcBorders>
            <w:noWrap/>
            <w:vAlign w:val="center"/>
          </w:tcPr>
          <w:p w14:paraId="6F223C5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4BCDA2E0">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4DB2CE9">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BAF14A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F131298">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DCE9A9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743893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2F80CC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69C7ACD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205CDFF5">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6B99E700">
            <w:pPr>
              <w:widowControl/>
              <w:rPr>
                <w:rFonts w:ascii="Times New Roman" w:hAnsi="Times New Roman" w:eastAsia="宋体" w:cs="Times New Roman"/>
                <w:color w:val="000000"/>
              </w:rPr>
            </w:pPr>
            <w:r>
              <w:rPr>
                <w:rFonts w:hint="eastAsia" w:ascii="Times New Roman" w:hAnsi="Times New Roman" w:eastAsia="宋体" w:cs="Times New Roman"/>
                <w:color w:val="000000"/>
              </w:rPr>
              <w:t>参与者日记卡发放</w:t>
            </w:r>
            <w:r>
              <w:rPr>
                <w:rFonts w:ascii="Times New Roman" w:hAnsi="Times New Roman" w:eastAsia="宋体" w:cs="Times New Roman"/>
                <w:color w:val="000000"/>
                <w:vertAlign w:val="superscript"/>
              </w:rPr>
              <w:t>23</w:t>
            </w:r>
          </w:p>
        </w:tc>
        <w:tc>
          <w:tcPr>
            <w:tcW w:w="0" w:type="auto"/>
            <w:tcBorders>
              <w:top w:val="nil"/>
              <w:left w:val="nil"/>
              <w:bottom w:val="single" w:color="auto" w:sz="4" w:space="0"/>
              <w:right w:val="single" w:color="auto" w:sz="4" w:space="0"/>
            </w:tcBorders>
            <w:noWrap/>
            <w:vAlign w:val="center"/>
          </w:tcPr>
          <w:p w14:paraId="45097D70">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634275C">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AB5C571">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7EFD3C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C0F5984">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93C9B8D">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18B8EE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73D4FE3">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BB1DD77">
            <w:pPr>
              <w:widowControl/>
              <w:jc w:val="center"/>
              <w:rPr>
                <w:rFonts w:ascii="Times New Roman" w:hAnsi="Times New Roman" w:eastAsia="等线" w:cs="Times New Roman"/>
                <w:color w:val="000000"/>
              </w:rPr>
            </w:pPr>
          </w:p>
        </w:tc>
      </w:tr>
      <w:tr w14:paraId="1217E03E">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noWrap/>
            <w:vAlign w:val="center"/>
          </w:tcPr>
          <w:p w14:paraId="7B83F8EF">
            <w:pPr>
              <w:widowControl/>
              <w:rPr>
                <w:rFonts w:ascii="Times New Roman" w:hAnsi="Times New Roman" w:eastAsia="宋体" w:cs="Times New Roman"/>
                <w:color w:val="000000"/>
              </w:rPr>
            </w:pPr>
            <w:r>
              <w:rPr>
                <w:rFonts w:hint="eastAsia" w:ascii="Times New Roman" w:hAnsi="Times New Roman" w:eastAsia="宋体" w:cs="Times New Roman"/>
                <w:color w:val="000000"/>
              </w:rPr>
              <w:t>参与者日记卡回收</w:t>
            </w:r>
            <w:r>
              <w:rPr>
                <w:rFonts w:ascii="Times New Roman" w:hAnsi="Times New Roman" w:eastAsia="宋体" w:cs="Times New Roman"/>
                <w:color w:val="000000"/>
                <w:vertAlign w:val="superscript"/>
              </w:rPr>
              <w:t>23</w:t>
            </w:r>
          </w:p>
        </w:tc>
        <w:tc>
          <w:tcPr>
            <w:tcW w:w="0" w:type="auto"/>
            <w:tcBorders>
              <w:top w:val="nil"/>
              <w:left w:val="nil"/>
              <w:bottom w:val="single" w:color="auto" w:sz="4" w:space="0"/>
              <w:right w:val="single" w:color="auto" w:sz="4" w:space="0"/>
            </w:tcBorders>
            <w:noWrap/>
            <w:vAlign w:val="center"/>
          </w:tcPr>
          <w:p w14:paraId="5CCBA010">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8BED79C">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22D073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158FD54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1186EE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1A218445">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43650942">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5882DE72">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BA4747B">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26618850">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60C9A4D0">
            <w:pPr>
              <w:widowControl/>
              <w:rPr>
                <w:rFonts w:ascii="Times New Roman" w:hAnsi="Times New Roman" w:eastAsia="宋体" w:cs="Times New Roman"/>
                <w:color w:val="000000"/>
              </w:rPr>
            </w:pPr>
            <w:r>
              <w:rPr>
                <w:rFonts w:hint="eastAsia" w:ascii="Times New Roman" w:hAnsi="Times New Roman" w:eastAsia="宋体" w:cs="Times New Roman"/>
                <w:color w:val="000000"/>
              </w:rPr>
              <w:t>用药依从性评估</w:t>
            </w:r>
            <w:r>
              <w:rPr>
                <w:rFonts w:ascii="Times New Roman" w:hAnsi="Times New Roman" w:eastAsia="宋体" w:cs="Times New Roman"/>
                <w:color w:val="000000"/>
                <w:vertAlign w:val="superscript"/>
              </w:rPr>
              <w:t>24</w:t>
            </w:r>
          </w:p>
        </w:tc>
        <w:tc>
          <w:tcPr>
            <w:tcW w:w="0" w:type="auto"/>
            <w:tcBorders>
              <w:top w:val="nil"/>
              <w:left w:val="nil"/>
              <w:bottom w:val="single" w:color="auto" w:sz="4" w:space="0"/>
              <w:right w:val="single" w:color="auto" w:sz="4" w:space="0"/>
            </w:tcBorders>
            <w:noWrap/>
            <w:vAlign w:val="center"/>
          </w:tcPr>
          <w:p w14:paraId="77645BC4">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17D6D1D">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20D818F3">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259FAC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3AC5764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096666F6">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6CBE20AE">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c>
          <w:tcPr>
            <w:tcW w:w="0" w:type="auto"/>
            <w:tcBorders>
              <w:top w:val="nil"/>
              <w:left w:val="nil"/>
              <w:bottom w:val="single" w:color="auto" w:sz="4" w:space="0"/>
              <w:right w:val="single" w:color="auto" w:sz="4" w:space="0"/>
            </w:tcBorders>
            <w:noWrap/>
            <w:vAlign w:val="center"/>
          </w:tcPr>
          <w:p w14:paraId="2E12A20A">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7E0D8CD7">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4FF94DBA">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3CDF7063">
            <w:pPr>
              <w:widowControl/>
              <w:rPr>
                <w:rFonts w:ascii="Times New Roman" w:hAnsi="Times New Roman" w:eastAsia="宋体" w:cs="Times New Roman"/>
                <w:color w:val="000000"/>
              </w:rPr>
            </w:pPr>
            <w:r>
              <w:rPr>
                <w:rFonts w:hint="eastAsia" w:ascii="Times New Roman" w:hAnsi="Times New Roman" w:eastAsia="宋体" w:cs="Times New Roman"/>
                <w:color w:val="000000"/>
              </w:rPr>
              <w:t>合并治疗</w:t>
            </w:r>
            <w:r>
              <w:rPr>
                <w:rFonts w:ascii="Times New Roman" w:hAnsi="Times New Roman" w:eastAsia="宋体" w:cs="Times New Roman"/>
                <w:color w:val="000000"/>
                <w:vertAlign w:val="superscript"/>
              </w:rPr>
              <w:t>25</w:t>
            </w:r>
          </w:p>
        </w:tc>
        <w:tc>
          <w:tcPr>
            <w:tcW w:w="0" w:type="auto"/>
            <w:gridSpan w:val="9"/>
            <w:tcBorders>
              <w:top w:val="single" w:color="auto" w:sz="4" w:space="0"/>
              <w:left w:val="nil"/>
              <w:bottom w:val="single" w:color="auto" w:sz="4" w:space="0"/>
              <w:right w:val="single" w:color="auto" w:sz="4" w:space="0"/>
            </w:tcBorders>
            <w:noWrap/>
            <w:vAlign w:val="center"/>
          </w:tcPr>
          <w:p w14:paraId="5BCDD063">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r w14:paraId="5D8D9126">
        <w:tblPrEx>
          <w:tblCellMar>
            <w:top w:w="0" w:type="dxa"/>
            <w:left w:w="108" w:type="dxa"/>
            <w:bottom w:w="0" w:type="dxa"/>
            <w:right w:w="108" w:type="dxa"/>
          </w:tblCellMar>
        </w:tblPrEx>
        <w:trPr>
          <w:trHeight w:val="336" w:hRule="atLeast"/>
        </w:trPr>
        <w:tc>
          <w:tcPr>
            <w:tcW w:w="0" w:type="auto"/>
            <w:tcBorders>
              <w:top w:val="nil"/>
              <w:left w:val="single" w:color="auto" w:sz="4" w:space="0"/>
              <w:bottom w:val="single" w:color="auto" w:sz="4" w:space="0"/>
              <w:right w:val="single" w:color="auto" w:sz="4" w:space="0"/>
            </w:tcBorders>
            <w:noWrap/>
            <w:vAlign w:val="center"/>
          </w:tcPr>
          <w:p w14:paraId="3F2AACA7">
            <w:pPr>
              <w:widowControl/>
              <w:rPr>
                <w:rFonts w:ascii="Times New Roman" w:hAnsi="Times New Roman" w:eastAsia="宋体" w:cs="Times New Roman"/>
                <w:color w:val="000000"/>
              </w:rPr>
            </w:pPr>
            <w:r>
              <w:rPr>
                <w:rFonts w:hint="eastAsia" w:ascii="Times New Roman" w:hAnsi="Times New Roman" w:eastAsia="宋体" w:cs="Times New Roman"/>
                <w:color w:val="000000"/>
              </w:rPr>
              <w:t>不良事件</w:t>
            </w:r>
            <w:r>
              <w:rPr>
                <w:rFonts w:ascii="Times New Roman" w:hAnsi="Times New Roman" w:eastAsia="宋体" w:cs="Times New Roman"/>
                <w:color w:val="000000"/>
                <w:vertAlign w:val="superscript"/>
              </w:rPr>
              <w:t>26</w:t>
            </w:r>
          </w:p>
        </w:tc>
        <w:tc>
          <w:tcPr>
            <w:tcW w:w="0" w:type="auto"/>
            <w:tcBorders>
              <w:top w:val="nil"/>
              <w:left w:val="nil"/>
              <w:bottom w:val="single" w:color="auto" w:sz="4" w:space="0"/>
              <w:right w:val="single" w:color="auto" w:sz="4" w:space="0"/>
            </w:tcBorders>
            <w:noWrap/>
            <w:vAlign w:val="center"/>
          </w:tcPr>
          <w:p w14:paraId="632E4E1E">
            <w:pPr>
              <w:widowControl/>
              <w:jc w:val="center"/>
              <w:rPr>
                <w:rFonts w:ascii="Times New Roman" w:hAnsi="Times New Roman" w:eastAsia="等线" w:cs="Times New Roman"/>
                <w:color w:val="000000"/>
              </w:rPr>
            </w:pPr>
          </w:p>
        </w:tc>
        <w:tc>
          <w:tcPr>
            <w:tcW w:w="0" w:type="auto"/>
            <w:tcBorders>
              <w:top w:val="nil"/>
              <w:left w:val="nil"/>
              <w:bottom w:val="single" w:color="auto" w:sz="4" w:space="0"/>
              <w:right w:val="single" w:color="auto" w:sz="4" w:space="0"/>
            </w:tcBorders>
            <w:noWrap/>
            <w:vAlign w:val="center"/>
          </w:tcPr>
          <w:p w14:paraId="0277D1BC">
            <w:pPr>
              <w:widowControl/>
              <w:jc w:val="center"/>
              <w:rPr>
                <w:rFonts w:ascii="Times New Roman" w:hAnsi="Times New Roman" w:eastAsia="等线" w:cs="Times New Roman"/>
                <w:color w:val="000000"/>
              </w:rPr>
            </w:pPr>
          </w:p>
        </w:tc>
        <w:tc>
          <w:tcPr>
            <w:tcW w:w="0" w:type="auto"/>
            <w:gridSpan w:val="7"/>
            <w:tcBorders>
              <w:top w:val="nil"/>
              <w:left w:val="nil"/>
              <w:bottom w:val="single" w:color="auto" w:sz="4" w:space="0"/>
              <w:right w:val="single" w:color="auto" w:sz="4" w:space="0"/>
            </w:tcBorders>
            <w:noWrap/>
            <w:vAlign w:val="center"/>
          </w:tcPr>
          <w:p w14:paraId="00A88F49">
            <w:pPr>
              <w:widowControl/>
              <w:jc w:val="center"/>
              <w:rPr>
                <w:rFonts w:ascii="Times New Roman" w:hAnsi="Times New Roman" w:eastAsia="等线" w:cs="Times New Roman"/>
                <w:color w:val="000000"/>
              </w:rPr>
            </w:pPr>
            <w:r>
              <w:rPr>
                <w:rFonts w:ascii="Times New Roman" w:hAnsi="Times New Roman" w:eastAsia="等线" w:cs="Times New Roman"/>
                <w:color w:val="000000"/>
              </w:rPr>
              <w:t>X</w:t>
            </w:r>
          </w:p>
        </w:tc>
      </w:tr>
    </w:tbl>
    <w:p w14:paraId="60B47B45">
      <w:pPr>
        <w:autoSpaceDE/>
        <w:autoSpaceDN/>
        <w:spacing w:line="360" w:lineRule="auto"/>
        <w:jc w:val="both"/>
        <w:rPr>
          <w:rFonts w:ascii="Times New Roman" w:hAnsi="Times New Roman" w:eastAsia="宋体" w:cs="Times New Roman"/>
          <w:kern w:val="2"/>
          <w:sz w:val="21"/>
          <w:szCs w:val="21"/>
        </w:rPr>
      </w:pPr>
    </w:p>
    <w:p w14:paraId="37E49970">
      <w:pPr>
        <w:autoSpaceDE/>
        <w:autoSpaceDN/>
        <w:spacing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注：计划外访视可根据研究者的判断在任何时间进行，并可根据临床指征进行必要的临床和实验室检查。</w:t>
      </w:r>
    </w:p>
    <w:p w14:paraId="53F881A0">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开始任何试验流程之前签署知情同意书。</w:t>
      </w:r>
    </w:p>
    <w:p w14:paraId="23825A2E">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如果筛选访视和</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访视间隔≤</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天，则筛选和基线访视可合并进行，两次访视中相同的评估事项可只进行一次。如果筛选访视和</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访视间隔＞</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天，则需在</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天前</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天内进行基线访视。以给药前最近一次评估结果作为基线值。生命体征、疗效指标（</w:t>
      </w:r>
      <w:r>
        <w:rPr>
          <w:rFonts w:ascii="Times New Roman" w:hAnsi="Times New Roman" w:eastAsia="宋体" w:cs="Times New Roman"/>
          <w:kern w:val="2"/>
          <w:sz w:val="21"/>
          <w:szCs w:val="21"/>
        </w:rPr>
        <w:t>PASI</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PGA</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BSA</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DLQI</w:t>
      </w:r>
      <w:r>
        <w:rPr>
          <w:rFonts w:hint="eastAsia" w:ascii="Times New Roman" w:hAnsi="Times New Roman" w:eastAsia="宋体" w:cs="Times New Roman"/>
          <w:kern w:val="2"/>
          <w:sz w:val="21"/>
          <w:szCs w:val="21"/>
        </w:rPr>
        <w:t>）、皮损照片以</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给药前结果作为基线值。</w:t>
      </w:r>
    </w:p>
    <w:p w14:paraId="20194457">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人口学资料：包括出生日期、性别、民族、年龄等信息。</w:t>
      </w:r>
    </w:p>
    <w:p w14:paraId="71860C45">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既往和现病史收集：包括既往病史</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伴随疾病、过敏史、个人史（吸烟史、饮酒史、药物滥用史）、家族史、月经史（女性）、生育史（女性）等。病史应包括尽可能过去</w:t>
      </w:r>
      <w:r>
        <w:rPr>
          <w:rFonts w:ascii="Times New Roman" w:hAnsi="Times New Roman" w:eastAsia="宋体" w:cs="Times New Roman"/>
          <w:kern w:val="2"/>
          <w:sz w:val="21"/>
          <w:szCs w:val="21"/>
        </w:rPr>
        <w:t>2</w:t>
      </w:r>
      <w:r>
        <w:rPr>
          <w:rFonts w:hint="eastAsia" w:ascii="Times New Roman" w:hAnsi="Times New Roman" w:eastAsia="宋体" w:cs="Times New Roman"/>
          <w:kern w:val="2"/>
          <w:sz w:val="21"/>
          <w:szCs w:val="21"/>
        </w:rPr>
        <w:t>年内研究者认为具有临床意义的个人病史信息。银屑病病史应记录详细信息，包括诊断时间、相关疾病特征、病程等。</w:t>
      </w:r>
      <w:r>
        <w:rPr>
          <w:rFonts w:hint="eastAsia" w:ascii="Times New Roman" w:hAnsi="Times New Roman" w:eastAsia="宋体" w:cs="Times New Roman"/>
          <w:szCs w:val="21"/>
        </w:rPr>
        <w:t>排除标准中要求审查的病史时间范围遵循排除标准的规定时间收集。</w:t>
      </w:r>
    </w:p>
    <w:p w14:paraId="24D3D6AE">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治疗史收集：包括药物治疗史、非药物治疗史及手术史等，尽可能收集银屑病相关的治疗史，其他疾病过去半年内的治疗史。排除标准中要求审查的病史时间范围遵循排除标准的规定时间收集。</w:t>
      </w:r>
    </w:p>
    <w:p w14:paraId="06C623FA">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身高和体重：筛选访视进行身高和体重测量，其余访视点进行体重测量。</w:t>
      </w:r>
    </w:p>
    <w:p w14:paraId="3D38B7EC">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生命体征：筛选期、</w:t>
      </w:r>
      <w:r>
        <w:rPr>
          <w:rFonts w:ascii="Times New Roman" w:hAnsi="Times New Roman" w:eastAsia="宋体" w:cs="Times New Roman"/>
          <w:kern w:val="2"/>
          <w:sz w:val="21"/>
          <w:szCs w:val="21"/>
        </w:rPr>
        <w:t>D1/D15/D29/D57/D85</w:t>
      </w:r>
      <w:r>
        <w:rPr>
          <w:rFonts w:hint="eastAsia" w:ascii="Times New Roman" w:hAnsi="Times New Roman" w:eastAsia="宋体" w:cs="Times New Roman"/>
          <w:kern w:val="2"/>
          <w:sz w:val="21"/>
          <w:szCs w:val="21"/>
        </w:rPr>
        <w:t>（当天用药前）、</w:t>
      </w:r>
      <w:r>
        <w:rPr>
          <w:rFonts w:ascii="Times New Roman" w:hAnsi="Times New Roman" w:eastAsia="宋体" w:cs="Times New Roman"/>
          <w:kern w:val="2"/>
          <w:sz w:val="21"/>
          <w:szCs w:val="21"/>
        </w:rPr>
        <w:t>D113</w:t>
      </w:r>
      <w:r>
        <w:rPr>
          <w:rFonts w:hint="eastAsia" w:ascii="Times New Roman" w:hAnsi="Times New Roman" w:eastAsia="宋体" w:cs="Times New Roman"/>
          <w:kern w:val="2"/>
          <w:sz w:val="21"/>
          <w:szCs w:val="21"/>
        </w:rPr>
        <w:t>或提前退出时进行测量。测量前建议静息至少</w:t>
      </w:r>
      <w:r>
        <w:rPr>
          <w:rFonts w:ascii="Times New Roman" w:hAnsi="Times New Roman" w:eastAsia="宋体" w:cs="Times New Roman"/>
          <w:kern w:val="2"/>
          <w:sz w:val="21"/>
          <w:szCs w:val="21"/>
        </w:rPr>
        <w:t>5</w:t>
      </w:r>
      <w:r>
        <w:rPr>
          <w:rFonts w:hint="eastAsia" w:ascii="Times New Roman" w:hAnsi="Times New Roman" w:eastAsia="宋体" w:cs="Times New Roman"/>
          <w:kern w:val="2"/>
          <w:sz w:val="21"/>
          <w:szCs w:val="21"/>
        </w:rPr>
        <w:t>分钟后，进行体温、血压（坐位）、脉博（坐位）、呼吸频率测量，如有异常，根据研究者判断，可重复测量。</w:t>
      </w:r>
    </w:p>
    <w:p w14:paraId="3DD2BBE0">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体格检查：筛选</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基线、</w:t>
      </w:r>
      <w:r>
        <w:rPr>
          <w:rFonts w:ascii="Times New Roman" w:hAnsi="Times New Roman" w:eastAsia="宋体" w:cs="Times New Roman"/>
          <w:kern w:val="2"/>
          <w:sz w:val="21"/>
          <w:szCs w:val="21"/>
        </w:rPr>
        <w:t xml:space="preserve">D85 </w:t>
      </w:r>
      <w:r>
        <w:rPr>
          <w:rFonts w:hint="eastAsia" w:ascii="Times New Roman" w:hAnsi="Times New Roman" w:eastAsia="宋体" w:cs="Times New Roman"/>
          <w:kern w:val="2"/>
          <w:sz w:val="21"/>
          <w:szCs w:val="21"/>
        </w:rPr>
        <w:t>及</w:t>
      </w:r>
      <w:r>
        <w:rPr>
          <w:rFonts w:ascii="Times New Roman" w:hAnsi="Times New Roman" w:eastAsia="宋体" w:cs="Times New Roman"/>
          <w:kern w:val="2"/>
          <w:sz w:val="21"/>
          <w:szCs w:val="21"/>
        </w:rPr>
        <w:t xml:space="preserve"> D113</w:t>
      </w:r>
      <w:r>
        <w:rPr>
          <w:rFonts w:hint="eastAsia" w:ascii="Times New Roman" w:hAnsi="Times New Roman" w:eastAsia="宋体" w:cs="Times New Roman"/>
          <w:kern w:val="2"/>
          <w:sz w:val="21"/>
          <w:szCs w:val="21"/>
        </w:rPr>
        <w:t>或提前退出访视时需进行全面的体格检查，其余访视可根据临床症状和体征的变化，进行症状导向的体格检查，需在当天用药前进行。全面的体格检查包括：一般情况、皮肤</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黏膜、淋巴结、头颈部、胸部、腹部、脊柱及四肢、神经系统等。</w:t>
      </w:r>
    </w:p>
    <w:p w14:paraId="73A22504">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血常规：白细胞计数（</w:t>
      </w:r>
      <w:r>
        <w:rPr>
          <w:rFonts w:ascii="Times New Roman" w:hAnsi="Times New Roman" w:eastAsia="宋体" w:cs="Times New Roman"/>
          <w:kern w:val="2"/>
          <w:sz w:val="21"/>
          <w:szCs w:val="21"/>
        </w:rPr>
        <w:t>WBC</w:t>
      </w:r>
      <w:r>
        <w:rPr>
          <w:rFonts w:hint="eastAsia" w:ascii="Times New Roman" w:hAnsi="Times New Roman" w:eastAsia="宋体" w:cs="Times New Roman"/>
          <w:kern w:val="2"/>
          <w:sz w:val="21"/>
          <w:szCs w:val="21"/>
        </w:rPr>
        <w:t>）、红细胞计数（</w:t>
      </w:r>
      <w:r>
        <w:rPr>
          <w:rFonts w:ascii="Times New Roman" w:hAnsi="Times New Roman" w:eastAsia="宋体" w:cs="Times New Roman"/>
          <w:kern w:val="2"/>
          <w:sz w:val="21"/>
          <w:szCs w:val="21"/>
        </w:rPr>
        <w:t>RBC</w:t>
      </w:r>
      <w:r>
        <w:rPr>
          <w:rFonts w:hint="eastAsia" w:ascii="Times New Roman" w:hAnsi="Times New Roman" w:eastAsia="宋体" w:cs="Times New Roman"/>
          <w:kern w:val="2"/>
          <w:sz w:val="21"/>
          <w:szCs w:val="21"/>
        </w:rPr>
        <w:t>）、血红蛋白（</w:t>
      </w:r>
      <w:r>
        <w:rPr>
          <w:rFonts w:ascii="Times New Roman" w:hAnsi="Times New Roman" w:eastAsia="宋体" w:cs="Times New Roman"/>
          <w:kern w:val="2"/>
          <w:sz w:val="21"/>
          <w:szCs w:val="21"/>
        </w:rPr>
        <w:t>Hb</w:t>
      </w:r>
      <w:r>
        <w:rPr>
          <w:rFonts w:hint="eastAsia" w:ascii="Times New Roman" w:hAnsi="Times New Roman" w:eastAsia="宋体" w:cs="Times New Roman"/>
          <w:kern w:val="2"/>
          <w:sz w:val="21"/>
          <w:szCs w:val="21"/>
        </w:rPr>
        <w:t>）、血小板计数（</w:t>
      </w:r>
      <w:r>
        <w:rPr>
          <w:rFonts w:ascii="Times New Roman" w:hAnsi="Times New Roman" w:eastAsia="宋体" w:cs="Times New Roman"/>
          <w:kern w:val="2"/>
          <w:sz w:val="21"/>
          <w:szCs w:val="21"/>
        </w:rPr>
        <w:t>PLT</w:t>
      </w:r>
      <w:r>
        <w:rPr>
          <w:rFonts w:hint="eastAsia" w:ascii="Times New Roman" w:hAnsi="Times New Roman" w:eastAsia="宋体" w:cs="Times New Roman"/>
          <w:kern w:val="2"/>
          <w:sz w:val="21"/>
          <w:szCs w:val="21"/>
        </w:rPr>
        <w:t>）、白细胞分类计数和百分比（中性粒细胞、淋巴细胞、单核细胞、嗜酸性粒细胞和嗜碱性粒细胞）、血细胞比容（</w:t>
      </w:r>
      <w:r>
        <w:rPr>
          <w:rFonts w:ascii="Times New Roman" w:hAnsi="Times New Roman" w:eastAsia="宋体" w:cs="Times New Roman"/>
          <w:kern w:val="2"/>
          <w:sz w:val="21"/>
          <w:szCs w:val="21"/>
        </w:rPr>
        <w:t>HCT)</w:t>
      </w:r>
      <w:r>
        <w:rPr>
          <w:rFonts w:hint="eastAsia" w:ascii="Times New Roman" w:hAnsi="Times New Roman" w:eastAsia="宋体" w:cs="Times New Roman"/>
          <w:kern w:val="2"/>
          <w:sz w:val="21"/>
          <w:szCs w:val="21"/>
        </w:rPr>
        <w:t>、平均红细胞容积（</w:t>
      </w:r>
      <w:r>
        <w:rPr>
          <w:rFonts w:ascii="Times New Roman" w:hAnsi="Times New Roman" w:eastAsia="宋体" w:cs="Times New Roman"/>
          <w:kern w:val="2"/>
          <w:sz w:val="21"/>
          <w:szCs w:val="21"/>
        </w:rPr>
        <w:t>MCV</w:t>
      </w:r>
      <w:r>
        <w:rPr>
          <w:rFonts w:hint="eastAsia" w:ascii="Times New Roman" w:hAnsi="Times New Roman" w:eastAsia="宋体" w:cs="Times New Roman"/>
          <w:kern w:val="2"/>
          <w:sz w:val="21"/>
          <w:szCs w:val="21"/>
        </w:rPr>
        <w:t>）、平均红细胞血红蛋白含量（</w:t>
      </w:r>
      <w:r>
        <w:rPr>
          <w:rFonts w:ascii="Times New Roman" w:hAnsi="Times New Roman" w:eastAsia="宋体" w:cs="Times New Roman"/>
          <w:kern w:val="2"/>
          <w:sz w:val="21"/>
          <w:szCs w:val="21"/>
        </w:rPr>
        <w:t>MCH</w:t>
      </w:r>
      <w:r>
        <w:rPr>
          <w:rFonts w:hint="eastAsia" w:ascii="Times New Roman" w:hAnsi="Times New Roman" w:eastAsia="宋体" w:cs="Times New Roman"/>
          <w:kern w:val="2"/>
          <w:sz w:val="21"/>
          <w:szCs w:val="21"/>
        </w:rPr>
        <w:t>）、平均红细胞血红蛋白浓度（</w:t>
      </w:r>
      <w:r>
        <w:rPr>
          <w:rFonts w:ascii="Times New Roman" w:hAnsi="Times New Roman" w:eastAsia="宋体" w:cs="Times New Roman"/>
          <w:kern w:val="2"/>
          <w:sz w:val="21"/>
          <w:szCs w:val="21"/>
        </w:rPr>
        <w:t>MCHC</w:t>
      </w:r>
      <w:r>
        <w:rPr>
          <w:rFonts w:hint="eastAsia" w:ascii="Times New Roman" w:hAnsi="Times New Roman" w:eastAsia="宋体" w:cs="Times New Roman"/>
          <w:kern w:val="2"/>
          <w:sz w:val="21"/>
          <w:szCs w:val="21"/>
        </w:rPr>
        <w:t>）、网织红细胞计数和百分比。</w:t>
      </w:r>
    </w:p>
    <w:p w14:paraId="5971A4A5">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尿常规：酸碱度（</w:t>
      </w:r>
      <w:r>
        <w:rPr>
          <w:rFonts w:ascii="Times New Roman" w:hAnsi="Times New Roman" w:eastAsia="宋体" w:cs="Times New Roman"/>
          <w:kern w:val="2"/>
          <w:sz w:val="21"/>
          <w:szCs w:val="21"/>
        </w:rPr>
        <w:t>PH</w:t>
      </w:r>
      <w:r>
        <w:rPr>
          <w:rFonts w:hint="eastAsia" w:ascii="Times New Roman" w:hAnsi="Times New Roman" w:eastAsia="宋体" w:cs="Times New Roman"/>
          <w:kern w:val="2"/>
          <w:sz w:val="21"/>
          <w:szCs w:val="21"/>
        </w:rPr>
        <w:t>）、尿比重、尿酮体、尿蛋白、尿葡萄糖、尿白细胞、尿红细胞</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隐血</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、尿胆红素、尿亚硝酸盐、尿胆原。</w:t>
      </w:r>
    </w:p>
    <w:p w14:paraId="76CFC966">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血生化（全部）：总蛋白（</w:t>
      </w:r>
      <w:r>
        <w:rPr>
          <w:rFonts w:ascii="Times New Roman" w:hAnsi="Times New Roman" w:eastAsia="宋体" w:cs="Times New Roman"/>
          <w:kern w:val="2"/>
          <w:sz w:val="21"/>
          <w:szCs w:val="21"/>
        </w:rPr>
        <w:t>TP</w:t>
      </w:r>
      <w:r>
        <w:rPr>
          <w:rFonts w:hint="eastAsia" w:ascii="Times New Roman" w:hAnsi="Times New Roman" w:eastAsia="宋体" w:cs="Times New Roman"/>
          <w:kern w:val="2"/>
          <w:sz w:val="21"/>
          <w:szCs w:val="21"/>
        </w:rPr>
        <w:t>）、白蛋白（</w:t>
      </w:r>
      <w:r>
        <w:rPr>
          <w:rFonts w:ascii="Times New Roman" w:hAnsi="Times New Roman" w:eastAsia="宋体" w:cs="Times New Roman"/>
          <w:kern w:val="2"/>
          <w:sz w:val="21"/>
          <w:szCs w:val="21"/>
        </w:rPr>
        <w:t>ALB</w:t>
      </w:r>
      <w:r>
        <w:rPr>
          <w:rFonts w:hint="eastAsia" w:ascii="Times New Roman" w:hAnsi="Times New Roman" w:eastAsia="宋体" w:cs="Times New Roman"/>
          <w:kern w:val="2"/>
          <w:sz w:val="21"/>
          <w:szCs w:val="21"/>
        </w:rPr>
        <w:t>）、球蛋白（</w:t>
      </w:r>
      <w:r>
        <w:rPr>
          <w:rFonts w:ascii="Times New Roman" w:hAnsi="Times New Roman" w:eastAsia="宋体" w:cs="Times New Roman"/>
          <w:kern w:val="2"/>
          <w:sz w:val="21"/>
          <w:szCs w:val="21"/>
        </w:rPr>
        <w:t>GLO</w:t>
      </w:r>
      <w:r>
        <w:rPr>
          <w:rFonts w:hint="eastAsia" w:ascii="Times New Roman" w:hAnsi="Times New Roman" w:eastAsia="宋体" w:cs="Times New Roman"/>
          <w:kern w:val="2"/>
          <w:sz w:val="21"/>
          <w:szCs w:val="21"/>
        </w:rPr>
        <w:t>）、总胆红素（</w:t>
      </w:r>
      <w:r>
        <w:rPr>
          <w:rFonts w:ascii="Times New Roman" w:hAnsi="Times New Roman" w:eastAsia="宋体" w:cs="Times New Roman"/>
          <w:kern w:val="2"/>
          <w:sz w:val="21"/>
          <w:szCs w:val="21"/>
        </w:rPr>
        <w:t>TBIL</w:t>
      </w:r>
      <w:r>
        <w:rPr>
          <w:rFonts w:hint="eastAsia" w:ascii="Times New Roman" w:hAnsi="Times New Roman" w:eastAsia="宋体" w:cs="Times New Roman"/>
          <w:kern w:val="2"/>
          <w:sz w:val="21"/>
          <w:szCs w:val="21"/>
        </w:rPr>
        <w:t>）、直接胆红素（</w:t>
      </w:r>
      <w:r>
        <w:rPr>
          <w:rFonts w:ascii="Times New Roman" w:hAnsi="Times New Roman" w:eastAsia="宋体" w:cs="Times New Roman"/>
          <w:kern w:val="2"/>
          <w:sz w:val="21"/>
          <w:szCs w:val="21"/>
        </w:rPr>
        <w:t>DBIL</w:t>
      </w:r>
      <w:r>
        <w:rPr>
          <w:rFonts w:hint="eastAsia" w:ascii="Times New Roman" w:hAnsi="Times New Roman" w:eastAsia="宋体" w:cs="Times New Roman"/>
          <w:kern w:val="2"/>
          <w:sz w:val="21"/>
          <w:szCs w:val="21"/>
        </w:rPr>
        <w:t>）、丙氨酸基转移酶（</w:t>
      </w:r>
      <w:r>
        <w:rPr>
          <w:rFonts w:ascii="Times New Roman" w:hAnsi="Times New Roman" w:eastAsia="宋体" w:cs="Times New Roman"/>
          <w:kern w:val="2"/>
          <w:sz w:val="21"/>
          <w:szCs w:val="21"/>
        </w:rPr>
        <w:t>ALT</w:t>
      </w:r>
      <w:r>
        <w:rPr>
          <w:rFonts w:hint="eastAsia" w:ascii="Times New Roman" w:hAnsi="Times New Roman" w:eastAsia="宋体" w:cs="Times New Roman"/>
          <w:kern w:val="2"/>
          <w:sz w:val="21"/>
          <w:szCs w:val="21"/>
        </w:rPr>
        <w:t>）、天门冬氨酸基转移酶（</w:t>
      </w:r>
      <w:r>
        <w:rPr>
          <w:rFonts w:ascii="Times New Roman" w:hAnsi="Times New Roman" w:eastAsia="宋体" w:cs="Times New Roman"/>
          <w:kern w:val="2"/>
          <w:sz w:val="21"/>
          <w:szCs w:val="21"/>
        </w:rPr>
        <w:t>AST</w:t>
      </w:r>
      <w:r>
        <w:rPr>
          <w:rFonts w:hint="eastAsia" w:ascii="Times New Roman" w:hAnsi="Times New Roman" w:eastAsia="宋体" w:cs="Times New Roman"/>
          <w:kern w:val="2"/>
          <w:sz w:val="21"/>
          <w:szCs w:val="21"/>
        </w:rPr>
        <w:t>）、碱性磷酸酶（</w:t>
      </w:r>
      <w:r>
        <w:rPr>
          <w:rFonts w:ascii="Times New Roman" w:hAnsi="Times New Roman" w:eastAsia="宋体" w:cs="Times New Roman"/>
          <w:kern w:val="2"/>
          <w:sz w:val="21"/>
          <w:szCs w:val="21"/>
        </w:rPr>
        <w:t>ALP</w:t>
      </w:r>
      <w:r>
        <w:rPr>
          <w:rFonts w:hint="eastAsia" w:ascii="Times New Roman" w:hAnsi="Times New Roman" w:eastAsia="宋体" w:cs="Times New Roman"/>
          <w:kern w:val="2"/>
          <w:sz w:val="21"/>
          <w:szCs w:val="21"/>
        </w:rPr>
        <w:t>）、乳酸脱氢酶（</w:t>
      </w:r>
      <w:r>
        <w:rPr>
          <w:rFonts w:ascii="Times New Roman" w:hAnsi="Times New Roman" w:eastAsia="宋体" w:cs="Times New Roman"/>
          <w:kern w:val="2"/>
          <w:sz w:val="21"/>
          <w:szCs w:val="21"/>
        </w:rPr>
        <w:t>LDH</w:t>
      </w:r>
      <w:r>
        <w:rPr>
          <w:rFonts w:hint="eastAsia" w:ascii="Times New Roman" w:hAnsi="Times New Roman" w:eastAsia="宋体" w:cs="Times New Roman"/>
          <w:kern w:val="2"/>
          <w:sz w:val="21"/>
          <w:szCs w:val="21"/>
        </w:rPr>
        <w:t>）、谷氨酰转肽酶（</w:t>
      </w:r>
      <w:r>
        <w:rPr>
          <w:rFonts w:ascii="Times New Roman" w:hAnsi="Times New Roman" w:eastAsia="宋体" w:cs="Times New Roman"/>
          <w:kern w:val="2"/>
          <w:sz w:val="21"/>
          <w:szCs w:val="21"/>
        </w:rPr>
        <w:t>GGT</w:t>
      </w:r>
      <w:r>
        <w:rPr>
          <w:rFonts w:hint="eastAsia" w:ascii="Times New Roman" w:hAnsi="Times New Roman" w:eastAsia="宋体" w:cs="Times New Roman"/>
          <w:kern w:val="2"/>
          <w:sz w:val="21"/>
          <w:szCs w:val="21"/>
        </w:rPr>
        <w:t>）、尿素（</w:t>
      </w:r>
      <w:r>
        <w:rPr>
          <w:rFonts w:ascii="Times New Roman" w:hAnsi="Times New Roman" w:eastAsia="宋体" w:cs="Times New Roman"/>
          <w:kern w:val="2"/>
          <w:sz w:val="21"/>
          <w:szCs w:val="21"/>
        </w:rPr>
        <w:t>Urea</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尿素氮（</w:t>
      </w:r>
      <w:r>
        <w:rPr>
          <w:rFonts w:ascii="Times New Roman" w:hAnsi="Times New Roman" w:eastAsia="宋体" w:cs="Times New Roman"/>
          <w:kern w:val="2"/>
          <w:sz w:val="21"/>
          <w:szCs w:val="21"/>
        </w:rPr>
        <w:t>BUN</w:t>
      </w:r>
      <w:r>
        <w:rPr>
          <w:rFonts w:hint="eastAsia" w:ascii="Times New Roman" w:hAnsi="Times New Roman" w:eastAsia="宋体" w:cs="Times New Roman"/>
          <w:kern w:val="2"/>
          <w:sz w:val="21"/>
          <w:szCs w:val="21"/>
        </w:rPr>
        <w:t>）、肌酐（</w:t>
      </w:r>
      <w:r>
        <w:rPr>
          <w:rFonts w:ascii="Times New Roman" w:hAnsi="Times New Roman" w:eastAsia="宋体" w:cs="Times New Roman"/>
          <w:kern w:val="2"/>
          <w:sz w:val="21"/>
          <w:szCs w:val="21"/>
        </w:rPr>
        <w:t>Cr</w:t>
      </w:r>
      <w:r>
        <w:rPr>
          <w:rFonts w:hint="eastAsia" w:ascii="Times New Roman" w:hAnsi="Times New Roman" w:eastAsia="宋体" w:cs="Times New Roman"/>
          <w:kern w:val="2"/>
          <w:sz w:val="21"/>
          <w:szCs w:val="21"/>
        </w:rPr>
        <w:t>）、尿酸（</w:t>
      </w:r>
      <w:r>
        <w:rPr>
          <w:rFonts w:ascii="Times New Roman" w:hAnsi="Times New Roman" w:eastAsia="宋体" w:cs="Times New Roman"/>
          <w:kern w:val="2"/>
          <w:sz w:val="21"/>
          <w:szCs w:val="21"/>
        </w:rPr>
        <w:t>UA</w:t>
      </w:r>
      <w:r>
        <w:rPr>
          <w:rFonts w:hint="eastAsia" w:ascii="Times New Roman" w:hAnsi="Times New Roman" w:eastAsia="宋体" w:cs="Times New Roman"/>
          <w:kern w:val="2"/>
          <w:sz w:val="21"/>
          <w:szCs w:val="21"/>
        </w:rPr>
        <w:t>）、葡萄糖（</w:t>
      </w:r>
      <w:r>
        <w:rPr>
          <w:rFonts w:ascii="Times New Roman" w:hAnsi="Times New Roman" w:eastAsia="宋体" w:cs="Times New Roman"/>
          <w:kern w:val="2"/>
          <w:sz w:val="21"/>
          <w:szCs w:val="21"/>
        </w:rPr>
        <w:t>GLU</w:t>
      </w:r>
      <w:r>
        <w:rPr>
          <w:rFonts w:hint="eastAsia" w:ascii="Times New Roman" w:hAnsi="Times New Roman" w:eastAsia="宋体" w:cs="Times New Roman"/>
          <w:kern w:val="2"/>
          <w:sz w:val="21"/>
          <w:szCs w:val="21"/>
        </w:rPr>
        <w:t>）、甘油三酯（</w:t>
      </w:r>
      <w:r>
        <w:rPr>
          <w:rFonts w:ascii="Times New Roman" w:hAnsi="Times New Roman" w:eastAsia="宋体" w:cs="Times New Roman"/>
          <w:kern w:val="2"/>
          <w:sz w:val="21"/>
          <w:szCs w:val="21"/>
        </w:rPr>
        <w:t>TG</w:t>
      </w:r>
      <w:r>
        <w:rPr>
          <w:rFonts w:hint="eastAsia" w:ascii="Times New Roman" w:hAnsi="Times New Roman" w:eastAsia="宋体" w:cs="Times New Roman"/>
          <w:kern w:val="2"/>
          <w:sz w:val="21"/>
          <w:szCs w:val="21"/>
        </w:rPr>
        <w:t>）、总胆固醇（</w:t>
      </w:r>
      <w:r>
        <w:rPr>
          <w:rFonts w:ascii="Times New Roman" w:hAnsi="Times New Roman" w:eastAsia="宋体" w:cs="Times New Roman"/>
          <w:kern w:val="2"/>
          <w:sz w:val="21"/>
          <w:szCs w:val="21"/>
        </w:rPr>
        <w:t>TC</w:t>
      </w:r>
      <w:r>
        <w:rPr>
          <w:rFonts w:hint="eastAsia" w:ascii="Times New Roman" w:hAnsi="Times New Roman" w:eastAsia="宋体" w:cs="Times New Roman"/>
          <w:kern w:val="2"/>
          <w:sz w:val="21"/>
          <w:szCs w:val="21"/>
        </w:rPr>
        <w:t>）、低密度脂蛋白胆固醇（</w:t>
      </w:r>
      <w:r>
        <w:rPr>
          <w:rFonts w:ascii="Times New Roman" w:hAnsi="Times New Roman" w:eastAsia="宋体" w:cs="Times New Roman"/>
          <w:kern w:val="2"/>
          <w:sz w:val="21"/>
          <w:szCs w:val="21"/>
        </w:rPr>
        <w:t>LDL-C</w:t>
      </w:r>
      <w:r>
        <w:rPr>
          <w:rFonts w:hint="eastAsia" w:ascii="Times New Roman" w:hAnsi="Times New Roman" w:eastAsia="宋体" w:cs="Times New Roman"/>
          <w:kern w:val="2"/>
          <w:sz w:val="21"/>
          <w:szCs w:val="21"/>
        </w:rPr>
        <w:t>）、高密度脂蛋白胆固醇（</w:t>
      </w:r>
      <w:r>
        <w:rPr>
          <w:rFonts w:ascii="Times New Roman" w:hAnsi="Times New Roman" w:eastAsia="宋体" w:cs="Times New Roman"/>
          <w:kern w:val="2"/>
          <w:sz w:val="21"/>
          <w:szCs w:val="21"/>
        </w:rPr>
        <w:t>HDL-C</w:t>
      </w:r>
      <w:r>
        <w:rPr>
          <w:rFonts w:hint="eastAsia" w:ascii="Times New Roman" w:hAnsi="Times New Roman" w:eastAsia="宋体" w:cs="Times New Roman"/>
          <w:kern w:val="2"/>
          <w:sz w:val="21"/>
          <w:szCs w:val="21"/>
        </w:rPr>
        <w:t>）、</w:t>
      </w:r>
      <w:r>
        <w:rPr>
          <w:rFonts w:hint="eastAsia" w:ascii="Times New Roman" w:hAnsi="Times New Roman" w:eastAsia="宋体" w:cs="Times New Roman"/>
          <w:sz w:val="21"/>
          <w:szCs w:val="21"/>
        </w:rPr>
        <w:t>肌酸磷酸激酶（</w:t>
      </w:r>
      <w:r>
        <w:rPr>
          <w:rFonts w:ascii="Times New Roman" w:hAnsi="Times New Roman" w:eastAsia="宋体" w:cs="Times New Roman"/>
          <w:sz w:val="21"/>
          <w:szCs w:val="21"/>
        </w:rPr>
        <w:t>CPK</w:t>
      </w:r>
      <w:r>
        <w:rPr>
          <w:rFonts w:hint="eastAsia" w:ascii="Times New Roman" w:hAnsi="Times New Roman" w:eastAsia="宋体" w:cs="Times New Roman"/>
          <w:sz w:val="21"/>
          <w:szCs w:val="21"/>
        </w:rPr>
        <w:t>）、</w:t>
      </w:r>
      <w:r>
        <w:rPr>
          <w:rFonts w:hint="eastAsia" w:ascii="Times New Roman" w:hAnsi="Times New Roman" w:eastAsia="宋体" w:cs="Times New Roman"/>
          <w:kern w:val="2"/>
          <w:sz w:val="21"/>
          <w:szCs w:val="21"/>
        </w:rPr>
        <w:t>钾（</w:t>
      </w:r>
      <w:r>
        <w:rPr>
          <w:rFonts w:ascii="Times New Roman" w:hAnsi="Times New Roman" w:eastAsia="宋体" w:cs="Times New Roman"/>
          <w:kern w:val="2"/>
          <w:sz w:val="21"/>
          <w:szCs w:val="21"/>
        </w:rPr>
        <w:t>K</w:t>
      </w:r>
      <w:r>
        <w:rPr>
          <w:rFonts w:hint="eastAsia" w:ascii="Times New Roman" w:hAnsi="Times New Roman" w:eastAsia="宋体" w:cs="Times New Roman"/>
          <w:kern w:val="2"/>
          <w:sz w:val="21"/>
          <w:szCs w:val="21"/>
        </w:rPr>
        <w:t>）、钠（</w:t>
      </w:r>
      <w:r>
        <w:rPr>
          <w:rFonts w:ascii="Times New Roman" w:hAnsi="Times New Roman" w:eastAsia="宋体" w:cs="Times New Roman"/>
          <w:kern w:val="2"/>
          <w:sz w:val="21"/>
          <w:szCs w:val="21"/>
        </w:rPr>
        <w:t>Na</w:t>
      </w:r>
      <w:r>
        <w:rPr>
          <w:rFonts w:hint="eastAsia" w:ascii="Times New Roman" w:hAnsi="Times New Roman" w:eastAsia="宋体" w:cs="Times New Roman"/>
          <w:kern w:val="2"/>
          <w:sz w:val="21"/>
          <w:szCs w:val="21"/>
        </w:rPr>
        <w:t>）、氯（</w:t>
      </w:r>
      <w:r>
        <w:rPr>
          <w:rFonts w:ascii="Times New Roman" w:hAnsi="Times New Roman" w:eastAsia="宋体" w:cs="Times New Roman"/>
          <w:kern w:val="2"/>
          <w:sz w:val="21"/>
          <w:szCs w:val="21"/>
        </w:rPr>
        <w:t>Cl</w:t>
      </w:r>
      <w:r>
        <w:rPr>
          <w:rFonts w:hint="eastAsia" w:ascii="Times New Roman" w:hAnsi="Times New Roman" w:eastAsia="宋体" w:cs="Times New Roman"/>
          <w:kern w:val="2"/>
          <w:sz w:val="21"/>
          <w:szCs w:val="21"/>
        </w:rPr>
        <w:t>）、镁（</w:t>
      </w:r>
      <w:r>
        <w:rPr>
          <w:rFonts w:ascii="Times New Roman" w:hAnsi="Times New Roman" w:eastAsia="宋体" w:cs="Times New Roman"/>
          <w:kern w:val="2"/>
          <w:sz w:val="21"/>
          <w:szCs w:val="21"/>
        </w:rPr>
        <w:t>Mg</w:t>
      </w:r>
      <w:r>
        <w:rPr>
          <w:rFonts w:hint="eastAsia" w:ascii="Times New Roman" w:hAnsi="Times New Roman" w:eastAsia="宋体" w:cs="Times New Roman"/>
          <w:kern w:val="2"/>
          <w:sz w:val="21"/>
          <w:szCs w:val="21"/>
        </w:rPr>
        <w:t>）、钙（</w:t>
      </w:r>
      <w:r>
        <w:rPr>
          <w:rFonts w:ascii="Times New Roman" w:hAnsi="Times New Roman" w:eastAsia="宋体" w:cs="Times New Roman"/>
          <w:kern w:val="2"/>
          <w:sz w:val="21"/>
          <w:szCs w:val="21"/>
        </w:rPr>
        <w:t>Ca</w:t>
      </w:r>
      <w:r>
        <w:rPr>
          <w:rFonts w:hint="eastAsia" w:ascii="Times New Roman" w:hAnsi="Times New Roman" w:eastAsia="宋体" w:cs="Times New Roman"/>
          <w:kern w:val="2"/>
          <w:sz w:val="21"/>
          <w:szCs w:val="21"/>
        </w:rPr>
        <w:t>）、磷（</w:t>
      </w:r>
      <w:r>
        <w:rPr>
          <w:rFonts w:ascii="Times New Roman" w:hAnsi="Times New Roman" w:eastAsia="宋体" w:cs="Times New Roman"/>
          <w:kern w:val="2"/>
          <w:sz w:val="21"/>
          <w:szCs w:val="21"/>
        </w:rPr>
        <w:t>P</w:t>
      </w:r>
      <w:r>
        <w:rPr>
          <w:rFonts w:hint="eastAsia" w:ascii="Times New Roman" w:hAnsi="Times New Roman" w:eastAsia="宋体" w:cs="Times New Roman"/>
          <w:kern w:val="2"/>
          <w:sz w:val="21"/>
          <w:szCs w:val="21"/>
        </w:rPr>
        <w:t>）。本检查应空腹采样。</w:t>
      </w:r>
    </w:p>
    <w:p w14:paraId="79E8BAD7">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凝血功能：血浆凝血酶原时间（</w:t>
      </w:r>
      <w:r>
        <w:rPr>
          <w:rFonts w:ascii="Times New Roman" w:hAnsi="Times New Roman" w:eastAsia="宋体" w:cs="Times New Roman"/>
          <w:kern w:val="2"/>
          <w:sz w:val="21"/>
          <w:szCs w:val="21"/>
        </w:rPr>
        <w:t>PT</w:t>
      </w:r>
      <w:r>
        <w:rPr>
          <w:rFonts w:hint="eastAsia" w:ascii="Times New Roman" w:hAnsi="Times New Roman" w:eastAsia="宋体" w:cs="Times New Roman"/>
          <w:kern w:val="2"/>
          <w:sz w:val="21"/>
          <w:szCs w:val="21"/>
        </w:rPr>
        <w:t>）、凝血酶时间（</w:t>
      </w:r>
      <w:r>
        <w:rPr>
          <w:rFonts w:ascii="Times New Roman" w:hAnsi="Times New Roman" w:eastAsia="宋体" w:cs="Times New Roman"/>
          <w:kern w:val="2"/>
          <w:sz w:val="21"/>
          <w:szCs w:val="21"/>
        </w:rPr>
        <w:t>TT</w:t>
      </w:r>
      <w:r>
        <w:rPr>
          <w:rFonts w:hint="eastAsia" w:ascii="Times New Roman" w:hAnsi="Times New Roman" w:eastAsia="宋体" w:cs="Times New Roman"/>
          <w:kern w:val="2"/>
          <w:sz w:val="21"/>
          <w:szCs w:val="21"/>
        </w:rPr>
        <w:t>）、活化部分凝血活酶时间（</w:t>
      </w:r>
      <w:r>
        <w:rPr>
          <w:rFonts w:ascii="Times New Roman" w:hAnsi="Times New Roman" w:eastAsia="宋体" w:cs="Times New Roman"/>
          <w:kern w:val="2"/>
          <w:sz w:val="21"/>
          <w:szCs w:val="21"/>
        </w:rPr>
        <w:t>APTT</w:t>
      </w:r>
      <w:r>
        <w:rPr>
          <w:rFonts w:hint="eastAsia" w:ascii="Times New Roman" w:hAnsi="Times New Roman" w:eastAsia="宋体" w:cs="Times New Roman"/>
          <w:kern w:val="2"/>
          <w:sz w:val="21"/>
          <w:szCs w:val="21"/>
        </w:rPr>
        <w:t>）、血浆纤维蛋白原（</w:t>
      </w:r>
      <w:r>
        <w:rPr>
          <w:rFonts w:ascii="Times New Roman" w:hAnsi="Times New Roman" w:eastAsia="宋体" w:cs="Times New Roman"/>
          <w:kern w:val="2"/>
          <w:sz w:val="21"/>
          <w:szCs w:val="21"/>
        </w:rPr>
        <w:t>FIB</w:t>
      </w:r>
      <w:r>
        <w:rPr>
          <w:rFonts w:hint="eastAsia" w:ascii="Times New Roman" w:hAnsi="Times New Roman" w:eastAsia="宋体" w:cs="Times New Roman"/>
          <w:kern w:val="2"/>
          <w:sz w:val="21"/>
          <w:szCs w:val="21"/>
        </w:rPr>
        <w:t>）、国际标准化比值（</w:t>
      </w:r>
      <w:r>
        <w:rPr>
          <w:rFonts w:ascii="Times New Roman" w:hAnsi="Times New Roman" w:eastAsia="宋体" w:cs="Times New Roman"/>
          <w:kern w:val="2"/>
          <w:sz w:val="21"/>
          <w:szCs w:val="21"/>
        </w:rPr>
        <w:t>INR</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D-</w:t>
      </w:r>
      <w:r>
        <w:rPr>
          <w:rFonts w:hint="eastAsia" w:ascii="Times New Roman" w:hAnsi="Times New Roman" w:eastAsia="宋体" w:cs="Times New Roman"/>
          <w:kern w:val="2"/>
          <w:sz w:val="21"/>
          <w:szCs w:val="21"/>
        </w:rPr>
        <w:t>二聚体（</w:t>
      </w:r>
      <w:r>
        <w:rPr>
          <w:rFonts w:ascii="Times New Roman" w:hAnsi="Times New Roman" w:eastAsia="宋体" w:cs="Times New Roman"/>
          <w:kern w:val="2"/>
          <w:sz w:val="21"/>
          <w:szCs w:val="21"/>
        </w:rPr>
        <w:t>D-Dimer</w:t>
      </w:r>
      <w:r>
        <w:rPr>
          <w:rFonts w:hint="eastAsia" w:ascii="Times New Roman" w:hAnsi="Times New Roman" w:eastAsia="宋体" w:cs="Times New Roman"/>
          <w:kern w:val="2"/>
          <w:sz w:val="21"/>
          <w:szCs w:val="21"/>
        </w:rPr>
        <w:t>）。</w:t>
      </w:r>
    </w:p>
    <w:p w14:paraId="1793F24F">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妊娠试验或卵泡刺激素（</w:t>
      </w:r>
      <w:r>
        <w:rPr>
          <w:rFonts w:ascii="Times New Roman" w:hAnsi="Times New Roman" w:eastAsia="宋体" w:cs="Times New Roman"/>
          <w:kern w:val="2"/>
          <w:sz w:val="21"/>
          <w:szCs w:val="21"/>
        </w:rPr>
        <w:t>FSH</w:t>
      </w:r>
      <w:r>
        <w:rPr>
          <w:rFonts w:hint="eastAsia" w:ascii="Times New Roman" w:hAnsi="Times New Roman" w:eastAsia="宋体" w:cs="Times New Roman"/>
          <w:kern w:val="2"/>
          <w:sz w:val="21"/>
          <w:szCs w:val="21"/>
        </w:rPr>
        <w:t>）：对有生育能力的女性（育龄女性）在筛选、基线和计划的时间点进行血</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尿β</w:t>
      </w:r>
      <w:r>
        <w:rPr>
          <w:rFonts w:ascii="Times New Roman" w:hAnsi="Times New Roman" w:eastAsia="宋体" w:cs="Times New Roman"/>
          <w:kern w:val="2"/>
          <w:sz w:val="21"/>
          <w:szCs w:val="21"/>
        </w:rPr>
        <w:t>-HCG</w:t>
      </w:r>
      <w:r>
        <w:rPr>
          <w:rFonts w:hint="eastAsia" w:ascii="Times New Roman" w:hAnsi="Times New Roman" w:eastAsia="宋体" w:cs="Times New Roman"/>
          <w:kern w:val="2"/>
          <w:sz w:val="21"/>
          <w:szCs w:val="21"/>
        </w:rPr>
        <w:t>检测，其中筛选、基线、</w:t>
      </w:r>
      <w:r>
        <w:rPr>
          <w:rFonts w:ascii="Times New Roman" w:hAnsi="Times New Roman" w:eastAsia="宋体" w:cs="Times New Roman"/>
          <w:kern w:val="2"/>
          <w:sz w:val="21"/>
          <w:szCs w:val="21"/>
        </w:rPr>
        <w:t>W12(D85)</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W16(113)</w:t>
      </w:r>
      <w:r>
        <w:rPr>
          <w:rFonts w:hint="eastAsia" w:ascii="Times New Roman" w:hAnsi="Times New Roman" w:eastAsia="宋体" w:cs="Times New Roman"/>
          <w:kern w:val="2"/>
          <w:sz w:val="21"/>
          <w:szCs w:val="21"/>
        </w:rPr>
        <w:t>或退出访视必须为血妊娠试验，筛选和</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或基线检测结果需均为阴性，需要在访视当天用药前完成；对已绝经女性（一年及以上无月经且无其他医学原因）或永久性绝育（如双侧输卵管结扎、子宫切除或双侧输卵管切除等）的女性参与者视为不具有生育能力，无需进行妊娠试验，其中，对已绝经女性需在筛选时进行血清</w:t>
      </w:r>
      <w:r>
        <w:rPr>
          <w:rFonts w:ascii="Times New Roman" w:hAnsi="Times New Roman" w:eastAsia="宋体" w:cs="Times New Roman"/>
          <w:kern w:val="2"/>
          <w:sz w:val="21"/>
          <w:szCs w:val="21"/>
        </w:rPr>
        <w:t>FSH</w:t>
      </w:r>
      <w:r>
        <w:rPr>
          <w:rFonts w:hint="eastAsia" w:ascii="Times New Roman" w:hAnsi="Times New Roman" w:eastAsia="宋体" w:cs="Times New Roman"/>
          <w:kern w:val="2"/>
          <w:sz w:val="21"/>
          <w:szCs w:val="21"/>
        </w:rPr>
        <w:t>检测，其结果应大于</w:t>
      </w:r>
      <w:r>
        <w:rPr>
          <w:rFonts w:ascii="Times New Roman" w:hAnsi="Times New Roman" w:eastAsia="宋体" w:cs="Times New Roman"/>
          <w:kern w:val="2"/>
          <w:sz w:val="21"/>
          <w:szCs w:val="21"/>
        </w:rPr>
        <w:t>40 IU/L</w:t>
      </w:r>
      <w:r>
        <w:rPr>
          <w:rFonts w:hint="eastAsia" w:ascii="Times New Roman" w:hAnsi="Times New Roman" w:eastAsia="宋体" w:cs="Times New Roman"/>
          <w:kern w:val="2"/>
          <w:sz w:val="21"/>
          <w:szCs w:val="21"/>
        </w:rPr>
        <w:t>。若研究过程中出现停经也需进行额外的血清β</w:t>
      </w:r>
      <w:r>
        <w:rPr>
          <w:rFonts w:ascii="Times New Roman" w:hAnsi="Times New Roman" w:eastAsia="宋体" w:cs="Times New Roman"/>
          <w:kern w:val="2"/>
          <w:sz w:val="21"/>
          <w:szCs w:val="21"/>
        </w:rPr>
        <w:t>-HCG</w:t>
      </w:r>
      <w:r>
        <w:rPr>
          <w:rFonts w:hint="eastAsia" w:ascii="Times New Roman" w:hAnsi="Times New Roman" w:eastAsia="宋体" w:cs="Times New Roman"/>
          <w:kern w:val="2"/>
          <w:sz w:val="21"/>
          <w:szCs w:val="21"/>
        </w:rPr>
        <w:t>检测。注意：对所有参与者，在每个访视做好避孕宣教：在试验期间及给药后</w:t>
      </w:r>
      <w:r>
        <w:rPr>
          <w:rFonts w:ascii="Times New Roman" w:hAnsi="Times New Roman" w:eastAsia="宋体" w:cs="Times New Roman"/>
          <w:kern w:val="2"/>
          <w:sz w:val="21"/>
          <w:szCs w:val="21"/>
        </w:rPr>
        <w:t>3</w:t>
      </w:r>
      <w:r>
        <w:rPr>
          <w:rFonts w:hint="eastAsia" w:ascii="Times New Roman" w:hAnsi="Times New Roman" w:eastAsia="宋体" w:cs="Times New Roman"/>
          <w:kern w:val="2"/>
          <w:sz w:val="21"/>
          <w:szCs w:val="21"/>
        </w:rPr>
        <w:t>个月内严格遵循附录</w:t>
      </w: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避孕要求，且参与者或其伴侣在发现意外怀孕时及时联系研究者。</w:t>
      </w:r>
    </w:p>
    <w:p w14:paraId="055145A1">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病毒学检查：乙型肝炎表面抗原（</w:t>
      </w:r>
      <w:r>
        <w:rPr>
          <w:rFonts w:ascii="Times New Roman" w:hAnsi="Times New Roman" w:eastAsia="宋体" w:cs="Times New Roman"/>
          <w:kern w:val="2"/>
          <w:sz w:val="21"/>
          <w:szCs w:val="21"/>
        </w:rPr>
        <w:t>HBsAg</w:t>
      </w:r>
      <w:r>
        <w:rPr>
          <w:rFonts w:hint="eastAsia" w:ascii="Times New Roman" w:hAnsi="Times New Roman" w:eastAsia="宋体" w:cs="Times New Roman"/>
          <w:kern w:val="2"/>
          <w:sz w:val="21"/>
          <w:szCs w:val="21"/>
        </w:rPr>
        <w:t>）、乙型肝炎核心抗体（</w:t>
      </w:r>
      <w:r>
        <w:rPr>
          <w:rFonts w:ascii="Times New Roman" w:hAnsi="Times New Roman" w:eastAsia="宋体" w:cs="Times New Roman"/>
          <w:kern w:val="2"/>
          <w:sz w:val="21"/>
          <w:szCs w:val="21"/>
        </w:rPr>
        <w:t>HBcAb</w:t>
      </w:r>
      <w:r>
        <w:rPr>
          <w:rFonts w:hint="eastAsia" w:ascii="Times New Roman" w:hAnsi="Times New Roman" w:eastAsia="宋体" w:cs="Times New Roman"/>
          <w:kern w:val="2"/>
          <w:sz w:val="21"/>
          <w:szCs w:val="21"/>
        </w:rPr>
        <w:t>）、丙型肝炎抗体（</w:t>
      </w:r>
      <w:r>
        <w:rPr>
          <w:rFonts w:ascii="Times New Roman" w:hAnsi="Times New Roman" w:eastAsia="宋体" w:cs="Times New Roman"/>
          <w:kern w:val="2"/>
          <w:sz w:val="21"/>
          <w:szCs w:val="21"/>
        </w:rPr>
        <w:t>HCVAb</w:t>
      </w:r>
      <w:r>
        <w:rPr>
          <w:rFonts w:hint="eastAsia" w:ascii="Times New Roman" w:hAnsi="Times New Roman" w:eastAsia="宋体" w:cs="Times New Roman"/>
          <w:kern w:val="2"/>
          <w:sz w:val="21"/>
          <w:szCs w:val="21"/>
        </w:rPr>
        <w:t>）、人体免疫缺陷病毒抗体（</w:t>
      </w:r>
      <w:r>
        <w:rPr>
          <w:rFonts w:ascii="Times New Roman" w:hAnsi="Times New Roman" w:eastAsia="宋体" w:cs="Times New Roman"/>
          <w:kern w:val="2"/>
          <w:sz w:val="21"/>
          <w:szCs w:val="21"/>
        </w:rPr>
        <w:t>HIVAb</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梅毒特异性抗体</w:t>
      </w:r>
      <w:r>
        <w:rPr>
          <w:rFonts w:hint="eastAsia" w:ascii="Times New Roman" w:hAnsi="Times New Roman" w:eastAsia="宋体" w:cs="Times New Roman"/>
          <w:kern w:val="2"/>
          <w:sz w:val="21"/>
          <w:szCs w:val="21"/>
        </w:rPr>
        <w:t>检查。如乙肝表面抗原阴性但乙肝核心抗体阳性，则进行乙肝病毒</w:t>
      </w:r>
      <w:r>
        <w:rPr>
          <w:rFonts w:ascii="Times New Roman" w:hAnsi="Times New Roman" w:eastAsia="宋体" w:cs="Times New Roman"/>
          <w:kern w:val="2"/>
          <w:sz w:val="21"/>
          <w:szCs w:val="21"/>
        </w:rPr>
        <w:t>DNA</w:t>
      </w:r>
      <w:r>
        <w:rPr>
          <w:rFonts w:hint="eastAsia" w:ascii="Times New Roman" w:hAnsi="Times New Roman" w:eastAsia="宋体" w:cs="Times New Roman"/>
          <w:kern w:val="2"/>
          <w:sz w:val="21"/>
          <w:szCs w:val="21"/>
        </w:rPr>
        <w:t>定量检测。若丙型肝炎（</w:t>
      </w:r>
      <w:r>
        <w:rPr>
          <w:rFonts w:ascii="Times New Roman" w:hAnsi="Times New Roman" w:eastAsia="宋体" w:cs="Times New Roman"/>
          <w:kern w:val="2"/>
          <w:sz w:val="21"/>
          <w:szCs w:val="21"/>
        </w:rPr>
        <w:t>HCV</w:t>
      </w:r>
      <w:r>
        <w:rPr>
          <w:rFonts w:hint="eastAsia" w:ascii="Times New Roman" w:hAnsi="Times New Roman" w:eastAsia="宋体" w:cs="Times New Roman"/>
          <w:kern w:val="2"/>
          <w:sz w:val="21"/>
          <w:szCs w:val="21"/>
        </w:rPr>
        <w:t>）抗体阳性，则进行</w:t>
      </w:r>
      <w:r>
        <w:rPr>
          <w:rFonts w:ascii="Times New Roman" w:hAnsi="Times New Roman" w:eastAsia="宋体" w:cs="Times New Roman"/>
          <w:kern w:val="2"/>
          <w:sz w:val="21"/>
          <w:szCs w:val="21"/>
        </w:rPr>
        <w:t>HCV-RNA</w:t>
      </w:r>
      <w:r>
        <w:rPr>
          <w:rFonts w:hint="eastAsia" w:ascii="Times New Roman" w:hAnsi="Times New Roman" w:eastAsia="宋体" w:cs="Times New Roman"/>
          <w:kern w:val="2"/>
          <w:sz w:val="21"/>
          <w:szCs w:val="21"/>
        </w:rPr>
        <w:t>定量检测。若</w:t>
      </w:r>
      <w:r>
        <w:rPr>
          <w:rFonts w:ascii="Times New Roman" w:hAnsi="Times New Roman" w:eastAsia="宋体" w:cs="Times New Roman"/>
          <w:kern w:val="2"/>
          <w:sz w:val="21"/>
          <w:szCs w:val="21"/>
        </w:rPr>
        <w:t>梅毒特异性抗体</w:t>
      </w:r>
      <w:r>
        <w:rPr>
          <w:rFonts w:hint="eastAsia" w:ascii="Times New Roman" w:hAnsi="Times New Roman" w:eastAsia="宋体" w:cs="Times New Roman"/>
          <w:kern w:val="2"/>
          <w:sz w:val="21"/>
          <w:szCs w:val="21"/>
        </w:rPr>
        <w:t>检查阳性，则进行梅毒非特异性抗体检查，并由研究者判断为是否为过去曾感染梅毒但已治愈的参与者。</w:t>
      </w:r>
    </w:p>
    <w:p w14:paraId="4B36F12E">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结核检测：筛选期进行γ干扰素释放试验（即</w:t>
      </w:r>
      <w:r>
        <w:rPr>
          <w:rFonts w:ascii="Times New Roman" w:hAnsi="Times New Roman" w:eastAsia="宋体" w:cs="Times New Roman"/>
          <w:kern w:val="2"/>
          <w:sz w:val="21"/>
          <w:szCs w:val="21"/>
        </w:rPr>
        <w:t>QFT</w:t>
      </w:r>
      <w:r>
        <w:rPr>
          <w:rFonts w:hint="eastAsia" w:ascii="Times New Roman" w:hAnsi="Times New Roman" w:eastAsia="宋体" w:cs="Times New Roman"/>
          <w:kern w:val="2"/>
          <w:sz w:val="21"/>
          <w:szCs w:val="21"/>
        </w:rPr>
        <w:t>或</w:t>
      </w:r>
      <w:r>
        <w:rPr>
          <w:rFonts w:ascii="Times New Roman" w:hAnsi="Times New Roman" w:eastAsia="宋体" w:cs="Times New Roman"/>
          <w:kern w:val="2"/>
          <w:sz w:val="21"/>
          <w:szCs w:val="21"/>
        </w:rPr>
        <w:t>T-SPOT</w:t>
      </w:r>
      <w:r>
        <w:rPr>
          <w:rFonts w:hint="eastAsia" w:ascii="Times New Roman" w:hAnsi="Times New Roman" w:eastAsia="宋体" w:cs="Times New Roman"/>
          <w:kern w:val="2"/>
          <w:sz w:val="21"/>
          <w:szCs w:val="21"/>
        </w:rPr>
        <w:t>试验）。</w:t>
      </w:r>
    </w:p>
    <w:p w14:paraId="15C2C3A6">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胸部</w:t>
      </w:r>
      <w:r>
        <w:rPr>
          <w:rFonts w:ascii="Times New Roman" w:hAnsi="Times New Roman" w:eastAsia="宋体" w:cs="Times New Roman"/>
          <w:kern w:val="2"/>
          <w:sz w:val="21"/>
          <w:szCs w:val="21"/>
        </w:rPr>
        <w:t>CT</w:t>
      </w:r>
      <w:r>
        <w:rPr>
          <w:rFonts w:hint="eastAsia" w:ascii="Times New Roman" w:hAnsi="Times New Roman" w:eastAsia="宋体" w:cs="Times New Roman"/>
          <w:kern w:val="2"/>
          <w:sz w:val="21"/>
          <w:szCs w:val="21"/>
        </w:rPr>
        <w:t>平扫：如参与者能出示知情同意书签署日之前</w:t>
      </w: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个月内的胸部</w:t>
      </w:r>
      <w:r>
        <w:rPr>
          <w:rFonts w:ascii="Times New Roman" w:hAnsi="Times New Roman" w:eastAsia="宋体" w:cs="Times New Roman"/>
          <w:kern w:val="2"/>
          <w:sz w:val="21"/>
          <w:szCs w:val="21"/>
        </w:rPr>
        <w:t>CT</w:t>
      </w:r>
      <w:r>
        <w:rPr>
          <w:rFonts w:hint="eastAsia" w:ascii="Times New Roman" w:hAnsi="Times New Roman" w:eastAsia="宋体" w:cs="Times New Roman"/>
          <w:kern w:val="2"/>
          <w:sz w:val="21"/>
          <w:szCs w:val="21"/>
        </w:rPr>
        <w:t>检查结果并满足评估要求，则视其检测结果有效，研究中心可酌情决定是否再对其进行复测。</w:t>
      </w:r>
    </w:p>
    <w:p w14:paraId="4E03DC1C">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12</w:t>
      </w:r>
      <w:r>
        <w:rPr>
          <w:rFonts w:hint="eastAsia" w:ascii="Times New Roman" w:hAnsi="Times New Roman" w:eastAsia="宋体" w:cs="Times New Roman"/>
          <w:kern w:val="2"/>
          <w:sz w:val="21"/>
          <w:szCs w:val="21"/>
        </w:rPr>
        <w:t>导联心电图：筛选期</w:t>
      </w:r>
      <w:r>
        <w:rPr>
          <w:rFonts w:ascii="Times New Roman" w:hAnsi="Times New Roman" w:eastAsia="宋体" w:cs="Times New Roman"/>
          <w:kern w:val="2"/>
          <w:sz w:val="21"/>
          <w:szCs w:val="21"/>
        </w:rPr>
        <w:t>/D15/D29/D57/D85</w:t>
      </w:r>
      <w:r>
        <w:rPr>
          <w:rFonts w:hint="eastAsia" w:ascii="Times New Roman" w:hAnsi="Times New Roman" w:eastAsia="宋体" w:cs="Times New Roman"/>
          <w:kern w:val="2"/>
          <w:sz w:val="21"/>
          <w:szCs w:val="21"/>
        </w:rPr>
        <w:t>（当天用药前）、</w:t>
      </w:r>
      <w:r>
        <w:rPr>
          <w:rFonts w:ascii="Times New Roman" w:hAnsi="Times New Roman" w:eastAsia="宋体" w:cs="Times New Roman"/>
          <w:kern w:val="2"/>
          <w:sz w:val="21"/>
          <w:szCs w:val="21"/>
        </w:rPr>
        <w:t>D113</w:t>
      </w:r>
      <w:r>
        <w:rPr>
          <w:rFonts w:hint="eastAsia" w:ascii="Times New Roman" w:hAnsi="Times New Roman" w:eastAsia="宋体" w:cs="Times New Roman"/>
          <w:kern w:val="2"/>
          <w:sz w:val="21"/>
          <w:szCs w:val="21"/>
        </w:rPr>
        <w:t>或提前退出时进行检测。参与者需要至少安静休息</w:t>
      </w:r>
      <w:r>
        <w:rPr>
          <w:rFonts w:ascii="Times New Roman" w:hAnsi="Times New Roman" w:eastAsia="宋体" w:cs="Times New Roman"/>
          <w:kern w:val="2"/>
          <w:sz w:val="21"/>
          <w:szCs w:val="21"/>
        </w:rPr>
        <w:t>10min</w:t>
      </w:r>
      <w:r>
        <w:rPr>
          <w:rFonts w:hint="eastAsia" w:ascii="Times New Roman" w:hAnsi="Times New Roman" w:eastAsia="宋体" w:cs="Times New Roman"/>
          <w:kern w:val="2"/>
          <w:sz w:val="21"/>
          <w:szCs w:val="21"/>
        </w:rPr>
        <w:t>之后进行测量，记录心率、</w:t>
      </w:r>
      <w:r>
        <w:rPr>
          <w:rFonts w:ascii="Times New Roman" w:hAnsi="Times New Roman" w:eastAsia="宋体" w:cs="Times New Roman"/>
          <w:kern w:val="2"/>
          <w:sz w:val="21"/>
          <w:szCs w:val="21"/>
        </w:rPr>
        <w:t>PR</w:t>
      </w:r>
      <w:r>
        <w:rPr>
          <w:rFonts w:hint="eastAsia" w:ascii="Times New Roman" w:hAnsi="Times New Roman" w:eastAsia="宋体" w:cs="Times New Roman"/>
          <w:kern w:val="2"/>
          <w:sz w:val="21"/>
          <w:szCs w:val="21"/>
        </w:rPr>
        <w:t>间期、</w:t>
      </w:r>
      <w:r>
        <w:rPr>
          <w:rFonts w:ascii="Times New Roman" w:hAnsi="Times New Roman" w:eastAsia="宋体" w:cs="Times New Roman"/>
          <w:kern w:val="2"/>
          <w:sz w:val="21"/>
          <w:szCs w:val="21"/>
        </w:rPr>
        <w:t>RR</w:t>
      </w:r>
      <w:r>
        <w:rPr>
          <w:rFonts w:hint="eastAsia" w:ascii="Times New Roman" w:hAnsi="Times New Roman" w:eastAsia="宋体" w:cs="Times New Roman"/>
          <w:kern w:val="2"/>
          <w:sz w:val="21"/>
          <w:szCs w:val="21"/>
        </w:rPr>
        <w:t>间期、</w:t>
      </w:r>
      <w:r>
        <w:rPr>
          <w:rFonts w:ascii="Times New Roman" w:hAnsi="Times New Roman" w:eastAsia="宋体" w:cs="Times New Roman"/>
          <w:kern w:val="2"/>
          <w:sz w:val="21"/>
          <w:szCs w:val="21"/>
        </w:rPr>
        <w:t>QRS</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QT</w:t>
      </w:r>
      <w:r>
        <w:rPr>
          <w:rFonts w:hint="eastAsia" w:ascii="Times New Roman" w:hAnsi="Times New Roman" w:eastAsia="宋体" w:cs="Times New Roman"/>
          <w:kern w:val="2"/>
          <w:sz w:val="21"/>
          <w:szCs w:val="21"/>
        </w:rPr>
        <w:t>间期（包括根据</w:t>
      </w:r>
      <w:r>
        <w:rPr>
          <w:rFonts w:ascii="Times New Roman" w:hAnsi="Times New Roman" w:eastAsia="宋体" w:cs="Times New Roman"/>
          <w:kern w:val="2"/>
          <w:sz w:val="21"/>
          <w:szCs w:val="21"/>
        </w:rPr>
        <w:t>Fridericia</w:t>
      </w:r>
      <w:r>
        <w:rPr>
          <w:rFonts w:hint="eastAsia" w:ascii="Times New Roman" w:hAnsi="Times New Roman" w:eastAsia="宋体" w:cs="Times New Roman"/>
          <w:kern w:val="2"/>
          <w:sz w:val="21"/>
          <w:szCs w:val="21"/>
        </w:rPr>
        <w:t>公式校正后的</w:t>
      </w:r>
      <w:r>
        <w:rPr>
          <w:rFonts w:ascii="Times New Roman" w:hAnsi="Times New Roman" w:eastAsia="宋体" w:cs="Times New Roman"/>
          <w:kern w:val="2"/>
          <w:sz w:val="21"/>
          <w:szCs w:val="21"/>
        </w:rPr>
        <w:t>QT</w:t>
      </w:r>
      <w:r>
        <w:rPr>
          <w:rFonts w:hint="eastAsia" w:ascii="Times New Roman" w:hAnsi="Times New Roman" w:eastAsia="宋体" w:cs="Times New Roman"/>
          <w:kern w:val="2"/>
          <w:sz w:val="21"/>
          <w:szCs w:val="21"/>
        </w:rPr>
        <w:t>间期</w:t>
      </w:r>
      <w:r>
        <w:rPr>
          <w:rFonts w:ascii="Times New Roman" w:hAnsi="Times New Roman" w:eastAsia="宋体" w:cs="Times New Roman"/>
          <w:kern w:val="2"/>
          <w:sz w:val="21"/>
          <w:szCs w:val="21"/>
        </w:rPr>
        <w:t>[QTcF]</w:t>
      </w:r>
      <w:r>
        <w:rPr>
          <w:rFonts w:hint="eastAsia" w:ascii="Times New Roman" w:hAnsi="Times New Roman" w:eastAsia="宋体" w:cs="Times New Roman"/>
          <w:kern w:val="2"/>
          <w:sz w:val="21"/>
          <w:szCs w:val="21"/>
        </w:rPr>
        <w:t>），和心电图诊断结果。</w:t>
      </w:r>
    </w:p>
    <w:p w14:paraId="18864F99">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在参与者自愿的前提下，建议尽量获取参与者皮损照片，包括全身皮损照片和靶皮损照片。</w:t>
      </w:r>
    </w:p>
    <w:p w14:paraId="46414E92">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随机：在随机前再次审核入选和排除标准，对符合入选标准且不符合排除标准的参与者可进行随机。</w:t>
      </w:r>
    </w:p>
    <w:p w14:paraId="205A6D01">
      <w:pPr>
        <w:numPr>
          <w:ilvl w:val="0"/>
          <w:numId w:val="28"/>
        </w:numPr>
        <w:autoSpaceDE/>
        <w:autoSpaceDN/>
        <w:spacing w:line="360" w:lineRule="auto"/>
        <w:ind w:left="424" w:hanging="424" w:hangingChars="202"/>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PK</w:t>
      </w:r>
      <w:r>
        <w:rPr>
          <w:rFonts w:hint="eastAsia" w:ascii="Times New Roman" w:hAnsi="Times New Roman" w:eastAsia="宋体" w:cs="Times New Roman"/>
          <w:kern w:val="2"/>
          <w:sz w:val="21"/>
          <w:szCs w:val="21"/>
        </w:rPr>
        <w:t>血样采集：</w:t>
      </w:r>
      <w:r>
        <w:rPr>
          <w:rFonts w:ascii="Times New Roman" w:hAnsi="Times New Roman" w:eastAsia="宋体" w:cs="Times New Roman"/>
          <w:kern w:val="2"/>
          <w:sz w:val="21"/>
          <w:szCs w:val="21"/>
        </w:rPr>
        <w:t>W2</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W4</w:t>
      </w:r>
      <w:r>
        <w:rPr>
          <w:rFonts w:hint="eastAsia" w:ascii="Times New Roman" w:hAnsi="Times New Roman" w:eastAsia="宋体" w:cs="Times New Roman"/>
          <w:kern w:val="2"/>
          <w:sz w:val="21"/>
          <w:szCs w:val="21"/>
        </w:rPr>
        <w:t>在</w:t>
      </w:r>
      <w:bookmarkStart w:id="10" w:name="OLE_LINK4"/>
      <w:r>
        <w:rPr>
          <w:rFonts w:hint="eastAsia" w:ascii="Times New Roman" w:hAnsi="Times New Roman" w:eastAsia="宋体" w:cs="Times New Roman"/>
          <w:kern w:val="2"/>
          <w:sz w:val="21"/>
          <w:szCs w:val="21"/>
        </w:rPr>
        <w:t>给药前</w:t>
      </w:r>
      <w:r>
        <w:rPr>
          <w:rFonts w:ascii="Times New Roman" w:hAnsi="Times New Roman" w:eastAsia="宋体" w:cs="Times New Roman"/>
          <w:kern w:val="2"/>
          <w:sz w:val="21"/>
          <w:szCs w:val="21"/>
        </w:rPr>
        <w:t>1h</w:t>
      </w:r>
      <w:r>
        <w:rPr>
          <w:rFonts w:hint="eastAsia" w:ascii="Times New Roman" w:hAnsi="Times New Roman" w:eastAsia="宋体" w:cs="Times New Roman"/>
          <w:kern w:val="2"/>
          <w:sz w:val="21"/>
          <w:szCs w:val="21"/>
        </w:rPr>
        <w:t>内和给药后</w:t>
      </w:r>
      <w:r>
        <w:rPr>
          <w:rFonts w:ascii="Times New Roman" w:hAnsi="Times New Roman" w:eastAsia="宋体" w:cs="Times New Roman"/>
          <w:kern w:val="2"/>
          <w:sz w:val="21"/>
          <w:szCs w:val="21"/>
        </w:rPr>
        <w:t>2h</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30min</w:t>
      </w:r>
      <w:r>
        <w:rPr>
          <w:rFonts w:hint="eastAsia" w:ascii="Times New Roman" w:hAnsi="Times New Roman" w:eastAsia="宋体" w:cs="Times New Roman"/>
          <w:kern w:val="2"/>
          <w:sz w:val="21"/>
          <w:szCs w:val="21"/>
        </w:rPr>
        <w:t>）进行</w:t>
      </w:r>
      <w:r>
        <w:rPr>
          <w:rFonts w:ascii="Times New Roman" w:hAnsi="Times New Roman" w:eastAsia="宋体" w:cs="Times New Roman"/>
          <w:kern w:val="2"/>
          <w:sz w:val="21"/>
          <w:szCs w:val="21"/>
        </w:rPr>
        <w:t>PK</w:t>
      </w:r>
      <w:r>
        <w:rPr>
          <w:rFonts w:hint="eastAsia" w:ascii="Times New Roman" w:hAnsi="Times New Roman" w:eastAsia="宋体" w:cs="Times New Roman"/>
          <w:kern w:val="2"/>
          <w:sz w:val="21"/>
          <w:szCs w:val="21"/>
        </w:rPr>
        <w:t>血样采集</w:t>
      </w:r>
      <w:bookmarkEnd w:id="10"/>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W8</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W12</w:t>
      </w:r>
      <w:r>
        <w:rPr>
          <w:rFonts w:hint="eastAsia" w:ascii="Times New Roman" w:hAnsi="Times New Roman" w:eastAsia="宋体" w:cs="Times New Roman"/>
          <w:kern w:val="2"/>
          <w:sz w:val="21"/>
          <w:szCs w:val="21"/>
        </w:rPr>
        <w:t>在给药前</w:t>
      </w:r>
      <w:r>
        <w:rPr>
          <w:rFonts w:ascii="Times New Roman" w:hAnsi="Times New Roman" w:eastAsia="宋体" w:cs="Times New Roman"/>
          <w:kern w:val="2"/>
          <w:sz w:val="21"/>
          <w:szCs w:val="21"/>
        </w:rPr>
        <w:t>1h</w:t>
      </w:r>
      <w:r>
        <w:rPr>
          <w:rFonts w:hint="eastAsia" w:ascii="Times New Roman" w:hAnsi="Times New Roman" w:eastAsia="宋体" w:cs="Times New Roman"/>
          <w:kern w:val="2"/>
          <w:sz w:val="21"/>
          <w:szCs w:val="21"/>
        </w:rPr>
        <w:t>内进行</w:t>
      </w:r>
      <w:r>
        <w:rPr>
          <w:rFonts w:ascii="Times New Roman" w:hAnsi="Times New Roman" w:eastAsia="宋体" w:cs="Times New Roman"/>
          <w:kern w:val="2"/>
          <w:sz w:val="21"/>
          <w:szCs w:val="21"/>
        </w:rPr>
        <w:t>PK</w:t>
      </w:r>
      <w:r>
        <w:rPr>
          <w:rFonts w:hint="eastAsia" w:ascii="Times New Roman" w:hAnsi="Times New Roman" w:eastAsia="宋体" w:cs="Times New Roman"/>
          <w:kern w:val="2"/>
          <w:sz w:val="21"/>
          <w:szCs w:val="21"/>
        </w:rPr>
        <w:t>血样采集。若参与者在研究期间发生</w:t>
      </w:r>
      <w:r>
        <w:rPr>
          <w:rFonts w:ascii="Times New Roman" w:hAnsi="Times New Roman" w:eastAsia="宋体" w:cs="Times New Roman"/>
          <w:kern w:val="2"/>
          <w:sz w:val="21"/>
          <w:szCs w:val="21"/>
        </w:rPr>
        <w:t>SAE</w:t>
      </w:r>
      <w:r>
        <w:rPr>
          <w:rFonts w:hint="eastAsia" w:ascii="Times New Roman" w:hAnsi="Times New Roman" w:eastAsia="宋体" w:cs="Times New Roman"/>
          <w:kern w:val="2"/>
          <w:sz w:val="21"/>
          <w:szCs w:val="21"/>
        </w:rPr>
        <w:t>或≥</w:t>
      </w:r>
      <w:r>
        <w:rPr>
          <w:rFonts w:ascii="Times New Roman" w:hAnsi="Times New Roman" w:eastAsia="宋体" w:cs="Times New Roman"/>
          <w:kern w:val="2"/>
          <w:sz w:val="21"/>
          <w:szCs w:val="21"/>
        </w:rPr>
        <w:t>3</w:t>
      </w:r>
      <w:r>
        <w:rPr>
          <w:rFonts w:hint="eastAsia" w:ascii="Times New Roman" w:hAnsi="Times New Roman" w:eastAsia="宋体" w:cs="Times New Roman"/>
          <w:kern w:val="2"/>
          <w:sz w:val="21"/>
          <w:szCs w:val="21"/>
        </w:rPr>
        <w:t>级</w:t>
      </w:r>
      <w:r>
        <w:rPr>
          <w:rFonts w:ascii="Times New Roman" w:hAnsi="Times New Roman" w:eastAsia="宋体" w:cs="Times New Roman"/>
          <w:kern w:val="2"/>
          <w:sz w:val="21"/>
          <w:szCs w:val="21"/>
        </w:rPr>
        <w:t>TEAE</w:t>
      </w:r>
      <w:r>
        <w:rPr>
          <w:rFonts w:hint="eastAsia" w:ascii="Times New Roman" w:hAnsi="Times New Roman" w:eastAsia="宋体" w:cs="Times New Roman"/>
          <w:kern w:val="2"/>
          <w:sz w:val="21"/>
          <w:szCs w:val="21"/>
        </w:rPr>
        <w:t>或提前退出时，如果条件允许，研究者可以选择采集一份计划外</w:t>
      </w:r>
      <w:r>
        <w:rPr>
          <w:rFonts w:ascii="Times New Roman" w:hAnsi="Times New Roman" w:eastAsia="宋体" w:cs="Times New Roman"/>
          <w:kern w:val="2"/>
          <w:sz w:val="21"/>
          <w:szCs w:val="21"/>
        </w:rPr>
        <w:t>PK</w:t>
      </w:r>
      <w:r>
        <w:rPr>
          <w:rFonts w:hint="eastAsia" w:ascii="Times New Roman" w:hAnsi="Times New Roman" w:eastAsia="宋体" w:cs="Times New Roman"/>
          <w:kern w:val="2"/>
          <w:sz w:val="21"/>
          <w:szCs w:val="21"/>
        </w:rPr>
        <w:t>样本，用于探索性量</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效分析。</w:t>
      </w:r>
    </w:p>
    <w:p w14:paraId="462AC177">
      <w:pPr>
        <w:numPr>
          <w:ilvl w:val="0"/>
          <w:numId w:val="28"/>
        </w:numPr>
        <w:autoSpaceDE/>
        <w:autoSpaceDN/>
        <w:spacing w:line="360" w:lineRule="auto"/>
        <w:ind w:left="444" w:hanging="444" w:hangingChars="202"/>
        <w:jc w:val="both"/>
        <w:rPr>
          <w:rFonts w:ascii="Times New Roman" w:hAnsi="Times New Roman" w:eastAsia="宋体" w:cs="Times New Roman"/>
          <w:kern w:val="2"/>
          <w:sz w:val="21"/>
          <w:szCs w:val="21"/>
        </w:rPr>
      </w:pPr>
      <w:r>
        <w:rPr>
          <w:rFonts w:ascii="Times New Roman" w:hAnsi="Times New Roman" w:eastAsia="宋体" w:cs="Times New Roman"/>
          <w:color w:val="000000"/>
        </w:rPr>
        <w:t>IL-17A</w:t>
      </w:r>
      <w:r>
        <w:rPr>
          <w:rFonts w:hint="eastAsia" w:ascii="Times New Roman" w:hAnsi="Times New Roman" w:eastAsia="宋体" w:cs="Times New Roman"/>
          <w:color w:val="000000"/>
        </w:rPr>
        <w:t>血样采集：</w:t>
      </w:r>
      <w:r>
        <w:rPr>
          <w:rFonts w:ascii="Times New Roman" w:hAnsi="Times New Roman" w:eastAsia="宋体" w:cs="Times New Roman"/>
          <w:color w:val="000000"/>
        </w:rPr>
        <w:t>W0</w:t>
      </w:r>
      <w:r>
        <w:rPr>
          <w:rFonts w:hint="eastAsia" w:ascii="Times New Roman" w:hAnsi="Times New Roman" w:eastAsia="宋体" w:cs="Times New Roman"/>
          <w:color w:val="000000"/>
        </w:rPr>
        <w:t>、</w:t>
      </w:r>
      <w:r>
        <w:rPr>
          <w:rFonts w:ascii="Times New Roman" w:hAnsi="Times New Roman" w:eastAsia="宋体" w:cs="Times New Roman"/>
          <w:color w:val="000000"/>
        </w:rPr>
        <w:t>W2</w:t>
      </w:r>
      <w:r>
        <w:rPr>
          <w:rFonts w:hint="eastAsia" w:ascii="Times New Roman" w:hAnsi="Times New Roman" w:eastAsia="宋体" w:cs="Times New Roman"/>
          <w:color w:val="000000"/>
        </w:rPr>
        <w:t>、</w:t>
      </w:r>
      <w:r>
        <w:rPr>
          <w:rFonts w:ascii="Times New Roman" w:hAnsi="Times New Roman" w:eastAsia="宋体" w:cs="Times New Roman"/>
          <w:color w:val="000000"/>
        </w:rPr>
        <w:t>W4</w:t>
      </w:r>
      <w:r>
        <w:rPr>
          <w:rFonts w:hint="eastAsia" w:ascii="Times New Roman" w:hAnsi="Times New Roman" w:eastAsia="宋体" w:cs="Times New Roman"/>
          <w:color w:val="000000"/>
        </w:rPr>
        <w:t>、</w:t>
      </w:r>
      <w:r>
        <w:rPr>
          <w:rFonts w:ascii="Times New Roman" w:hAnsi="Times New Roman" w:eastAsia="宋体" w:cs="Times New Roman"/>
          <w:color w:val="000000"/>
        </w:rPr>
        <w:t>W8</w:t>
      </w:r>
      <w:r>
        <w:rPr>
          <w:rFonts w:hint="eastAsia" w:ascii="Times New Roman" w:hAnsi="Times New Roman" w:eastAsia="宋体" w:cs="Times New Roman"/>
          <w:color w:val="000000"/>
        </w:rPr>
        <w:t>、</w:t>
      </w:r>
      <w:r>
        <w:rPr>
          <w:rFonts w:ascii="Times New Roman" w:hAnsi="Times New Roman" w:eastAsia="宋体" w:cs="Times New Roman"/>
          <w:color w:val="000000"/>
        </w:rPr>
        <w:t>W12</w:t>
      </w:r>
      <w:r>
        <w:rPr>
          <w:rFonts w:hint="eastAsia" w:ascii="Times New Roman" w:hAnsi="Times New Roman" w:eastAsia="宋体" w:cs="Times New Roman"/>
          <w:color w:val="000000"/>
        </w:rPr>
        <w:t>访视在</w:t>
      </w:r>
      <w:r>
        <w:rPr>
          <w:rFonts w:hint="eastAsia" w:ascii="Times New Roman" w:hAnsi="Times New Roman" w:eastAsia="宋体" w:cs="Times New Roman"/>
          <w:kern w:val="2"/>
          <w:sz w:val="21"/>
          <w:szCs w:val="21"/>
        </w:rPr>
        <w:t>给药前</w:t>
      </w:r>
      <w:r>
        <w:rPr>
          <w:rFonts w:ascii="Times New Roman" w:hAnsi="Times New Roman" w:eastAsia="宋体" w:cs="Times New Roman"/>
          <w:kern w:val="2"/>
          <w:sz w:val="21"/>
          <w:szCs w:val="21"/>
        </w:rPr>
        <w:t>1h</w:t>
      </w:r>
      <w:r>
        <w:rPr>
          <w:rFonts w:hint="eastAsia" w:ascii="Times New Roman" w:hAnsi="Times New Roman" w:eastAsia="宋体" w:cs="Times New Roman"/>
          <w:kern w:val="2"/>
          <w:sz w:val="21"/>
          <w:szCs w:val="21"/>
        </w:rPr>
        <w:t>内进行</w:t>
      </w:r>
      <w:r>
        <w:rPr>
          <w:rFonts w:ascii="Times New Roman" w:hAnsi="Times New Roman" w:eastAsia="宋体" w:cs="Times New Roman"/>
          <w:color w:val="000000"/>
        </w:rPr>
        <w:t>IL-17A</w:t>
      </w:r>
      <w:r>
        <w:rPr>
          <w:rFonts w:hint="eastAsia" w:ascii="Times New Roman" w:hAnsi="Times New Roman" w:eastAsia="宋体" w:cs="Times New Roman"/>
          <w:color w:val="000000"/>
        </w:rPr>
        <w:t>血样采集，</w:t>
      </w:r>
      <w:r>
        <w:rPr>
          <w:rFonts w:ascii="Times New Roman" w:hAnsi="Times New Roman" w:eastAsia="宋体" w:cs="Times New Roman"/>
          <w:color w:val="000000"/>
        </w:rPr>
        <w:t>W16</w:t>
      </w:r>
      <w:r>
        <w:rPr>
          <w:rFonts w:hint="eastAsia" w:ascii="Times New Roman" w:hAnsi="Times New Roman" w:eastAsia="宋体" w:cs="Times New Roman"/>
          <w:color w:val="000000"/>
        </w:rPr>
        <w:t>和提前退出访视在访视当天进行</w:t>
      </w:r>
      <w:r>
        <w:rPr>
          <w:rFonts w:ascii="Times New Roman" w:hAnsi="Times New Roman" w:eastAsia="宋体" w:cs="Times New Roman"/>
          <w:color w:val="000000"/>
        </w:rPr>
        <w:t>IL-17A</w:t>
      </w:r>
      <w:r>
        <w:rPr>
          <w:rFonts w:hint="eastAsia" w:ascii="Times New Roman" w:hAnsi="Times New Roman" w:eastAsia="宋体" w:cs="Times New Roman"/>
          <w:color w:val="000000"/>
        </w:rPr>
        <w:t>血样采集。</w:t>
      </w:r>
    </w:p>
    <w:p w14:paraId="6AEF9B63">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服用、分发和回收试验用药品：给药周期为</w:t>
      </w:r>
      <w:r>
        <w:rPr>
          <w:rFonts w:ascii="Times New Roman" w:hAnsi="Times New Roman" w:eastAsia="宋体" w:cs="Times New Roman"/>
          <w:kern w:val="2"/>
          <w:sz w:val="21"/>
          <w:szCs w:val="21"/>
        </w:rPr>
        <w:t>12</w:t>
      </w:r>
      <w:r>
        <w:rPr>
          <w:rFonts w:hint="eastAsia" w:ascii="Times New Roman" w:hAnsi="Times New Roman" w:eastAsia="宋体" w:cs="Times New Roman"/>
          <w:kern w:val="2"/>
          <w:sz w:val="21"/>
          <w:szCs w:val="21"/>
        </w:rPr>
        <w:t>周，即第</w:t>
      </w: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天至第</w:t>
      </w:r>
      <w:r>
        <w:rPr>
          <w:rFonts w:ascii="Times New Roman" w:hAnsi="Times New Roman" w:eastAsia="宋体" w:cs="Times New Roman"/>
          <w:kern w:val="2"/>
          <w:sz w:val="21"/>
          <w:szCs w:val="21"/>
        </w:rPr>
        <w:t>85</w:t>
      </w:r>
      <w:r>
        <w:rPr>
          <w:rFonts w:hint="eastAsia" w:ascii="Times New Roman" w:hAnsi="Times New Roman" w:eastAsia="宋体" w:cs="Times New Roman"/>
          <w:kern w:val="2"/>
          <w:sz w:val="21"/>
          <w:szCs w:val="21"/>
        </w:rPr>
        <w:t>天±</w:t>
      </w:r>
      <w:r>
        <w:rPr>
          <w:rFonts w:ascii="Times New Roman" w:hAnsi="Times New Roman" w:eastAsia="宋体" w:cs="Times New Roman"/>
          <w:kern w:val="2"/>
          <w:sz w:val="21"/>
          <w:szCs w:val="21"/>
        </w:rPr>
        <w:t>3</w:t>
      </w:r>
      <w:r>
        <w:rPr>
          <w:rFonts w:hint="eastAsia" w:ascii="Times New Roman" w:hAnsi="Times New Roman" w:eastAsia="宋体" w:cs="Times New Roman"/>
          <w:kern w:val="2"/>
          <w:sz w:val="21"/>
          <w:szCs w:val="21"/>
        </w:rPr>
        <w:t>天内连续给药，参与者在中心访视时，将在中心完成试验用药品服用，离院时分发试验用药品，第</w:t>
      </w:r>
      <w:r>
        <w:rPr>
          <w:rFonts w:ascii="Times New Roman" w:hAnsi="Times New Roman" w:eastAsia="宋体" w:cs="Times New Roman"/>
          <w:kern w:val="2"/>
          <w:sz w:val="21"/>
          <w:szCs w:val="21"/>
        </w:rPr>
        <w:t>12</w:t>
      </w:r>
      <w:r>
        <w:rPr>
          <w:rFonts w:hint="eastAsia" w:ascii="Times New Roman" w:hAnsi="Times New Roman" w:eastAsia="宋体" w:cs="Times New Roman"/>
          <w:kern w:val="2"/>
          <w:sz w:val="21"/>
          <w:szCs w:val="21"/>
        </w:rPr>
        <w:t>周无需分发试验用药品；其它访视日期需要回收已发放的试验用药品，无论该药品是否已使用，并发放新的试验用药品。</w:t>
      </w:r>
    </w:p>
    <w:p w14:paraId="4B2CF1DA">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日记卡发放和回收：</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进行首次试验用药品发放时发放参与者日记卡，并进行日记卡填写宣教，之后的每次访视将收回已发放的日记卡，并分发放新的日记卡，第</w:t>
      </w:r>
      <w:r>
        <w:rPr>
          <w:rFonts w:ascii="Times New Roman" w:hAnsi="Times New Roman" w:eastAsia="宋体" w:cs="Times New Roman"/>
          <w:kern w:val="2"/>
          <w:sz w:val="21"/>
          <w:szCs w:val="21"/>
        </w:rPr>
        <w:t>12</w:t>
      </w:r>
      <w:r>
        <w:rPr>
          <w:rFonts w:hint="eastAsia" w:ascii="Times New Roman" w:hAnsi="Times New Roman" w:eastAsia="宋体" w:cs="Times New Roman"/>
          <w:kern w:val="2"/>
          <w:sz w:val="21"/>
          <w:szCs w:val="21"/>
        </w:rPr>
        <w:t>周或提前退出访视时仅回收日记卡。</w:t>
      </w:r>
    </w:p>
    <w:p w14:paraId="706E22C6">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用药依从性评估：应记录每例参与者准确的用药剂量和时间。用药发生延迟、药物过量、漏给、用药错误以及终止的原因也应记录在日记卡和</w:t>
      </w:r>
      <w:r>
        <w:rPr>
          <w:rFonts w:ascii="Times New Roman" w:hAnsi="Times New Roman" w:eastAsia="宋体" w:cs="Times New Roman"/>
          <w:kern w:val="2"/>
          <w:sz w:val="21"/>
          <w:szCs w:val="21"/>
        </w:rPr>
        <w:t>eCRF</w:t>
      </w:r>
      <w:r>
        <w:rPr>
          <w:rFonts w:hint="eastAsia" w:ascii="Times New Roman" w:hAnsi="Times New Roman" w:eastAsia="宋体" w:cs="Times New Roman"/>
          <w:kern w:val="2"/>
          <w:sz w:val="21"/>
          <w:szCs w:val="21"/>
        </w:rPr>
        <w:t>中。将根据实际使用药物剂量与对应应接受药物剂量的比较评估依从性，并根据试验用药品发放、药物返还、研究病历和</w:t>
      </w:r>
      <w:r>
        <w:rPr>
          <w:rFonts w:ascii="Times New Roman" w:hAnsi="Times New Roman" w:eastAsia="宋体" w:cs="Times New Roman"/>
          <w:kern w:val="2"/>
          <w:sz w:val="21"/>
          <w:szCs w:val="21"/>
        </w:rPr>
        <w:t>eCRF</w:t>
      </w:r>
      <w:r>
        <w:rPr>
          <w:rFonts w:hint="eastAsia" w:ascii="Times New Roman" w:hAnsi="Times New Roman" w:eastAsia="宋体" w:cs="Times New Roman"/>
          <w:kern w:val="2"/>
          <w:sz w:val="21"/>
          <w:szCs w:val="21"/>
        </w:rPr>
        <w:t>记录进一步确认。</w:t>
      </w:r>
    </w:p>
    <w:p w14:paraId="00099A26">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合并治疗：定义为自签署</w:t>
      </w:r>
      <w:r>
        <w:rPr>
          <w:rFonts w:ascii="Times New Roman" w:hAnsi="Times New Roman" w:eastAsia="宋体" w:cs="Times New Roman"/>
          <w:kern w:val="2"/>
          <w:sz w:val="21"/>
          <w:szCs w:val="21"/>
        </w:rPr>
        <w:t>ICF</w:t>
      </w:r>
      <w:r>
        <w:rPr>
          <w:rFonts w:hint="eastAsia" w:ascii="Times New Roman" w:hAnsi="Times New Roman" w:eastAsia="宋体" w:cs="Times New Roman"/>
          <w:kern w:val="2"/>
          <w:sz w:val="21"/>
          <w:szCs w:val="21"/>
        </w:rPr>
        <w:t>开始至研究结束，在此期间使用的治疗药物或治疗方法。</w:t>
      </w:r>
    </w:p>
    <w:p w14:paraId="1DD4EE04">
      <w:pPr>
        <w:numPr>
          <w:ilvl w:val="0"/>
          <w:numId w:val="28"/>
        </w:numPr>
        <w:spacing w:line="360" w:lineRule="auto"/>
        <w:ind w:left="424" w:hanging="424" w:hangingChars="202"/>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不良事件于D1启动给药后开始记录，直至末次安全性随访或者退出研究为止（以先发生时间为准）。</w:t>
      </w:r>
    </w:p>
    <w:p w14:paraId="0452344C">
      <w:pPr>
        <w:numPr>
          <w:ilvl w:val="0"/>
          <w:numId w:val="28"/>
        </w:numPr>
        <w:spacing w:line="360" w:lineRule="auto"/>
        <w:ind w:left="424" w:hanging="424" w:hangingChars="202"/>
        <w:jc w:val="both"/>
        <w:rPr>
          <w:rFonts w:ascii="Times New Roman" w:hAnsi="Times New Roman" w:cs="Times New Roman"/>
        </w:rPr>
      </w:pPr>
      <w:r>
        <w:rPr>
          <w:rFonts w:hint="eastAsia" w:ascii="Times New Roman" w:hAnsi="Times New Roman" w:eastAsia="宋体" w:cs="Times New Roman"/>
          <w:kern w:val="2"/>
          <w:sz w:val="21"/>
          <w:szCs w:val="21"/>
        </w:rPr>
        <w:t>提前退出：对于给药后提前退出的参与者，需要在距末次给药后</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天内完成退出访视的各项检查。</w:t>
      </w:r>
    </w:p>
    <w:p w14:paraId="72904850">
      <w:pPr>
        <w:rPr>
          <w:rFonts w:ascii="Times New Roman" w:hAnsi="Times New Roman" w:cs="Times New Roman"/>
        </w:rPr>
      </w:pPr>
      <w:r>
        <w:rPr>
          <w:rFonts w:ascii="Times New Roman" w:hAnsi="Times New Roman" w:eastAsia="宋体" w:cs="Times New Roman"/>
          <w:kern w:val="2"/>
          <w:sz w:val="21"/>
          <w:szCs w:val="21"/>
        </w:rPr>
        <w:br w:type="page"/>
      </w:r>
    </w:p>
    <w:p w14:paraId="18E114A2">
      <w:pPr>
        <w:pStyle w:val="116"/>
        <w:spacing w:after="0" w:line="240" w:lineRule="auto"/>
        <w:ind w:left="440" w:leftChars="200"/>
        <w:jc w:val="center"/>
        <w:outlineLvl w:val="9"/>
        <w:rPr>
          <w:rFonts w:cs="Times New Roman"/>
          <w:kern w:val="2"/>
          <w:szCs w:val="21"/>
        </w:rPr>
      </w:pPr>
      <w:r>
        <w:rPr>
          <w:rFonts w:cs="Times New Roman"/>
          <w:bCs/>
        </w:rPr>
        <w:t xml:space="preserve">表 </w:t>
      </w:r>
      <w:r>
        <w:rPr>
          <w:rFonts w:cs="Times New Roman"/>
          <w:b w:val="0"/>
          <w:bCs/>
        </w:rPr>
        <w:fldChar w:fldCharType="begin"/>
      </w:r>
      <w:r>
        <w:rPr>
          <w:rFonts w:cs="Times New Roman"/>
          <w:bCs/>
        </w:rPr>
        <w:instrText xml:space="preserve"> SEQ 表 \* ARABIC </w:instrText>
      </w:r>
      <w:r>
        <w:rPr>
          <w:rFonts w:cs="Times New Roman"/>
          <w:b w:val="0"/>
          <w:bCs/>
        </w:rPr>
        <w:fldChar w:fldCharType="separate"/>
      </w:r>
      <w:r>
        <w:rPr>
          <w:rFonts w:cs="Times New Roman"/>
          <w:bCs/>
        </w:rPr>
        <w:t>2</w:t>
      </w:r>
      <w:r>
        <w:rPr>
          <w:rFonts w:cs="Times New Roman"/>
          <w:b w:val="0"/>
          <w:bCs/>
        </w:rPr>
        <w:fldChar w:fldCharType="end"/>
      </w:r>
      <w:r>
        <w:rPr>
          <w:rFonts w:cs="Times New Roman"/>
          <w:bCs/>
        </w:rPr>
        <w:t xml:space="preserve"> </w:t>
      </w:r>
      <w:r>
        <w:rPr>
          <w:rStyle w:val="99"/>
          <w:rFonts w:hint="eastAsia" w:cs="Times New Roman"/>
          <w:lang w:eastAsia="zh-Hans"/>
        </w:rPr>
        <w:t>Ⅲ</w:t>
      </w:r>
      <w:r>
        <w:rPr>
          <w:rStyle w:val="99"/>
          <w:rFonts w:cs="Times New Roman"/>
          <w:lang w:eastAsia="zh-Hans"/>
        </w:rPr>
        <w:t>期</w:t>
      </w:r>
      <w:r>
        <w:rPr>
          <w:rStyle w:val="99"/>
          <w:rFonts w:hint="eastAsia" w:cs="Times New Roman"/>
        </w:rPr>
        <w:t>临床研究阶段流程表</w:t>
      </w:r>
    </w:p>
    <w:tbl>
      <w:tblPr>
        <w:tblStyle w:val="89"/>
        <w:tblW w:w="14437" w:type="dxa"/>
        <w:tblInd w:w="-438" w:type="dxa"/>
        <w:tblLayout w:type="fixed"/>
        <w:tblCellMar>
          <w:top w:w="0" w:type="dxa"/>
          <w:left w:w="108" w:type="dxa"/>
          <w:bottom w:w="0" w:type="dxa"/>
          <w:right w:w="108" w:type="dxa"/>
        </w:tblCellMar>
      </w:tblPr>
      <w:tblGrid>
        <w:gridCol w:w="1231"/>
        <w:gridCol w:w="715"/>
        <w:gridCol w:w="829"/>
        <w:gridCol w:w="457"/>
        <w:gridCol w:w="593"/>
        <w:gridCol w:w="660"/>
        <w:gridCol w:w="645"/>
        <w:gridCol w:w="637"/>
        <w:gridCol w:w="668"/>
        <w:gridCol w:w="682"/>
        <w:gridCol w:w="683"/>
        <w:gridCol w:w="697"/>
        <w:gridCol w:w="698"/>
        <w:gridCol w:w="772"/>
        <w:gridCol w:w="675"/>
        <w:gridCol w:w="765"/>
        <w:gridCol w:w="705"/>
        <w:gridCol w:w="692"/>
        <w:gridCol w:w="861"/>
        <w:gridCol w:w="772"/>
      </w:tblGrid>
      <w:tr w14:paraId="375E4A0A">
        <w:tblPrEx>
          <w:tblCellMar>
            <w:top w:w="0" w:type="dxa"/>
            <w:left w:w="108" w:type="dxa"/>
            <w:bottom w:w="0" w:type="dxa"/>
            <w:right w:w="108" w:type="dxa"/>
          </w:tblCellMar>
        </w:tblPrEx>
        <w:trPr>
          <w:trHeight w:val="348" w:hRule="atLeast"/>
          <w:tblHeader/>
        </w:trPr>
        <w:tc>
          <w:tcPr>
            <w:tcW w:w="1231" w:type="dxa"/>
            <w:tcBorders>
              <w:top w:val="single" w:color="auto" w:sz="4" w:space="0"/>
              <w:left w:val="single" w:color="auto" w:sz="4" w:space="0"/>
              <w:bottom w:val="single" w:color="auto" w:sz="4" w:space="0"/>
              <w:right w:val="single" w:color="auto" w:sz="4" w:space="0"/>
            </w:tcBorders>
            <w:shd w:val="clear" w:color="000000" w:fill="E7E6E6"/>
            <w:noWrap/>
            <w:vAlign w:val="center"/>
          </w:tcPr>
          <w:p w14:paraId="44FA1A68">
            <w:pPr>
              <w:widowControl/>
              <w:jc w:val="center"/>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项目</w:t>
            </w:r>
          </w:p>
        </w:tc>
        <w:tc>
          <w:tcPr>
            <w:tcW w:w="1544" w:type="dxa"/>
            <w:gridSpan w:val="2"/>
            <w:tcBorders>
              <w:top w:val="single" w:color="auto" w:sz="4" w:space="0"/>
              <w:left w:val="nil"/>
              <w:bottom w:val="single" w:color="auto" w:sz="4" w:space="0"/>
              <w:right w:val="single" w:color="auto" w:sz="4" w:space="0"/>
            </w:tcBorders>
            <w:shd w:val="clear" w:color="000000" w:fill="E7E6E6"/>
            <w:noWrap/>
            <w:vAlign w:val="center"/>
          </w:tcPr>
          <w:p w14:paraId="122D795A">
            <w:pPr>
              <w:widowControl/>
              <w:jc w:val="center"/>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筛选期</w:t>
            </w:r>
          </w:p>
        </w:tc>
        <w:tc>
          <w:tcPr>
            <w:tcW w:w="3660" w:type="dxa"/>
            <w:gridSpan w:val="6"/>
            <w:tcBorders>
              <w:top w:val="single" w:color="auto" w:sz="4" w:space="0"/>
              <w:left w:val="single" w:color="auto" w:sz="4" w:space="0"/>
              <w:bottom w:val="single" w:color="auto" w:sz="4" w:space="0"/>
              <w:right w:val="single" w:color="auto" w:sz="4" w:space="0"/>
            </w:tcBorders>
            <w:shd w:val="clear" w:color="000000" w:fill="E7E6E6"/>
            <w:noWrap/>
            <w:vAlign w:val="center"/>
          </w:tcPr>
          <w:p w14:paraId="0778C90D">
            <w:pPr>
              <w:widowControl/>
              <w:jc w:val="center"/>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基础期</w:t>
            </w:r>
          </w:p>
        </w:tc>
        <w:tc>
          <w:tcPr>
            <w:tcW w:w="6369" w:type="dxa"/>
            <w:gridSpan w:val="9"/>
            <w:tcBorders>
              <w:top w:val="single" w:color="auto" w:sz="4" w:space="0"/>
              <w:left w:val="single" w:color="auto" w:sz="4" w:space="0"/>
              <w:bottom w:val="single" w:color="auto" w:sz="4" w:space="0"/>
              <w:right w:val="single" w:color="auto" w:sz="4" w:space="0"/>
            </w:tcBorders>
            <w:shd w:val="clear" w:color="000000" w:fill="E7E6E6"/>
            <w:noWrap/>
            <w:vAlign w:val="center"/>
          </w:tcPr>
          <w:p w14:paraId="4A2F61C6">
            <w:pPr>
              <w:widowControl/>
              <w:jc w:val="center"/>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扩展期</w:t>
            </w:r>
          </w:p>
        </w:tc>
        <w:tc>
          <w:tcPr>
            <w:tcW w:w="861" w:type="dxa"/>
            <w:tcBorders>
              <w:top w:val="single" w:color="auto" w:sz="4" w:space="0"/>
              <w:left w:val="single" w:color="auto" w:sz="4" w:space="0"/>
              <w:bottom w:val="single" w:color="auto" w:sz="4" w:space="0"/>
              <w:right w:val="single" w:color="auto" w:sz="4" w:space="0"/>
            </w:tcBorders>
            <w:shd w:val="clear" w:color="000000" w:fill="E7E6E6"/>
            <w:noWrap/>
            <w:vAlign w:val="center"/>
          </w:tcPr>
          <w:p w14:paraId="74C17AEB">
            <w:pPr>
              <w:widowControl/>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安全性</w:t>
            </w:r>
          </w:p>
          <w:p w14:paraId="2D9A1B28">
            <w:pPr>
              <w:widowControl/>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随访期</w:t>
            </w:r>
          </w:p>
          <w:p w14:paraId="630192B6">
            <w:pPr>
              <w:widowControl/>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（电话随访）</w:t>
            </w:r>
          </w:p>
        </w:tc>
        <w:tc>
          <w:tcPr>
            <w:tcW w:w="772" w:type="dxa"/>
            <w:tcBorders>
              <w:top w:val="single" w:color="auto" w:sz="4" w:space="0"/>
              <w:left w:val="single" w:color="auto" w:sz="4" w:space="0"/>
              <w:bottom w:val="single" w:color="auto" w:sz="4" w:space="0"/>
              <w:right w:val="single" w:color="auto" w:sz="4" w:space="0"/>
            </w:tcBorders>
            <w:shd w:val="clear" w:color="000000" w:fill="E7E6E6"/>
            <w:noWrap/>
            <w:vAlign w:val="center"/>
          </w:tcPr>
          <w:p w14:paraId="19267636">
            <w:pPr>
              <w:widowControl/>
              <w:jc w:val="center"/>
              <w:rPr>
                <w:rFonts w:ascii="Times New Roman" w:hAnsi="Times New Roman" w:eastAsia="宋体" w:cs="Times New Roman"/>
                <w:b/>
                <w:bCs/>
                <w:color w:val="000000"/>
                <w:sz w:val="20"/>
                <w:szCs w:val="22"/>
              </w:rPr>
            </w:pPr>
            <w:r>
              <w:rPr>
                <w:rFonts w:hint="eastAsia" w:ascii="Times New Roman" w:hAnsi="Times New Roman" w:eastAsia="宋体" w:cs="Times New Roman"/>
                <w:b/>
                <w:bCs/>
                <w:color w:val="000000"/>
                <w:sz w:val="20"/>
                <w:szCs w:val="22"/>
              </w:rPr>
              <w:t>提前退出</w:t>
            </w:r>
            <w:r>
              <w:rPr>
                <w:rFonts w:ascii="Times New Roman" w:hAnsi="Times New Roman" w:eastAsia="宋体" w:cs="Times New Roman"/>
                <w:b/>
                <w:bCs/>
                <w:color w:val="000000"/>
                <w:sz w:val="20"/>
                <w:szCs w:val="22"/>
                <w:vertAlign w:val="superscript"/>
              </w:rPr>
              <w:t>26</w:t>
            </w:r>
          </w:p>
        </w:tc>
      </w:tr>
      <w:tr w14:paraId="4E531D86">
        <w:tblPrEx>
          <w:tblCellMar>
            <w:top w:w="0" w:type="dxa"/>
            <w:left w:w="108" w:type="dxa"/>
            <w:bottom w:w="0" w:type="dxa"/>
            <w:right w:w="108" w:type="dxa"/>
          </w:tblCellMar>
        </w:tblPrEx>
        <w:trPr>
          <w:trHeight w:val="149" w:hRule="atLeast"/>
          <w:tblHeader/>
        </w:trPr>
        <w:tc>
          <w:tcPr>
            <w:tcW w:w="1231" w:type="dxa"/>
            <w:vMerge w:val="restart"/>
            <w:tcBorders>
              <w:top w:val="nil"/>
              <w:left w:val="single" w:color="auto" w:sz="4" w:space="0"/>
              <w:right w:val="single" w:color="auto" w:sz="4" w:space="0"/>
            </w:tcBorders>
            <w:shd w:val="clear" w:color="000000" w:fill="E7E6E6"/>
            <w:noWrap/>
            <w:vAlign w:val="center"/>
          </w:tcPr>
          <w:p w14:paraId="12B49FF5">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访视(周)</w:t>
            </w:r>
          </w:p>
        </w:tc>
        <w:tc>
          <w:tcPr>
            <w:tcW w:w="1544" w:type="dxa"/>
            <w:gridSpan w:val="2"/>
            <w:tcBorders>
              <w:top w:val="single" w:color="auto" w:sz="4" w:space="0"/>
              <w:left w:val="nil"/>
              <w:bottom w:val="single" w:color="auto" w:sz="4" w:space="0"/>
              <w:right w:val="single" w:color="000000" w:sz="4" w:space="0"/>
            </w:tcBorders>
            <w:shd w:val="clear" w:color="000000" w:fill="E7E6E6"/>
            <w:noWrap/>
            <w:vAlign w:val="center"/>
          </w:tcPr>
          <w:p w14:paraId="1BF2A52F">
            <w:pPr>
              <w:widowControl/>
              <w:jc w:val="center"/>
              <w:rPr>
                <w:rFonts w:ascii="Times New Roman" w:hAnsi="Times New Roman" w:eastAsia="宋体" w:cs="Times New Roman"/>
                <w:color w:val="000000"/>
                <w:sz w:val="20"/>
                <w:szCs w:val="22"/>
              </w:rPr>
            </w:pPr>
            <w:r>
              <w:rPr>
                <w:rFonts w:ascii="Times New Roman" w:hAnsi="Times New Roman" w:eastAsia="宋体" w:cs="Times New Roman"/>
                <w:color w:val="000000"/>
                <w:sz w:val="20"/>
                <w:szCs w:val="22"/>
              </w:rPr>
              <w:t>W-4~W-1</w:t>
            </w:r>
          </w:p>
        </w:tc>
        <w:tc>
          <w:tcPr>
            <w:tcW w:w="457" w:type="dxa"/>
            <w:vMerge w:val="restart"/>
            <w:tcBorders>
              <w:top w:val="nil"/>
              <w:left w:val="nil"/>
              <w:right w:val="single" w:color="auto" w:sz="4" w:space="0"/>
            </w:tcBorders>
            <w:shd w:val="clear" w:color="000000" w:fill="E7E6E6"/>
            <w:noWrap/>
            <w:vAlign w:val="center"/>
          </w:tcPr>
          <w:p w14:paraId="46995D1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D1</w:t>
            </w:r>
            <w:r>
              <w:rPr>
                <w:rFonts w:ascii="Times New Roman" w:hAnsi="Times New Roman" w:eastAsia="宋体" w:cs="Times New Roman"/>
                <w:color w:val="000000"/>
                <w:sz w:val="20"/>
                <w:szCs w:val="22"/>
                <w:vertAlign w:val="superscript"/>
              </w:rPr>
              <w:t>2</w:t>
            </w:r>
          </w:p>
          <w:p w14:paraId="0678668B">
            <w:pPr>
              <w:widowControl/>
              <w:jc w:val="center"/>
              <w:rPr>
                <w:rFonts w:ascii="Times New Roman" w:hAnsi="Times New Roman" w:eastAsia="等线" w:cs="Times New Roman"/>
                <w:color w:val="000000"/>
                <w:sz w:val="20"/>
                <w:szCs w:val="22"/>
              </w:rPr>
            </w:pPr>
          </w:p>
        </w:tc>
        <w:tc>
          <w:tcPr>
            <w:tcW w:w="593" w:type="dxa"/>
            <w:vMerge w:val="restart"/>
            <w:tcBorders>
              <w:top w:val="nil"/>
              <w:left w:val="nil"/>
              <w:right w:val="single" w:color="auto" w:sz="4" w:space="0"/>
            </w:tcBorders>
            <w:shd w:val="clear" w:color="000000" w:fill="E7E6E6"/>
            <w:noWrap/>
            <w:vAlign w:val="center"/>
          </w:tcPr>
          <w:p w14:paraId="4C4098E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W2</w:t>
            </w:r>
          </w:p>
        </w:tc>
        <w:tc>
          <w:tcPr>
            <w:tcW w:w="660" w:type="dxa"/>
            <w:vMerge w:val="restart"/>
            <w:tcBorders>
              <w:top w:val="nil"/>
              <w:left w:val="nil"/>
              <w:right w:val="single" w:color="auto" w:sz="4" w:space="0"/>
            </w:tcBorders>
            <w:shd w:val="clear" w:color="000000" w:fill="E7E6E6"/>
            <w:noWrap/>
            <w:vAlign w:val="center"/>
          </w:tcPr>
          <w:p w14:paraId="17D0BEC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W4</w:t>
            </w:r>
          </w:p>
        </w:tc>
        <w:tc>
          <w:tcPr>
            <w:tcW w:w="645" w:type="dxa"/>
            <w:vMerge w:val="restart"/>
            <w:tcBorders>
              <w:top w:val="nil"/>
              <w:left w:val="nil"/>
              <w:right w:val="single" w:color="auto" w:sz="4" w:space="0"/>
            </w:tcBorders>
            <w:shd w:val="clear" w:color="000000" w:fill="E7E6E6"/>
            <w:noWrap/>
            <w:vAlign w:val="center"/>
          </w:tcPr>
          <w:p w14:paraId="2F76B00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W8</w:t>
            </w:r>
          </w:p>
        </w:tc>
        <w:tc>
          <w:tcPr>
            <w:tcW w:w="637" w:type="dxa"/>
            <w:vMerge w:val="restart"/>
            <w:tcBorders>
              <w:top w:val="nil"/>
              <w:left w:val="nil"/>
              <w:right w:val="single" w:color="auto" w:sz="4" w:space="0"/>
            </w:tcBorders>
            <w:shd w:val="clear" w:color="000000" w:fill="E7E6E6"/>
            <w:noWrap/>
            <w:vAlign w:val="center"/>
          </w:tcPr>
          <w:p w14:paraId="4DC0A10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W12</w:t>
            </w:r>
          </w:p>
        </w:tc>
        <w:tc>
          <w:tcPr>
            <w:tcW w:w="668" w:type="dxa"/>
            <w:vMerge w:val="restart"/>
            <w:tcBorders>
              <w:top w:val="nil"/>
              <w:left w:val="nil"/>
              <w:right w:val="single" w:color="auto" w:sz="4" w:space="0"/>
            </w:tcBorders>
            <w:shd w:val="clear" w:color="000000" w:fill="E7E6E6"/>
            <w:noWrap/>
            <w:vAlign w:val="center"/>
          </w:tcPr>
          <w:p w14:paraId="03D76F9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W16</w:t>
            </w:r>
          </w:p>
        </w:tc>
        <w:tc>
          <w:tcPr>
            <w:tcW w:w="682" w:type="dxa"/>
            <w:vMerge w:val="restart"/>
            <w:tcBorders>
              <w:top w:val="nil"/>
              <w:left w:val="nil"/>
              <w:right w:val="single" w:color="auto" w:sz="4" w:space="0"/>
            </w:tcBorders>
            <w:shd w:val="clear" w:color="000000" w:fill="E7E6E6"/>
            <w:noWrap/>
            <w:vAlign w:val="center"/>
          </w:tcPr>
          <w:p w14:paraId="7E66467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W20</w:t>
            </w:r>
          </w:p>
        </w:tc>
        <w:tc>
          <w:tcPr>
            <w:tcW w:w="683" w:type="dxa"/>
            <w:vMerge w:val="restart"/>
            <w:tcBorders>
              <w:top w:val="nil"/>
              <w:left w:val="nil"/>
              <w:right w:val="single" w:color="auto" w:sz="4" w:space="0"/>
            </w:tcBorders>
            <w:shd w:val="clear" w:color="000000" w:fill="E7E6E6"/>
            <w:noWrap/>
            <w:vAlign w:val="center"/>
          </w:tcPr>
          <w:p w14:paraId="3CF5789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W24</w:t>
            </w:r>
          </w:p>
        </w:tc>
        <w:tc>
          <w:tcPr>
            <w:tcW w:w="697" w:type="dxa"/>
            <w:vMerge w:val="restart"/>
            <w:tcBorders>
              <w:top w:val="nil"/>
              <w:left w:val="nil"/>
              <w:right w:val="single" w:color="auto" w:sz="4" w:space="0"/>
            </w:tcBorders>
            <w:shd w:val="clear" w:color="000000" w:fill="E7E6E6"/>
            <w:noWrap/>
            <w:vAlign w:val="center"/>
          </w:tcPr>
          <w:p w14:paraId="1D48F21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W28</w:t>
            </w:r>
          </w:p>
        </w:tc>
        <w:tc>
          <w:tcPr>
            <w:tcW w:w="698" w:type="dxa"/>
            <w:vMerge w:val="restart"/>
            <w:tcBorders>
              <w:top w:val="nil"/>
              <w:left w:val="nil"/>
              <w:right w:val="single" w:color="auto" w:sz="4" w:space="0"/>
            </w:tcBorders>
            <w:shd w:val="clear" w:color="000000" w:fill="E7E6E6"/>
            <w:noWrap/>
            <w:vAlign w:val="center"/>
          </w:tcPr>
          <w:p w14:paraId="080359D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W32</w:t>
            </w:r>
          </w:p>
        </w:tc>
        <w:tc>
          <w:tcPr>
            <w:tcW w:w="772" w:type="dxa"/>
            <w:vMerge w:val="restart"/>
            <w:tcBorders>
              <w:top w:val="nil"/>
              <w:left w:val="nil"/>
              <w:right w:val="single" w:color="auto" w:sz="4" w:space="0"/>
            </w:tcBorders>
            <w:shd w:val="clear" w:color="000000" w:fill="E7E6E6"/>
            <w:noWrap/>
            <w:vAlign w:val="center"/>
          </w:tcPr>
          <w:p w14:paraId="0ABD4B1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W36</w:t>
            </w:r>
          </w:p>
        </w:tc>
        <w:tc>
          <w:tcPr>
            <w:tcW w:w="675" w:type="dxa"/>
            <w:vMerge w:val="restart"/>
            <w:tcBorders>
              <w:top w:val="nil"/>
              <w:left w:val="nil"/>
              <w:right w:val="single" w:color="auto" w:sz="4" w:space="0"/>
            </w:tcBorders>
            <w:shd w:val="clear" w:color="000000" w:fill="E7E6E6"/>
            <w:noWrap/>
            <w:vAlign w:val="center"/>
          </w:tcPr>
          <w:p w14:paraId="77B61C3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W40</w:t>
            </w:r>
          </w:p>
        </w:tc>
        <w:tc>
          <w:tcPr>
            <w:tcW w:w="765" w:type="dxa"/>
            <w:vMerge w:val="restart"/>
            <w:tcBorders>
              <w:top w:val="nil"/>
              <w:left w:val="nil"/>
              <w:right w:val="single" w:color="auto" w:sz="4" w:space="0"/>
            </w:tcBorders>
            <w:shd w:val="clear" w:color="000000" w:fill="E7E6E6"/>
            <w:noWrap/>
            <w:vAlign w:val="center"/>
          </w:tcPr>
          <w:p w14:paraId="1C809FF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W44</w:t>
            </w:r>
          </w:p>
        </w:tc>
        <w:tc>
          <w:tcPr>
            <w:tcW w:w="705" w:type="dxa"/>
            <w:vMerge w:val="restart"/>
            <w:tcBorders>
              <w:top w:val="nil"/>
              <w:left w:val="nil"/>
              <w:right w:val="single" w:color="auto" w:sz="4" w:space="0"/>
            </w:tcBorders>
            <w:shd w:val="clear" w:color="000000" w:fill="E7E6E6"/>
            <w:noWrap/>
            <w:vAlign w:val="center"/>
          </w:tcPr>
          <w:p w14:paraId="0807298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W48</w:t>
            </w:r>
          </w:p>
        </w:tc>
        <w:tc>
          <w:tcPr>
            <w:tcW w:w="692" w:type="dxa"/>
            <w:vMerge w:val="restart"/>
            <w:tcBorders>
              <w:top w:val="nil"/>
              <w:left w:val="nil"/>
              <w:right w:val="single" w:color="auto" w:sz="4" w:space="0"/>
            </w:tcBorders>
            <w:shd w:val="clear" w:color="000000" w:fill="E7E6E6"/>
            <w:noWrap/>
            <w:vAlign w:val="center"/>
          </w:tcPr>
          <w:p w14:paraId="06A37ED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W52</w:t>
            </w:r>
          </w:p>
        </w:tc>
        <w:tc>
          <w:tcPr>
            <w:tcW w:w="861" w:type="dxa"/>
            <w:vMerge w:val="restart"/>
            <w:tcBorders>
              <w:top w:val="nil"/>
              <w:left w:val="nil"/>
              <w:right w:val="single" w:color="auto" w:sz="4" w:space="0"/>
            </w:tcBorders>
            <w:shd w:val="clear" w:color="000000" w:fill="E7E6E6"/>
            <w:noWrap/>
            <w:vAlign w:val="center"/>
          </w:tcPr>
          <w:p w14:paraId="6A3FBB4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W56</w:t>
            </w:r>
          </w:p>
        </w:tc>
        <w:tc>
          <w:tcPr>
            <w:tcW w:w="772" w:type="dxa"/>
            <w:vMerge w:val="restart"/>
            <w:tcBorders>
              <w:top w:val="nil"/>
              <w:left w:val="nil"/>
              <w:right w:val="single" w:color="auto" w:sz="4" w:space="0"/>
            </w:tcBorders>
            <w:shd w:val="clear" w:color="000000" w:fill="E7E6E6"/>
            <w:noWrap/>
            <w:vAlign w:val="center"/>
          </w:tcPr>
          <w:p w14:paraId="74106D9C">
            <w:pPr>
              <w:widowControl/>
              <w:jc w:val="center"/>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w:t>
            </w:r>
          </w:p>
        </w:tc>
      </w:tr>
      <w:tr w14:paraId="34135743">
        <w:tblPrEx>
          <w:tblCellMar>
            <w:top w:w="0" w:type="dxa"/>
            <w:left w:w="108" w:type="dxa"/>
            <w:bottom w:w="0" w:type="dxa"/>
            <w:right w:w="108" w:type="dxa"/>
          </w:tblCellMar>
        </w:tblPrEx>
        <w:trPr>
          <w:trHeight w:val="149" w:hRule="atLeast"/>
          <w:tblHeader/>
        </w:trPr>
        <w:tc>
          <w:tcPr>
            <w:tcW w:w="1231" w:type="dxa"/>
            <w:vMerge w:val="continue"/>
            <w:tcBorders>
              <w:left w:val="single" w:color="auto" w:sz="4" w:space="0"/>
              <w:bottom w:val="single" w:color="auto" w:sz="4" w:space="0"/>
              <w:right w:val="single" w:color="auto" w:sz="4" w:space="0"/>
            </w:tcBorders>
            <w:shd w:val="clear" w:color="000000" w:fill="E7E6E6"/>
            <w:noWrap/>
            <w:vAlign w:val="center"/>
          </w:tcPr>
          <w:p w14:paraId="73B172DF">
            <w:pPr>
              <w:widowControl/>
              <w:jc w:val="center"/>
              <w:rPr>
                <w:rFonts w:ascii="Times New Roman" w:hAnsi="Times New Roman" w:cs="Times New Roman"/>
              </w:rPr>
            </w:pPr>
          </w:p>
        </w:tc>
        <w:tc>
          <w:tcPr>
            <w:tcW w:w="715" w:type="dxa"/>
            <w:tcBorders>
              <w:top w:val="single" w:color="auto" w:sz="4" w:space="0"/>
              <w:left w:val="nil"/>
              <w:bottom w:val="single" w:color="auto" w:sz="4" w:space="0"/>
              <w:right w:val="single" w:color="000000" w:sz="4" w:space="0"/>
            </w:tcBorders>
            <w:shd w:val="clear" w:color="000000" w:fill="E7E6E6"/>
            <w:noWrap/>
            <w:vAlign w:val="center"/>
          </w:tcPr>
          <w:p w14:paraId="4E3C5252">
            <w:pPr>
              <w:widowControl/>
              <w:jc w:val="center"/>
              <w:rPr>
                <w:rFonts w:ascii="Times New Roman" w:hAnsi="Times New Roman" w:cs="Times New Roman"/>
              </w:rPr>
            </w:pPr>
            <w:r>
              <w:rPr>
                <w:rFonts w:hint="eastAsia" w:ascii="Times New Roman" w:hAnsi="Times New Roman" w:eastAsia="宋体" w:cs="Times New Roman"/>
                <w:color w:val="000000"/>
                <w:sz w:val="20"/>
                <w:szCs w:val="22"/>
              </w:rPr>
              <w:t>筛选</w:t>
            </w:r>
          </w:p>
        </w:tc>
        <w:tc>
          <w:tcPr>
            <w:tcW w:w="829" w:type="dxa"/>
            <w:tcBorders>
              <w:top w:val="single" w:color="auto" w:sz="4" w:space="0"/>
              <w:left w:val="nil"/>
              <w:bottom w:val="single" w:color="auto" w:sz="4" w:space="0"/>
              <w:right w:val="single" w:color="000000" w:sz="4" w:space="0"/>
            </w:tcBorders>
            <w:shd w:val="clear" w:color="000000" w:fill="E7E6E6"/>
            <w:noWrap/>
            <w:vAlign w:val="center"/>
          </w:tcPr>
          <w:p w14:paraId="34235128">
            <w:pPr>
              <w:widowControl/>
              <w:jc w:val="center"/>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基线</w:t>
            </w:r>
            <w:r>
              <w:rPr>
                <w:rFonts w:ascii="Times New Roman" w:hAnsi="Times New Roman" w:eastAsia="宋体" w:cs="Times New Roman"/>
                <w:color w:val="000000"/>
                <w:sz w:val="20"/>
                <w:szCs w:val="22"/>
                <w:vertAlign w:val="superscript"/>
              </w:rPr>
              <w:t>2</w:t>
            </w:r>
          </w:p>
        </w:tc>
        <w:tc>
          <w:tcPr>
            <w:tcW w:w="457" w:type="dxa"/>
            <w:vMerge w:val="continue"/>
            <w:tcBorders>
              <w:left w:val="nil"/>
              <w:right w:val="single" w:color="auto" w:sz="4" w:space="0"/>
            </w:tcBorders>
            <w:shd w:val="clear" w:color="000000" w:fill="E7E6E6"/>
            <w:noWrap/>
            <w:vAlign w:val="center"/>
          </w:tcPr>
          <w:p w14:paraId="7E704DD2">
            <w:pPr>
              <w:widowControl/>
              <w:jc w:val="center"/>
              <w:rPr>
                <w:rFonts w:ascii="Times New Roman" w:hAnsi="Times New Roman" w:eastAsia="宋体" w:cs="Times New Roman"/>
                <w:color w:val="000000"/>
                <w:sz w:val="20"/>
                <w:szCs w:val="22"/>
              </w:rPr>
            </w:pPr>
          </w:p>
        </w:tc>
        <w:tc>
          <w:tcPr>
            <w:tcW w:w="593" w:type="dxa"/>
            <w:vMerge w:val="continue"/>
            <w:tcBorders>
              <w:left w:val="nil"/>
              <w:bottom w:val="single" w:color="auto" w:sz="4" w:space="0"/>
              <w:right w:val="single" w:color="auto" w:sz="4" w:space="0"/>
            </w:tcBorders>
            <w:shd w:val="clear" w:color="000000" w:fill="E7E6E6"/>
            <w:noWrap/>
            <w:vAlign w:val="center"/>
          </w:tcPr>
          <w:p w14:paraId="3B26298E">
            <w:pPr>
              <w:widowControl/>
              <w:jc w:val="center"/>
              <w:rPr>
                <w:rFonts w:ascii="Times New Roman" w:hAnsi="Times New Roman" w:eastAsia="宋体" w:cs="Times New Roman"/>
                <w:color w:val="000000"/>
                <w:sz w:val="20"/>
                <w:szCs w:val="22"/>
              </w:rPr>
            </w:pPr>
          </w:p>
        </w:tc>
        <w:tc>
          <w:tcPr>
            <w:tcW w:w="660" w:type="dxa"/>
            <w:vMerge w:val="continue"/>
            <w:tcBorders>
              <w:left w:val="nil"/>
              <w:bottom w:val="single" w:color="auto" w:sz="4" w:space="0"/>
              <w:right w:val="single" w:color="auto" w:sz="4" w:space="0"/>
            </w:tcBorders>
            <w:shd w:val="clear" w:color="000000" w:fill="E7E6E6"/>
            <w:noWrap/>
            <w:vAlign w:val="center"/>
          </w:tcPr>
          <w:p w14:paraId="3D260CA0">
            <w:pPr>
              <w:widowControl/>
              <w:jc w:val="center"/>
              <w:rPr>
                <w:rFonts w:ascii="Times New Roman" w:hAnsi="Times New Roman" w:eastAsia="宋体" w:cs="Times New Roman"/>
                <w:color w:val="000000"/>
                <w:sz w:val="20"/>
                <w:szCs w:val="22"/>
              </w:rPr>
            </w:pPr>
          </w:p>
        </w:tc>
        <w:tc>
          <w:tcPr>
            <w:tcW w:w="645" w:type="dxa"/>
            <w:vMerge w:val="continue"/>
            <w:tcBorders>
              <w:left w:val="nil"/>
              <w:bottom w:val="single" w:color="auto" w:sz="4" w:space="0"/>
              <w:right w:val="single" w:color="auto" w:sz="4" w:space="0"/>
            </w:tcBorders>
            <w:shd w:val="clear" w:color="000000" w:fill="E7E6E6"/>
            <w:noWrap/>
            <w:vAlign w:val="center"/>
          </w:tcPr>
          <w:p w14:paraId="706B9A44">
            <w:pPr>
              <w:widowControl/>
              <w:jc w:val="center"/>
              <w:rPr>
                <w:rFonts w:ascii="Times New Roman" w:hAnsi="Times New Roman" w:eastAsia="宋体" w:cs="Times New Roman"/>
                <w:color w:val="000000"/>
                <w:sz w:val="20"/>
                <w:szCs w:val="22"/>
              </w:rPr>
            </w:pPr>
          </w:p>
        </w:tc>
        <w:tc>
          <w:tcPr>
            <w:tcW w:w="637" w:type="dxa"/>
            <w:vMerge w:val="continue"/>
            <w:tcBorders>
              <w:left w:val="nil"/>
              <w:bottom w:val="single" w:color="auto" w:sz="4" w:space="0"/>
              <w:right w:val="single" w:color="auto" w:sz="4" w:space="0"/>
            </w:tcBorders>
            <w:shd w:val="clear" w:color="000000" w:fill="E7E6E6"/>
            <w:noWrap/>
            <w:vAlign w:val="center"/>
          </w:tcPr>
          <w:p w14:paraId="2C707EF0">
            <w:pPr>
              <w:widowControl/>
              <w:jc w:val="center"/>
              <w:rPr>
                <w:rFonts w:ascii="Times New Roman" w:hAnsi="Times New Roman" w:eastAsia="宋体" w:cs="Times New Roman"/>
                <w:color w:val="000000"/>
                <w:sz w:val="20"/>
                <w:szCs w:val="22"/>
              </w:rPr>
            </w:pPr>
          </w:p>
        </w:tc>
        <w:tc>
          <w:tcPr>
            <w:tcW w:w="668" w:type="dxa"/>
            <w:vMerge w:val="continue"/>
            <w:tcBorders>
              <w:left w:val="nil"/>
              <w:bottom w:val="single" w:color="auto" w:sz="4" w:space="0"/>
              <w:right w:val="single" w:color="auto" w:sz="4" w:space="0"/>
            </w:tcBorders>
            <w:shd w:val="clear" w:color="000000" w:fill="E7E6E6"/>
            <w:noWrap/>
            <w:vAlign w:val="center"/>
          </w:tcPr>
          <w:p w14:paraId="68CB21EE">
            <w:pPr>
              <w:widowControl/>
              <w:jc w:val="center"/>
              <w:rPr>
                <w:rFonts w:ascii="Times New Roman" w:hAnsi="Times New Roman" w:eastAsia="宋体" w:cs="Times New Roman"/>
                <w:color w:val="000000"/>
                <w:sz w:val="20"/>
                <w:szCs w:val="22"/>
              </w:rPr>
            </w:pPr>
          </w:p>
        </w:tc>
        <w:tc>
          <w:tcPr>
            <w:tcW w:w="682" w:type="dxa"/>
            <w:vMerge w:val="continue"/>
            <w:tcBorders>
              <w:left w:val="nil"/>
              <w:bottom w:val="single" w:color="auto" w:sz="4" w:space="0"/>
              <w:right w:val="single" w:color="auto" w:sz="4" w:space="0"/>
            </w:tcBorders>
            <w:shd w:val="clear" w:color="000000" w:fill="E7E6E6"/>
            <w:noWrap/>
            <w:vAlign w:val="center"/>
          </w:tcPr>
          <w:p w14:paraId="5CF58FF0">
            <w:pPr>
              <w:widowControl/>
              <w:jc w:val="center"/>
              <w:rPr>
                <w:rFonts w:ascii="Times New Roman" w:hAnsi="Times New Roman" w:eastAsia="宋体" w:cs="Times New Roman"/>
                <w:color w:val="000000"/>
                <w:sz w:val="20"/>
                <w:szCs w:val="22"/>
              </w:rPr>
            </w:pPr>
          </w:p>
        </w:tc>
        <w:tc>
          <w:tcPr>
            <w:tcW w:w="683" w:type="dxa"/>
            <w:vMerge w:val="continue"/>
            <w:tcBorders>
              <w:left w:val="nil"/>
              <w:bottom w:val="single" w:color="auto" w:sz="4" w:space="0"/>
              <w:right w:val="single" w:color="auto" w:sz="4" w:space="0"/>
            </w:tcBorders>
            <w:shd w:val="clear" w:color="000000" w:fill="E7E6E6"/>
            <w:noWrap/>
            <w:vAlign w:val="center"/>
          </w:tcPr>
          <w:p w14:paraId="4D7B59F2">
            <w:pPr>
              <w:widowControl/>
              <w:jc w:val="center"/>
              <w:rPr>
                <w:rFonts w:ascii="Times New Roman" w:hAnsi="Times New Roman" w:eastAsia="宋体" w:cs="Times New Roman"/>
                <w:color w:val="000000"/>
                <w:sz w:val="20"/>
                <w:szCs w:val="22"/>
              </w:rPr>
            </w:pPr>
          </w:p>
        </w:tc>
        <w:tc>
          <w:tcPr>
            <w:tcW w:w="697" w:type="dxa"/>
            <w:vMerge w:val="continue"/>
            <w:tcBorders>
              <w:left w:val="nil"/>
              <w:bottom w:val="single" w:color="auto" w:sz="4" w:space="0"/>
              <w:right w:val="single" w:color="auto" w:sz="4" w:space="0"/>
            </w:tcBorders>
            <w:shd w:val="clear" w:color="000000" w:fill="E7E6E6"/>
            <w:noWrap/>
            <w:vAlign w:val="center"/>
          </w:tcPr>
          <w:p w14:paraId="1386A65F">
            <w:pPr>
              <w:widowControl/>
              <w:jc w:val="center"/>
              <w:rPr>
                <w:rFonts w:ascii="Times New Roman" w:hAnsi="Times New Roman" w:eastAsia="宋体" w:cs="Times New Roman"/>
                <w:color w:val="000000"/>
                <w:sz w:val="20"/>
                <w:szCs w:val="22"/>
              </w:rPr>
            </w:pPr>
          </w:p>
        </w:tc>
        <w:tc>
          <w:tcPr>
            <w:tcW w:w="698" w:type="dxa"/>
            <w:vMerge w:val="continue"/>
            <w:tcBorders>
              <w:left w:val="nil"/>
              <w:bottom w:val="single" w:color="auto" w:sz="4" w:space="0"/>
              <w:right w:val="single" w:color="auto" w:sz="4" w:space="0"/>
            </w:tcBorders>
            <w:shd w:val="clear" w:color="000000" w:fill="E7E6E6"/>
            <w:noWrap/>
            <w:vAlign w:val="center"/>
          </w:tcPr>
          <w:p w14:paraId="3E5FD91F">
            <w:pPr>
              <w:widowControl/>
              <w:jc w:val="center"/>
              <w:rPr>
                <w:rFonts w:ascii="Times New Roman" w:hAnsi="Times New Roman" w:eastAsia="宋体" w:cs="Times New Roman"/>
                <w:color w:val="000000"/>
                <w:sz w:val="20"/>
                <w:szCs w:val="22"/>
              </w:rPr>
            </w:pPr>
          </w:p>
        </w:tc>
        <w:tc>
          <w:tcPr>
            <w:tcW w:w="772" w:type="dxa"/>
            <w:vMerge w:val="continue"/>
            <w:tcBorders>
              <w:left w:val="nil"/>
              <w:bottom w:val="single" w:color="auto" w:sz="4" w:space="0"/>
              <w:right w:val="single" w:color="auto" w:sz="4" w:space="0"/>
            </w:tcBorders>
            <w:shd w:val="clear" w:color="000000" w:fill="E7E6E6"/>
            <w:noWrap/>
            <w:vAlign w:val="center"/>
          </w:tcPr>
          <w:p w14:paraId="57E1E22D">
            <w:pPr>
              <w:widowControl/>
              <w:jc w:val="center"/>
              <w:rPr>
                <w:rFonts w:ascii="Times New Roman" w:hAnsi="Times New Roman" w:eastAsia="宋体" w:cs="Times New Roman"/>
                <w:color w:val="000000"/>
                <w:sz w:val="20"/>
                <w:szCs w:val="22"/>
              </w:rPr>
            </w:pPr>
          </w:p>
        </w:tc>
        <w:tc>
          <w:tcPr>
            <w:tcW w:w="675" w:type="dxa"/>
            <w:vMerge w:val="continue"/>
            <w:tcBorders>
              <w:left w:val="nil"/>
              <w:bottom w:val="single" w:color="auto" w:sz="4" w:space="0"/>
              <w:right w:val="single" w:color="auto" w:sz="4" w:space="0"/>
            </w:tcBorders>
            <w:shd w:val="clear" w:color="000000" w:fill="E7E6E6"/>
            <w:noWrap/>
            <w:vAlign w:val="center"/>
          </w:tcPr>
          <w:p w14:paraId="630695F2">
            <w:pPr>
              <w:widowControl/>
              <w:jc w:val="center"/>
              <w:rPr>
                <w:rFonts w:ascii="Times New Roman" w:hAnsi="Times New Roman" w:eastAsia="宋体" w:cs="Times New Roman"/>
                <w:color w:val="000000"/>
                <w:sz w:val="20"/>
                <w:szCs w:val="22"/>
              </w:rPr>
            </w:pPr>
          </w:p>
        </w:tc>
        <w:tc>
          <w:tcPr>
            <w:tcW w:w="765" w:type="dxa"/>
            <w:vMerge w:val="continue"/>
            <w:tcBorders>
              <w:left w:val="nil"/>
              <w:bottom w:val="single" w:color="auto" w:sz="4" w:space="0"/>
              <w:right w:val="single" w:color="auto" w:sz="4" w:space="0"/>
            </w:tcBorders>
            <w:shd w:val="clear" w:color="000000" w:fill="E7E6E6"/>
            <w:noWrap/>
            <w:vAlign w:val="center"/>
          </w:tcPr>
          <w:p w14:paraId="46CDF6FB">
            <w:pPr>
              <w:widowControl/>
              <w:jc w:val="center"/>
              <w:rPr>
                <w:rFonts w:ascii="Times New Roman" w:hAnsi="Times New Roman" w:eastAsia="宋体" w:cs="Times New Roman"/>
                <w:color w:val="000000"/>
                <w:sz w:val="20"/>
                <w:szCs w:val="22"/>
              </w:rPr>
            </w:pPr>
          </w:p>
        </w:tc>
        <w:tc>
          <w:tcPr>
            <w:tcW w:w="705" w:type="dxa"/>
            <w:vMerge w:val="continue"/>
            <w:tcBorders>
              <w:left w:val="nil"/>
              <w:bottom w:val="single" w:color="auto" w:sz="4" w:space="0"/>
              <w:right w:val="single" w:color="auto" w:sz="4" w:space="0"/>
            </w:tcBorders>
            <w:shd w:val="clear" w:color="000000" w:fill="E7E6E6"/>
            <w:noWrap/>
            <w:vAlign w:val="center"/>
          </w:tcPr>
          <w:p w14:paraId="65FBAD00">
            <w:pPr>
              <w:widowControl/>
              <w:jc w:val="center"/>
              <w:rPr>
                <w:rFonts w:ascii="Times New Roman" w:hAnsi="Times New Roman" w:eastAsia="宋体" w:cs="Times New Roman"/>
                <w:color w:val="000000"/>
                <w:sz w:val="20"/>
                <w:szCs w:val="22"/>
              </w:rPr>
            </w:pPr>
          </w:p>
        </w:tc>
        <w:tc>
          <w:tcPr>
            <w:tcW w:w="692" w:type="dxa"/>
            <w:vMerge w:val="continue"/>
            <w:tcBorders>
              <w:left w:val="nil"/>
              <w:bottom w:val="single" w:color="auto" w:sz="4" w:space="0"/>
              <w:right w:val="single" w:color="auto" w:sz="4" w:space="0"/>
            </w:tcBorders>
            <w:shd w:val="clear" w:color="000000" w:fill="E7E6E6"/>
            <w:noWrap/>
            <w:vAlign w:val="center"/>
          </w:tcPr>
          <w:p w14:paraId="52CD3FC3">
            <w:pPr>
              <w:widowControl/>
              <w:jc w:val="center"/>
              <w:rPr>
                <w:rFonts w:ascii="Times New Roman" w:hAnsi="Times New Roman" w:eastAsia="宋体" w:cs="Times New Roman"/>
                <w:color w:val="000000"/>
                <w:sz w:val="20"/>
                <w:szCs w:val="22"/>
              </w:rPr>
            </w:pPr>
          </w:p>
        </w:tc>
        <w:tc>
          <w:tcPr>
            <w:tcW w:w="861" w:type="dxa"/>
            <w:vMerge w:val="continue"/>
            <w:tcBorders>
              <w:left w:val="nil"/>
              <w:bottom w:val="single" w:color="auto" w:sz="4" w:space="0"/>
              <w:right w:val="single" w:color="auto" w:sz="4" w:space="0"/>
            </w:tcBorders>
            <w:shd w:val="clear" w:color="000000" w:fill="E7E6E6"/>
            <w:noWrap/>
            <w:vAlign w:val="center"/>
          </w:tcPr>
          <w:p w14:paraId="0C680FCB">
            <w:pPr>
              <w:widowControl/>
              <w:jc w:val="center"/>
              <w:rPr>
                <w:rFonts w:ascii="Times New Roman" w:hAnsi="Times New Roman" w:eastAsia="宋体" w:cs="Times New Roman"/>
                <w:color w:val="000000"/>
                <w:sz w:val="20"/>
                <w:szCs w:val="22"/>
              </w:rPr>
            </w:pPr>
          </w:p>
        </w:tc>
        <w:tc>
          <w:tcPr>
            <w:tcW w:w="772" w:type="dxa"/>
            <w:vMerge w:val="continue"/>
            <w:tcBorders>
              <w:left w:val="nil"/>
              <w:bottom w:val="single" w:color="auto" w:sz="4" w:space="0"/>
              <w:right w:val="single" w:color="auto" w:sz="4" w:space="0"/>
            </w:tcBorders>
            <w:shd w:val="clear" w:color="000000" w:fill="E7E6E6"/>
            <w:noWrap/>
            <w:vAlign w:val="center"/>
          </w:tcPr>
          <w:p w14:paraId="11C9AB28">
            <w:pPr>
              <w:widowControl/>
              <w:jc w:val="center"/>
              <w:rPr>
                <w:rFonts w:ascii="Times New Roman" w:hAnsi="Times New Roman" w:eastAsia="宋体" w:cs="Times New Roman"/>
                <w:color w:val="000000"/>
                <w:sz w:val="20"/>
                <w:szCs w:val="22"/>
              </w:rPr>
            </w:pPr>
          </w:p>
        </w:tc>
      </w:tr>
      <w:tr w14:paraId="0C9EA2BC">
        <w:tblPrEx>
          <w:tblCellMar>
            <w:top w:w="0" w:type="dxa"/>
            <w:left w:w="108" w:type="dxa"/>
            <w:bottom w:w="0" w:type="dxa"/>
            <w:right w:w="108" w:type="dxa"/>
          </w:tblCellMar>
        </w:tblPrEx>
        <w:trPr>
          <w:trHeight w:val="392" w:hRule="atLeast"/>
          <w:tblHeader/>
        </w:trPr>
        <w:tc>
          <w:tcPr>
            <w:tcW w:w="1231" w:type="dxa"/>
            <w:tcBorders>
              <w:top w:val="nil"/>
              <w:left w:val="single" w:color="auto" w:sz="4" w:space="0"/>
              <w:bottom w:val="single" w:color="auto" w:sz="4" w:space="0"/>
              <w:right w:val="single" w:color="auto" w:sz="4" w:space="0"/>
            </w:tcBorders>
            <w:shd w:val="clear" w:color="000000" w:fill="E7E6E6"/>
            <w:noWrap/>
            <w:vAlign w:val="center"/>
          </w:tcPr>
          <w:p w14:paraId="0D552295">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访视</w:t>
            </w:r>
            <w:r>
              <w:rPr>
                <w:rFonts w:ascii="Times New Roman" w:hAnsi="Times New Roman" w:eastAsia="宋体" w:cs="Times New Roman"/>
                <w:color w:val="000000"/>
                <w:sz w:val="20"/>
                <w:szCs w:val="22"/>
              </w:rPr>
              <w:t>(</w:t>
            </w:r>
            <w:r>
              <w:rPr>
                <w:rFonts w:hint="eastAsia" w:ascii="Times New Roman" w:hAnsi="Times New Roman" w:eastAsia="宋体" w:cs="Times New Roman"/>
                <w:color w:val="000000"/>
                <w:sz w:val="20"/>
                <w:szCs w:val="22"/>
              </w:rPr>
              <w:t>天</w:t>
            </w:r>
            <w:r>
              <w:rPr>
                <w:rFonts w:ascii="Times New Roman" w:hAnsi="Times New Roman" w:eastAsia="宋体" w:cs="Times New Roman"/>
                <w:color w:val="000000"/>
                <w:sz w:val="20"/>
                <w:szCs w:val="22"/>
              </w:rPr>
              <w:t>)</w:t>
            </w:r>
          </w:p>
        </w:tc>
        <w:tc>
          <w:tcPr>
            <w:tcW w:w="715" w:type="dxa"/>
            <w:tcBorders>
              <w:top w:val="nil"/>
              <w:left w:val="nil"/>
              <w:bottom w:val="single" w:color="auto" w:sz="4" w:space="0"/>
              <w:right w:val="single" w:color="auto" w:sz="4" w:space="0"/>
            </w:tcBorders>
            <w:shd w:val="clear" w:color="000000" w:fill="E7E6E6"/>
            <w:noWrap/>
            <w:vAlign w:val="center"/>
          </w:tcPr>
          <w:p w14:paraId="1DF0B0CC">
            <w:pPr>
              <w:widowControl/>
              <w:jc w:val="center"/>
              <w:rPr>
                <w:rFonts w:ascii="Times New Roman" w:hAnsi="Times New Roman" w:eastAsia="宋体" w:cs="Times New Roman"/>
                <w:color w:val="000000"/>
                <w:sz w:val="20"/>
                <w:szCs w:val="22"/>
              </w:rPr>
            </w:pPr>
            <w:r>
              <w:rPr>
                <w:rFonts w:ascii="Times New Roman" w:hAnsi="Times New Roman" w:eastAsia="宋体" w:cs="Times New Roman"/>
                <w:color w:val="000000"/>
                <w:sz w:val="20"/>
                <w:szCs w:val="22"/>
              </w:rPr>
              <w:t>D-28~D-1</w:t>
            </w:r>
          </w:p>
        </w:tc>
        <w:tc>
          <w:tcPr>
            <w:tcW w:w="829" w:type="dxa"/>
            <w:tcBorders>
              <w:top w:val="nil"/>
              <w:left w:val="nil"/>
              <w:bottom w:val="single" w:color="auto" w:sz="4" w:space="0"/>
              <w:right w:val="single" w:color="auto" w:sz="4" w:space="0"/>
            </w:tcBorders>
            <w:shd w:val="clear" w:color="000000" w:fill="E7E6E6"/>
            <w:noWrap/>
            <w:vAlign w:val="center"/>
          </w:tcPr>
          <w:p w14:paraId="47B98D50">
            <w:pPr>
              <w:widowControl/>
              <w:jc w:val="center"/>
              <w:rPr>
                <w:rFonts w:ascii="Times New Roman" w:hAnsi="Times New Roman" w:eastAsia="宋体" w:cs="Times New Roman"/>
                <w:color w:val="000000"/>
                <w:sz w:val="20"/>
                <w:szCs w:val="22"/>
              </w:rPr>
            </w:pPr>
            <w:r>
              <w:rPr>
                <w:rFonts w:ascii="Times New Roman" w:hAnsi="Times New Roman" w:eastAsia="宋体" w:cs="Times New Roman"/>
                <w:color w:val="000000"/>
              </w:rPr>
              <w:t>D</w:t>
            </w:r>
            <w:r>
              <w:rPr>
                <w:rFonts w:hint="eastAsia" w:ascii="Times New Roman" w:hAnsi="Times New Roman" w:eastAsia="微软雅黑" w:cs="Times New Roman"/>
                <w:color w:val="000000"/>
              </w:rPr>
              <w:t>≤</w:t>
            </w:r>
            <w:r>
              <w:rPr>
                <w:rFonts w:ascii="Times New Roman" w:hAnsi="Times New Roman" w:eastAsia="宋体" w:cs="Times New Roman"/>
                <w:color w:val="000000"/>
              </w:rPr>
              <w:t>-7</w:t>
            </w:r>
          </w:p>
        </w:tc>
        <w:tc>
          <w:tcPr>
            <w:tcW w:w="457" w:type="dxa"/>
            <w:vMerge w:val="continue"/>
            <w:tcBorders>
              <w:left w:val="nil"/>
              <w:bottom w:val="single" w:color="auto" w:sz="4" w:space="0"/>
              <w:right w:val="single" w:color="auto" w:sz="4" w:space="0"/>
            </w:tcBorders>
            <w:shd w:val="clear" w:color="000000" w:fill="E7E6E6"/>
            <w:noWrap/>
            <w:vAlign w:val="center"/>
          </w:tcPr>
          <w:p w14:paraId="5C6E4588">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shd w:val="clear" w:color="000000" w:fill="E7E6E6"/>
            <w:noWrap/>
            <w:vAlign w:val="center"/>
          </w:tcPr>
          <w:p w14:paraId="20EC8C1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D15</w:t>
            </w:r>
          </w:p>
        </w:tc>
        <w:tc>
          <w:tcPr>
            <w:tcW w:w="660" w:type="dxa"/>
            <w:tcBorders>
              <w:top w:val="nil"/>
              <w:left w:val="nil"/>
              <w:bottom w:val="single" w:color="auto" w:sz="4" w:space="0"/>
              <w:right w:val="single" w:color="auto" w:sz="4" w:space="0"/>
            </w:tcBorders>
            <w:shd w:val="clear" w:color="000000" w:fill="E7E6E6"/>
            <w:noWrap/>
            <w:vAlign w:val="center"/>
          </w:tcPr>
          <w:p w14:paraId="5BA3916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D29</w:t>
            </w:r>
          </w:p>
        </w:tc>
        <w:tc>
          <w:tcPr>
            <w:tcW w:w="645" w:type="dxa"/>
            <w:tcBorders>
              <w:top w:val="nil"/>
              <w:left w:val="nil"/>
              <w:bottom w:val="single" w:color="auto" w:sz="4" w:space="0"/>
              <w:right w:val="single" w:color="auto" w:sz="4" w:space="0"/>
            </w:tcBorders>
            <w:shd w:val="clear" w:color="000000" w:fill="E7E6E6"/>
            <w:noWrap/>
            <w:vAlign w:val="center"/>
          </w:tcPr>
          <w:p w14:paraId="6F09953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D57</w:t>
            </w:r>
          </w:p>
        </w:tc>
        <w:tc>
          <w:tcPr>
            <w:tcW w:w="637" w:type="dxa"/>
            <w:tcBorders>
              <w:top w:val="nil"/>
              <w:left w:val="nil"/>
              <w:bottom w:val="single" w:color="auto" w:sz="4" w:space="0"/>
              <w:right w:val="single" w:color="auto" w:sz="4" w:space="0"/>
            </w:tcBorders>
            <w:shd w:val="clear" w:color="000000" w:fill="E7E6E6"/>
            <w:noWrap/>
            <w:vAlign w:val="center"/>
          </w:tcPr>
          <w:p w14:paraId="3D870C5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D85</w:t>
            </w:r>
          </w:p>
        </w:tc>
        <w:tc>
          <w:tcPr>
            <w:tcW w:w="668" w:type="dxa"/>
            <w:tcBorders>
              <w:top w:val="nil"/>
              <w:left w:val="nil"/>
              <w:bottom w:val="single" w:color="auto" w:sz="4" w:space="0"/>
              <w:right w:val="single" w:color="auto" w:sz="4" w:space="0"/>
            </w:tcBorders>
            <w:shd w:val="clear" w:color="000000" w:fill="E7E6E6"/>
            <w:noWrap/>
            <w:vAlign w:val="center"/>
          </w:tcPr>
          <w:p w14:paraId="2A4B333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D113</w:t>
            </w:r>
          </w:p>
        </w:tc>
        <w:tc>
          <w:tcPr>
            <w:tcW w:w="682" w:type="dxa"/>
            <w:tcBorders>
              <w:top w:val="nil"/>
              <w:left w:val="nil"/>
              <w:bottom w:val="single" w:color="auto" w:sz="4" w:space="0"/>
              <w:right w:val="single" w:color="auto" w:sz="4" w:space="0"/>
            </w:tcBorders>
            <w:shd w:val="clear" w:color="000000" w:fill="E7E6E6"/>
            <w:noWrap/>
            <w:vAlign w:val="center"/>
          </w:tcPr>
          <w:p w14:paraId="2798E78E">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D141</w:t>
            </w:r>
          </w:p>
        </w:tc>
        <w:tc>
          <w:tcPr>
            <w:tcW w:w="683" w:type="dxa"/>
            <w:tcBorders>
              <w:top w:val="nil"/>
              <w:left w:val="nil"/>
              <w:bottom w:val="single" w:color="auto" w:sz="4" w:space="0"/>
              <w:right w:val="single" w:color="auto" w:sz="4" w:space="0"/>
            </w:tcBorders>
            <w:shd w:val="clear" w:color="000000" w:fill="E7E6E6"/>
            <w:noWrap/>
            <w:vAlign w:val="center"/>
          </w:tcPr>
          <w:p w14:paraId="2EBF7F15">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D169</w:t>
            </w:r>
          </w:p>
        </w:tc>
        <w:tc>
          <w:tcPr>
            <w:tcW w:w="697" w:type="dxa"/>
            <w:tcBorders>
              <w:top w:val="nil"/>
              <w:left w:val="nil"/>
              <w:bottom w:val="single" w:color="auto" w:sz="4" w:space="0"/>
              <w:right w:val="single" w:color="auto" w:sz="4" w:space="0"/>
            </w:tcBorders>
            <w:shd w:val="clear" w:color="000000" w:fill="E7E6E6"/>
            <w:noWrap/>
            <w:vAlign w:val="center"/>
          </w:tcPr>
          <w:p w14:paraId="57170846">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D197</w:t>
            </w:r>
          </w:p>
        </w:tc>
        <w:tc>
          <w:tcPr>
            <w:tcW w:w="698" w:type="dxa"/>
            <w:tcBorders>
              <w:top w:val="nil"/>
              <w:left w:val="nil"/>
              <w:bottom w:val="single" w:color="auto" w:sz="4" w:space="0"/>
              <w:right w:val="single" w:color="auto" w:sz="4" w:space="0"/>
            </w:tcBorders>
            <w:shd w:val="clear" w:color="000000" w:fill="E7E6E6"/>
            <w:noWrap/>
            <w:vAlign w:val="center"/>
          </w:tcPr>
          <w:p w14:paraId="4E9B1AD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D225</w:t>
            </w:r>
          </w:p>
        </w:tc>
        <w:tc>
          <w:tcPr>
            <w:tcW w:w="772" w:type="dxa"/>
            <w:tcBorders>
              <w:top w:val="nil"/>
              <w:left w:val="nil"/>
              <w:bottom w:val="single" w:color="auto" w:sz="4" w:space="0"/>
              <w:right w:val="single" w:color="auto" w:sz="4" w:space="0"/>
            </w:tcBorders>
            <w:shd w:val="clear" w:color="000000" w:fill="E7E6E6"/>
            <w:noWrap/>
            <w:vAlign w:val="center"/>
          </w:tcPr>
          <w:p w14:paraId="1C858E5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D253</w:t>
            </w:r>
          </w:p>
        </w:tc>
        <w:tc>
          <w:tcPr>
            <w:tcW w:w="675" w:type="dxa"/>
            <w:tcBorders>
              <w:top w:val="nil"/>
              <w:left w:val="nil"/>
              <w:bottom w:val="single" w:color="auto" w:sz="4" w:space="0"/>
              <w:right w:val="single" w:color="auto" w:sz="4" w:space="0"/>
            </w:tcBorders>
            <w:shd w:val="clear" w:color="000000" w:fill="E7E6E6"/>
            <w:noWrap/>
            <w:vAlign w:val="center"/>
          </w:tcPr>
          <w:p w14:paraId="0875F95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D281</w:t>
            </w:r>
          </w:p>
        </w:tc>
        <w:tc>
          <w:tcPr>
            <w:tcW w:w="765" w:type="dxa"/>
            <w:tcBorders>
              <w:top w:val="nil"/>
              <w:left w:val="nil"/>
              <w:bottom w:val="single" w:color="auto" w:sz="4" w:space="0"/>
              <w:right w:val="single" w:color="auto" w:sz="4" w:space="0"/>
            </w:tcBorders>
            <w:shd w:val="clear" w:color="000000" w:fill="E7E6E6"/>
            <w:noWrap/>
            <w:vAlign w:val="center"/>
          </w:tcPr>
          <w:p w14:paraId="227C3C6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D309</w:t>
            </w:r>
          </w:p>
        </w:tc>
        <w:tc>
          <w:tcPr>
            <w:tcW w:w="705" w:type="dxa"/>
            <w:tcBorders>
              <w:top w:val="nil"/>
              <w:left w:val="nil"/>
              <w:bottom w:val="single" w:color="auto" w:sz="4" w:space="0"/>
              <w:right w:val="single" w:color="auto" w:sz="4" w:space="0"/>
            </w:tcBorders>
            <w:shd w:val="clear" w:color="000000" w:fill="E7E6E6"/>
            <w:noWrap/>
            <w:vAlign w:val="center"/>
          </w:tcPr>
          <w:p w14:paraId="189E655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D337</w:t>
            </w:r>
          </w:p>
        </w:tc>
        <w:tc>
          <w:tcPr>
            <w:tcW w:w="692" w:type="dxa"/>
            <w:tcBorders>
              <w:top w:val="nil"/>
              <w:left w:val="nil"/>
              <w:bottom w:val="single" w:color="auto" w:sz="4" w:space="0"/>
              <w:right w:val="single" w:color="auto" w:sz="4" w:space="0"/>
            </w:tcBorders>
            <w:shd w:val="clear" w:color="000000" w:fill="E7E6E6"/>
            <w:noWrap/>
            <w:vAlign w:val="center"/>
          </w:tcPr>
          <w:p w14:paraId="3448ADF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D365</w:t>
            </w:r>
          </w:p>
        </w:tc>
        <w:tc>
          <w:tcPr>
            <w:tcW w:w="861" w:type="dxa"/>
            <w:tcBorders>
              <w:top w:val="nil"/>
              <w:left w:val="nil"/>
              <w:bottom w:val="single" w:color="auto" w:sz="4" w:space="0"/>
              <w:right w:val="single" w:color="auto" w:sz="4" w:space="0"/>
            </w:tcBorders>
            <w:shd w:val="clear" w:color="000000" w:fill="E7E6E6"/>
            <w:noWrap/>
            <w:vAlign w:val="center"/>
          </w:tcPr>
          <w:p w14:paraId="388CA7A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D393</w:t>
            </w:r>
          </w:p>
        </w:tc>
        <w:tc>
          <w:tcPr>
            <w:tcW w:w="772" w:type="dxa"/>
            <w:tcBorders>
              <w:top w:val="nil"/>
              <w:left w:val="nil"/>
              <w:bottom w:val="single" w:color="auto" w:sz="4" w:space="0"/>
              <w:right w:val="single" w:color="auto" w:sz="4" w:space="0"/>
            </w:tcBorders>
            <w:shd w:val="clear" w:color="000000" w:fill="E7E6E6"/>
            <w:noWrap/>
            <w:vAlign w:val="center"/>
          </w:tcPr>
          <w:p w14:paraId="3DECB229">
            <w:pPr>
              <w:widowControl/>
              <w:jc w:val="center"/>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末次给药后</w:t>
            </w:r>
            <w:r>
              <w:rPr>
                <w:rFonts w:ascii="Times New Roman" w:hAnsi="Times New Roman" w:eastAsia="宋体" w:cs="Times New Roman"/>
                <w:color w:val="000000"/>
                <w:sz w:val="20"/>
                <w:szCs w:val="22"/>
              </w:rPr>
              <w:t>7</w:t>
            </w:r>
            <w:r>
              <w:rPr>
                <w:rFonts w:hint="eastAsia" w:ascii="Times New Roman" w:hAnsi="Times New Roman" w:eastAsia="宋体" w:cs="Times New Roman"/>
                <w:color w:val="000000"/>
                <w:sz w:val="20"/>
                <w:szCs w:val="22"/>
              </w:rPr>
              <w:t>天内</w:t>
            </w:r>
          </w:p>
        </w:tc>
      </w:tr>
      <w:tr w14:paraId="4C5138D9">
        <w:tblPrEx>
          <w:tblCellMar>
            <w:top w:w="0" w:type="dxa"/>
            <w:left w:w="108" w:type="dxa"/>
            <w:bottom w:w="0" w:type="dxa"/>
            <w:right w:w="108" w:type="dxa"/>
          </w:tblCellMar>
        </w:tblPrEx>
        <w:trPr>
          <w:trHeight w:val="288" w:hRule="atLeast"/>
          <w:tblHeader/>
        </w:trPr>
        <w:tc>
          <w:tcPr>
            <w:tcW w:w="1231" w:type="dxa"/>
            <w:tcBorders>
              <w:top w:val="nil"/>
              <w:left w:val="single" w:color="auto" w:sz="4" w:space="0"/>
              <w:bottom w:val="single" w:color="auto" w:sz="4" w:space="0"/>
              <w:right w:val="single" w:color="auto" w:sz="4" w:space="0"/>
            </w:tcBorders>
            <w:shd w:val="clear" w:color="000000" w:fill="E7E6E6"/>
            <w:noWrap/>
            <w:vAlign w:val="center"/>
          </w:tcPr>
          <w:p w14:paraId="16E8CD41">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时间窗</w:t>
            </w:r>
          </w:p>
        </w:tc>
        <w:tc>
          <w:tcPr>
            <w:tcW w:w="1544" w:type="dxa"/>
            <w:gridSpan w:val="2"/>
            <w:tcBorders>
              <w:top w:val="nil"/>
              <w:left w:val="nil"/>
              <w:bottom w:val="single" w:color="auto" w:sz="4" w:space="0"/>
              <w:right w:val="single" w:color="auto" w:sz="4" w:space="0"/>
            </w:tcBorders>
            <w:shd w:val="clear" w:color="000000" w:fill="E7E6E6"/>
            <w:noWrap/>
            <w:vAlign w:val="center"/>
          </w:tcPr>
          <w:p w14:paraId="486C178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shd w:val="clear" w:color="000000" w:fill="E7E6E6"/>
            <w:noWrap/>
            <w:vAlign w:val="center"/>
          </w:tcPr>
          <w:p w14:paraId="03DD522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t>
            </w:r>
          </w:p>
        </w:tc>
        <w:tc>
          <w:tcPr>
            <w:tcW w:w="593" w:type="dxa"/>
            <w:tcBorders>
              <w:top w:val="nil"/>
              <w:left w:val="nil"/>
              <w:bottom w:val="single" w:color="auto" w:sz="4" w:space="0"/>
              <w:right w:val="single" w:color="auto" w:sz="4" w:space="0"/>
            </w:tcBorders>
            <w:shd w:val="clear" w:color="000000" w:fill="E7E6E6"/>
            <w:noWrap/>
            <w:vAlign w:val="center"/>
          </w:tcPr>
          <w:p w14:paraId="764BBF3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60" w:type="dxa"/>
            <w:tcBorders>
              <w:top w:val="nil"/>
              <w:left w:val="nil"/>
              <w:bottom w:val="single" w:color="auto" w:sz="4" w:space="0"/>
              <w:right w:val="single" w:color="auto" w:sz="4" w:space="0"/>
            </w:tcBorders>
            <w:shd w:val="clear" w:color="000000" w:fill="E7E6E6"/>
            <w:noWrap/>
            <w:vAlign w:val="center"/>
          </w:tcPr>
          <w:p w14:paraId="19DE845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45" w:type="dxa"/>
            <w:tcBorders>
              <w:top w:val="nil"/>
              <w:left w:val="nil"/>
              <w:bottom w:val="single" w:color="auto" w:sz="4" w:space="0"/>
              <w:right w:val="single" w:color="auto" w:sz="4" w:space="0"/>
            </w:tcBorders>
            <w:shd w:val="clear" w:color="000000" w:fill="E7E6E6"/>
            <w:noWrap/>
            <w:vAlign w:val="center"/>
          </w:tcPr>
          <w:p w14:paraId="2DD1E19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37" w:type="dxa"/>
            <w:tcBorders>
              <w:top w:val="nil"/>
              <w:left w:val="nil"/>
              <w:bottom w:val="single" w:color="auto" w:sz="4" w:space="0"/>
              <w:right w:val="single" w:color="auto" w:sz="4" w:space="0"/>
            </w:tcBorders>
            <w:shd w:val="clear" w:color="000000" w:fill="E7E6E6"/>
            <w:noWrap/>
            <w:vAlign w:val="center"/>
          </w:tcPr>
          <w:p w14:paraId="0FC7363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68" w:type="dxa"/>
            <w:tcBorders>
              <w:top w:val="nil"/>
              <w:left w:val="nil"/>
              <w:bottom w:val="single" w:color="auto" w:sz="4" w:space="0"/>
              <w:right w:val="single" w:color="auto" w:sz="4" w:space="0"/>
            </w:tcBorders>
            <w:shd w:val="clear" w:color="000000" w:fill="E7E6E6"/>
            <w:noWrap/>
            <w:vAlign w:val="center"/>
          </w:tcPr>
          <w:p w14:paraId="7CEA954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82" w:type="dxa"/>
            <w:tcBorders>
              <w:top w:val="nil"/>
              <w:left w:val="nil"/>
              <w:bottom w:val="single" w:color="auto" w:sz="4" w:space="0"/>
              <w:right w:val="single" w:color="auto" w:sz="4" w:space="0"/>
            </w:tcBorders>
            <w:shd w:val="clear" w:color="000000" w:fill="E7E6E6"/>
            <w:noWrap/>
            <w:vAlign w:val="center"/>
          </w:tcPr>
          <w:p w14:paraId="4004CE5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83" w:type="dxa"/>
            <w:tcBorders>
              <w:top w:val="nil"/>
              <w:left w:val="nil"/>
              <w:bottom w:val="single" w:color="auto" w:sz="4" w:space="0"/>
              <w:right w:val="single" w:color="auto" w:sz="4" w:space="0"/>
            </w:tcBorders>
            <w:shd w:val="clear" w:color="000000" w:fill="E7E6E6"/>
            <w:noWrap/>
            <w:vAlign w:val="center"/>
          </w:tcPr>
          <w:p w14:paraId="08F2F09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97" w:type="dxa"/>
            <w:tcBorders>
              <w:top w:val="nil"/>
              <w:left w:val="nil"/>
              <w:bottom w:val="single" w:color="auto" w:sz="4" w:space="0"/>
              <w:right w:val="single" w:color="auto" w:sz="4" w:space="0"/>
            </w:tcBorders>
            <w:shd w:val="clear" w:color="000000" w:fill="E7E6E6"/>
            <w:noWrap/>
            <w:vAlign w:val="center"/>
          </w:tcPr>
          <w:p w14:paraId="5D4D9D1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98" w:type="dxa"/>
            <w:tcBorders>
              <w:top w:val="nil"/>
              <w:left w:val="nil"/>
              <w:bottom w:val="single" w:color="auto" w:sz="4" w:space="0"/>
              <w:right w:val="single" w:color="auto" w:sz="4" w:space="0"/>
            </w:tcBorders>
            <w:shd w:val="clear" w:color="000000" w:fill="E7E6E6"/>
            <w:noWrap/>
            <w:vAlign w:val="center"/>
          </w:tcPr>
          <w:p w14:paraId="055C307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772" w:type="dxa"/>
            <w:tcBorders>
              <w:top w:val="nil"/>
              <w:left w:val="nil"/>
              <w:bottom w:val="single" w:color="auto" w:sz="4" w:space="0"/>
              <w:right w:val="single" w:color="auto" w:sz="4" w:space="0"/>
            </w:tcBorders>
            <w:shd w:val="clear" w:color="000000" w:fill="E7E6E6"/>
            <w:noWrap/>
            <w:vAlign w:val="center"/>
          </w:tcPr>
          <w:p w14:paraId="0830586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75" w:type="dxa"/>
            <w:tcBorders>
              <w:top w:val="nil"/>
              <w:left w:val="nil"/>
              <w:bottom w:val="single" w:color="auto" w:sz="4" w:space="0"/>
              <w:right w:val="single" w:color="auto" w:sz="4" w:space="0"/>
            </w:tcBorders>
            <w:shd w:val="clear" w:color="000000" w:fill="E7E6E6"/>
            <w:noWrap/>
            <w:vAlign w:val="center"/>
          </w:tcPr>
          <w:p w14:paraId="6C6B3A7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765" w:type="dxa"/>
            <w:tcBorders>
              <w:top w:val="nil"/>
              <w:left w:val="nil"/>
              <w:bottom w:val="single" w:color="auto" w:sz="4" w:space="0"/>
              <w:right w:val="single" w:color="auto" w:sz="4" w:space="0"/>
            </w:tcBorders>
            <w:shd w:val="clear" w:color="000000" w:fill="E7E6E6"/>
            <w:noWrap/>
            <w:vAlign w:val="center"/>
          </w:tcPr>
          <w:p w14:paraId="3F7C2FE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705" w:type="dxa"/>
            <w:tcBorders>
              <w:top w:val="nil"/>
              <w:left w:val="nil"/>
              <w:bottom w:val="single" w:color="auto" w:sz="4" w:space="0"/>
              <w:right w:val="single" w:color="auto" w:sz="4" w:space="0"/>
            </w:tcBorders>
            <w:shd w:val="clear" w:color="000000" w:fill="E7E6E6"/>
            <w:noWrap/>
            <w:vAlign w:val="center"/>
          </w:tcPr>
          <w:p w14:paraId="624D3F1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692" w:type="dxa"/>
            <w:tcBorders>
              <w:top w:val="nil"/>
              <w:left w:val="nil"/>
              <w:bottom w:val="single" w:color="auto" w:sz="4" w:space="0"/>
              <w:right w:val="single" w:color="auto" w:sz="4" w:space="0"/>
            </w:tcBorders>
            <w:shd w:val="clear" w:color="000000" w:fill="E7E6E6"/>
            <w:noWrap/>
            <w:vAlign w:val="center"/>
          </w:tcPr>
          <w:p w14:paraId="5B02AD9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±3</w:t>
            </w:r>
            <w:r>
              <w:rPr>
                <w:rFonts w:ascii="Times New Roman" w:hAnsi="Times New Roman" w:eastAsia="宋体" w:cs="Times New Roman"/>
                <w:color w:val="000000"/>
                <w:sz w:val="20"/>
                <w:szCs w:val="22"/>
              </w:rPr>
              <w:t>d</w:t>
            </w:r>
          </w:p>
        </w:tc>
        <w:tc>
          <w:tcPr>
            <w:tcW w:w="861" w:type="dxa"/>
            <w:tcBorders>
              <w:top w:val="nil"/>
              <w:left w:val="nil"/>
              <w:bottom w:val="single" w:color="auto" w:sz="4" w:space="0"/>
              <w:right w:val="single" w:color="auto" w:sz="4" w:space="0"/>
            </w:tcBorders>
            <w:shd w:val="clear" w:color="000000" w:fill="E7E6E6"/>
            <w:noWrap/>
            <w:vAlign w:val="center"/>
          </w:tcPr>
          <w:p w14:paraId="0135E27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±5</w:t>
            </w:r>
            <w:r>
              <w:rPr>
                <w:rFonts w:ascii="Times New Roman" w:hAnsi="Times New Roman" w:eastAsia="宋体" w:cs="Times New Roman"/>
                <w:color w:val="000000"/>
                <w:sz w:val="20"/>
                <w:szCs w:val="22"/>
              </w:rPr>
              <w:t>d</w:t>
            </w:r>
          </w:p>
        </w:tc>
        <w:tc>
          <w:tcPr>
            <w:tcW w:w="772" w:type="dxa"/>
            <w:tcBorders>
              <w:top w:val="nil"/>
              <w:left w:val="nil"/>
              <w:bottom w:val="single" w:color="auto" w:sz="4" w:space="0"/>
              <w:right w:val="single" w:color="auto" w:sz="4" w:space="0"/>
            </w:tcBorders>
            <w:shd w:val="clear" w:color="000000" w:fill="E7E6E6"/>
            <w:noWrap/>
            <w:vAlign w:val="center"/>
          </w:tcPr>
          <w:p w14:paraId="3951C9A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w:t>
            </w:r>
          </w:p>
        </w:tc>
      </w:tr>
      <w:tr w14:paraId="3C813DF7">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255467D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签署知情同意书</w:t>
            </w:r>
            <w:r>
              <w:rPr>
                <w:rFonts w:hint="eastAsia" w:ascii="Times New Roman" w:hAnsi="Times New Roman" w:eastAsia="宋体" w:cs="Times New Roman"/>
                <w:color w:val="000000"/>
                <w:sz w:val="20"/>
                <w:szCs w:val="22"/>
                <w:vertAlign w:val="superscript"/>
              </w:rPr>
              <w:t>1</w:t>
            </w:r>
          </w:p>
        </w:tc>
        <w:tc>
          <w:tcPr>
            <w:tcW w:w="715" w:type="dxa"/>
            <w:tcBorders>
              <w:top w:val="nil"/>
              <w:left w:val="nil"/>
              <w:bottom w:val="single" w:color="auto" w:sz="4" w:space="0"/>
              <w:right w:val="single" w:color="auto" w:sz="4" w:space="0"/>
            </w:tcBorders>
            <w:noWrap/>
            <w:vAlign w:val="center"/>
          </w:tcPr>
          <w:p w14:paraId="01604D6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3E4862B2">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1378CD1C">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14099BE7">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321BC870">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33A6ABB0">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64F5DB4A">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177C9257">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1598F313">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5D9AE1AF">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305F29F2">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1EA56297">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1ED95C7B">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749844C2">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33EC069D">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473BDFD0">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5CB2F065">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08720850">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1B2A7545">
            <w:pPr>
              <w:widowControl/>
              <w:jc w:val="center"/>
              <w:rPr>
                <w:rFonts w:ascii="Times New Roman" w:hAnsi="Times New Roman" w:eastAsia="等线" w:cs="Times New Roman"/>
                <w:color w:val="000000"/>
                <w:sz w:val="20"/>
                <w:szCs w:val="22"/>
              </w:rPr>
            </w:pPr>
          </w:p>
        </w:tc>
      </w:tr>
      <w:tr w14:paraId="70B59E56">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03508B06">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采集人口学资料</w:t>
            </w:r>
            <w:r>
              <w:rPr>
                <w:rFonts w:ascii="Times New Roman" w:hAnsi="Times New Roman" w:eastAsia="宋体" w:cs="Times New Roman"/>
                <w:color w:val="000000"/>
                <w:sz w:val="20"/>
                <w:szCs w:val="22"/>
                <w:vertAlign w:val="superscript"/>
              </w:rPr>
              <w:t>3</w:t>
            </w:r>
          </w:p>
        </w:tc>
        <w:tc>
          <w:tcPr>
            <w:tcW w:w="715" w:type="dxa"/>
            <w:tcBorders>
              <w:top w:val="nil"/>
              <w:left w:val="nil"/>
              <w:bottom w:val="single" w:color="auto" w:sz="4" w:space="0"/>
              <w:right w:val="single" w:color="auto" w:sz="4" w:space="0"/>
            </w:tcBorders>
            <w:noWrap/>
            <w:vAlign w:val="center"/>
          </w:tcPr>
          <w:p w14:paraId="6CAF539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4511ED71">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1C2BE72A">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559332C1">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36F99958">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5B384AB8">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0EF0FE53">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4C7F54AD">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3D7CFC6E">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2CEE1A66">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2D44FF28">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693299C0">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2B6F644C">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330E1FB1">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7E20FAFE">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7BAF10B0">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4CF2FF65">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2528127B">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15B8D891">
            <w:pPr>
              <w:widowControl/>
              <w:jc w:val="center"/>
              <w:rPr>
                <w:rFonts w:ascii="Times New Roman" w:hAnsi="Times New Roman" w:eastAsia="等线" w:cs="Times New Roman"/>
                <w:color w:val="000000"/>
                <w:sz w:val="20"/>
                <w:szCs w:val="22"/>
              </w:rPr>
            </w:pPr>
          </w:p>
        </w:tc>
      </w:tr>
      <w:tr w14:paraId="0720FC7A">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0833228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既往和现病史</w:t>
            </w:r>
            <w:r>
              <w:rPr>
                <w:rFonts w:ascii="Times New Roman" w:hAnsi="Times New Roman" w:eastAsia="宋体" w:cs="Times New Roman"/>
                <w:color w:val="000000"/>
                <w:sz w:val="20"/>
                <w:szCs w:val="22"/>
                <w:vertAlign w:val="superscript"/>
              </w:rPr>
              <w:t>4</w:t>
            </w:r>
          </w:p>
        </w:tc>
        <w:tc>
          <w:tcPr>
            <w:tcW w:w="715" w:type="dxa"/>
            <w:tcBorders>
              <w:top w:val="nil"/>
              <w:left w:val="nil"/>
              <w:bottom w:val="single" w:color="auto" w:sz="4" w:space="0"/>
              <w:right w:val="single" w:color="auto" w:sz="4" w:space="0"/>
            </w:tcBorders>
            <w:noWrap/>
            <w:vAlign w:val="center"/>
          </w:tcPr>
          <w:p w14:paraId="71DBF21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4321DF51">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7E1DA0E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034E87A7">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2DE93B09">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3ACBB0BE">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73C821C5">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7CFFEF46">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6A15EA4E">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1839D6B3">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2ABAF93A">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67805B3D">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7C5CC558">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2D14917A">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5F0EEEC7">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1351AA3A">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0D912BE4">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2FA85C37">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5D55B1B">
            <w:pPr>
              <w:widowControl/>
              <w:jc w:val="center"/>
              <w:rPr>
                <w:rFonts w:ascii="Times New Roman" w:hAnsi="Times New Roman" w:eastAsia="等线" w:cs="Times New Roman"/>
                <w:color w:val="000000"/>
                <w:sz w:val="20"/>
                <w:szCs w:val="22"/>
              </w:rPr>
            </w:pPr>
          </w:p>
        </w:tc>
      </w:tr>
      <w:tr w14:paraId="2D8C8E1F">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4452A316">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治疗史</w:t>
            </w:r>
            <w:r>
              <w:rPr>
                <w:rFonts w:ascii="Times New Roman" w:hAnsi="Times New Roman" w:eastAsia="宋体" w:cs="Times New Roman"/>
                <w:color w:val="000000"/>
                <w:sz w:val="20"/>
                <w:szCs w:val="22"/>
                <w:vertAlign w:val="superscript"/>
              </w:rPr>
              <w:t>5</w:t>
            </w:r>
          </w:p>
        </w:tc>
        <w:tc>
          <w:tcPr>
            <w:tcW w:w="715" w:type="dxa"/>
            <w:tcBorders>
              <w:top w:val="nil"/>
              <w:left w:val="nil"/>
              <w:bottom w:val="single" w:color="auto" w:sz="4" w:space="0"/>
              <w:right w:val="single" w:color="auto" w:sz="4" w:space="0"/>
            </w:tcBorders>
            <w:noWrap/>
            <w:vAlign w:val="center"/>
          </w:tcPr>
          <w:p w14:paraId="426DF6E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647E3212">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6EBB67C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0D7E54D9">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0BA68A7B">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05BD1EA8">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2A001468">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58D13A39">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10D612CC">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649F4EE7">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54FF95DE">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318F6DEF">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05371C1">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73831980">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0DE2664B">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40DC7C02">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0233543D">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1B1EAEE3">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252500C4">
            <w:pPr>
              <w:widowControl/>
              <w:jc w:val="center"/>
              <w:rPr>
                <w:rFonts w:ascii="Times New Roman" w:hAnsi="Times New Roman" w:eastAsia="等线" w:cs="Times New Roman"/>
                <w:color w:val="000000"/>
                <w:sz w:val="20"/>
                <w:szCs w:val="22"/>
              </w:rPr>
            </w:pPr>
          </w:p>
        </w:tc>
      </w:tr>
      <w:tr w14:paraId="7BABDE16">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259BAAE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身高及体重</w:t>
            </w:r>
            <w:r>
              <w:rPr>
                <w:rFonts w:ascii="Times New Roman" w:hAnsi="Times New Roman" w:eastAsia="宋体" w:cs="Times New Roman"/>
                <w:color w:val="000000"/>
                <w:sz w:val="20"/>
                <w:szCs w:val="22"/>
                <w:vertAlign w:val="superscript"/>
              </w:rPr>
              <w:t>6</w:t>
            </w:r>
          </w:p>
        </w:tc>
        <w:tc>
          <w:tcPr>
            <w:tcW w:w="715" w:type="dxa"/>
            <w:tcBorders>
              <w:top w:val="nil"/>
              <w:left w:val="nil"/>
              <w:bottom w:val="single" w:color="auto" w:sz="4" w:space="0"/>
              <w:right w:val="single" w:color="auto" w:sz="4" w:space="0"/>
            </w:tcBorders>
            <w:noWrap/>
            <w:vAlign w:val="center"/>
          </w:tcPr>
          <w:p w14:paraId="2C9BAFD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1BD8CC99">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7CFA5EAD">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04DFBE28">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3EB0157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66A701A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1A276FA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493A76A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7E70942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62103DF3">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341923D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06F4D575">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CE3712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3F7FFF02">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4B1236C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58DB9069">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7F72409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720F2D17">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261FC92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325CB0BA">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73A93A79">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生命体征</w:t>
            </w:r>
            <w:r>
              <w:rPr>
                <w:rFonts w:ascii="Times New Roman" w:hAnsi="Times New Roman" w:eastAsia="宋体" w:cs="Times New Roman"/>
                <w:color w:val="000000"/>
                <w:sz w:val="20"/>
                <w:szCs w:val="22"/>
                <w:vertAlign w:val="superscript"/>
              </w:rPr>
              <w:t>7</w:t>
            </w:r>
          </w:p>
        </w:tc>
        <w:tc>
          <w:tcPr>
            <w:tcW w:w="715" w:type="dxa"/>
            <w:tcBorders>
              <w:top w:val="nil"/>
              <w:left w:val="nil"/>
              <w:bottom w:val="single" w:color="auto" w:sz="4" w:space="0"/>
              <w:right w:val="single" w:color="auto" w:sz="4" w:space="0"/>
            </w:tcBorders>
            <w:noWrap/>
            <w:vAlign w:val="center"/>
          </w:tcPr>
          <w:p w14:paraId="3633B35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621FADB5">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74E402C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5276D99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057846B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293E989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6C04AF6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1A6363D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580DAD5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71E2E8E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3BC19A0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0BDE226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4D5590B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1DE2E2D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53741D1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1FDE9E8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2CB869B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2B76100F">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F5F3FF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1CEB909F">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65AE7B5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体格检查</w:t>
            </w:r>
            <w:r>
              <w:rPr>
                <w:rFonts w:ascii="Times New Roman" w:hAnsi="Times New Roman" w:eastAsia="宋体" w:cs="Times New Roman"/>
                <w:color w:val="000000"/>
                <w:sz w:val="20"/>
                <w:szCs w:val="22"/>
                <w:vertAlign w:val="superscript"/>
              </w:rPr>
              <w:t>8</w:t>
            </w:r>
          </w:p>
        </w:tc>
        <w:tc>
          <w:tcPr>
            <w:tcW w:w="715" w:type="dxa"/>
            <w:tcBorders>
              <w:top w:val="nil"/>
              <w:left w:val="nil"/>
              <w:bottom w:val="single" w:color="auto" w:sz="4" w:space="0"/>
              <w:right w:val="single" w:color="auto" w:sz="4" w:space="0"/>
            </w:tcBorders>
            <w:noWrap/>
            <w:vAlign w:val="center"/>
          </w:tcPr>
          <w:p w14:paraId="7ABCADB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1A4563DF">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48FBEE2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3844E9F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4B6D287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638D12C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7869B32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258EF6B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7F554AF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5D97F07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5EAD799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0806E78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4709E56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0C6A2F3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1E3476D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2A7CF0E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5821EDC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25A33AAE">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6F72651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0303A9D3">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64AC059A">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血常规</w:t>
            </w:r>
            <w:r>
              <w:rPr>
                <w:rFonts w:ascii="Times New Roman" w:hAnsi="Times New Roman" w:eastAsia="宋体" w:cs="Times New Roman"/>
                <w:color w:val="000000"/>
                <w:sz w:val="20"/>
                <w:szCs w:val="22"/>
                <w:vertAlign w:val="superscript"/>
              </w:rPr>
              <w:t>9</w:t>
            </w:r>
          </w:p>
        </w:tc>
        <w:tc>
          <w:tcPr>
            <w:tcW w:w="715" w:type="dxa"/>
            <w:tcBorders>
              <w:top w:val="nil"/>
              <w:left w:val="nil"/>
              <w:bottom w:val="single" w:color="auto" w:sz="4" w:space="0"/>
              <w:right w:val="single" w:color="auto" w:sz="4" w:space="0"/>
            </w:tcBorders>
            <w:noWrap/>
            <w:vAlign w:val="center"/>
          </w:tcPr>
          <w:p w14:paraId="37F516C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4F5D724F">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6BC75240">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70DF062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19D1E21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393D618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33A2790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76BA6B9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3898116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5F73BD9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033E84A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50FAA34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09F3D67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2BF40DC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556E94A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368CF29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0F915F5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47391BC5">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2E384D6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3E53B98C">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4E9FAB45">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尿常规</w:t>
            </w:r>
            <w:r>
              <w:rPr>
                <w:rFonts w:ascii="Times New Roman" w:hAnsi="Times New Roman" w:eastAsia="宋体" w:cs="Times New Roman"/>
                <w:color w:val="000000"/>
                <w:sz w:val="20"/>
                <w:szCs w:val="22"/>
                <w:vertAlign w:val="superscript"/>
              </w:rPr>
              <w:t>10</w:t>
            </w:r>
          </w:p>
        </w:tc>
        <w:tc>
          <w:tcPr>
            <w:tcW w:w="715" w:type="dxa"/>
            <w:tcBorders>
              <w:top w:val="nil"/>
              <w:left w:val="nil"/>
              <w:bottom w:val="single" w:color="auto" w:sz="4" w:space="0"/>
              <w:right w:val="single" w:color="auto" w:sz="4" w:space="0"/>
            </w:tcBorders>
            <w:noWrap/>
            <w:vAlign w:val="center"/>
          </w:tcPr>
          <w:p w14:paraId="4A13340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51B48429">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4BE2700A">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36A047C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3D698B5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4E65017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0AE8F3A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3BD1FE3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2E798C8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0C8CF60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56DD604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16195EE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1727D4A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17AE4F5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44D3E77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33E01C6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4094A78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611E8EAB">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829F6E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7CAB17FC">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2DB3CC48">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血生化</w:t>
            </w:r>
            <w:r>
              <w:rPr>
                <w:rFonts w:ascii="Times New Roman" w:hAnsi="Times New Roman" w:eastAsia="宋体" w:cs="Times New Roman"/>
                <w:color w:val="000000"/>
                <w:sz w:val="20"/>
                <w:szCs w:val="22"/>
                <w:vertAlign w:val="superscript"/>
              </w:rPr>
              <w:t>11</w:t>
            </w:r>
          </w:p>
        </w:tc>
        <w:tc>
          <w:tcPr>
            <w:tcW w:w="715" w:type="dxa"/>
            <w:tcBorders>
              <w:top w:val="nil"/>
              <w:left w:val="nil"/>
              <w:bottom w:val="single" w:color="auto" w:sz="4" w:space="0"/>
              <w:right w:val="single" w:color="auto" w:sz="4" w:space="0"/>
            </w:tcBorders>
            <w:noWrap/>
            <w:vAlign w:val="center"/>
          </w:tcPr>
          <w:p w14:paraId="440CE1A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4DD7F98E">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66EC93BF">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141D794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17AE230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78167B9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373B72B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6E8F941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665603A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06DBFBF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0ECFEDE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30F4CBC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224F0F6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248623C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12F23C8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6AF977C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7169362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44EC5AFD">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73AFA98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4DE92531">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638D246E">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凝血功能</w:t>
            </w:r>
            <w:r>
              <w:rPr>
                <w:rFonts w:ascii="Times New Roman" w:hAnsi="Times New Roman" w:eastAsia="宋体" w:cs="Times New Roman"/>
                <w:color w:val="000000"/>
                <w:sz w:val="20"/>
                <w:szCs w:val="22"/>
                <w:vertAlign w:val="superscript"/>
              </w:rPr>
              <w:t>12</w:t>
            </w:r>
          </w:p>
        </w:tc>
        <w:tc>
          <w:tcPr>
            <w:tcW w:w="715" w:type="dxa"/>
            <w:tcBorders>
              <w:top w:val="nil"/>
              <w:left w:val="nil"/>
              <w:bottom w:val="single" w:color="auto" w:sz="4" w:space="0"/>
              <w:right w:val="single" w:color="auto" w:sz="4" w:space="0"/>
            </w:tcBorders>
            <w:noWrap/>
            <w:vAlign w:val="center"/>
          </w:tcPr>
          <w:p w14:paraId="1DBB8CA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60F8F625">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265E3479">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71469187">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024148B9">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327770DA">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591F91C7">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36BDD047">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3FACFC53">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0C739C0A">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5594878B">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00E693F9">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499DBF73">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5D2A24AB">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1C9DA5E3">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177836EC">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76BF20A8">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4C19D911">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199C3171">
            <w:pPr>
              <w:widowControl/>
              <w:jc w:val="center"/>
              <w:rPr>
                <w:rFonts w:ascii="Times New Roman" w:hAnsi="Times New Roman" w:eastAsia="等线" w:cs="Times New Roman"/>
                <w:color w:val="000000"/>
                <w:sz w:val="20"/>
                <w:szCs w:val="22"/>
              </w:rPr>
            </w:pPr>
          </w:p>
        </w:tc>
      </w:tr>
      <w:tr w14:paraId="6196171C">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1F4DAC84">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妊娠试验或卵泡刺激素（</w:t>
            </w:r>
            <w:r>
              <w:rPr>
                <w:rFonts w:ascii="Times New Roman" w:hAnsi="Times New Roman" w:eastAsia="宋体" w:cs="Times New Roman"/>
                <w:color w:val="000000"/>
                <w:sz w:val="20"/>
                <w:szCs w:val="22"/>
              </w:rPr>
              <w:t>FSH</w:t>
            </w:r>
            <w:r>
              <w:rPr>
                <w:rFonts w:hint="eastAsia" w:ascii="Times New Roman" w:hAnsi="Times New Roman" w:eastAsia="宋体" w:cs="Times New Roman"/>
                <w:color w:val="000000"/>
                <w:sz w:val="20"/>
                <w:szCs w:val="22"/>
              </w:rPr>
              <w:t>）</w:t>
            </w:r>
            <w:r>
              <w:rPr>
                <w:rFonts w:ascii="Times New Roman" w:hAnsi="Times New Roman" w:eastAsia="宋体" w:cs="Times New Roman"/>
                <w:color w:val="000000"/>
                <w:sz w:val="20"/>
                <w:szCs w:val="22"/>
                <w:vertAlign w:val="superscript"/>
              </w:rPr>
              <w:t>13</w:t>
            </w:r>
          </w:p>
        </w:tc>
        <w:tc>
          <w:tcPr>
            <w:tcW w:w="715" w:type="dxa"/>
            <w:tcBorders>
              <w:top w:val="nil"/>
              <w:left w:val="nil"/>
              <w:bottom w:val="single" w:color="auto" w:sz="4" w:space="0"/>
              <w:right w:val="single" w:color="auto" w:sz="4" w:space="0"/>
            </w:tcBorders>
            <w:noWrap/>
            <w:vAlign w:val="center"/>
          </w:tcPr>
          <w:p w14:paraId="3D844BF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6B631C1A">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2F4290A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10DB680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2AE18FC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3AE5876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7DE655E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472B75B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747197D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6548085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35286F4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3577F7D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4880F67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5A9C6EB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24E09D3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53CE1DF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6AF5EE0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3B908930">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B84AE3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6374D1FA">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599A8F40">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糖化血红蛋白</w:t>
            </w:r>
          </w:p>
        </w:tc>
        <w:tc>
          <w:tcPr>
            <w:tcW w:w="715" w:type="dxa"/>
            <w:tcBorders>
              <w:top w:val="nil"/>
              <w:left w:val="nil"/>
              <w:bottom w:val="single" w:color="auto" w:sz="4" w:space="0"/>
              <w:right w:val="single" w:color="auto" w:sz="4" w:space="0"/>
            </w:tcBorders>
            <w:noWrap/>
            <w:vAlign w:val="center"/>
          </w:tcPr>
          <w:p w14:paraId="769B8BC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7975DA11">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17DEE9BC">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34952BE5">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6292B8AD">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6659951D">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49917A0F">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7FE2A31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1457FADD">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70B954B2">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1C3913D4">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381E8D8C">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D763467">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18D8A728">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20D2F844">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7F2C8379">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58D33D1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4724D807">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46C6855A">
            <w:pPr>
              <w:widowControl/>
              <w:jc w:val="center"/>
              <w:rPr>
                <w:rFonts w:ascii="Times New Roman" w:hAnsi="Times New Roman" w:eastAsia="等线" w:cs="Times New Roman"/>
                <w:color w:val="000000"/>
                <w:sz w:val="20"/>
                <w:szCs w:val="22"/>
              </w:rPr>
            </w:pPr>
          </w:p>
        </w:tc>
      </w:tr>
      <w:tr w14:paraId="0EFD458A">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1E55F6D9">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病毒学检查</w:t>
            </w:r>
            <w:r>
              <w:rPr>
                <w:rFonts w:ascii="Times New Roman" w:hAnsi="Times New Roman" w:eastAsia="宋体" w:cs="Times New Roman"/>
                <w:color w:val="000000"/>
                <w:sz w:val="20"/>
                <w:szCs w:val="22"/>
                <w:vertAlign w:val="superscript"/>
              </w:rPr>
              <w:t>14</w:t>
            </w:r>
          </w:p>
        </w:tc>
        <w:tc>
          <w:tcPr>
            <w:tcW w:w="715" w:type="dxa"/>
            <w:tcBorders>
              <w:top w:val="nil"/>
              <w:left w:val="nil"/>
              <w:bottom w:val="single" w:color="auto" w:sz="4" w:space="0"/>
              <w:right w:val="single" w:color="auto" w:sz="4" w:space="0"/>
            </w:tcBorders>
            <w:noWrap/>
            <w:vAlign w:val="center"/>
          </w:tcPr>
          <w:p w14:paraId="14DF679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743F77CD">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4C5F2469">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1A09B4BE">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6A774D62">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4F806AE7">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7032B325">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51ECF834">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3C297CDD">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04539B0D">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3270FD47">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203F43E0">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BE6A101">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0638CC83">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782F417C">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62E0CB38">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2C44E296">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1398B1CE">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D81A05E">
            <w:pPr>
              <w:widowControl/>
              <w:jc w:val="center"/>
              <w:rPr>
                <w:rFonts w:ascii="Times New Roman" w:hAnsi="Times New Roman" w:eastAsia="等线" w:cs="Times New Roman"/>
                <w:color w:val="000000"/>
                <w:sz w:val="20"/>
                <w:szCs w:val="22"/>
              </w:rPr>
            </w:pPr>
          </w:p>
        </w:tc>
      </w:tr>
      <w:tr w14:paraId="3DC92C23">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7A2B7002">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结核检测</w:t>
            </w:r>
            <w:r>
              <w:rPr>
                <w:rFonts w:ascii="Times New Roman" w:hAnsi="Times New Roman" w:eastAsia="宋体" w:cs="Times New Roman"/>
                <w:color w:val="000000"/>
                <w:sz w:val="20"/>
                <w:szCs w:val="22"/>
                <w:vertAlign w:val="superscript"/>
              </w:rPr>
              <w:t>15</w:t>
            </w:r>
          </w:p>
        </w:tc>
        <w:tc>
          <w:tcPr>
            <w:tcW w:w="715" w:type="dxa"/>
            <w:tcBorders>
              <w:top w:val="nil"/>
              <w:left w:val="nil"/>
              <w:bottom w:val="single" w:color="auto" w:sz="4" w:space="0"/>
              <w:right w:val="single" w:color="auto" w:sz="4" w:space="0"/>
            </w:tcBorders>
            <w:noWrap/>
            <w:vAlign w:val="center"/>
          </w:tcPr>
          <w:p w14:paraId="5F2F2E8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173BF9AD">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347F9D23">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72A87F44">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122BE6ED">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1C8C0655">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36E8348E">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47CFADBA">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6B278AD9">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78D791FA">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220E890F">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14D7B711">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2BEB3DB5">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47636866">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116A38F8">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75114E15">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697D6CA1">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414A16C0">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2966B49">
            <w:pPr>
              <w:widowControl/>
              <w:jc w:val="center"/>
              <w:rPr>
                <w:rFonts w:ascii="Times New Roman" w:hAnsi="Times New Roman" w:eastAsia="等线" w:cs="Times New Roman"/>
                <w:color w:val="000000"/>
                <w:sz w:val="20"/>
                <w:szCs w:val="22"/>
              </w:rPr>
            </w:pPr>
          </w:p>
        </w:tc>
      </w:tr>
      <w:tr w14:paraId="6DDF7F13">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1541C771">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胸部</w:t>
            </w:r>
            <w:r>
              <w:rPr>
                <w:rFonts w:ascii="Times New Roman" w:hAnsi="Times New Roman" w:eastAsia="宋体" w:cs="Times New Roman"/>
                <w:color w:val="000000"/>
                <w:sz w:val="20"/>
                <w:szCs w:val="22"/>
              </w:rPr>
              <w:t>CT</w:t>
            </w:r>
            <w:r>
              <w:rPr>
                <w:rFonts w:hint="eastAsia" w:ascii="Times New Roman" w:hAnsi="Times New Roman" w:eastAsia="宋体" w:cs="Times New Roman"/>
                <w:color w:val="000000"/>
                <w:sz w:val="20"/>
                <w:szCs w:val="22"/>
              </w:rPr>
              <w:t>平扫</w:t>
            </w:r>
            <w:r>
              <w:rPr>
                <w:rFonts w:ascii="Times New Roman" w:hAnsi="Times New Roman" w:eastAsia="宋体" w:cs="Times New Roman"/>
                <w:color w:val="000000"/>
                <w:sz w:val="20"/>
                <w:szCs w:val="22"/>
                <w:vertAlign w:val="superscript"/>
              </w:rPr>
              <w:t>16</w:t>
            </w:r>
          </w:p>
        </w:tc>
        <w:tc>
          <w:tcPr>
            <w:tcW w:w="715" w:type="dxa"/>
            <w:tcBorders>
              <w:top w:val="nil"/>
              <w:left w:val="nil"/>
              <w:bottom w:val="single" w:color="auto" w:sz="4" w:space="0"/>
              <w:right w:val="single" w:color="auto" w:sz="4" w:space="0"/>
            </w:tcBorders>
            <w:noWrap/>
            <w:vAlign w:val="center"/>
          </w:tcPr>
          <w:p w14:paraId="522CC54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006BCE37">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79DDC3A1">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162BA423">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30F9D44A">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00AEFCF3">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6E1075B1">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2F145D47">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00760927">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7EF10B38">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249A7A4C">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14794BC7">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1B2FC9C">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2355863A">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73BB3E5F">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6DA5BAB9">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5BD3D621">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1F2E9AA1">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0250C00D">
            <w:pPr>
              <w:widowControl/>
              <w:jc w:val="center"/>
              <w:rPr>
                <w:rFonts w:ascii="Times New Roman" w:hAnsi="Times New Roman" w:eastAsia="等线" w:cs="Times New Roman"/>
                <w:color w:val="000000"/>
                <w:sz w:val="20"/>
                <w:szCs w:val="22"/>
              </w:rPr>
            </w:pPr>
          </w:p>
        </w:tc>
      </w:tr>
      <w:tr w14:paraId="531AFD6A">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7B0C9079">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12-</w:t>
            </w:r>
            <w:r>
              <w:rPr>
                <w:rFonts w:hint="eastAsia" w:ascii="Times New Roman" w:hAnsi="Times New Roman" w:eastAsia="宋体" w:cs="Times New Roman"/>
                <w:color w:val="000000"/>
                <w:sz w:val="20"/>
                <w:szCs w:val="22"/>
              </w:rPr>
              <w:t>导联心电图</w:t>
            </w:r>
            <w:r>
              <w:rPr>
                <w:rFonts w:ascii="Times New Roman" w:hAnsi="Times New Roman" w:eastAsia="等线" w:cs="Times New Roman"/>
                <w:color w:val="000000"/>
                <w:sz w:val="20"/>
                <w:szCs w:val="22"/>
                <w:vertAlign w:val="superscript"/>
              </w:rPr>
              <w:t>17</w:t>
            </w:r>
          </w:p>
        </w:tc>
        <w:tc>
          <w:tcPr>
            <w:tcW w:w="715" w:type="dxa"/>
            <w:tcBorders>
              <w:top w:val="nil"/>
              <w:left w:val="nil"/>
              <w:bottom w:val="single" w:color="auto" w:sz="4" w:space="0"/>
              <w:right w:val="single" w:color="auto" w:sz="4" w:space="0"/>
            </w:tcBorders>
            <w:noWrap/>
            <w:vAlign w:val="center"/>
          </w:tcPr>
          <w:p w14:paraId="35F44A9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420B5318">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2B078027">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2C56B24F">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67072694">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7C3B5130">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7FF34DD5">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1BE24FF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7C95D773">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63E842B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71E720BC">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32DFBA0E">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2B06BF5">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354EB5A5">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572714EF">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5C6C5E53">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54534DA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64E98183">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789E304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2982724F">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3D28B422">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PGA</w:t>
            </w:r>
            <w:r>
              <w:rPr>
                <w:rFonts w:hint="eastAsia" w:ascii="Times New Roman" w:hAnsi="Times New Roman" w:eastAsia="宋体" w:cs="Times New Roman"/>
                <w:color w:val="000000"/>
                <w:sz w:val="20"/>
                <w:szCs w:val="22"/>
              </w:rPr>
              <w:t>评分</w:t>
            </w:r>
          </w:p>
        </w:tc>
        <w:tc>
          <w:tcPr>
            <w:tcW w:w="715" w:type="dxa"/>
            <w:tcBorders>
              <w:top w:val="nil"/>
              <w:left w:val="nil"/>
              <w:bottom w:val="single" w:color="auto" w:sz="4" w:space="0"/>
              <w:right w:val="single" w:color="auto" w:sz="4" w:space="0"/>
            </w:tcBorders>
            <w:noWrap/>
            <w:vAlign w:val="center"/>
          </w:tcPr>
          <w:p w14:paraId="398989E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57B95B95">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43AF23B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0C5E693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194AFC0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5F29663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67C2877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45347DF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2CBCBDC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4AFEEEB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5C21FB2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637CEC1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6D189D1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37ABFA9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73ACD11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6EAB523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0F7ACA2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467CAC51">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906947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4697F752">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6F186C4E">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BSA</w:t>
            </w:r>
            <w:r>
              <w:rPr>
                <w:rFonts w:hint="eastAsia" w:ascii="Times New Roman" w:hAnsi="Times New Roman" w:eastAsia="宋体" w:cs="Times New Roman"/>
                <w:color w:val="000000"/>
                <w:sz w:val="20"/>
                <w:szCs w:val="22"/>
              </w:rPr>
              <w:t>评分</w:t>
            </w:r>
          </w:p>
        </w:tc>
        <w:tc>
          <w:tcPr>
            <w:tcW w:w="715" w:type="dxa"/>
            <w:tcBorders>
              <w:top w:val="nil"/>
              <w:left w:val="nil"/>
              <w:bottom w:val="single" w:color="auto" w:sz="4" w:space="0"/>
              <w:right w:val="single" w:color="auto" w:sz="4" w:space="0"/>
            </w:tcBorders>
            <w:noWrap/>
            <w:vAlign w:val="center"/>
          </w:tcPr>
          <w:p w14:paraId="76CEE32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079F97BC">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64CED01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00BFF00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5CFE25C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0EE0CF9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583777C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6FA9C42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45D81BE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6DDCDF0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0260DB6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29A22D0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3C48659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611E91F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2E238AF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3D99FD0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0AD9DA3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39AC5AD2">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6B41DF4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15A832BB">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5D83AE9F">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PASI</w:t>
            </w:r>
            <w:r>
              <w:rPr>
                <w:rFonts w:hint="eastAsia" w:ascii="Times New Roman" w:hAnsi="Times New Roman" w:eastAsia="宋体" w:cs="Times New Roman"/>
                <w:color w:val="000000"/>
                <w:sz w:val="20"/>
                <w:szCs w:val="22"/>
              </w:rPr>
              <w:t>评分</w:t>
            </w:r>
          </w:p>
        </w:tc>
        <w:tc>
          <w:tcPr>
            <w:tcW w:w="715" w:type="dxa"/>
            <w:tcBorders>
              <w:top w:val="nil"/>
              <w:left w:val="nil"/>
              <w:bottom w:val="single" w:color="auto" w:sz="4" w:space="0"/>
              <w:right w:val="single" w:color="auto" w:sz="4" w:space="0"/>
            </w:tcBorders>
            <w:noWrap/>
            <w:vAlign w:val="center"/>
          </w:tcPr>
          <w:p w14:paraId="4FEDFC7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136A8A95">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4087B03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794EC4C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36C85BE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47022C9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527DC63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0504EBF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3236C4F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54920B4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073987A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7273EDD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5E51E86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0E53022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533C0FF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5915FDF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06745E4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2F07C9D9">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20F18C4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0100B67E">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47B2962F">
            <w:pPr>
              <w:widowControl/>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DLQI</w:t>
            </w:r>
            <w:r>
              <w:rPr>
                <w:rFonts w:hint="eastAsia" w:ascii="Times New Roman" w:hAnsi="Times New Roman" w:eastAsia="宋体" w:cs="Times New Roman"/>
                <w:color w:val="000000"/>
                <w:sz w:val="20"/>
                <w:szCs w:val="22"/>
              </w:rPr>
              <w:t>评分</w:t>
            </w:r>
          </w:p>
        </w:tc>
        <w:tc>
          <w:tcPr>
            <w:tcW w:w="715" w:type="dxa"/>
            <w:tcBorders>
              <w:top w:val="nil"/>
              <w:left w:val="nil"/>
              <w:bottom w:val="single" w:color="auto" w:sz="4" w:space="0"/>
              <w:right w:val="single" w:color="auto" w:sz="4" w:space="0"/>
            </w:tcBorders>
            <w:noWrap/>
            <w:vAlign w:val="center"/>
          </w:tcPr>
          <w:p w14:paraId="28A1BE81">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5582EC13">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070CFF7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5D0EB1E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24742BC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736EB896">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7460290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49B6D06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2F999AB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1EC771F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20D7F44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51C9F5B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311CB3D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2C1387A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3C7DFA4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5C834E2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23987D4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740D358A">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7778982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3F7315E4">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19D0A35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皮损拍照</w:t>
            </w:r>
            <w:r>
              <w:rPr>
                <w:rFonts w:ascii="Times New Roman" w:hAnsi="Times New Roman" w:eastAsia="宋体" w:cs="Times New Roman"/>
                <w:color w:val="000000"/>
                <w:sz w:val="20"/>
                <w:szCs w:val="22"/>
                <w:vertAlign w:val="superscript"/>
              </w:rPr>
              <w:t>18</w:t>
            </w:r>
          </w:p>
        </w:tc>
        <w:tc>
          <w:tcPr>
            <w:tcW w:w="715" w:type="dxa"/>
            <w:tcBorders>
              <w:top w:val="nil"/>
              <w:left w:val="nil"/>
              <w:bottom w:val="single" w:color="auto" w:sz="4" w:space="0"/>
              <w:right w:val="single" w:color="auto" w:sz="4" w:space="0"/>
            </w:tcBorders>
            <w:noWrap/>
            <w:vAlign w:val="center"/>
          </w:tcPr>
          <w:p w14:paraId="1B73E87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2A62DE87">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43306E2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3AFAAE7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1663A9B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561E06D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0B2B3A4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39C7551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4A40B7C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48604C0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64AD712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0E4B628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01CF9A5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53DC027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4FBE2EE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56C428E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3BE8887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057153ED">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345A8D6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00ED9F79">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3A75C950">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入排标准审核</w:t>
            </w:r>
          </w:p>
        </w:tc>
        <w:tc>
          <w:tcPr>
            <w:tcW w:w="715" w:type="dxa"/>
            <w:tcBorders>
              <w:top w:val="nil"/>
              <w:left w:val="nil"/>
              <w:bottom w:val="single" w:color="auto" w:sz="4" w:space="0"/>
              <w:right w:val="single" w:color="auto" w:sz="4" w:space="0"/>
            </w:tcBorders>
            <w:noWrap/>
            <w:vAlign w:val="center"/>
          </w:tcPr>
          <w:p w14:paraId="0DC0882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29" w:type="dxa"/>
            <w:tcBorders>
              <w:top w:val="nil"/>
              <w:left w:val="nil"/>
              <w:bottom w:val="single" w:color="auto" w:sz="4" w:space="0"/>
              <w:right w:val="single" w:color="auto" w:sz="4" w:space="0"/>
            </w:tcBorders>
            <w:noWrap/>
            <w:vAlign w:val="center"/>
          </w:tcPr>
          <w:p w14:paraId="1445CEDC">
            <w:pPr>
              <w:widowControl/>
              <w:jc w:val="center"/>
              <w:rPr>
                <w:rFonts w:ascii="Times New Roman" w:hAnsi="Times New Roman" w:eastAsia="等线" w:cs="Times New Roman"/>
                <w:color w:val="000000"/>
                <w:sz w:val="20"/>
                <w:szCs w:val="22"/>
              </w:rPr>
            </w:pPr>
            <w:r>
              <w:rPr>
                <w:rFonts w:hint="eastAsia" w:ascii="Times New Roman" w:hAnsi="Times New Roman" w:eastAsia="等线" w:cs="Times New Roman"/>
                <w:color w:val="000000"/>
                <w:sz w:val="20"/>
                <w:szCs w:val="22"/>
              </w:rPr>
              <w:t>（</w:t>
            </w:r>
            <w:r>
              <w:rPr>
                <w:rFonts w:ascii="Times New Roman" w:hAnsi="Times New Roman" w:eastAsia="等线" w:cs="Times New Roman"/>
                <w:color w:val="000000"/>
                <w:sz w:val="20"/>
                <w:szCs w:val="22"/>
              </w:rPr>
              <w:t>X</w:t>
            </w:r>
            <w:r>
              <w:rPr>
                <w:rFonts w:hint="eastAsia" w:ascii="Times New Roman" w:hAnsi="Times New Roman" w:eastAsia="等线" w:cs="Times New Roman"/>
                <w:color w:val="000000"/>
                <w:sz w:val="20"/>
                <w:szCs w:val="22"/>
              </w:rPr>
              <w:t>）</w:t>
            </w:r>
          </w:p>
        </w:tc>
        <w:tc>
          <w:tcPr>
            <w:tcW w:w="457" w:type="dxa"/>
            <w:tcBorders>
              <w:top w:val="nil"/>
              <w:left w:val="nil"/>
              <w:bottom w:val="single" w:color="auto" w:sz="4" w:space="0"/>
              <w:right w:val="single" w:color="auto" w:sz="4" w:space="0"/>
            </w:tcBorders>
            <w:noWrap/>
            <w:vAlign w:val="center"/>
          </w:tcPr>
          <w:p w14:paraId="16F9778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527E5556">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49884D02">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33556E8B">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23AB3669">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660CDBC6">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761B08FE">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1B52F507">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7D1A4AEE">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02C2F041">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1E2E753F">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23C6D397">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6E2B328C">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543895D3">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2ADF490B">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74072AFB">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01DD9DDC">
            <w:pPr>
              <w:widowControl/>
              <w:jc w:val="center"/>
              <w:rPr>
                <w:rFonts w:ascii="Times New Roman" w:hAnsi="Times New Roman" w:eastAsia="等线" w:cs="Times New Roman"/>
                <w:color w:val="000000"/>
                <w:sz w:val="20"/>
                <w:szCs w:val="22"/>
              </w:rPr>
            </w:pPr>
          </w:p>
        </w:tc>
      </w:tr>
      <w:tr w14:paraId="774C9550">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6D3703B4">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随机</w:t>
            </w:r>
            <w:r>
              <w:rPr>
                <w:rFonts w:ascii="Times New Roman" w:hAnsi="Times New Roman" w:eastAsia="宋体" w:cs="Times New Roman"/>
                <w:color w:val="000000"/>
                <w:sz w:val="20"/>
                <w:szCs w:val="22"/>
                <w:vertAlign w:val="superscript"/>
              </w:rPr>
              <w:t>19</w:t>
            </w:r>
          </w:p>
        </w:tc>
        <w:tc>
          <w:tcPr>
            <w:tcW w:w="715" w:type="dxa"/>
            <w:tcBorders>
              <w:top w:val="nil"/>
              <w:left w:val="nil"/>
              <w:bottom w:val="single" w:color="auto" w:sz="4" w:space="0"/>
              <w:right w:val="single" w:color="auto" w:sz="4" w:space="0"/>
            </w:tcBorders>
            <w:noWrap/>
            <w:vAlign w:val="center"/>
          </w:tcPr>
          <w:p w14:paraId="020BFD83">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51B5ACA8">
            <w:pPr>
              <w:widowControl/>
              <w:jc w:val="center"/>
              <w:rPr>
                <w:rFonts w:ascii="Times New Roman" w:hAnsi="Times New Roman" w:eastAsia="等线" w:cs="Times New Roman"/>
                <w:color w:val="000000"/>
                <w:sz w:val="20"/>
                <w:szCs w:val="22"/>
              </w:rPr>
            </w:pPr>
          </w:p>
        </w:tc>
        <w:tc>
          <w:tcPr>
            <w:tcW w:w="457" w:type="dxa"/>
            <w:tcBorders>
              <w:top w:val="nil"/>
              <w:left w:val="single" w:color="auto" w:sz="4" w:space="0"/>
              <w:bottom w:val="single" w:color="auto" w:sz="4" w:space="0"/>
              <w:right w:val="single" w:color="auto" w:sz="4" w:space="0"/>
            </w:tcBorders>
            <w:noWrap/>
            <w:vAlign w:val="center"/>
          </w:tcPr>
          <w:p w14:paraId="48D5A4C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108400A0">
            <w:pPr>
              <w:widowControl/>
              <w:jc w:val="center"/>
              <w:rPr>
                <w:rFonts w:ascii="Times New Roman" w:hAnsi="Times New Roman" w:eastAsia="等线" w:cs="Times New Roman"/>
                <w:color w:val="000000"/>
                <w:sz w:val="20"/>
                <w:szCs w:val="22"/>
              </w:rPr>
            </w:pPr>
          </w:p>
        </w:tc>
        <w:tc>
          <w:tcPr>
            <w:tcW w:w="660" w:type="dxa"/>
            <w:tcBorders>
              <w:top w:val="nil"/>
              <w:left w:val="nil"/>
              <w:bottom w:val="single" w:color="auto" w:sz="4" w:space="0"/>
              <w:right w:val="single" w:color="auto" w:sz="4" w:space="0"/>
            </w:tcBorders>
            <w:noWrap/>
            <w:vAlign w:val="center"/>
          </w:tcPr>
          <w:p w14:paraId="28BB0F12">
            <w:pPr>
              <w:widowControl/>
              <w:jc w:val="center"/>
              <w:rPr>
                <w:rFonts w:ascii="Times New Roman" w:hAnsi="Times New Roman" w:eastAsia="等线" w:cs="Times New Roman"/>
                <w:color w:val="000000"/>
                <w:sz w:val="20"/>
                <w:szCs w:val="22"/>
              </w:rPr>
            </w:pPr>
          </w:p>
        </w:tc>
        <w:tc>
          <w:tcPr>
            <w:tcW w:w="645" w:type="dxa"/>
            <w:tcBorders>
              <w:top w:val="nil"/>
              <w:left w:val="nil"/>
              <w:bottom w:val="single" w:color="auto" w:sz="4" w:space="0"/>
              <w:right w:val="single" w:color="auto" w:sz="4" w:space="0"/>
            </w:tcBorders>
            <w:noWrap/>
            <w:vAlign w:val="center"/>
          </w:tcPr>
          <w:p w14:paraId="2B8B9E6B">
            <w:pPr>
              <w:widowControl/>
              <w:jc w:val="center"/>
              <w:rPr>
                <w:rFonts w:ascii="Times New Roman" w:hAnsi="Times New Roman" w:eastAsia="等线" w:cs="Times New Roman"/>
                <w:color w:val="000000"/>
                <w:sz w:val="20"/>
                <w:szCs w:val="22"/>
              </w:rPr>
            </w:pPr>
          </w:p>
        </w:tc>
        <w:tc>
          <w:tcPr>
            <w:tcW w:w="637" w:type="dxa"/>
            <w:tcBorders>
              <w:top w:val="nil"/>
              <w:left w:val="nil"/>
              <w:bottom w:val="single" w:color="auto" w:sz="4" w:space="0"/>
              <w:right w:val="single" w:color="auto" w:sz="4" w:space="0"/>
            </w:tcBorders>
            <w:noWrap/>
            <w:vAlign w:val="center"/>
          </w:tcPr>
          <w:p w14:paraId="4596E49D">
            <w:pPr>
              <w:widowControl/>
              <w:jc w:val="center"/>
              <w:rPr>
                <w:rFonts w:ascii="Times New Roman" w:hAnsi="Times New Roman" w:eastAsia="等线" w:cs="Times New Roman"/>
                <w:color w:val="000000"/>
                <w:sz w:val="20"/>
                <w:szCs w:val="22"/>
              </w:rPr>
            </w:pPr>
          </w:p>
        </w:tc>
        <w:tc>
          <w:tcPr>
            <w:tcW w:w="668" w:type="dxa"/>
            <w:tcBorders>
              <w:top w:val="nil"/>
              <w:left w:val="nil"/>
              <w:bottom w:val="single" w:color="auto" w:sz="4" w:space="0"/>
              <w:right w:val="single" w:color="auto" w:sz="4" w:space="0"/>
            </w:tcBorders>
            <w:noWrap/>
            <w:vAlign w:val="center"/>
          </w:tcPr>
          <w:p w14:paraId="18DD3C23">
            <w:pPr>
              <w:widowControl/>
              <w:jc w:val="center"/>
              <w:rPr>
                <w:rFonts w:ascii="Times New Roman" w:hAnsi="Times New Roman" w:eastAsia="等线" w:cs="Times New Roman"/>
                <w:color w:val="000000"/>
                <w:sz w:val="20"/>
                <w:szCs w:val="22"/>
              </w:rPr>
            </w:pPr>
          </w:p>
        </w:tc>
        <w:tc>
          <w:tcPr>
            <w:tcW w:w="682" w:type="dxa"/>
            <w:tcBorders>
              <w:top w:val="nil"/>
              <w:left w:val="nil"/>
              <w:bottom w:val="single" w:color="auto" w:sz="4" w:space="0"/>
              <w:right w:val="single" w:color="auto" w:sz="4" w:space="0"/>
            </w:tcBorders>
            <w:noWrap/>
            <w:vAlign w:val="center"/>
          </w:tcPr>
          <w:p w14:paraId="7AD98A82">
            <w:pPr>
              <w:widowControl/>
              <w:jc w:val="center"/>
              <w:rPr>
                <w:rFonts w:ascii="Times New Roman" w:hAnsi="Times New Roman" w:eastAsia="等线" w:cs="Times New Roman"/>
                <w:color w:val="000000"/>
                <w:sz w:val="20"/>
                <w:szCs w:val="22"/>
              </w:rPr>
            </w:pPr>
          </w:p>
        </w:tc>
        <w:tc>
          <w:tcPr>
            <w:tcW w:w="683" w:type="dxa"/>
            <w:tcBorders>
              <w:top w:val="nil"/>
              <w:left w:val="nil"/>
              <w:bottom w:val="single" w:color="auto" w:sz="4" w:space="0"/>
              <w:right w:val="single" w:color="auto" w:sz="4" w:space="0"/>
            </w:tcBorders>
            <w:noWrap/>
            <w:vAlign w:val="center"/>
          </w:tcPr>
          <w:p w14:paraId="07A40D33">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14574D0B">
            <w:pPr>
              <w:widowControl/>
              <w:jc w:val="center"/>
              <w:rPr>
                <w:rFonts w:ascii="Times New Roman" w:hAnsi="Times New Roman" w:eastAsia="等线" w:cs="Times New Roman"/>
                <w:color w:val="000000"/>
                <w:sz w:val="20"/>
                <w:szCs w:val="22"/>
              </w:rPr>
            </w:pPr>
          </w:p>
        </w:tc>
        <w:tc>
          <w:tcPr>
            <w:tcW w:w="698" w:type="dxa"/>
            <w:tcBorders>
              <w:top w:val="nil"/>
              <w:left w:val="nil"/>
              <w:bottom w:val="single" w:color="auto" w:sz="4" w:space="0"/>
              <w:right w:val="single" w:color="auto" w:sz="4" w:space="0"/>
            </w:tcBorders>
            <w:noWrap/>
            <w:vAlign w:val="center"/>
          </w:tcPr>
          <w:p w14:paraId="02ED9912">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080024DE">
            <w:pPr>
              <w:widowControl/>
              <w:jc w:val="center"/>
              <w:rPr>
                <w:rFonts w:ascii="Times New Roman" w:hAnsi="Times New Roman" w:eastAsia="等线" w:cs="Times New Roman"/>
                <w:color w:val="000000"/>
                <w:sz w:val="20"/>
                <w:szCs w:val="22"/>
              </w:rPr>
            </w:pPr>
          </w:p>
        </w:tc>
        <w:tc>
          <w:tcPr>
            <w:tcW w:w="675" w:type="dxa"/>
            <w:tcBorders>
              <w:top w:val="nil"/>
              <w:left w:val="nil"/>
              <w:bottom w:val="single" w:color="auto" w:sz="4" w:space="0"/>
              <w:right w:val="single" w:color="auto" w:sz="4" w:space="0"/>
            </w:tcBorders>
            <w:noWrap/>
            <w:vAlign w:val="center"/>
          </w:tcPr>
          <w:p w14:paraId="269F2A48">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5CDD9D20">
            <w:pPr>
              <w:widowControl/>
              <w:jc w:val="center"/>
              <w:rPr>
                <w:rFonts w:ascii="Times New Roman" w:hAnsi="Times New Roman" w:eastAsia="等线" w:cs="Times New Roman"/>
                <w:color w:val="000000"/>
                <w:sz w:val="20"/>
                <w:szCs w:val="22"/>
              </w:rPr>
            </w:pPr>
          </w:p>
        </w:tc>
        <w:tc>
          <w:tcPr>
            <w:tcW w:w="705" w:type="dxa"/>
            <w:tcBorders>
              <w:top w:val="nil"/>
              <w:left w:val="nil"/>
              <w:bottom w:val="single" w:color="auto" w:sz="4" w:space="0"/>
              <w:right w:val="single" w:color="auto" w:sz="4" w:space="0"/>
            </w:tcBorders>
            <w:noWrap/>
            <w:vAlign w:val="center"/>
          </w:tcPr>
          <w:p w14:paraId="02F6C0F6">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50A8873D">
            <w:pPr>
              <w:widowControl/>
              <w:jc w:val="center"/>
              <w:rPr>
                <w:rFonts w:ascii="Times New Roman" w:hAnsi="Times New Roman" w:eastAsia="等线" w:cs="Times New Roman"/>
                <w:color w:val="000000"/>
                <w:sz w:val="20"/>
                <w:szCs w:val="22"/>
              </w:rPr>
            </w:pPr>
          </w:p>
        </w:tc>
        <w:tc>
          <w:tcPr>
            <w:tcW w:w="861" w:type="dxa"/>
            <w:tcBorders>
              <w:top w:val="nil"/>
              <w:left w:val="nil"/>
              <w:bottom w:val="single" w:color="auto" w:sz="4" w:space="0"/>
              <w:right w:val="single" w:color="auto" w:sz="4" w:space="0"/>
            </w:tcBorders>
            <w:noWrap/>
            <w:vAlign w:val="center"/>
          </w:tcPr>
          <w:p w14:paraId="590082FF">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01E829C1">
            <w:pPr>
              <w:widowControl/>
              <w:jc w:val="center"/>
              <w:rPr>
                <w:rFonts w:ascii="Times New Roman" w:hAnsi="Times New Roman" w:eastAsia="等线" w:cs="Times New Roman"/>
                <w:color w:val="000000"/>
                <w:sz w:val="20"/>
                <w:szCs w:val="22"/>
              </w:rPr>
            </w:pPr>
          </w:p>
        </w:tc>
      </w:tr>
      <w:tr w14:paraId="4538734F">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3FB715DA">
            <w:pPr>
              <w:widowControl/>
              <w:rPr>
                <w:rFonts w:ascii="Times New Roman" w:hAnsi="Times New Roman" w:eastAsia="宋体" w:cs="Times New Roman"/>
                <w:color w:val="000000"/>
                <w:sz w:val="20"/>
                <w:szCs w:val="22"/>
              </w:rPr>
            </w:pPr>
            <w:r>
              <w:rPr>
                <w:rFonts w:ascii="Times New Roman" w:hAnsi="Times New Roman" w:eastAsia="宋体" w:cs="Times New Roman"/>
                <w:color w:val="000000"/>
                <w:sz w:val="20"/>
                <w:szCs w:val="22"/>
              </w:rPr>
              <w:t>PK</w:t>
            </w:r>
            <w:r>
              <w:rPr>
                <w:rFonts w:hint="eastAsia" w:ascii="Times New Roman" w:hAnsi="Times New Roman" w:eastAsia="宋体" w:cs="Times New Roman"/>
                <w:color w:val="000000"/>
                <w:sz w:val="20"/>
                <w:szCs w:val="22"/>
              </w:rPr>
              <w:t>血样采集</w:t>
            </w:r>
            <w:r>
              <w:rPr>
                <w:rFonts w:ascii="Times New Roman" w:hAnsi="Times New Roman" w:eastAsia="宋体" w:cs="Times New Roman"/>
                <w:color w:val="000000"/>
                <w:sz w:val="20"/>
                <w:szCs w:val="22"/>
                <w:vertAlign w:val="superscript"/>
              </w:rPr>
              <w:t>20</w:t>
            </w:r>
          </w:p>
        </w:tc>
        <w:tc>
          <w:tcPr>
            <w:tcW w:w="715" w:type="dxa"/>
            <w:tcBorders>
              <w:top w:val="nil"/>
              <w:left w:val="nil"/>
              <w:bottom w:val="single" w:color="auto" w:sz="4" w:space="0"/>
              <w:right w:val="single" w:color="auto" w:sz="4" w:space="0"/>
            </w:tcBorders>
            <w:noWrap/>
            <w:vAlign w:val="center"/>
          </w:tcPr>
          <w:p w14:paraId="62E21E85">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7A2C88EC">
            <w:pPr>
              <w:widowControl/>
              <w:jc w:val="center"/>
              <w:rPr>
                <w:rFonts w:ascii="Times New Roman" w:hAnsi="Times New Roman" w:eastAsia="等线" w:cs="Times New Roman"/>
                <w:color w:val="000000"/>
                <w:sz w:val="20"/>
                <w:szCs w:val="22"/>
              </w:rPr>
            </w:pPr>
          </w:p>
        </w:tc>
        <w:tc>
          <w:tcPr>
            <w:tcW w:w="457" w:type="dxa"/>
            <w:tcBorders>
              <w:top w:val="nil"/>
              <w:left w:val="single" w:color="auto" w:sz="4" w:space="0"/>
              <w:bottom w:val="single" w:color="auto" w:sz="4" w:space="0"/>
              <w:right w:val="single" w:color="auto" w:sz="4" w:space="0"/>
            </w:tcBorders>
            <w:noWrap/>
            <w:vAlign w:val="center"/>
          </w:tcPr>
          <w:p w14:paraId="5385D948">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5AC8074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64BC737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3712047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73109C1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256A340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2AFCD19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79ED7838">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2429ECA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7CFB3035">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57F3D4A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2ED59845">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6B05242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79D81176">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3F986E4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5215C761">
            <w:pPr>
              <w:widowControl/>
              <w:jc w:val="center"/>
              <w:rPr>
                <w:rFonts w:ascii="Times New Roman" w:hAnsi="Times New Roman" w:eastAsia="等线" w:cs="Times New Roman"/>
                <w:color w:val="000000"/>
                <w:sz w:val="20"/>
                <w:szCs w:val="22"/>
                <w:highlight w:val="yellow"/>
              </w:rPr>
            </w:pPr>
          </w:p>
        </w:tc>
        <w:tc>
          <w:tcPr>
            <w:tcW w:w="772" w:type="dxa"/>
            <w:tcBorders>
              <w:top w:val="nil"/>
              <w:left w:val="nil"/>
              <w:bottom w:val="single" w:color="auto" w:sz="4" w:space="0"/>
              <w:right w:val="single" w:color="auto" w:sz="4" w:space="0"/>
            </w:tcBorders>
            <w:noWrap/>
            <w:vAlign w:val="center"/>
          </w:tcPr>
          <w:p w14:paraId="07195F7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353F39DA">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71118979">
            <w:pPr>
              <w:widowControl/>
              <w:rPr>
                <w:rFonts w:ascii="Times New Roman" w:hAnsi="Times New Roman" w:eastAsia="宋体" w:cs="Times New Roman"/>
                <w:color w:val="000000"/>
                <w:szCs w:val="22"/>
              </w:rPr>
            </w:pPr>
            <w:r>
              <w:rPr>
                <w:rFonts w:ascii="Times New Roman" w:hAnsi="Times New Roman" w:eastAsia="宋体" w:cs="Times New Roman"/>
                <w:color w:val="000000"/>
                <w:sz w:val="20"/>
                <w:szCs w:val="22"/>
              </w:rPr>
              <w:t>IL-17A</w:t>
            </w:r>
            <w:r>
              <w:rPr>
                <w:rFonts w:hint="eastAsia" w:ascii="Times New Roman" w:hAnsi="Times New Roman" w:eastAsia="宋体" w:cs="Times New Roman"/>
                <w:color w:val="000000"/>
                <w:sz w:val="20"/>
                <w:szCs w:val="22"/>
              </w:rPr>
              <w:t>采血</w:t>
            </w:r>
            <w:r>
              <w:rPr>
                <w:rFonts w:ascii="Times New Roman" w:hAnsi="Times New Roman" w:eastAsia="等线" w:cs="Times New Roman"/>
                <w:color w:val="000000"/>
                <w:szCs w:val="22"/>
                <w:vertAlign w:val="superscript"/>
              </w:rPr>
              <w:t>21</w:t>
            </w:r>
          </w:p>
        </w:tc>
        <w:tc>
          <w:tcPr>
            <w:tcW w:w="715" w:type="dxa"/>
            <w:tcBorders>
              <w:top w:val="nil"/>
              <w:left w:val="nil"/>
              <w:bottom w:val="single" w:color="auto" w:sz="4" w:space="0"/>
              <w:right w:val="single" w:color="auto" w:sz="4" w:space="0"/>
            </w:tcBorders>
            <w:noWrap/>
            <w:vAlign w:val="center"/>
          </w:tcPr>
          <w:p w14:paraId="48D3EB5B">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04F8DA67">
            <w:pPr>
              <w:widowControl/>
              <w:jc w:val="center"/>
              <w:rPr>
                <w:rFonts w:ascii="Times New Roman" w:hAnsi="Times New Roman" w:eastAsia="等线" w:cs="Times New Roman"/>
                <w:color w:val="000000"/>
                <w:sz w:val="20"/>
                <w:szCs w:val="22"/>
              </w:rPr>
            </w:pPr>
          </w:p>
        </w:tc>
        <w:tc>
          <w:tcPr>
            <w:tcW w:w="457" w:type="dxa"/>
            <w:tcBorders>
              <w:top w:val="nil"/>
              <w:left w:val="single" w:color="auto" w:sz="4" w:space="0"/>
              <w:bottom w:val="single" w:color="auto" w:sz="4" w:space="0"/>
              <w:right w:val="single" w:color="auto" w:sz="4" w:space="0"/>
            </w:tcBorders>
            <w:noWrap/>
            <w:vAlign w:val="center"/>
          </w:tcPr>
          <w:p w14:paraId="59DF5AD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68ABBCA5">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1F70F30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4B288C1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6D9336C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43AA5E9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79FCAEE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6DCE0BFC">
            <w:pPr>
              <w:widowControl/>
              <w:jc w:val="center"/>
              <w:rPr>
                <w:rFonts w:ascii="Times New Roman" w:hAnsi="Times New Roman" w:eastAsia="等线" w:cs="Times New Roman"/>
                <w:color w:val="000000"/>
                <w:sz w:val="20"/>
                <w:szCs w:val="22"/>
              </w:rPr>
            </w:pPr>
          </w:p>
        </w:tc>
        <w:tc>
          <w:tcPr>
            <w:tcW w:w="697" w:type="dxa"/>
            <w:tcBorders>
              <w:top w:val="nil"/>
              <w:left w:val="nil"/>
              <w:bottom w:val="single" w:color="auto" w:sz="4" w:space="0"/>
              <w:right w:val="single" w:color="auto" w:sz="4" w:space="0"/>
            </w:tcBorders>
            <w:noWrap/>
            <w:vAlign w:val="center"/>
          </w:tcPr>
          <w:p w14:paraId="14AEB45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0D4A2A55">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7146AA7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3F074C4F">
            <w:pPr>
              <w:widowControl/>
              <w:jc w:val="center"/>
              <w:rPr>
                <w:rFonts w:ascii="Times New Roman" w:hAnsi="Times New Roman" w:eastAsia="等线" w:cs="Times New Roman"/>
                <w:color w:val="000000"/>
                <w:sz w:val="20"/>
                <w:szCs w:val="22"/>
              </w:rPr>
            </w:pPr>
          </w:p>
        </w:tc>
        <w:tc>
          <w:tcPr>
            <w:tcW w:w="765" w:type="dxa"/>
            <w:tcBorders>
              <w:top w:val="nil"/>
              <w:left w:val="nil"/>
              <w:bottom w:val="single" w:color="auto" w:sz="4" w:space="0"/>
              <w:right w:val="single" w:color="auto" w:sz="4" w:space="0"/>
            </w:tcBorders>
            <w:noWrap/>
            <w:vAlign w:val="center"/>
          </w:tcPr>
          <w:p w14:paraId="160756E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329CC9F5">
            <w:pPr>
              <w:widowControl/>
              <w:jc w:val="center"/>
              <w:rPr>
                <w:rFonts w:ascii="Times New Roman" w:hAnsi="Times New Roman" w:eastAsia="等线" w:cs="Times New Roman"/>
                <w:color w:val="000000"/>
                <w:sz w:val="20"/>
                <w:szCs w:val="22"/>
              </w:rPr>
            </w:pPr>
          </w:p>
        </w:tc>
        <w:tc>
          <w:tcPr>
            <w:tcW w:w="692" w:type="dxa"/>
            <w:tcBorders>
              <w:top w:val="nil"/>
              <w:left w:val="nil"/>
              <w:bottom w:val="single" w:color="auto" w:sz="4" w:space="0"/>
              <w:right w:val="single" w:color="auto" w:sz="4" w:space="0"/>
            </w:tcBorders>
            <w:noWrap/>
            <w:vAlign w:val="center"/>
          </w:tcPr>
          <w:p w14:paraId="43FC9C2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4CFEC647">
            <w:pPr>
              <w:widowControl/>
              <w:jc w:val="center"/>
              <w:rPr>
                <w:rFonts w:ascii="Times New Roman" w:hAnsi="Times New Roman" w:eastAsia="等线" w:cs="Times New Roman"/>
                <w:color w:val="000000"/>
                <w:sz w:val="20"/>
                <w:szCs w:val="22"/>
                <w:highlight w:val="yellow"/>
              </w:rPr>
            </w:pPr>
          </w:p>
        </w:tc>
        <w:tc>
          <w:tcPr>
            <w:tcW w:w="772" w:type="dxa"/>
            <w:tcBorders>
              <w:top w:val="nil"/>
              <w:left w:val="nil"/>
              <w:bottom w:val="single" w:color="auto" w:sz="4" w:space="0"/>
              <w:right w:val="single" w:color="auto" w:sz="4" w:space="0"/>
            </w:tcBorders>
            <w:noWrap/>
            <w:vAlign w:val="center"/>
          </w:tcPr>
          <w:p w14:paraId="65096A4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05F33312">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698CD59C">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服用试验用药品</w:t>
            </w:r>
            <w:r>
              <w:rPr>
                <w:rFonts w:ascii="Times New Roman" w:hAnsi="Times New Roman" w:eastAsia="宋体" w:cs="Times New Roman"/>
                <w:color w:val="000000"/>
                <w:sz w:val="20"/>
                <w:szCs w:val="22"/>
                <w:vertAlign w:val="superscript"/>
              </w:rPr>
              <w:t>22</w:t>
            </w:r>
          </w:p>
        </w:tc>
        <w:tc>
          <w:tcPr>
            <w:tcW w:w="715" w:type="dxa"/>
            <w:tcBorders>
              <w:top w:val="nil"/>
              <w:left w:val="nil"/>
              <w:bottom w:val="single" w:color="auto" w:sz="4" w:space="0"/>
              <w:right w:val="single" w:color="auto" w:sz="4" w:space="0"/>
            </w:tcBorders>
            <w:noWrap/>
            <w:vAlign w:val="center"/>
          </w:tcPr>
          <w:p w14:paraId="29E69515">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4D6DD902">
            <w:pPr>
              <w:widowControl/>
              <w:jc w:val="center"/>
              <w:rPr>
                <w:rFonts w:ascii="Times New Roman" w:hAnsi="Times New Roman" w:eastAsia="等线" w:cs="Times New Roman"/>
                <w:color w:val="000000"/>
                <w:sz w:val="20"/>
                <w:szCs w:val="22"/>
              </w:rPr>
            </w:pPr>
          </w:p>
        </w:tc>
        <w:tc>
          <w:tcPr>
            <w:tcW w:w="10029" w:type="dxa"/>
            <w:gridSpan w:val="15"/>
            <w:tcBorders>
              <w:top w:val="nil"/>
              <w:left w:val="nil"/>
              <w:bottom w:val="single" w:color="auto" w:sz="4" w:space="0"/>
              <w:right w:val="single" w:color="auto" w:sz="4" w:space="0"/>
            </w:tcBorders>
            <w:noWrap/>
            <w:vAlign w:val="center"/>
          </w:tcPr>
          <w:p w14:paraId="48B94D28">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76C2912F">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6F4A94AF">
            <w:pPr>
              <w:widowControl/>
              <w:jc w:val="center"/>
              <w:rPr>
                <w:rFonts w:ascii="Times New Roman" w:hAnsi="Times New Roman" w:eastAsia="等线" w:cs="Times New Roman"/>
                <w:color w:val="000000"/>
                <w:sz w:val="20"/>
                <w:szCs w:val="22"/>
              </w:rPr>
            </w:pPr>
          </w:p>
        </w:tc>
      </w:tr>
      <w:tr w14:paraId="0EF55319">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04DF7CEA">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分发和/或回收试验用药品</w:t>
            </w:r>
            <w:r>
              <w:rPr>
                <w:rFonts w:ascii="Times New Roman" w:hAnsi="Times New Roman" w:eastAsia="宋体" w:cs="Times New Roman"/>
                <w:color w:val="000000"/>
                <w:sz w:val="20"/>
                <w:szCs w:val="22"/>
                <w:vertAlign w:val="superscript"/>
              </w:rPr>
              <w:t>22</w:t>
            </w:r>
          </w:p>
        </w:tc>
        <w:tc>
          <w:tcPr>
            <w:tcW w:w="715" w:type="dxa"/>
            <w:tcBorders>
              <w:top w:val="nil"/>
              <w:left w:val="nil"/>
              <w:bottom w:val="single" w:color="auto" w:sz="4" w:space="0"/>
              <w:right w:val="single" w:color="auto" w:sz="4" w:space="0"/>
            </w:tcBorders>
            <w:noWrap/>
            <w:vAlign w:val="center"/>
          </w:tcPr>
          <w:p w14:paraId="05085015">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2C9A0BD6">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015AA17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5242864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4875E86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776AF16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3A7133A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476E88C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75C05AC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16CFEB5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2603E82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1E4D6E4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465C74B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1004DDD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44CF712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2CE7F07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3F3EF293">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35403EED">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71A4B6E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2D4A1ED0">
        <w:tblPrEx>
          <w:tblCellMar>
            <w:top w:w="0" w:type="dxa"/>
            <w:left w:w="108" w:type="dxa"/>
            <w:bottom w:w="0" w:type="dxa"/>
            <w:right w:w="108" w:type="dxa"/>
          </w:tblCellMar>
        </w:tblPrEx>
        <w:trPr>
          <w:trHeight w:val="288" w:hRule="atLeast"/>
        </w:trPr>
        <w:tc>
          <w:tcPr>
            <w:tcW w:w="1231" w:type="dxa"/>
            <w:tcBorders>
              <w:top w:val="nil"/>
              <w:left w:val="single" w:color="auto" w:sz="4" w:space="0"/>
              <w:bottom w:val="single" w:color="auto" w:sz="4" w:space="0"/>
              <w:right w:val="single" w:color="auto" w:sz="4" w:space="0"/>
            </w:tcBorders>
            <w:noWrap/>
            <w:vAlign w:val="center"/>
          </w:tcPr>
          <w:p w14:paraId="3765C9B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发放和/或回收日记卡</w:t>
            </w:r>
            <w:r>
              <w:rPr>
                <w:rFonts w:ascii="Times New Roman" w:hAnsi="Times New Roman" w:eastAsia="宋体" w:cs="Times New Roman"/>
                <w:color w:val="000000"/>
                <w:sz w:val="20"/>
                <w:szCs w:val="22"/>
                <w:vertAlign w:val="superscript"/>
              </w:rPr>
              <w:t>23</w:t>
            </w:r>
          </w:p>
        </w:tc>
        <w:tc>
          <w:tcPr>
            <w:tcW w:w="715" w:type="dxa"/>
            <w:tcBorders>
              <w:top w:val="nil"/>
              <w:left w:val="nil"/>
              <w:bottom w:val="single" w:color="auto" w:sz="4" w:space="0"/>
              <w:right w:val="single" w:color="auto" w:sz="4" w:space="0"/>
            </w:tcBorders>
            <w:noWrap/>
            <w:vAlign w:val="center"/>
          </w:tcPr>
          <w:p w14:paraId="3ABFC620">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02535969">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74158FB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593" w:type="dxa"/>
            <w:tcBorders>
              <w:top w:val="nil"/>
              <w:left w:val="nil"/>
              <w:bottom w:val="single" w:color="auto" w:sz="4" w:space="0"/>
              <w:right w:val="single" w:color="auto" w:sz="4" w:space="0"/>
            </w:tcBorders>
            <w:noWrap/>
            <w:vAlign w:val="center"/>
          </w:tcPr>
          <w:p w14:paraId="582B59C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139E7E7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38DA88E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7B60356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62A50CB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1513B26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0C46081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2196ECA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5AB78AA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3FDD349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5FEC069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314AE88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1C7EFB9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226F7CCB">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48A5FE68">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0A3A533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059F1E87">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3C8C5499">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用药依从性评估</w:t>
            </w:r>
            <w:r>
              <w:rPr>
                <w:rFonts w:ascii="Times New Roman" w:hAnsi="Times New Roman" w:eastAsia="宋体" w:cs="Times New Roman"/>
                <w:color w:val="000000"/>
                <w:sz w:val="20"/>
                <w:szCs w:val="22"/>
                <w:vertAlign w:val="superscript"/>
              </w:rPr>
              <w:t>24</w:t>
            </w:r>
          </w:p>
        </w:tc>
        <w:tc>
          <w:tcPr>
            <w:tcW w:w="715" w:type="dxa"/>
            <w:tcBorders>
              <w:top w:val="nil"/>
              <w:left w:val="nil"/>
              <w:bottom w:val="single" w:color="auto" w:sz="4" w:space="0"/>
              <w:right w:val="single" w:color="auto" w:sz="4" w:space="0"/>
            </w:tcBorders>
            <w:noWrap/>
            <w:vAlign w:val="center"/>
          </w:tcPr>
          <w:p w14:paraId="481D4DE9">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2B7EBA91">
            <w:pPr>
              <w:widowControl/>
              <w:jc w:val="center"/>
              <w:rPr>
                <w:rFonts w:ascii="Times New Roman" w:hAnsi="Times New Roman" w:eastAsia="等线" w:cs="Times New Roman"/>
                <w:color w:val="000000"/>
                <w:sz w:val="20"/>
                <w:szCs w:val="22"/>
              </w:rPr>
            </w:pPr>
          </w:p>
        </w:tc>
        <w:tc>
          <w:tcPr>
            <w:tcW w:w="457" w:type="dxa"/>
            <w:tcBorders>
              <w:top w:val="nil"/>
              <w:left w:val="nil"/>
              <w:bottom w:val="single" w:color="auto" w:sz="4" w:space="0"/>
              <w:right w:val="single" w:color="auto" w:sz="4" w:space="0"/>
            </w:tcBorders>
            <w:noWrap/>
            <w:vAlign w:val="center"/>
          </w:tcPr>
          <w:p w14:paraId="32D8B77E">
            <w:pPr>
              <w:widowControl/>
              <w:jc w:val="center"/>
              <w:rPr>
                <w:rFonts w:ascii="Times New Roman" w:hAnsi="Times New Roman" w:eastAsia="等线" w:cs="Times New Roman"/>
                <w:color w:val="000000"/>
                <w:sz w:val="20"/>
                <w:szCs w:val="22"/>
              </w:rPr>
            </w:pPr>
          </w:p>
        </w:tc>
        <w:tc>
          <w:tcPr>
            <w:tcW w:w="593" w:type="dxa"/>
            <w:tcBorders>
              <w:top w:val="nil"/>
              <w:left w:val="nil"/>
              <w:bottom w:val="single" w:color="auto" w:sz="4" w:space="0"/>
              <w:right w:val="single" w:color="auto" w:sz="4" w:space="0"/>
            </w:tcBorders>
            <w:noWrap/>
            <w:vAlign w:val="center"/>
          </w:tcPr>
          <w:p w14:paraId="1B542BEE">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0" w:type="dxa"/>
            <w:tcBorders>
              <w:top w:val="nil"/>
              <w:left w:val="nil"/>
              <w:bottom w:val="single" w:color="auto" w:sz="4" w:space="0"/>
              <w:right w:val="single" w:color="auto" w:sz="4" w:space="0"/>
            </w:tcBorders>
            <w:noWrap/>
            <w:vAlign w:val="center"/>
          </w:tcPr>
          <w:p w14:paraId="5D89C89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45" w:type="dxa"/>
            <w:tcBorders>
              <w:top w:val="nil"/>
              <w:left w:val="nil"/>
              <w:bottom w:val="single" w:color="auto" w:sz="4" w:space="0"/>
              <w:right w:val="single" w:color="auto" w:sz="4" w:space="0"/>
            </w:tcBorders>
            <w:noWrap/>
            <w:vAlign w:val="center"/>
          </w:tcPr>
          <w:p w14:paraId="0F95604A">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37" w:type="dxa"/>
            <w:tcBorders>
              <w:top w:val="nil"/>
              <w:left w:val="nil"/>
              <w:bottom w:val="single" w:color="auto" w:sz="4" w:space="0"/>
              <w:right w:val="single" w:color="auto" w:sz="4" w:space="0"/>
            </w:tcBorders>
            <w:noWrap/>
            <w:vAlign w:val="center"/>
          </w:tcPr>
          <w:p w14:paraId="3C203D4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68" w:type="dxa"/>
            <w:tcBorders>
              <w:top w:val="nil"/>
              <w:left w:val="nil"/>
              <w:bottom w:val="single" w:color="auto" w:sz="4" w:space="0"/>
              <w:right w:val="single" w:color="auto" w:sz="4" w:space="0"/>
            </w:tcBorders>
            <w:noWrap/>
            <w:vAlign w:val="center"/>
          </w:tcPr>
          <w:p w14:paraId="0EBD5FD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2" w:type="dxa"/>
            <w:tcBorders>
              <w:top w:val="nil"/>
              <w:left w:val="nil"/>
              <w:bottom w:val="single" w:color="auto" w:sz="4" w:space="0"/>
              <w:right w:val="single" w:color="auto" w:sz="4" w:space="0"/>
            </w:tcBorders>
            <w:noWrap/>
            <w:vAlign w:val="center"/>
          </w:tcPr>
          <w:p w14:paraId="66B41EAD">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83" w:type="dxa"/>
            <w:tcBorders>
              <w:top w:val="nil"/>
              <w:left w:val="nil"/>
              <w:bottom w:val="single" w:color="auto" w:sz="4" w:space="0"/>
              <w:right w:val="single" w:color="auto" w:sz="4" w:space="0"/>
            </w:tcBorders>
            <w:noWrap/>
            <w:vAlign w:val="center"/>
          </w:tcPr>
          <w:p w14:paraId="02992D87">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7" w:type="dxa"/>
            <w:tcBorders>
              <w:top w:val="nil"/>
              <w:left w:val="nil"/>
              <w:bottom w:val="single" w:color="auto" w:sz="4" w:space="0"/>
              <w:right w:val="single" w:color="auto" w:sz="4" w:space="0"/>
            </w:tcBorders>
            <w:noWrap/>
            <w:vAlign w:val="center"/>
          </w:tcPr>
          <w:p w14:paraId="1781FE3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8" w:type="dxa"/>
            <w:tcBorders>
              <w:top w:val="nil"/>
              <w:left w:val="nil"/>
              <w:bottom w:val="single" w:color="auto" w:sz="4" w:space="0"/>
              <w:right w:val="single" w:color="auto" w:sz="4" w:space="0"/>
            </w:tcBorders>
            <w:noWrap/>
            <w:vAlign w:val="center"/>
          </w:tcPr>
          <w:p w14:paraId="22E5BCA9">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72" w:type="dxa"/>
            <w:tcBorders>
              <w:top w:val="nil"/>
              <w:left w:val="nil"/>
              <w:bottom w:val="single" w:color="auto" w:sz="4" w:space="0"/>
              <w:right w:val="single" w:color="auto" w:sz="4" w:space="0"/>
            </w:tcBorders>
            <w:noWrap/>
            <w:vAlign w:val="center"/>
          </w:tcPr>
          <w:p w14:paraId="711C033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75" w:type="dxa"/>
            <w:tcBorders>
              <w:top w:val="nil"/>
              <w:left w:val="nil"/>
              <w:bottom w:val="single" w:color="auto" w:sz="4" w:space="0"/>
              <w:right w:val="single" w:color="auto" w:sz="4" w:space="0"/>
            </w:tcBorders>
            <w:noWrap/>
            <w:vAlign w:val="center"/>
          </w:tcPr>
          <w:p w14:paraId="1B2D9F2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65" w:type="dxa"/>
            <w:tcBorders>
              <w:top w:val="nil"/>
              <w:left w:val="nil"/>
              <w:bottom w:val="single" w:color="auto" w:sz="4" w:space="0"/>
              <w:right w:val="single" w:color="auto" w:sz="4" w:space="0"/>
            </w:tcBorders>
            <w:noWrap/>
            <w:vAlign w:val="center"/>
          </w:tcPr>
          <w:p w14:paraId="0C12EEF0">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705" w:type="dxa"/>
            <w:tcBorders>
              <w:top w:val="nil"/>
              <w:left w:val="nil"/>
              <w:bottom w:val="single" w:color="auto" w:sz="4" w:space="0"/>
              <w:right w:val="single" w:color="auto" w:sz="4" w:space="0"/>
            </w:tcBorders>
            <w:noWrap/>
            <w:vAlign w:val="center"/>
          </w:tcPr>
          <w:p w14:paraId="3DC220EC">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692" w:type="dxa"/>
            <w:tcBorders>
              <w:top w:val="nil"/>
              <w:left w:val="nil"/>
              <w:bottom w:val="single" w:color="auto" w:sz="4" w:space="0"/>
              <w:right w:val="single" w:color="auto" w:sz="4" w:space="0"/>
            </w:tcBorders>
            <w:noWrap/>
            <w:vAlign w:val="center"/>
          </w:tcPr>
          <w:p w14:paraId="5987714F">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c>
          <w:tcPr>
            <w:tcW w:w="861" w:type="dxa"/>
            <w:tcBorders>
              <w:top w:val="nil"/>
              <w:left w:val="nil"/>
              <w:bottom w:val="single" w:color="auto" w:sz="4" w:space="0"/>
              <w:right w:val="single" w:color="auto" w:sz="4" w:space="0"/>
            </w:tcBorders>
            <w:noWrap/>
            <w:vAlign w:val="center"/>
          </w:tcPr>
          <w:p w14:paraId="7E2433B3">
            <w:pPr>
              <w:widowControl/>
              <w:jc w:val="center"/>
              <w:rPr>
                <w:rFonts w:ascii="Times New Roman" w:hAnsi="Times New Roman" w:eastAsia="等线" w:cs="Times New Roman"/>
                <w:color w:val="000000"/>
                <w:sz w:val="20"/>
                <w:szCs w:val="22"/>
              </w:rPr>
            </w:pPr>
          </w:p>
        </w:tc>
        <w:tc>
          <w:tcPr>
            <w:tcW w:w="772" w:type="dxa"/>
            <w:tcBorders>
              <w:top w:val="nil"/>
              <w:left w:val="nil"/>
              <w:bottom w:val="single" w:color="auto" w:sz="4" w:space="0"/>
              <w:right w:val="single" w:color="auto" w:sz="4" w:space="0"/>
            </w:tcBorders>
            <w:noWrap/>
            <w:vAlign w:val="center"/>
          </w:tcPr>
          <w:p w14:paraId="0DE842D2">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7EABDF0C">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54D1DB4B">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合并治疗</w:t>
            </w:r>
            <w:r>
              <w:rPr>
                <w:rFonts w:ascii="Times New Roman" w:hAnsi="Times New Roman" w:eastAsia="宋体" w:cs="Times New Roman"/>
                <w:color w:val="000000"/>
                <w:sz w:val="20"/>
                <w:szCs w:val="22"/>
                <w:vertAlign w:val="superscript"/>
              </w:rPr>
              <w:t>25</w:t>
            </w:r>
          </w:p>
        </w:tc>
        <w:tc>
          <w:tcPr>
            <w:tcW w:w="13206" w:type="dxa"/>
            <w:gridSpan w:val="19"/>
            <w:tcBorders>
              <w:top w:val="single" w:color="auto" w:sz="4" w:space="0"/>
              <w:left w:val="nil"/>
              <w:bottom w:val="single" w:color="auto" w:sz="4" w:space="0"/>
              <w:right w:val="single" w:color="auto" w:sz="4" w:space="0"/>
            </w:tcBorders>
            <w:noWrap/>
            <w:vAlign w:val="center"/>
          </w:tcPr>
          <w:p w14:paraId="71583154">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r w14:paraId="1721DC62">
        <w:tblPrEx>
          <w:tblCellMar>
            <w:top w:w="0" w:type="dxa"/>
            <w:left w:w="108" w:type="dxa"/>
            <w:bottom w:w="0" w:type="dxa"/>
            <w:right w:w="108" w:type="dxa"/>
          </w:tblCellMar>
        </w:tblPrEx>
        <w:trPr>
          <w:trHeight w:val="336" w:hRule="atLeast"/>
        </w:trPr>
        <w:tc>
          <w:tcPr>
            <w:tcW w:w="1231" w:type="dxa"/>
            <w:tcBorders>
              <w:top w:val="nil"/>
              <w:left w:val="single" w:color="auto" w:sz="4" w:space="0"/>
              <w:bottom w:val="single" w:color="auto" w:sz="4" w:space="0"/>
              <w:right w:val="single" w:color="auto" w:sz="4" w:space="0"/>
            </w:tcBorders>
            <w:noWrap/>
            <w:vAlign w:val="center"/>
          </w:tcPr>
          <w:p w14:paraId="4C62FCD5">
            <w:pPr>
              <w:widowControl/>
              <w:rPr>
                <w:rFonts w:ascii="Times New Roman" w:hAnsi="Times New Roman" w:eastAsia="宋体" w:cs="Times New Roman"/>
                <w:color w:val="000000"/>
                <w:sz w:val="20"/>
                <w:szCs w:val="22"/>
              </w:rPr>
            </w:pPr>
            <w:r>
              <w:rPr>
                <w:rFonts w:hint="eastAsia" w:ascii="Times New Roman" w:hAnsi="Times New Roman" w:eastAsia="宋体" w:cs="Times New Roman"/>
                <w:color w:val="000000"/>
                <w:sz w:val="20"/>
                <w:szCs w:val="22"/>
              </w:rPr>
              <w:t>不良事件</w:t>
            </w:r>
            <w:r>
              <w:rPr>
                <w:rFonts w:ascii="Times New Roman" w:hAnsi="Times New Roman" w:eastAsia="宋体" w:cs="Times New Roman"/>
                <w:color w:val="000000"/>
                <w:sz w:val="20"/>
                <w:szCs w:val="22"/>
                <w:vertAlign w:val="superscript"/>
              </w:rPr>
              <w:t>26</w:t>
            </w:r>
          </w:p>
        </w:tc>
        <w:tc>
          <w:tcPr>
            <w:tcW w:w="715" w:type="dxa"/>
            <w:tcBorders>
              <w:top w:val="nil"/>
              <w:left w:val="nil"/>
              <w:bottom w:val="single" w:color="auto" w:sz="4" w:space="0"/>
              <w:right w:val="single" w:color="auto" w:sz="4" w:space="0"/>
            </w:tcBorders>
            <w:noWrap/>
            <w:vAlign w:val="center"/>
          </w:tcPr>
          <w:p w14:paraId="0C8A4C0D">
            <w:pPr>
              <w:widowControl/>
              <w:jc w:val="center"/>
              <w:rPr>
                <w:rFonts w:ascii="Times New Roman" w:hAnsi="Times New Roman" w:eastAsia="等线" w:cs="Times New Roman"/>
                <w:color w:val="000000"/>
                <w:sz w:val="20"/>
                <w:szCs w:val="22"/>
              </w:rPr>
            </w:pPr>
          </w:p>
        </w:tc>
        <w:tc>
          <w:tcPr>
            <w:tcW w:w="829" w:type="dxa"/>
            <w:tcBorders>
              <w:top w:val="nil"/>
              <w:left w:val="nil"/>
              <w:bottom w:val="single" w:color="auto" w:sz="4" w:space="0"/>
              <w:right w:val="single" w:color="auto" w:sz="4" w:space="0"/>
            </w:tcBorders>
            <w:noWrap/>
            <w:vAlign w:val="center"/>
          </w:tcPr>
          <w:p w14:paraId="30944BF1">
            <w:pPr>
              <w:widowControl/>
              <w:jc w:val="center"/>
              <w:rPr>
                <w:rFonts w:ascii="Times New Roman" w:hAnsi="Times New Roman" w:eastAsia="等线" w:cs="Times New Roman"/>
                <w:color w:val="000000"/>
                <w:sz w:val="20"/>
                <w:szCs w:val="22"/>
              </w:rPr>
            </w:pPr>
          </w:p>
        </w:tc>
        <w:tc>
          <w:tcPr>
            <w:tcW w:w="11662" w:type="dxa"/>
            <w:gridSpan w:val="17"/>
            <w:tcBorders>
              <w:top w:val="nil"/>
              <w:left w:val="nil"/>
              <w:bottom w:val="single" w:color="auto" w:sz="4" w:space="0"/>
              <w:right w:val="single" w:color="auto" w:sz="4" w:space="0"/>
            </w:tcBorders>
            <w:noWrap/>
            <w:vAlign w:val="center"/>
          </w:tcPr>
          <w:p w14:paraId="179DADD1">
            <w:pPr>
              <w:widowControl/>
              <w:jc w:val="center"/>
              <w:rPr>
                <w:rFonts w:ascii="Times New Roman" w:hAnsi="Times New Roman" w:eastAsia="等线" w:cs="Times New Roman"/>
                <w:color w:val="000000"/>
                <w:sz w:val="20"/>
                <w:szCs w:val="22"/>
              </w:rPr>
            </w:pPr>
            <w:r>
              <w:rPr>
                <w:rFonts w:ascii="Times New Roman" w:hAnsi="Times New Roman" w:eastAsia="等线" w:cs="Times New Roman"/>
                <w:color w:val="000000"/>
                <w:sz w:val="20"/>
                <w:szCs w:val="22"/>
              </w:rPr>
              <w:t>X</w:t>
            </w:r>
          </w:p>
        </w:tc>
      </w:tr>
    </w:tbl>
    <w:p w14:paraId="703F1AF1">
      <w:pPr>
        <w:spacing w:line="360" w:lineRule="auto"/>
        <w:rPr>
          <w:rFonts w:ascii="Times New Roman" w:hAnsi="Times New Roman" w:eastAsia="宋体" w:cs="Times New Roman"/>
          <w:sz w:val="21"/>
          <w:szCs w:val="21"/>
        </w:rPr>
      </w:pPr>
    </w:p>
    <w:p w14:paraId="11BC1D03">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注：计划外访视可根据研究者的判断在任何时间进行，并可根据临床指征进行必要的临床和实验室检查。</w:t>
      </w:r>
    </w:p>
    <w:p w14:paraId="7487C3DD">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kern w:val="2"/>
          <w:sz w:val="21"/>
          <w:szCs w:val="21"/>
        </w:rPr>
        <w:t>开始任何试验流程之前签署知情同意书</w:t>
      </w:r>
      <w:r>
        <w:rPr>
          <w:rFonts w:hint="eastAsia" w:ascii="Times New Roman" w:hAnsi="Times New Roman" w:eastAsia="宋体" w:cs="Times New Roman"/>
          <w:sz w:val="21"/>
          <w:szCs w:val="21"/>
        </w:rPr>
        <w:t>。</w:t>
      </w:r>
    </w:p>
    <w:p w14:paraId="6FB9BDBC">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kern w:val="2"/>
          <w:sz w:val="21"/>
          <w:szCs w:val="21"/>
        </w:rPr>
        <w:t>如果筛选访视和</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访视间隔≤</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天，则筛选和基线访视可合并进行，两次访视中相同的评估事项可只进行一次。如果筛选访视和</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访视间隔＞</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天，则需在</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天前</w:t>
      </w:r>
      <w:r>
        <w:rPr>
          <w:rFonts w:ascii="Times New Roman" w:hAnsi="Times New Roman" w:eastAsia="宋体" w:cs="Times New Roman"/>
          <w:kern w:val="2"/>
          <w:sz w:val="21"/>
          <w:szCs w:val="21"/>
        </w:rPr>
        <w:t>7</w:t>
      </w:r>
      <w:r>
        <w:rPr>
          <w:rFonts w:hint="eastAsia" w:ascii="Times New Roman" w:hAnsi="Times New Roman" w:eastAsia="宋体" w:cs="Times New Roman"/>
          <w:kern w:val="2"/>
          <w:sz w:val="21"/>
          <w:szCs w:val="21"/>
        </w:rPr>
        <w:t>天内进行基线访视。以给药前最近一次评估结果作为基线值。生命体征、疗效指标（</w:t>
      </w:r>
      <w:r>
        <w:rPr>
          <w:rFonts w:ascii="Times New Roman" w:hAnsi="Times New Roman" w:eastAsia="宋体" w:cs="Times New Roman"/>
          <w:kern w:val="2"/>
          <w:sz w:val="21"/>
          <w:szCs w:val="21"/>
        </w:rPr>
        <w:t>PASI</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PGA</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BSA</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DLQI</w:t>
      </w:r>
      <w:r>
        <w:rPr>
          <w:rFonts w:hint="eastAsia" w:ascii="Times New Roman" w:hAnsi="Times New Roman" w:eastAsia="宋体" w:cs="Times New Roman"/>
          <w:kern w:val="2"/>
          <w:sz w:val="21"/>
          <w:szCs w:val="21"/>
        </w:rPr>
        <w:t>）、皮损照片以</w:t>
      </w:r>
      <w:r>
        <w:rPr>
          <w:rFonts w:ascii="Times New Roman" w:hAnsi="Times New Roman" w:eastAsia="宋体" w:cs="Times New Roman"/>
          <w:kern w:val="2"/>
          <w:sz w:val="21"/>
          <w:szCs w:val="21"/>
        </w:rPr>
        <w:t>D1</w:t>
      </w:r>
      <w:r>
        <w:rPr>
          <w:rFonts w:hint="eastAsia" w:ascii="Times New Roman" w:hAnsi="Times New Roman" w:eastAsia="宋体" w:cs="Times New Roman"/>
          <w:kern w:val="2"/>
          <w:sz w:val="21"/>
          <w:szCs w:val="21"/>
        </w:rPr>
        <w:t>给药前结果作为基线值。</w:t>
      </w:r>
    </w:p>
    <w:p w14:paraId="6CC79A9A">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人口学资料：包括出生日期、性别、民族、年龄等信息。</w:t>
      </w:r>
    </w:p>
    <w:p w14:paraId="042144B2">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既往和现病史：包括既往病史</w:t>
      </w:r>
      <w:r>
        <w:rPr>
          <w:rFonts w:ascii="Times New Roman" w:hAnsi="Times New Roman" w:eastAsia="宋体" w:cs="Times New Roman"/>
          <w:sz w:val="21"/>
          <w:szCs w:val="21"/>
        </w:rPr>
        <w:t>/</w:t>
      </w:r>
      <w:r>
        <w:rPr>
          <w:rFonts w:hint="eastAsia" w:ascii="Times New Roman" w:hAnsi="Times New Roman" w:eastAsia="宋体" w:cs="Times New Roman"/>
          <w:sz w:val="21"/>
          <w:szCs w:val="21"/>
        </w:rPr>
        <w:t>伴随疾病、过敏史、个人史（吸烟史、饮酒史、药物滥用史）、家族史、月经史（女性）、生育史（女性）等。病史应包括尽可能过去</w:t>
      </w:r>
      <w:r>
        <w:rPr>
          <w:rFonts w:ascii="Times New Roman" w:hAnsi="Times New Roman" w:eastAsia="宋体" w:cs="Times New Roman"/>
          <w:sz w:val="21"/>
          <w:szCs w:val="21"/>
        </w:rPr>
        <w:t>2</w:t>
      </w:r>
      <w:r>
        <w:rPr>
          <w:rFonts w:hint="eastAsia" w:ascii="Times New Roman" w:hAnsi="Times New Roman" w:eastAsia="宋体" w:cs="Times New Roman"/>
          <w:sz w:val="21"/>
          <w:szCs w:val="21"/>
        </w:rPr>
        <w:t>年内研究者认为具有临床意义的个人病史信息。银屑病病史应记录详细信息，包括诊断时间、相关疾病特征、病程。排除标准中要求审查的病史时间范围遵循排除标准的规定时间收集。</w:t>
      </w:r>
    </w:p>
    <w:p w14:paraId="1F318630">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治疗史：包括药物治疗史、非药物治疗史及手术史等，尽可能收集银屑病相关的治疗史，其他疾病过去半年内的治疗史。</w:t>
      </w:r>
    </w:p>
    <w:p w14:paraId="059EF4ED">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身高和体重：</w:t>
      </w:r>
      <w:r>
        <w:rPr>
          <w:rFonts w:hint="eastAsia" w:ascii="Times New Roman" w:hAnsi="Times New Roman" w:eastAsia="宋体" w:cs="Times New Roman"/>
          <w:kern w:val="2"/>
          <w:sz w:val="21"/>
          <w:szCs w:val="21"/>
        </w:rPr>
        <w:t>筛选访视进行身高和体重测量，其余访视点进行体重测量。</w:t>
      </w:r>
    </w:p>
    <w:p w14:paraId="66491D8F">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生命体征：在当天用药前，建议静息至少</w:t>
      </w:r>
      <w:r>
        <w:rPr>
          <w:rFonts w:ascii="Times New Roman" w:hAnsi="Times New Roman" w:eastAsia="宋体" w:cs="Times New Roman"/>
          <w:sz w:val="21"/>
          <w:szCs w:val="21"/>
        </w:rPr>
        <w:t>5</w:t>
      </w:r>
      <w:r>
        <w:rPr>
          <w:rFonts w:hint="eastAsia" w:ascii="Times New Roman" w:hAnsi="Times New Roman" w:eastAsia="宋体" w:cs="Times New Roman"/>
          <w:sz w:val="21"/>
          <w:szCs w:val="21"/>
        </w:rPr>
        <w:t>分钟后测量呼吸、脉搏、体温、血压（收缩压和舒张压）。如有异常，根据研究者判断，可重复测量。</w:t>
      </w:r>
    </w:p>
    <w:p w14:paraId="240996A7">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体格检查：筛选期</w:t>
      </w:r>
      <w:r>
        <w:rPr>
          <w:rFonts w:ascii="Times New Roman" w:hAnsi="Times New Roman" w:eastAsia="宋体" w:cs="Times New Roman"/>
          <w:sz w:val="21"/>
          <w:szCs w:val="21"/>
        </w:rPr>
        <w:t>/</w:t>
      </w:r>
      <w:r>
        <w:rPr>
          <w:rFonts w:hint="eastAsia" w:ascii="Times New Roman" w:hAnsi="Times New Roman" w:eastAsia="宋体" w:cs="Times New Roman"/>
          <w:sz w:val="21"/>
          <w:szCs w:val="21"/>
        </w:rPr>
        <w:t>基线、</w:t>
      </w:r>
      <w:r>
        <w:rPr>
          <w:rFonts w:ascii="Times New Roman" w:hAnsi="Times New Roman" w:eastAsia="宋体" w:cs="Times New Roman"/>
          <w:sz w:val="21"/>
          <w:szCs w:val="21"/>
        </w:rPr>
        <w:t>W16</w:t>
      </w:r>
      <w:r>
        <w:rPr>
          <w:rFonts w:hint="eastAsia" w:ascii="Times New Roman" w:hAnsi="Times New Roman" w:eastAsia="宋体" w:cs="Times New Roman"/>
          <w:sz w:val="21"/>
          <w:szCs w:val="21"/>
        </w:rPr>
        <w:t>及</w:t>
      </w:r>
      <w:r>
        <w:rPr>
          <w:rFonts w:ascii="Times New Roman" w:hAnsi="Times New Roman" w:eastAsia="宋体" w:cs="Times New Roman"/>
          <w:sz w:val="21"/>
          <w:szCs w:val="21"/>
        </w:rPr>
        <w:t xml:space="preserve"> W52 </w:t>
      </w:r>
      <w:r>
        <w:rPr>
          <w:rFonts w:hint="eastAsia" w:ascii="Times New Roman" w:hAnsi="Times New Roman" w:eastAsia="宋体" w:cs="Times New Roman"/>
          <w:sz w:val="21"/>
          <w:szCs w:val="21"/>
        </w:rPr>
        <w:t>或提前退出时访视时需进行全面的体格检查，其余访视可根据临床症状和体征的变化，进行症状导向的体格检查，需在当天用药前进行。全面的体格检查包括：一般情况、皮肤</w:t>
      </w:r>
      <w:r>
        <w:rPr>
          <w:rFonts w:ascii="Times New Roman" w:hAnsi="Times New Roman" w:eastAsia="宋体" w:cs="Times New Roman"/>
          <w:sz w:val="21"/>
          <w:szCs w:val="21"/>
        </w:rPr>
        <w:t>/</w:t>
      </w:r>
      <w:r>
        <w:rPr>
          <w:rFonts w:hint="eastAsia" w:ascii="Times New Roman" w:hAnsi="Times New Roman" w:eastAsia="宋体" w:cs="Times New Roman"/>
          <w:sz w:val="21"/>
          <w:szCs w:val="21"/>
        </w:rPr>
        <w:t>黏膜、淋巴结、头颈部、胸部、腹部、脊柱及四肢、神经系统等。</w:t>
      </w:r>
    </w:p>
    <w:p w14:paraId="06C2BEA3">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血常规：白细胞计数（</w:t>
      </w:r>
      <w:r>
        <w:rPr>
          <w:rFonts w:ascii="Times New Roman" w:hAnsi="Times New Roman" w:eastAsia="宋体" w:cs="Times New Roman"/>
          <w:sz w:val="21"/>
          <w:szCs w:val="21"/>
        </w:rPr>
        <w:t>WBC</w:t>
      </w:r>
      <w:r>
        <w:rPr>
          <w:rFonts w:hint="eastAsia" w:ascii="Times New Roman" w:hAnsi="Times New Roman" w:eastAsia="宋体" w:cs="Times New Roman"/>
          <w:sz w:val="21"/>
          <w:szCs w:val="21"/>
        </w:rPr>
        <w:t>）、红细胞计数（</w:t>
      </w:r>
      <w:r>
        <w:rPr>
          <w:rFonts w:ascii="Times New Roman" w:hAnsi="Times New Roman" w:eastAsia="宋体" w:cs="Times New Roman"/>
          <w:sz w:val="21"/>
          <w:szCs w:val="21"/>
        </w:rPr>
        <w:t>RBC</w:t>
      </w:r>
      <w:r>
        <w:rPr>
          <w:rFonts w:hint="eastAsia" w:ascii="Times New Roman" w:hAnsi="Times New Roman" w:eastAsia="宋体" w:cs="Times New Roman"/>
          <w:sz w:val="21"/>
          <w:szCs w:val="21"/>
        </w:rPr>
        <w:t>）、血红蛋白（</w:t>
      </w:r>
      <w:r>
        <w:rPr>
          <w:rFonts w:ascii="Times New Roman" w:hAnsi="Times New Roman" w:eastAsia="宋体" w:cs="Times New Roman"/>
          <w:sz w:val="21"/>
          <w:szCs w:val="21"/>
        </w:rPr>
        <w:t>Hb</w:t>
      </w:r>
      <w:r>
        <w:rPr>
          <w:rFonts w:hint="eastAsia" w:ascii="Times New Roman" w:hAnsi="Times New Roman" w:eastAsia="宋体" w:cs="Times New Roman"/>
          <w:sz w:val="21"/>
          <w:szCs w:val="21"/>
        </w:rPr>
        <w:t>）、血小板计数（</w:t>
      </w:r>
      <w:r>
        <w:rPr>
          <w:rFonts w:ascii="Times New Roman" w:hAnsi="Times New Roman" w:eastAsia="宋体" w:cs="Times New Roman"/>
          <w:sz w:val="21"/>
          <w:szCs w:val="21"/>
        </w:rPr>
        <w:t>PLT</w:t>
      </w:r>
      <w:r>
        <w:rPr>
          <w:rFonts w:hint="eastAsia" w:ascii="Times New Roman" w:hAnsi="Times New Roman" w:eastAsia="宋体" w:cs="Times New Roman"/>
          <w:sz w:val="21"/>
          <w:szCs w:val="21"/>
        </w:rPr>
        <w:t>）、白细胞分类计数和百分比（中性粒细胞、淋巴细胞、单核细胞、嗜酸性粒细胞和嗜碱性粒细胞）、血细胞比容（</w:t>
      </w:r>
      <w:r>
        <w:rPr>
          <w:rFonts w:ascii="Times New Roman" w:hAnsi="Times New Roman" w:eastAsia="宋体" w:cs="Times New Roman"/>
          <w:sz w:val="21"/>
          <w:szCs w:val="21"/>
        </w:rPr>
        <w:t>HCT)</w:t>
      </w:r>
      <w:r>
        <w:rPr>
          <w:rFonts w:hint="eastAsia" w:ascii="Times New Roman" w:hAnsi="Times New Roman" w:eastAsia="宋体" w:cs="Times New Roman"/>
          <w:sz w:val="21"/>
          <w:szCs w:val="21"/>
        </w:rPr>
        <w:t>、平均红细胞容积（</w:t>
      </w:r>
      <w:r>
        <w:rPr>
          <w:rFonts w:ascii="Times New Roman" w:hAnsi="Times New Roman" w:eastAsia="宋体" w:cs="Times New Roman"/>
          <w:sz w:val="21"/>
          <w:szCs w:val="21"/>
        </w:rPr>
        <w:t>MCV</w:t>
      </w:r>
      <w:r>
        <w:rPr>
          <w:rFonts w:hint="eastAsia" w:ascii="Times New Roman" w:hAnsi="Times New Roman" w:eastAsia="宋体" w:cs="Times New Roman"/>
          <w:sz w:val="21"/>
          <w:szCs w:val="21"/>
        </w:rPr>
        <w:t>）、平均红细胞血红蛋白含量（</w:t>
      </w:r>
      <w:r>
        <w:rPr>
          <w:rFonts w:ascii="Times New Roman" w:hAnsi="Times New Roman" w:eastAsia="宋体" w:cs="Times New Roman"/>
          <w:sz w:val="21"/>
          <w:szCs w:val="21"/>
        </w:rPr>
        <w:t>MCH</w:t>
      </w:r>
      <w:r>
        <w:rPr>
          <w:rFonts w:hint="eastAsia" w:ascii="Times New Roman" w:hAnsi="Times New Roman" w:eastAsia="宋体" w:cs="Times New Roman"/>
          <w:sz w:val="21"/>
          <w:szCs w:val="21"/>
        </w:rPr>
        <w:t>）、平均红细胞血红蛋白浓度（</w:t>
      </w:r>
      <w:r>
        <w:rPr>
          <w:rFonts w:ascii="Times New Roman" w:hAnsi="Times New Roman" w:eastAsia="宋体" w:cs="Times New Roman"/>
          <w:sz w:val="21"/>
          <w:szCs w:val="21"/>
        </w:rPr>
        <w:t>MCHC</w:t>
      </w:r>
      <w:r>
        <w:rPr>
          <w:rFonts w:hint="eastAsia" w:ascii="Times New Roman" w:hAnsi="Times New Roman" w:eastAsia="宋体" w:cs="Times New Roman"/>
          <w:sz w:val="21"/>
          <w:szCs w:val="21"/>
        </w:rPr>
        <w:t>）、网织红细胞计数和百分比。</w:t>
      </w:r>
    </w:p>
    <w:p w14:paraId="2ADF0970">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尿常规：酸碱度（</w:t>
      </w:r>
      <w:r>
        <w:rPr>
          <w:rFonts w:ascii="Times New Roman" w:hAnsi="Times New Roman" w:eastAsia="宋体" w:cs="Times New Roman"/>
          <w:sz w:val="21"/>
          <w:szCs w:val="21"/>
        </w:rPr>
        <w:t>PH</w:t>
      </w:r>
      <w:r>
        <w:rPr>
          <w:rFonts w:hint="eastAsia" w:ascii="Times New Roman" w:hAnsi="Times New Roman" w:eastAsia="宋体" w:cs="Times New Roman"/>
          <w:sz w:val="21"/>
          <w:szCs w:val="21"/>
        </w:rPr>
        <w:t>）、尿比重、尿酮体、尿蛋白、尿葡萄糖、尿白细胞、尿红细胞</w:t>
      </w:r>
      <w:r>
        <w:rPr>
          <w:rFonts w:ascii="Times New Roman" w:hAnsi="Times New Roman" w:eastAsia="宋体" w:cs="Times New Roman"/>
          <w:sz w:val="21"/>
          <w:szCs w:val="21"/>
        </w:rPr>
        <w:t>(</w:t>
      </w:r>
      <w:r>
        <w:rPr>
          <w:rFonts w:hint="eastAsia" w:ascii="Times New Roman" w:hAnsi="Times New Roman" w:eastAsia="宋体" w:cs="Times New Roman"/>
          <w:sz w:val="21"/>
          <w:szCs w:val="21"/>
        </w:rPr>
        <w:t>隐血</w:t>
      </w:r>
      <w:r>
        <w:rPr>
          <w:rFonts w:ascii="Times New Roman" w:hAnsi="Times New Roman" w:eastAsia="宋体" w:cs="Times New Roman"/>
          <w:sz w:val="21"/>
          <w:szCs w:val="21"/>
        </w:rPr>
        <w:t>)</w:t>
      </w:r>
      <w:r>
        <w:rPr>
          <w:rFonts w:hint="eastAsia" w:ascii="Times New Roman" w:hAnsi="Times New Roman" w:eastAsia="宋体" w:cs="Times New Roman"/>
          <w:sz w:val="21"/>
          <w:szCs w:val="21"/>
        </w:rPr>
        <w:t>、尿胆红素、尿亚硝酸盐、尿胆原。</w:t>
      </w:r>
    </w:p>
    <w:p w14:paraId="5FCBC493">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血生化（全部）：总蛋白（</w:t>
      </w:r>
      <w:r>
        <w:rPr>
          <w:rFonts w:ascii="Times New Roman" w:hAnsi="Times New Roman" w:eastAsia="宋体" w:cs="Times New Roman"/>
          <w:sz w:val="21"/>
          <w:szCs w:val="21"/>
        </w:rPr>
        <w:t>TP</w:t>
      </w:r>
      <w:r>
        <w:rPr>
          <w:rFonts w:hint="eastAsia" w:ascii="Times New Roman" w:hAnsi="Times New Roman" w:eastAsia="宋体" w:cs="Times New Roman"/>
          <w:sz w:val="21"/>
          <w:szCs w:val="21"/>
        </w:rPr>
        <w:t>）、白蛋白（</w:t>
      </w:r>
      <w:r>
        <w:rPr>
          <w:rFonts w:ascii="Times New Roman" w:hAnsi="Times New Roman" w:eastAsia="宋体" w:cs="Times New Roman"/>
          <w:sz w:val="21"/>
          <w:szCs w:val="21"/>
        </w:rPr>
        <w:t>ALB</w:t>
      </w:r>
      <w:r>
        <w:rPr>
          <w:rFonts w:hint="eastAsia" w:ascii="Times New Roman" w:hAnsi="Times New Roman" w:eastAsia="宋体" w:cs="Times New Roman"/>
          <w:sz w:val="21"/>
          <w:szCs w:val="21"/>
        </w:rPr>
        <w:t>）、球蛋白（</w:t>
      </w:r>
      <w:r>
        <w:rPr>
          <w:rFonts w:ascii="Times New Roman" w:hAnsi="Times New Roman" w:eastAsia="宋体" w:cs="Times New Roman"/>
          <w:sz w:val="21"/>
          <w:szCs w:val="21"/>
        </w:rPr>
        <w:t>GLO</w:t>
      </w:r>
      <w:r>
        <w:rPr>
          <w:rFonts w:hint="eastAsia" w:ascii="Times New Roman" w:hAnsi="Times New Roman" w:eastAsia="宋体" w:cs="Times New Roman"/>
          <w:sz w:val="21"/>
          <w:szCs w:val="21"/>
        </w:rPr>
        <w:t>）、总胆红素（</w:t>
      </w:r>
      <w:r>
        <w:rPr>
          <w:rFonts w:ascii="Times New Roman" w:hAnsi="Times New Roman" w:eastAsia="宋体" w:cs="Times New Roman"/>
          <w:sz w:val="21"/>
          <w:szCs w:val="21"/>
        </w:rPr>
        <w:t>TBIL</w:t>
      </w:r>
      <w:r>
        <w:rPr>
          <w:rFonts w:hint="eastAsia" w:ascii="Times New Roman" w:hAnsi="Times New Roman" w:eastAsia="宋体" w:cs="Times New Roman"/>
          <w:sz w:val="21"/>
          <w:szCs w:val="21"/>
        </w:rPr>
        <w:t>）、直接胆红素（</w:t>
      </w:r>
      <w:r>
        <w:rPr>
          <w:rFonts w:ascii="Times New Roman" w:hAnsi="Times New Roman" w:eastAsia="宋体" w:cs="Times New Roman"/>
          <w:sz w:val="21"/>
          <w:szCs w:val="21"/>
        </w:rPr>
        <w:t>DBIL</w:t>
      </w:r>
      <w:r>
        <w:rPr>
          <w:rFonts w:hint="eastAsia" w:ascii="Times New Roman" w:hAnsi="Times New Roman" w:eastAsia="宋体" w:cs="Times New Roman"/>
          <w:sz w:val="21"/>
          <w:szCs w:val="21"/>
        </w:rPr>
        <w:t>）、丙氨酸基转移酶（</w:t>
      </w:r>
      <w:r>
        <w:rPr>
          <w:rFonts w:ascii="Times New Roman" w:hAnsi="Times New Roman" w:eastAsia="宋体" w:cs="Times New Roman"/>
          <w:sz w:val="21"/>
          <w:szCs w:val="21"/>
        </w:rPr>
        <w:t>ALT</w:t>
      </w:r>
      <w:r>
        <w:rPr>
          <w:rFonts w:hint="eastAsia" w:ascii="Times New Roman" w:hAnsi="Times New Roman" w:eastAsia="宋体" w:cs="Times New Roman"/>
          <w:sz w:val="21"/>
          <w:szCs w:val="21"/>
        </w:rPr>
        <w:t>）、天门冬氨酸基转移酶（</w:t>
      </w:r>
      <w:r>
        <w:rPr>
          <w:rFonts w:ascii="Times New Roman" w:hAnsi="Times New Roman" w:eastAsia="宋体" w:cs="Times New Roman"/>
          <w:sz w:val="21"/>
          <w:szCs w:val="21"/>
        </w:rPr>
        <w:t>AST</w:t>
      </w:r>
      <w:r>
        <w:rPr>
          <w:rFonts w:hint="eastAsia" w:ascii="Times New Roman" w:hAnsi="Times New Roman" w:eastAsia="宋体" w:cs="Times New Roman"/>
          <w:sz w:val="21"/>
          <w:szCs w:val="21"/>
        </w:rPr>
        <w:t>）、碱性磷酸酶（</w:t>
      </w:r>
      <w:r>
        <w:rPr>
          <w:rFonts w:ascii="Times New Roman" w:hAnsi="Times New Roman" w:eastAsia="宋体" w:cs="Times New Roman"/>
          <w:sz w:val="21"/>
          <w:szCs w:val="21"/>
        </w:rPr>
        <w:t>ALP</w:t>
      </w:r>
      <w:r>
        <w:rPr>
          <w:rFonts w:hint="eastAsia" w:ascii="Times New Roman" w:hAnsi="Times New Roman" w:eastAsia="宋体" w:cs="Times New Roman"/>
          <w:sz w:val="21"/>
          <w:szCs w:val="21"/>
        </w:rPr>
        <w:t>）、乳酸脱氢酶（</w:t>
      </w:r>
      <w:r>
        <w:rPr>
          <w:rFonts w:ascii="Times New Roman" w:hAnsi="Times New Roman" w:eastAsia="宋体" w:cs="Times New Roman"/>
          <w:sz w:val="21"/>
          <w:szCs w:val="21"/>
        </w:rPr>
        <w:t>LDH</w:t>
      </w:r>
      <w:r>
        <w:rPr>
          <w:rFonts w:hint="eastAsia" w:ascii="Times New Roman" w:hAnsi="Times New Roman" w:eastAsia="宋体" w:cs="Times New Roman"/>
          <w:sz w:val="21"/>
          <w:szCs w:val="21"/>
        </w:rPr>
        <w:t>）、谷氨酰转肽酶（</w:t>
      </w:r>
      <w:r>
        <w:rPr>
          <w:rFonts w:ascii="Times New Roman" w:hAnsi="Times New Roman" w:eastAsia="宋体" w:cs="Times New Roman"/>
          <w:sz w:val="21"/>
          <w:szCs w:val="21"/>
        </w:rPr>
        <w:t>GGT</w:t>
      </w:r>
      <w:r>
        <w:rPr>
          <w:rFonts w:hint="eastAsia" w:ascii="Times New Roman" w:hAnsi="Times New Roman" w:eastAsia="宋体" w:cs="Times New Roman"/>
          <w:sz w:val="21"/>
          <w:szCs w:val="21"/>
        </w:rPr>
        <w:t>）、尿素（</w:t>
      </w:r>
      <w:r>
        <w:rPr>
          <w:rFonts w:ascii="Times New Roman" w:hAnsi="Times New Roman" w:eastAsia="宋体" w:cs="Times New Roman"/>
          <w:sz w:val="21"/>
          <w:szCs w:val="21"/>
        </w:rPr>
        <w:t>Urea</w:t>
      </w:r>
      <w:r>
        <w:rPr>
          <w:rFonts w:hint="eastAsia" w:ascii="Times New Roman" w:hAnsi="Times New Roman" w:eastAsia="宋体" w:cs="Times New Roman"/>
          <w:sz w:val="21"/>
          <w:szCs w:val="21"/>
        </w:rPr>
        <w:t>）</w:t>
      </w:r>
      <w:r>
        <w:rPr>
          <w:rFonts w:ascii="Times New Roman" w:hAnsi="Times New Roman" w:eastAsia="宋体" w:cs="Times New Roman"/>
          <w:sz w:val="21"/>
          <w:szCs w:val="21"/>
        </w:rPr>
        <w:t>/</w:t>
      </w:r>
      <w:r>
        <w:rPr>
          <w:rFonts w:hint="eastAsia" w:ascii="Times New Roman" w:hAnsi="Times New Roman" w:eastAsia="宋体" w:cs="Times New Roman"/>
          <w:sz w:val="21"/>
          <w:szCs w:val="21"/>
        </w:rPr>
        <w:t>尿素氮（</w:t>
      </w:r>
      <w:r>
        <w:rPr>
          <w:rFonts w:ascii="Times New Roman" w:hAnsi="Times New Roman" w:eastAsia="宋体" w:cs="Times New Roman"/>
          <w:sz w:val="21"/>
          <w:szCs w:val="21"/>
        </w:rPr>
        <w:t>BUN</w:t>
      </w:r>
      <w:r>
        <w:rPr>
          <w:rFonts w:hint="eastAsia" w:ascii="Times New Roman" w:hAnsi="Times New Roman" w:eastAsia="宋体" w:cs="Times New Roman"/>
          <w:sz w:val="21"/>
          <w:szCs w:val="21"/>
        </w:rPr>
        <w:t>）、肌酐（</w:t>
      </w:r>
      <w:r>
        <w:rPr>
          <w:rFonts w:ascii="Times New Roman" w:hAnsi="Times New Roman" w:eastAsia="宋体" w:cs="Times New Roman"/>
          <w:sz w:val="21"/>
          <w:szCs w:val="21"/>
        </w:rPr>
        <w:t>Cr</w:t>
      </w:r>
      <w:r>
        <w:rPr>
          <w:rFonts w:hint="eastAsia" w:ascii="Times New Roman" w:hAnsi="Times New Roman" w:eastAsia="宋体" w:cs="Times New Roman"/>
          <w:sz w:val="21"/>
          <w:szCs w:val="21"/>
        </w:rPr>
        <w:t>）、尿酸（</w:t>
      </w:r>
      <w:r>
        <w:rPr>
          <w:rFonts w:ascii="Times New Roman" w:hAnsi="Times New Roman" w:eastAsia="宋体" w:cs="Times New Roman"/>
          <w:sz w:val="21"/>
          <w:szCs w:val="21"/>
        </w:rPr>
        <w:t>UA</w:t>
      </w:r>
      <w:r>
        <w:rPr>
          <w:rFonts w:hint="eastAsia" w:ascii="Times New Roman" w:hAnsi="Times New Roman" w:eastAsia="宋体" w:cs="Times New Roman"/>
          <w:sz w:val="21"/>
          <w:szCs w:val="21"/>
        </w:rPr>
        <w:t>）、葡萄糖（</w:t>
      </w:r>
      <w:r>
        <w:rPr>
          <w:rFonts w:ascii="Times New Roman" w:hAnsi="Times New Roman" w:eastAsia="宋体" w:cs="Times New Roman"/>
          <w:sz w:val="21"/>
          <w:szCs w:val="21"/>
        </w:rPr>
        <w:t>GLU</w:t>
      </w:r>
      <w:r>
        <w:rPr>
          <w:rFonts w:hint="eastAsia" w:ascii="Times New Roman" w:hAnsi="Times New Roman" w:eastAsia="宋体" w:cs="Times New Roman"/>
          <w:sz w:val="21"/>
          <w:szCs w:val="21"/>
        </w:rPr>
        <w:t>）、甘油三酯（</w:t>
      </w:r>
      <w:r>
        <w:rPr>
          <w:rFonts w:ascii="Times New Roman" w:hAnsi="Times New Roman" w:eastAsia="宋体" w:cs="Times New Roman"/>
          <w:sz w:val="21"/>
          <w:szCs w:val="21"/>
        </w:rPr>
        <w:t>TG</w:t>
      </w:r>
      <w:r>
        <w:rPr>
          <w:rFonts w:hint="eastAsia" w:ascii="Times New Roman" w:hAnsi="Times New Roman" w:eastAsia="宋体" w:cs="Times New Roman"/>
          <w:sz w:val="21"/>
          <w:szCs w:val="21"/>
        </w:rPr>
        <w:t>）、总胆固醇（</w:t>
      </w:r>
      <w:r>
        <w:rPr>
          <w:rFonts w:ascii="Times New Roman" w:hAnsi="Times New Roman" w:eastAsia="宋体" w:cs="Times New Roman"/>
          <w:sz w:val="21"/>
          <w:szCs w:val="21"/>
        </w:rPr>
        <w:t>TC</w:t>
      </w:r>
      <w:r>
        <w:rPr>
          <w:rFonts w:hint="eastAsia" w:ascii="Times New Roman" w:hAnsi="Times New Roman" w:eastAsia="宋体" w:cs="Times New Roman"/>
          <w:sz w:val="21"/>
          <w:szCs w:val="21"/>
        </w:rPr>
        <w:t>）、低密度脂蛋白胆固醇（</w:t>
      </w:r>
      <w:r>
        <w:rPr>
          <w:rFonts w:ascii="Times New Roman" w:hAnsi="Times New Roman" w:eastAsia="宋体" w:cs="Times New Roman"/>
          <w:sz w:val="21"/>
          <w:szCs w:val="21"/>
        </w:rPr>
        <w:t>LDL-C</w:t>
      </w:r>
      <w:r>
        <w:rPr>
          <w:rFonts w:hint="eastAsia" w:ascii="Times New Roman" w:hAnsi="Times New Roman" w:eastAsia="宋体" w:cs="Times New Roman"/>
          <w:sz w:val="21"/>
          <w:szCs w:val="21"/>
        </w:rPr>
        <w:t>）、高密度脂蛋白胆固醇（</w:t>
      </w:r>
      <w:r>
        <w:rPr>
          <w:rFonts w:ascii="Times New Roman" w:hAnsi="Times New Roman" w:eastAsia="宋体" w:cs="Times New Roman"/>
          <w:sz w:val="21"/>
          <w:szCs w:val="21"/>
        </w:rPr>
        <w:t>HDL-C</w:t>
      </w:r>
      <w:r>
        <w:rPr>
          <w:rFonts w:hint="eastAsia" w:ascii="Times New Roman" w:hAnsi="Times New Roman" w:eastAsia="宋体" w:cs="Times New Roman"/>
          <w:sz w:val="21"/>
          <w:szCs w:val="21"/>
        </w:rPr>
        <w:t>）、肌酸磷酸激酶（</w:t>
      </w:r>
      <w:r>
        <w:rPr>
          <w:rFonts w:ascii="Times New Roman" w:hAnsi="Times New Roman" w:eastAsia="宋体" w:cs="Times New Roman"/>
          <w:sz w:val="21"/>
          <w:szCs w:val="21"/>
        </w:rPr>
        <w:t>CPK</w:t>
      </w:r>
      <w:r>
        <w:rPr>
          <w:rFonts w:hint="eastAsia" w:ascii="Times New Roman" w:hAnsi="Times New Roman" w:eastAsia="宋体" w:cs="Times New Roman"/>
          <w:sz w:val="21"/>
          <w:szCs w:val="21"/>
        </w:rPr>
        <w:t>）、钾（</w:t>
      </w:r>
      <w:r>
        <w:rPr>
          <w:rFonts w:ascii="Times New Roman" w:hAnsi="Times New Roman" w:eastAsia="宋体" w:cs="Times New Roman"/>
          <w:sz w:val="21"/>
          <w:szCs w:val="21"/>
        </w:rPr>
        <w:t>K</w:t>
      </w:r>
      <w:r>
        <w:rPr>
          <w:rFonts w:hint="eastAsia" w:ascii="Times New Roman" w:hAnsi="Times New Roman" w:eastAsia="宋体" w:cs="Times New Roman"/>
          <w:sz w:val="21"/>
          <w:szCs w:val="21"/>
        </w:rPr>
        <w:t>）、钠（</w:t>
      </w:r>
      <w:r>
        <w:rPr>
          <w:rFonts w:ascii="Times New Roman" w:hAnsi="Times New Roman" w:eastAsia="宋体" w:cs="Times New Roman"/>
          <w:sz w:val="21"/>
          <w:szCs w:val="21"/>
        </w:rPr>
        <w:t>Na</w:t>
      </w:r>
      <w:r>
        <w:rPr>
          <w:rFonts w:hint="eastAsia" w:ascii="Times New Roman" w:hAnsi="Times New Roman" w:eastAsia="宋体" w:cs="Times New Roman"/>
          <w:sz w:val="21"/>
          <w:szCs w:val="21"/>
        </w:rPr>
        <w:t>）、氯（</w:t>
      </w:r>
      <w:r>
        <w:rPr>
          <w:rFonts w:ascii="Times New Roman" w:hAnsi="Times New Roman" w:eastAsia="宋体" w:cs="Times New Roman"/>
          <w:sz w:val="21"/>
          <w:szCs w:val="21"/>
        </w:rPr>
        <w:t>Cl</w:t>
      </w:r>
      <w:r>
        <w:rPr>
          <w:rFonts w:hint="eastAsia" w:ascii="Times New Roman" w:hAnsi="Times New Roman" w:eastAsia="宋体" w:cs="Times New Roman"/>
          <w:sz w:val="21"/>
          <w:szCs w:val="21"/>
        </w:rPr>
        <w:t>）、镁（</w:t>
      </w:r>
      <w:r>
        <w:rPr>
          <w:rFonts w:ascii="Times New Roman" w:hAnsi="Times New Roman" w:eastAsia="宋体" w:cs="Times New Roman"/>
          <w:sz w:val="21"/>
          <w:szCs w:val="21"/>
        </w:rPr>
        <w:t>Mg</w:t>
      </w:r>
      <w:r>
        <w:rPr>
          <w:rFonts w:hint="eastAsia" w:ascii="Times New Roman" w:hAnsi="Times New Roman" w:eastAsia="宋体" w:cs="Times New Roman"/>
          <w:sz w:val="21"/>
          <w:szCs w:val="21"/>
        </w:rPr>
        <w:t>）、钙（</w:t>
      </w:r>
      <w:r>
        <w:rPr>
          <w:rFonts w:ascii="Times New Roman" w:hAnsi="Times New Roman" w:eastAsia="宋体" w:cs="Times New Roman"/>
          <w:sz w:val="21"/>
          <w:szCs w:val="21"/>
        </w:rPr>
        <w:t>Ca</w:t>
      </w:r>
      <w:r>
        <w:rPr>
          <w:rFonts w:hint="eastAsia" w:ascii="Times New Roman" w:hAnsi="Times New Roman" w:eastAsia="宋体" w:cs="Times New Roman"/>
          <w:sz w:val="21"/>
          <w:szCs w:val="21"/>
        </w:rPr>
        <w:t>）、磷（</w:t>
      </w:r>
      <w:r>
        <w:rPr>
          <w:rFonts w:ascii="Times New Roman" w:hAnsi="Times New Roman" w:eastAsia="宋体" w:cs="Times New Roman"/>
          <w:sz w:val="21"/>
          <w:szCs w:val="21"/>
        </w:rPr>
        <w:t>P</w:t>
      </w:r>
      <w:r>
        <w:rPr>
          <w:rFonts w:hint="eastAsia" w:ascii="Times New Roman" w:hAnsi="Times New Roman" w:eastAsia="宋体" w:cs="Times New Roman"/>
          <w:sz w:val="21"/>
          <w:szCs w:val="21"/>
        </w:rPr>
        <w:t>）。本检查应空腹采样。</w:t>
      </w:r>
    </w:p>
    <w:p w14:paraId="7439E8E7">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凝血功能：血浆凝血酶原时间（</w:t>
      </w:r>
      <w:r>
        <w:rPr>
          <w:rFonts w:ascii="Times New Roman" w:hAnsi="Times New Roman" w:eastAsia="宋体" w:cs="Times New Roman"/>
          <w:sz w:val="21"/>
          <w:szCs w:val="21"/>
        </w:rPr>
        <w:t>PT</w:t>
      </w:r>
      <w:r>
        <w:rPr>
          <w:rFonts w:hint="eastAsia" w:ascii="Times New Roman" w:hAnsi="Times New Roman" w:eastAsia="宋体" w:cs="Times New Roman"/>
          <w:sz w:val="21"/>
          <w:szCs w:val="21"/>
        </w:rPr>
        <w:t>）、凝血酶时间（</w:t>
      </w:r>
      <w:r>
        <w:rPr>
          <w:rFonts w:ascii="Times New Roman" w:hAnsi="Times New Roman" w:eastAsia="宋体" w:cs="Times New Roman"/>
          <w:sz w:val="21"/>
          <w:szCs w:val="21"/>
        </w:rPr>
        <w:t>TT</w:t>
      </w:r>
      <w:r>
        <w:rPr>
          <w:rFonts w:hint="eastAsia" w:ascii="Times New Roman" w:hAnsi="Times New Roman" w:eastAsia="宋体" w:cs="Times New Roman"/>
          <w:sz w:val="21"/>
          <w:szCs w:val="21"/>
        </w:rPr>
        <w:t>）、活化部分凝血活酶时间（</w:t>
      </w:r>
      <w:r>
        <w:rPr>
          <w:rFonts w:ascii="Times New Roman" w:hAnsi="Times New Roman" w:eastAsia="宋体" w:cs="Times New Roman"/>
          <w:sz w:val="21"/>
          <w:szCs w:val="21"/>
        </w:rPr>
        <w:t>APTT</w:t>
      </w:r>
      <w:r>
        <w:rPr>
          <w:rFonts w:hint="eastAsia" w:ascii="Times New Roman" w:hAnsi="Times New Roman" w:eastAsia="宋体" w:cs="Times New Roman"/>
          <w:sz w:val="21"/>
          <w:szCs w:val="21"/>
        </w:rPr>
        <w:t>）、血浆纤维蛋白原（</w:t>
      </w:r>
      <w:r>
        <w:rPr>
          <w:rFonts w:ascii="Times New Roman" w:hAnsi="Times New Roman" w:eastAsia="宋体" w:cs="Times New Roman"/>
          <w:sz w:val="21"/>
          <w:szCs w:val="21"/>
        </w:rPr>
        <w:t>FIB</w:t>
      </w:r>
      <w:r>
        <w:rPr>
          <w:rFonts w:hint="eastAsia" w:ascii="Times New Roman" w:hAnsi="Times New Roman" w:eastAsia="宋体" w:cs="Times New Roman"/>
          <w:sz w:val="21"/>
          <w:szCs w:val="21"/>
        </w:rPr>
        <w:t>）、国际标准化比值（</w:t>
      </w:r>
      <w:r>
        <w:rPr>
          <w:rFonts w:ascii="Times New Roman" w:hAnsi="Times New Roman" w:eastAsia="宋体" w:cs="Times New Roman"/>
          <w:sz w:val="21"/>
          <w:szCs w:val="21"/>
        </w:rPr>
        <w:t>INR</w:t>
      </w:r>
      <w:r>
        <w:rPr>
          <w:rFonts w:hint="eastAsia" w:ascii="Times New Roman" w:hAnsi="Times New Roman" w:eastAsia="宋体" w:cs="Times New Roman"/>
          <w:sz w:val="21"/>
          <w:szCs w:val="21"/>
        </w:rPr>
        <w:t>），</w:t>
      </w:r>
      <w:r>
        <w:rPr>
          <w:rFonts w:ascii="Times New Roman" w:hAnsi="Times New Roman" w:eastAsia="宋体" w:cs="Times New Roman"/>
          <w:sz w:val="21"/>
          <w:szCs w:val="21"/>
        </w:rPr>
        <w:t>D-</w:t>
      </w:r>
      <w:r>
        <w:rPr>
          <w:rFonts w:hint="eastAsia" w:ascii="Times New Roman" w:hAnsi="Times New Roman" w:eastAsia="宋体" w:cs="Times New Roman"/>
          <w:sz w:val="21"/>
          <w:szCs w:val="21"/>
        </w:rPr>
        <w:t>二聚体（</w:t>
      </w:r>
      <w:r>
        <w:rPr>
          <w:rFonts w:ascii="Times New Roman" w:hAnsi="Times New Roman" w:eastAsia="宋体" w:cs="Times New Roman"/>
          <w:sz w:val="21"/>
          <w:szCs w:val="21"/>
        </w:rPr>
        <w:t>D-Dimer</w:t>
      </w:r>
      <w:r>
        <w:rPr>
          <w:rFonts w:hint="eastAsia" w:ascii="Times New Roman" w:hAnsi="Times New Roman" w:eastAsia="宋体" w:cs="Times New Roman"/>
          <w:sz w:val="21"/>
          <w:szCs w:val="21"/>
        </w:rPr>
        <w:t>）。</w:t>
      </w:r>
    </w:p>
    <w:p w14:paraId="3E95B53F">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妊娠试验或卵泡刺激素（</w:t>
      </w:r>
      <w:r>
        <w:rPr>
          <w:rFonts w:ascii="Times New Roman" w:hAnsi="Times New Roman" w:eastAsia="宋体" w:cs="Times New Roman"/>
          <w:sz w:val="21"/>
          <w:szCs w:val="21"/>
        </w:rPr>
        <w:t>FSH</w:t>
      </w:r>
      <w:r>
        <w:rPr>
          <w:rFonts w:hint="eastAsia" w:ascii="Times New Roman" w:hAnsi="Times New Roman" w:eastAsia="宋体" w:cs="Times New Roman"/>
          <w:sz w:val="21"/>
          <w:szCs w:val="21"/>
        </w:rPr>
        <w:t>）：对有生育能力的女性（育龄女性）在筛选、基线和计划的时间点进行血</w:t>
      </w:r>
      <w:r>
        <w:rPr>
          <w:rFonts w:ascii="Times New Roman" w:hAnsi="Times New Roman" w:eastAsia="宋体" w:cs="Times New Roman"/>
          <w:sz w:val="21"/>
          <w:szCs w:val="21"/>
        </w:rPr>
        <w:t>/</w:t>
      </w:r>
      <w:r>
        <w:rPr>
          <w:rFonts w:hint="eastAsia" w:ascii="Times New Roman" w:hAnsi="Times New Roman" w:eastAsia="宋体" w:cs="Times New Roman"/>
          <w:sz w:val="21"/>
          <w:szCs w:val="21"/>
        </w:rPr>
        <w:t>尿β</w:t>
      </w:r>
      <w:r>
        <w:rPr>
          <w:rFonts w:ascii="Times New Roman" w:hAnsi="Times New Roman" w:eastAsia="宋体" w:cs="Times New Roman"/>
          <w:sz w:val="21"/>
          <w:szCs w:val="21"/>
        </w:rPr>
        <w:t>-HCG</w:t>
      </w:r>
      <w:r>
        <w:rPr>
          <w:rFonts w:hint="eastAsia" w:ascii="Times New Roman" w:hAnsi="Times New Roman" w:eastAsia="宋体" w:cs="Times New Roman"/>
          <w:sz w:val="21"/>
          <w:szCs w:val="21"/>
        </w:rPr>
        <w:t>检测，其中筛选、基线、</w:t>
      </w:r>
      <w:r>
        <w:rPr>
          <w:rFonts w:ascii="Times New Roman" w:hAnsi="Times New Roman" w:eastAsia="宋体" w:cs="Times New Roman"/>
          <w:sz w:val="21"/>
          <w:szCs w:val="21"/>
        </w:rPr>
        <w:t>W16</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W52</w:t>
      </w:r>
      <w:r>
        <w:rPr>
          <w:rFonts w:hint="eastAsia" w:ascii="Times New Roman" w:hAnsi="Times New Roman" w:eastAsia="宋体" w:cs="Times New Roman"/>
          <w:sz w:val="21"/>
          <w:szCs w:val="21"/>
        </w:rPr>
        <w:t>或提前退出访视必须为血妊娠试验，需要在访视当天给药前完成；对已绝经女性（一年及以上无月经且无其他医学原因）或永久性绝育（如双侧输卵管结扎、子宫切除或双侧输卵管切除等）的女性参与者视为不具有生育能力，无需进行妊娠试验，其中，对已绝经女性需在筛选时进行血清</w:t>
      </w:r>
      <w:r>
        <w:rPr>
          <w:rFonts w:ascii="Times New Roman" w:hAnsi="Times New Roman" w:eastAsia="宋体" w:cs="Times New Roman"/>
          <w:sz w:val="21"/>
          <w:szCs w:val="21"/>
        </w:rPr>
        <w:t>FSH</w:t>
      </w:r>
      <w:r>
        <w:rPr>
          <w:rFonts w:hint="eastAsia" w:ascii="Times New Roman" w:hAnsi="Times New Roman" w:eastAsia="宋体" w:cs="Times New Roman"/>
          <w:sz w:val="21"/>
          <w:szCs w:val="21"/>
        </w:rPr>
        <w:t>检测，其结果应大于</w:t>
      </w:r>
      <w:r>
        <w:rPr>
          <w:rFonts w:ascii="Times New Roman" w:hAnsi="Times New Roman" w:eastAsia="宋体" w:cs="Times New Roman"/>
          <w:sz w:val="21"/>
          <w:szCs w:val="21"/>
        </w:rPr>
        <w:t>40 IU/L</w:t>
      </w:r>
      <w:r>
        <w:rPr>
          <w:rFonts w:hint="eastAsia" w:ascii="Times New Roman" w:hAnsi="Times New Roman" w:eastAsia="宋体" w:cs="Times New Roman"/>
          <w:sz w:val="21"/>
          <w:szCs w:val="21"/>
        </w:rPr>
        <w:t>。若研究过程中出现停经也需进行额外的血清β</w:t>
      </w:r>
      <w:r>
        <w:rPr>
          <w:rFonts w:ascii="Times New Roman" w:hAnsi="Times New Roman" w:eastAsia="宋体" w:cs="Times New Roman"/>
          <w:sz w:val="21"/>
          <w:szCs w:val="21"/>
        </w:rPr>
        <w:t>-HCG</w:t>
      </w:r>
      <w:r>
        <w:rPr>
          <w:rFonts w:hint="eastAsia" w:ascii="Times New Roman" w:hAnsi="Times New Roman" w:eastAsia="宋体" w:cs="Times New Roman"/>
          <w:sz w:val="21"/>
          <w:szCs w:val="21"/>
        </w:rPr>
        <w:t>检测。注意：对所有参与者，在每个访视做好避孕宣教：在试验期间及给药后</w:t>
      </w:r>
      <w:r>
        <w:rPr>
          <w:rFonts w:ascii="Times New Roman" w:hAnsi="Times New Roman" w:eastAsia="宋体" w:cs="Times New Roman"/>
          <w:sz w:val="21"/>
          <w:szCs w:val="21"/>
        </w:rPr>
        <w:t>3</w:t>
      </w:r>
      <w:r>
        <w:rPr>
          <w:rFonts w:hint="eastAsia" w:ascii="Times New Roman" w:hAnsi="Times New Roman" w:eastAsia="宋体" w:cs="Times New Roman"/>
          <w:sz w:val="21"/>
          <w:szCs w:val="21"/>
        </w:rPr>
        <w:t>个月内严格遵循避孕要求，且参与者或其伴侣在发现意外怀孕时及时联系研究者。</w:t>
      </w:r>
    </w:p>
    <w:p w14:paraId="632ED917">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病毒学检查：</w:t>
      </w:r>
      <w:r>
        <w:rPr>
          <w:rFonts w:hint="eastAsia" w:ascii="Times New Roman" w:hAnsi="Times New Roman" w:eastAsia="宋体" w:cs="Times New Roman"/>
          <w:kern w:val="2"/>
          <w:sz w:val="21"/>
          <w:szCs w:val="21"/>
        </w:rPr>
        <w:t>乙型肝炎表面抗原（</w:t>
      </w:r>
      <w:r>
        <w:rPr>
          <w:rFonts w:ascii="Times New Roman" w:hAnsi="Times New Roman" w:eastAsia="宋体" w:cs="Times New Roman"/>
          <w:kern w:val="2"/>
          <w:sz w:val="21"/>
          <w:szCs w:val="21"/>
        </w:rPr>
        <w:t>HBsAg</w:t>
      </w:r>
      <w:r>
        <w:rPr>
          <w:rFonts w:hint="eastAsia" w:ascii="Times New Roman" w:hAnsi="Times New Roman" w:eastAsia="宋体" w:cs="Times New Roman"/>
          <w:kern w:val="2"/>
          <w:sz w:val="21"/>
          <w:szCs w:val="21"/>
        </w:rPr>
        <w:t>）、乙型肝炎核心抗体（</w:t>
      </w:r>
      <w:r>
        <w:rPr>
          <w:rFonts w:ascii="Times New Roman" w:hAnsi="Times New Roman" w:eastAsia="宋体" w:cs="Times New Roman"/>
          <w:kern w:val="2"/>
          <w:sz w:val="21"/>
          <w:szCs w:val="21"/>
        </w:rPr>
        <w:t>HBcAb</w:t>
      </w:r>
      <w:r>
        <w:rPr>
          <w:rFonts w:hint="eastAsia" w:ascii="Times New Roman" w:hAnsi="Times New Roman" w:eastAsia="宋体" w:cs="Times New Roman"/>
          <w:kern w:val="2"/>
          <w:sz w:val="21"/>
          <w:szCs w:val="21"/>
        </w:rPr>
        <w:t>）、丙型肝炎抗体（</w:t>
      </w:r>
      <w:r>
        <w:rPr>
          <w:rFonts w:ascii="Times New Roman" w:hAnsi="Times New Roman" w:eastAsia="宋体" w:cs="Times New Roman"/>
          <w:kern w:val="2"/>
          <w:sz w:val="21"/>
          <w:szCs w:val="21"/>
        </w:rPr>
        <w:t>HCVAb</w:t>
      </w:r>
      <w:r>
        <w:rPr>
          <w:rFonts w:hint="eastAsia" w:ascii="Times New Roman" w:hAnsi="Times New Roman" w:eastAsia="宋体" w:cs="Times New Roman"/>
          <w:kern w:val="2"/>
          <w:sz w:val="21"/>
          <w:szCs w:val="21"/>
        </w:rPr>
        <w:t>）、人体免疫缺陷病毒抗体（</w:t>
      </w:r>
      <w:r>
        <w:rPr>
          <w:rFonts w:ascii="Times New Roman" w:hAnsi="Times New Roman" w:eastAsia="宋体" w:cs="Times New Roman"/>
          <w:kern w:val="2"/>
          <w:sz w:val="21"/>
          <w:szCs w:val="21"/>
        </w:rPr>
        <w:t>HIV Ab</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梅毒特异性抗体</w:t>
      </w:r>
      <w:r>
        <w:rPr>
          <w:rFonts w:hint="eastAsia" w:ascii="Times New Roman" w:hAnsi="Times New Roman" w:eastAsia="宋体" w:cs="Times New Roman"/>
          <w:kern w:val="2"/>
          <w:sz w:val="21"/>
          <w:szCs w:val="21"/>
        </w:rPr>
        <w:t>检查。如乙肝表面抗原阴性但乙肝核心抗体阳性，则进行乙肝病毒</w:t>
      </w:r>
      <w:r>
        <w:rPr>
          <w:rFonts w:ascii="Times New Roman" w:hAnsi="Times New Roman" w:eastAsia="宋体" w:cs="Times New Roman"/>
          <w:kern w:val="2"/>
          <w:sz w:val="21"/>
          <w:szCs w:val="21"/>
        </w:rPr>
        <w:t>DNA</w:t>
      </w:r>
      <w:r>
        <w:rPr>
          <w:rFonts w:hint="eastAsia" w:ascii="Times New Roman" w:hAnsi="Times New Roman" w:eastAsia="宋体" w:cs="Times New Roman"/>
          <w:kern w:val="2"/>
          <w:sz w:val="21"/>
          <w:szCs w:val="21"/>
        </w:rPr>
        <w:t>定量检测。若丙型肝炎（</w:t>
      </w:r>
      <w:r>
        <w:rPr>
          <w:rFonts w:ascii="Times New Roman" w:hAnsi="Times New Roman" w:eastAsia="宋体" w:cs="Times New Roman"/>
          <w:kern w:val="2"/>
          <w:sz w:val="21"/>
          <w:szCs w:val="21"/>
        </w:rPr>
        <w:t>HCV</w:t>
      </w:r>
      <w:r>
        <w:rPr>
          <w:rFonts w:hint="eastAsia" w:ascii="Times New Roman" w:hAnsi="Times New Roman" w:eastAsia="宋体" w:cs="Times New Roman"/>
          <w:kern w:val="2"/>
          <w:sz w:val="21"/>
          <w:szCs w:val="21"/>
        </w:rPr>
        <w:t>）抗体阳性，则进行</w:t>
      </w:r>
      <w:r>
        <w:rPr>
          <w:rFonts w:ascii="Times New Roman" w:hAnsi="Times New Roman" w:eastAsia="宋体" w:cs="Times New Roman"/>
          <w:kern w:val="2"/>
          <w:sz w:val="21"/>
          <w:szCs w:val="21"/>
        </w:rPr>
        <w:t>HCV-RNA</w:t>
      </w:r>
      <w:r>
        <w:rPr>
          <w:rFonts w:hint="eastAsia" w:ascii="Times New Roman" w:hAnsi="Times New Roman" w:eastAsia="宋体" w:cs="Times New Roman"/>
          <w:kern w:val="2"/>
          <w:sz w:val="21"/>
          <w:szCs w:val="21"/>
        </w:rPr>
        <w:t>定量检测。若人类免疫缺陷病毒抗体（</w:t>
      </w:r>
      <w:r>
        <w:rPr>
          <w:rFonts w:ascii="Times New Roman" w:hAnsi="Times New Roman" w:eastAsia="宋体" w:cs="Times New Roman"/>
          <w:kern w:val="2"/>
          <w:sz w:val="21"/>
          <w:szCs w:val="21"/>
        </w:rPr>
        <w:t>HIV Ab</w:t>
      </w:r>
      <w:r>
        <w:rPr>
          <w:rFonts w:hint="eastAsia" w:ascii="Times New Roman" w:hAnsi="Times New Roman" w:eastAsia="宋体" w:cs="Times New Roman"/>
          <w:kern w:val="2"/>
          <w:sz w:val="21"/>
          <w:szCs w:val="21"/>
        </w:rPr>
        <w:t>）阳性，则进行梅毒非特异性抗体检查</w:t>
      </w:r>
      <w:r>
        <w:rPr>
          <w:rFonts w:hint="eastAsia" w:ascii="Times New Roman" w:hAnsi="Times New Roman" w:eastAsia="宋体" w:cs="Times New Roman"/>
          <w:sz w:val="21"/>
          <w:szCs w:val="21"/>
        </w:rPr>
        <w:t>。</w:t>
      </w:r>
    </w:p>
    <w:p w14:paraId="451F86ED">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结核检测：筛选期进行γ干扰素释放试验（即</w:t>
      </w:r>
      <w:r>
        <w:rPr>
          <w:rFonts w:ascii="Times New Roman" w:hAnsi="Times New Roman" w:eastAsia="宋体" w:cs="Times New Roman"/>
          <w:sz w:val="21"/>
          <w:szCs w:val="21"/>
        </w:rPr>
        <w:t>QFT</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T-SPOT</w:t>
      </w:r>
      <w:r>
        <w:rPr>
          <w:rFonts w:hint="eastAsia" w:ascii="Times New Roman" w:hAnsi="Times New Roman" w:eastAsia="宋体" w:cs="Times New Roman"/>
          <w:sz w:val="21"/>
          <w:szCs w:val="21"/>
        </w:rPr>
        <w:t>试验）。</w:t>
      </w:r>
    </w:p>
    <w:p w14:paraId="047426C8">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胸部</w:t>
      </w:r>
      <w:r>
        <w:rPr>
          <w:rFonts w:ascii="Times New Roman" w:hAnsi="Times New Roman" w:eastAsia="宋体" w:cs="Times New Roman"/>
          <w:sz w:val="21"/>
          <w:szCs w:val="21"/>
        </w:rPr>
        <w:t>CT</w:t>
      </w:r>
      <w:r>
        <w:rPr>
          <w:rFonts w:hint="eastAsia" w:ascii="Times New Roman" w:hAnsi="Times New Roman" w:eastAsia="宋体" w:cs="Times New Roman"/>
          <w:sz w:val="21"/>
          <w:szCs w:val="21"/>
        </w:rPr>
        <w:t>平扫：如参与者能出示知情同意书签署日之前</w:t>
      </w:r>
      <w:r>
        <w:rPr>
          <w:rFonts w:ascii="Times New Roman" w:hAnsi="Times New Roman" w:eastAsia="宋体" w:cs="Times New Roman"/>
          <w:sz w:val="21"/>
          <w:szCs w:val="21"/>
        </w:rPr>
        <w:t>1</w:t>
      </w:r>
      <w:r>
        <w:rPr>
          <w:rFonts w:hint="eastAsia" w:ascii="Times New Roman" w:hAnsi="Times New Roman" w:eastAsia="宋体" w:cs="Times New Roman"/>
          <w:sz w:val="21"/>
          <w:szCs w:val="21"/>
        </w:rPr>
        <w:t>个月内的胸部</w:t>
      </w:r>
      <w:r>
        <w:rPr>
          <w:rFonts w:ascii="Times New Roman" w:hAnsi="Times New Roman" w:eastAsia="宋体" w:cs="Times New Roman"/>
          <w:sz w:val="21"/>
          <w:szCs w:val="21"/>
        </w:rPr>
        <w:t>CT</w:t>
      </w:r>
      <w:r>
        <w:rPr>
          <w:rFonts w:hint="eastAsia" w:ascii="Times New Roman" w:hAnsi="Times New Roman" w:eastAsia="宋体" w:cs="Times New Roman"/>
          <w:sz w:val="21"/>
          <w:szCs w:val="21"/>
        </w:rPr>
        <w:t>检查结果并满足评估要求，则视其检测结果有效，研究中心可酌情决定是否再对其进行复测。</w:t>
      </w:r>
    </w:p>
    <w:p w14:paraId="44CAC5BD">
      <w:pPr>
        <w:pStyle w:val="97"/>
        <w:numPr>
          <w:ilvl w:val="0"/>
          <w:numId w:val="29"/>
        </w:numPr>
        <w:spacing w:line="360" w:lineRule="auto"/>
        <w:ind w:left="426"/>
        <w:rPr>
          <w:rFonts w:ascii="Times New Roman" w:hAnsi="Times New Roman" w:eastAsia="宋体" w:cs="Times New Roman"/>
          <w:sz w:val="21"/>
          <w:szCs w:val="21"/>
        </w:rPr>
      </w:pPr>
      <w:r>
        <w:rPr>
          <w:rFonts w:ascii="Times New Roman" w:hAnsi="Times New Roman" w:eastAsia="宋体" w:cs="Times New Roman"/>
          <w:sz w:val="21"/>
          <w:szCs w:val="21"/>
        </w:rPr>
        <w:t>12</w:t>
      </w:r>
      <w:r>
        <w:rPr>
          <w:rFonts w:hint="eastAsia" w:ascii="Times New Roman" w:hAnsi="Times New Roman" w:eastAsia="宋体" w:cs="Times New Roman"/>
          <w:sz w:val="21"/>
          <w:szCs w:val="21"/>
        </w:rPr>
        <w:t>导联心电图：参与者需要至少安静休息</w:t>
      </w:r>
      <w:r>
        <w:rPr>
          <w:rFonts w:ascii="Times New Roman" w:hAnsi="Times New Roman" w:eastAsia="宋体" w:cs="Times New Roman"/>
          <w:sz w:val="21"/>
          <w:szCs w:val="21"/>
        </w:rPr>
        <w:t>10 min</w:t>
      </w:r>
      <w:r>
        <w:rPr>
          <w:rFonts w:hint="eastAsia" w:ascii="Times New Roman" w:hAnsi="Times New Roman" w:eastAsia="宋体" w:cs="Times New Roman"/>
          <w:sz w:val="21"/>
          <w:szCs w:val="21"/>
        </w:rPr>
        <w:t>之后进行测量，记录心率、</w:t>
      </w:r>
      <w:r>
        <w:rPr>
          <w:rFonts w:ascii="Times New Roman" w:hAnsi="Times New Roman" w:eastAsia="宋体" w:cs="Times New Roman"/>
          <w:sz w:val="21"/>
          <w:szCs w:val="21"/>
        </w:rPr>
        <w:t>PR</w:t>
      </w:r>
      <w:r>
        <w:rPr>
          <w:rFonts w:hint="eastAsia" w:ascii="Times New Roman" w:hAnsi="Times New Roman" w:eastAsia="宋体" w:cs="Times New Roman"/>
          <w:sz w:val="21"/>
          <w:szCs w:val="21"/>
        </w:rPr>
        <w:t>间期、</w:t>
      </w:r>
      <w:r>
        <w:rPr>
          <w:rFonts w:ascii="Times New Roman" w:hAnsi="Times New Roman" w:eastAsia="宋体" w:cs="Times New Roman"/>
          <w:sz w:val="21"/>
          <w:szCs w:val="21"/>
        </w:rPr>
        <w:t>RR</w:t>
      </w:r>
      <w:r>
        <w:rPr>
          <w:rFonts w:hint="eastAsia" w:ascii="Times New Roman" w:hAnsi="Times New Roman" w:eastAsia="宋体" w:cs="Times New Roman"/>
          <w:sz w:val="21"/>
          <w:szCs w:val="21"/>
        </w:rPr>
        <w:t>间期、</w:t>
      </w:r>
      <w:r>
        <w:rPr>
          <w:rFonts w:ascii="Times New Roman" w:hAnsi="Times New Roman" w:eastAsia="宋体" w:cs="Times New Roman"/>
          <w:sz w:val="21"/>
          <w:szCs w:val="21"/>
        </w:rPr>
        <w:t>QRS</w:t>
      </w:r>
      <w:r>
        <w:rPr>
          <w:rFonts w:hint="eastAsia" w:ascii="Times New Roman" w:hAnsi="Times New Roman" w:eastAsia="宋体" w:cs="Times New Roman"/>
          <w:sz w:val="21"/>
          <w:szCs w:val="21"/>
        </w:rPr>
        <w:t>、</w:t>
      </w:r>
      <w:r>
        <w:rPr>
          <w:rFonts w:ascii="Times New Roman" w:hAnsi="Times New Roman" w:eastAsia="宋体" w:cs="Times New Roman"/>
          <w:sz w:val="21"/>
          <w:szCs w:val="21"/>
        </w:rPr>
        <w:t>QT</w:t>
      </w:r>
      <w:r>
        <w:rPr>
          <w:rFonts w:hint="eastAsia" w:ascii="Times New Roman" w:hAnsi="Times New Roman" w:eastAsia="宋体" w:cs="Times New Roman"/>
          <w:sz w:val="21"/>
          <w:szCs w:val="21"/>
        </w:rPr>
        <w:t>间期（包括根据</w:t>
      </w:r>
      <w:r>
        <w:rPr>
          <w:rFonts w:ascii="Times New Roman" w:hAnsi="Times New Roman" w:eastAsia="宋体" w:cs="Times New Roman"/>
          <w:sz w:val="21"/>
          <w:szCs w:val="21"/>
        </w:rPr>
        <w:t>Fridericia</w:t>
      </w:r>
      <w:r>
        <w:rPr>
          <w:rFonts w:hint="eastAsia" w:ascii="Times New Roman" w:hAnsi="Times New Roman" w:eastAsia="宋体" w:cs="Times New Roman"/>
          <w:sz w:val="21"/>
          <w:szCs w:val="21"/>
        </w:rPr>
        <w:t>公式校正后的</w:t>
      </w:r>
      <w:r>
        <w:rPr>
          <w:rFonts w:ascii="Times New Roman" w:hAnsi="Times New Roman" w:eastAsia="宋体" w:cs="Times New Roman"/>
          <w:sz w:val="21"/>
          <w:szCs w:val="21"/>
        </w:rPr>
        <w:t>QT</w:t>
      </w:r>
      <w:r>
        <w:rPr>
          <w:rFonts w:hint="eastAsia" w:ascii="Times New Roman" w:hAnsi="Times New Roman" w:eastAsia="宋体" w:cs="Times New Roman"/>
          <w:sz w:val="21"/>
          <w:szCs w:val="21"/>
        </w:rPr>
        <w:t>间期</w:t>
      </w:r>
      <w:r>
        <w:rPr>
          <w:rFonts w:ascii="Times New Roman" w:hAnsi="Times New Roman" w:eastAsia="宋体" w:cs="Times New Roman"/>
          <w:sz w:val="21"/>
          <w:szCs w:val="21"/>
        </w:rPr>
        <w:t>[QTcF]</w:t>
      </w:r>
      <w:r>
        <w:rPr>
          <w:rFonts w:hint="eastAsia" w:ascii="Times New Roman" w:hAnsi="Times New Roman" w:eastAsia="宋体" w:cs="Times New Roman"/>
          <w:sz w:val="21"/>
          <w:szCs w:val="21"/>
        </w:rPr>
        <w:t>），和心电图诊断结果，需要在当天访视给药前完成。</w:t>
      </w:r>
    </w:p>
    <w:p w14:paraId="6C41BC17">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建议</w:t>
      </w:r>
      <w:r>
        <w:rPr>
          <w:rFonts w:hint="eastAsia" w:ascii="Times New Roman" w:hAnsi="Times New Roman" w:eastAsia="宋体" w:cs="Times New Roman"/>
          <w:kern w:val="2"/>
          <w:sz w:val="21"/>
          <w:szCs w:val="21"/>
        </w:rPr>
        <w:t>在参与者自愿的前提下，</w:t>
      </w:r>
      <w:r>
        <w:rPr>
          <w:rFonts w:hint="eastAsia" w:ascii="Times New Roman" w:hAnsi="Times New Roman" w:eastAsia="宋体" w:cs="Times New Roman"/>
          <w:sz w:val="21"/>
          <w:szCs w:val="21"/>
        </w:rPr>
        <w:t>尽量获取参与者皮损照片，包括全身皮损照片和靶皮损照片。</w:t>
      </w:r>
    </w:p>
    <w:p w14:paraId="7D450316">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随机：参与者随机分组在首次应用研究药物当天（</w:t>
      </w:r>
      <w:r>
        <w:rPr>
          <w:rFonts w:ascii="Times New Roman" w:hAnsi="Times New Roman" w:eastAsia="宋体" w:cs="Times New Roman"/>
          <w:sz w:val="21"/>
          <w:szCs w:val="21"/>
        </w:rPr>
        <w:t>D1</w:t>
      </w:r>
      <w:r>
        <w:rPr>
          <w:rFonts w:hint="eastAsia" w:ascii="Times New Roman" w:hAnsi="Times New Roman" w:eastAsia="宋体" w:cs="Times New Roman"/>
          <w:sz w:val="21"/>
          <w:szCs w:val="21"/>
        </w:rPr>
        <w:t>）给药前进行。</w:t>
      </w:r>
    </w:p>
    <w:p w14:paraId="4EBD5CE0">
      <w:pPr>
        <w:pStyle w:val="97"/>
        <w:numPr>
          <w:ilvl w:val="0"/>
          <w:numId w:val="29"/>
        </w:numPr>
        <w:spacing w:line="360" w:lineRule="auto"/>
        <w:ind w:left="426"/>
        <w:rPr>
          <w:rFonts w:ascii="Times New Roman" w:hAnsi="Times New Roman" w:eastAsia="宋体" w:cs="Times New Roman"/>
          <w:sz w:val="21"/>
          <w:szCs w:val="21"/>
        </w:rPr>
      </w:pPr>
      <w:r>
        <w:rPr>
          <w:rFonts w:ascii="Times New Roman" w:hAnsi="Times New Roman" w:eastAsia="宋体" w:cs="Times New Roman"/>
          <w:sz w:val="21"/>
          <w:szCs w:val="21"/>
        </w:rPr>
        <w:t>PK</w:t>
      </w:r>
      <w:r>
        <w:rPr>
          <w:rFonts w:hint="eastAsia" w:ascii="Times New Roman" w:hAnsi="Times New Roman" w:eastAsia="宋体" w:cs="Times New Roman"/>
          <w:sz w:val="21"/>
          <w:szCs w:val="21"/>
        </w:rPr>
        <w:t>血样采集：于</w:t>
      </w:r>
      <w:r>
        <w:rPr>
          <w:rFonts w:ascii="Times New Roman" w:hAnsi="Times New Roman" w:eastAsia="宋体" w:cs="Times New Roman"/>
          <w:sz w:val="21"/>
          <w:szCs w:val="21"/>
        </w:rPr>
        <w:t>D15</w:t>
      </w:r>
      <w:r>
        <w:rPr>
          <w:rFonts w:hint="eastAsia" w:ascii="Times New Roman" w:hAnsi="Times New Roman" w:eastAsia="宋体" w:cs="Times New Roman"/>
          <w:sz w:val="21"/>
          <w:szCs w:val="21"/>
        </w:rPr>
        <w:t>、</w:t>
      </w:r>
      <w:r>
        <w:rPr>
          <w:rFonts w:ascii="Times New Roman" w:hAnsi="Times New Roman" w:eastAsia="宋体" w:cs="Times New Roman"/>
          <w:sz w:val="21"/>
          <w:szCs w:val="21"/>
        </w:rPr>
        <w:t>D29</w:t>
      </w:r>
      <w:r>
        <w:rPr>
          <w:rFonts w:hint="eastAsia" w:ascii="Times New Roman" w:hAnsi="Times New Roman" w:eastAsia="宋体" w:cs="Times New Roman"/>
          <w:sz w:val="21"/>
          <w:szCs w:val="21"/>
        </w:rPr>
        <w:t>、</w:t>
      </w:r>
      <w:r>
        <w:rPr>
          <w:rFonts w:ascii="Times New Roman" w:hAnsi="Times New Roman" w:eastAsia="宋体" w:cs="Times New Roman"/>
          <w:sz w:val="21"/>
          <w:szCs w:val="21"/>
        </w:rPr>
        <w:t>D57</w:t>
      </w:r>
      <w:r>
        <w:rPr>
          <w:rFonts w:hint="eastAsia" w:ascii="Times New Roman" w:hAnsi="Times New Roman" w:eastAsia="宋体" w:cs="Times New Roman"/>
          <w:sz w:val="21"/>
          <w:szCs w:val="21"/>
        </w:rPr>
        <w:t>、</w:t>
      </w:r>
      <w:r>
        <w:rPr>
          <w:rFonts w:ascii="Times New Roman" w:hAnsi="Times New Roman" w:eastAsia="宋体" w:cs="Times New Roman"/>
          <w:sz w:val="21"/>
          <w:szCs w:val="21"/>
        </w:rPr>
        <w:t>D85</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D113</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D141</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D197</w:t>
      </w:r>
      <w:r>
        <w:rPr>
          <w:rFonts w:hint="eastAsia" w:ascii="Times New Roman" w:hAnsi="Times New Roman" w:eastAsia="宋体" w:cs="Times New Roman"/>
          <w:sz w:val="21"/>
          <w:szCs w:val="21"/>
        </w:rPr>
        <w:t>、</w:t>
      </w:r>
      <w:r>
        <w:rPr>
          <w:rFonts w:ascii="Times New Roman" w:hAnsi="Times New Roman" w:eastAsia="宋体" w:cs="Times New Roman"/>
          <w:sz w:val="21"/>
          <w:szCs w:val="21"/>
        </w:rPr>
        <w:t>D253</w:t>
      </w:r>
      <w:r>
        <w:rPr>
          <w:rFonts w:hint="eastAsia" w:ascii="Times New Roman" w:hAnsi="Times New Roman" w:eastAsia="宋体" w:cs="Times New Roman"/>
          <w:sz w:val="21"/>
          <w:szCs w:val="21"/>
        </w:rPr>
        <w:t>、</w:t>
      </w:r>
      <w:r>
        <w:rPr>
          <w:rFonts w:ascii="Times New Roman" w:hAnsi="Times New Roman" w:eastAsia="宋体" w:cs="Times New Roman"/>
          <w:sz w:val="21"/>
          <w:szCs w:val="21"/>
        </w:rPr>
        <w:t>D309</w:t>
      </w:r>
      <w:r>
        <w:rPr>
          <w:rFonts w:hint="eastAsia" w:ascii="Times New Roman" w:hAnsi="Times New Roman" w:eastAsia="宋体" w:cs="Times New Roman"/>
          <w:sz w:val="21"/>
          <w:szCs w:val="21"/>
        </w:rPr>
        <w:t>、</w:t>
      </w:r>
      <w:r>
        <w:rPr>
          <w:rFonts w:ascii="Times New Roman" w:hAnsi="Times New Roman" w:eastAsia="宋体" w:cs="Times New Roman"/>
          <w:sz w:val="21"/>
          <w:szCs w:val="21"/>
        </w:rPr>
        <w:t>D365</w:t>
      </w:r>
      <w:r>
        <w:rPr>
          <w:rFonts w:hint="eastAsia" w:ascii="Times New Roman" w:hAnsi="Times New Roman" w:eastAsia="宋体" w:cs="Times New Roman"/>
          <w:sz w:val="21"/>
          <w:szCs w:val="21"/>
        </w:rPr>
        <w:t>访视在给药前</w:t>
      </w:r>
      <w:r>
        <w:rPr>
          <w:rFonts w:ascii="Times New Roman" w:hAnsi="Times New Roman" w:eastAsia="宋体" w:cs="Times New Roman"/>
          <w:sz w:val="21"/>
          <w:szCs w:val="21"/>
        </w:rPr>
        <w:t>1h</w:t>
      </w:r>
      <w:r>
        <w:rPr>
          <w:rFonts w:hint="eastAsia" w:ascii="Times New Roman" w:hAnsi="Times New Roman" w:eastAsia="宋体" w:cs="Times New Roman"/>
          <w:sz w:val="21"/>
          <w:szCs w:val="21"/>
        </w:rPr>
        <w:t>内进行</w:t>
      </w:r>
      <w:r>
        <w:rPr>
          <w:rFonts w:ascii="Times New Roman" w:hAnsi="Times New Roman" w:eastAsia="宋体" w:cs="Times New Roman"/>
          <w:sz w:val="21"/>
          <w:szCs w:val="21"/>
        </w:rPr>
        <w:t>PK</w:t>
      </w:r>
      <w:r>
        <w:rPr>
          <w:rFonts w:hint="eastAsia" w:ascii="Times New Roman" w:hAnsi="Times New Roman" w:eastAsia="宋体" w:cs="Times New Roman"/>
          <w:sz w:val="21"/>
          <w:szCs w:val="21"/>
        </w:rPr>
        <w:t>血样采集。若参与者在研究期间发生</w:t>
      </w:r>
      <w:r>
        <w:rPr>
          <w:rFonts w:ascii="Times New Roman" w:hAnsi="Times New Roman" w:eastAsia="宋体" w:cs="Times New Roman"/>
          <w:sz w:val="21"/>
          <w:szCs w:val="21"/>
        </w:rPr>
        <w:t>SAE</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3</w:t>
      </w:r>
      <w:r>
        <w:rPr>
          <w:rFonts w:hint="eastAsia" w:ascii="Times New Roman" w:hAnsi="Times New Roman" w:eastAsia="宋体" w:cs="Times New Roman"/>
          <w:sz w:val="21"/>
          <w:szCs w:val="21"/>
        </w:rPr>
        <w:t>级</w:t>
      </w:r>
      <w:r>
        <w:rPr>
          <w:rFonts w:ascii="Times New Roman" w:hAnsi="Times New Roman" w:eastAsia="宋体" w:cs="Times New Roman"/>
          <w:sz w:val="21"/>
          <w:szCs w:val="21"/>
        </w:rPr>
        <w:t>TEAE</w:t>
      </w:r>
      <w:r>
        <w:rPr>
          <w:rFonts w:hint="eastAsia" w:ascii="Times New Roman" w:hAnsi="Times New Roman" w:eastAsia="宋体" w:cs="Times New Roman"/>
          <w:sz w:val="21"/>
          <w:szCs w:val="21"/>
        </w:rPr>
        <w:t>或提前退出时，如果条件允许，研究者可以选择采集一份计划外</w:t>
      </w:r>
      <w:r>
        <w:rPr>
          <w:rFonts w:ascii="Times New Roman" w:hAnsi="Times New Roman" w:eastAsia="宋体" w:cs="Times New Roman"/>
          <w:sz w:val="21"/>
          <w:szCs w:val="21"/>
        </w:rPr>
        <w:t>PK</w:t>
      </w:r>
      <w:r>
        <w:rPr>
          <w:rFonts w:hint="eastAsia" w:ascii="Times New Roman" w:hAnsi="Times New Roman" w:eastAsia="宋体" w:cs="Times New Roman"/>
          <w:sz w:val="21"/>
          <w:szCs w:val="21"/>
        </w:rPr>
        <w:t>样本，用于探索性量</w:t>
      </w:r>
      <w:r>
        <w:rPr>
          <w:rFonts w:ascii="Times New Roman" w:hAnsi="Times New Roman" w:eastAsia="宋体" w:cs="Times New Roman"/>
          <w:sz w:val="21"/>
          <w:szCs w:val="21"/>
        </w:rPr>
        <w:t>-</w:t>
      </w:r>
      <w:r>
        <w:rPr>
          <w:rFonts w:hint="eastAsia" w:ascii="Times New Roman" w:hAnsi="Times New Roman" w:eastAsia="宋体" w:cs="Times New Roman"/>
          <w:sz w:val="21"/>
          <w:szCs w:val="21"/>
        </w:rPr>
        <w:t>效分析。</w:t>
      </w:r>
    </w:p>
    <w:p w14:paraId="48FDB05D">
      <w:pPr>
        <w:pStyle w:val="97"/>
        <w:numPr>
          <w:ilvl w:val="0"/>
          <w:numId w:val="29"/>
        </w:numPr>
        <w:spacing w:line="360" w:lineRule="auto"/>
        <w:ind w:left="426"/>
        <w:rPr>
          <w:rFonts w:ascii="Times New Roman" w:hAnsi="Times New Roman" w:eastAsia="宋体" w:cs="Times New Roman"/>
          <w:sz w:val="21"/>
          <w:szCs w:val="21"/>
        </w:rPr>
      </w:pPr>
      <w:r>
        <w:rPr>
          <w:rFonts w:ascii="Times New Roman" w:hAnsi="Times New Roman" w:eastAsia="宋体" w:cs="Times New Roman"/>
          <w:sz w:val="21"/>
          <w:szCs w:val="21"/>
        </w:rPr>
        <w:t>IL-17A</w:t>
      </w:r>
      <w:r>
        <w:rPr>
          <w:rFonts w:hint="eastAsia" w:ascii="Times New Roman" w:hAnsi="Times New Roman" w:eastAsia="宋体" w:cs="Times New Roman"/>
          <w:sz w:val="21"/>
          <w:szCs w:val="21"/>
        </w:rPr>
        <w:t>血样采集：于</w:t>
      </w:r>
      <w:r>
        <w:rPr>
          <w:rFonts w:ascii="Times New Roman" w:hAnsi="Times New Roman" w:eastAsia="宋体" w:cs="Times New Roman"/>
          <w:sz w:val="21"/>
          <w:szCs w:val="21"/>
        </w:rPr>
        <w:t>D1</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D15</w:t>
      </w:r>
      <w:r>
        <w:rPr>
          <w:rFonts w:hint="eastAsia" w:ascii="Times New Roman" w:hAnsi="Times New Roman" w:eastAsia="宋体" w:cs="Times New Roman"/>
          <w:sz w:val="21"/>
          <w:szCs w:val="21"/>
        </w:rPr>
        <w:t>、</w:t>
      </w:r>
      <w:r>
        <w:rPr>
          <w:rFonts w:ascii="Times New Roman" w:hAnsi="Times New Roman" w:eastAsia="宋体" w:cs="Times New Roman"/>
          <w:sz w:val="21"/>
          <w:szCs w:val="21"/>
        </w:rPr>
        <w:t>D29</w:t>
      </w:r>
      <w:r>
        <w:rPr>
          <w:rFonts w:hint="eastAsia" w:ascii="Times New Roman" w:hAnsi="Times New Roman" w:eastAsia="宋体" w:cs="Times New Roman"/>
          <w:sz w:val="21"/>
          <w:szCs w:val="21"/>
        </w:rPr>
        <w:t>、</w:t>
      </w:r>
      <w:r>
        <w:rPr>
          <w:rFonts w:ascii="Times New Roman" w:hAnsi="Times New Roman" w:eastAsia="宋体" w:cs="Times New Roman"/>
          <w:sz w:val="21"/>
          <w:szCs w:val="21"/>
        </w:rPr>
        <w:t>D57</w:t>
      </w:r>
      <w:r>
        <w:rPr>
          <w:rFonts w:hint="eastAsia" w:ascii="Times New Roman" w:hAnsi="Times New Roman" w:eastAsia="宋体" w:cs="Times New Roman"/>
          <w:sz w:val="21"/>
          <w:szCs w:val="21"/>
        </w:rPr>
        <w:t>、</w:t>
      </w:r>
      <w:r>
        <w:rPr>
          <w:rFonts w:ascii="Times New Roman" w:hAnsi="Times New Roman" w:eastAsia="宋体" w:cs="Times New Roman"/>
          <w:sz w:val="21"/>
          <w:szCs w:val="21"/>
        </w:rPr>
        <w:t>D85</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D113</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D141</w:t>
      </w:r>
      <w:r>
        <w:rPr>
          <w:rFonts w:hint="eastAsia" w:ascii="Times New Roman" w:hAnsi="Times New Roman" w:eastAsia="宋体" w:cs="Times New Roman"/>
          <w:sz w:val="21"/>
          <w:szCs w:val="21"/>
        </w:rPr>
        <w:t>、</w:t>
      </w:r>
      <w:r>
        <w:rPr>
          <w:rFonts w:ascii="Times New Roman" w:hAnsi="Times New Roman" w:eastAsia="宋体" w:cs="Times New Roman"/>
          <w:sz w:val="21"/>
          <w:szCs w:val="21"/>
        </w:rPr>
        <w:t>D197</w:t>
      </w:r>
      <w:r>
        <w:rPr>
          <w:rFonts w:hint="eastAsia" w:ascii="Times New Roman" w:hAnsi="Times New Roman" w:eastAsia="宋体" w:cs="Times New Roman"/>
          <w:sz w:val="21"/>
          <w:szCs w:val="21"/>
        </w:rPr>
        <w:t>、</w:t>
      </w:r>
      <w:r>
        <w:rPr>
          <w:rFonts w:ascii="Times New Roman" w:hAnsi="Times New Roman" w:eastAsia="宋体" w:cs="Times New Roman"/>
          <w:sz w:val="21"/>
          <w:szCs w:val="21"/>
        </w:rPr>
        <w:t>D253</w:t>
      </w:r>
      <w:r>
        <w:rPr>
          <w:rFonts w:hint="eastAsia" w:ascii="Times New Roman" w:hAnsi="Times New Roman" w:eastAsia="宋体" w:cs="Times New Roman"/>
          <w:sz w:val="21"/>
          <w:szCs w:val="21"/>
        </w:rPr>
        <w:t>、</w:t>
      </w:r>
      <w:r>
        <w:rPr>
          <w:rFonts w:ascii="Times New Roman" w:hAnsi="Times New Roman" w:eastAsia="宋体" w:cs="Times New Roman"/>
          <w:sz w:val="21"/>
          <w:szCs w:val="21"/>
        </w:rPr>
        <w:t>D309</w:t>
      </w:r>
      <w:r>
        <w:rPr>
          <w:rFonts w:hint="eastAsia" w:ascii="Times New Roman" w:hAnsi="Times New Roman" w:eastAsia="宋体" w:cs="Times New Roman"/>
          <w:sz w:val="21"/>
          <w:szCs w:val="21"/>
        </w:rPr>
        <w:t>、</w:t>
      </w:r>
      <w:r>
        <w:rPr>
          <w:rFonts w:ascii="Times New Roman" w:hAnsi="Times New Roman" w:eastAsia="宋体" w:cs="Times New Roman"/>
          <w:sz w:val="21"/>
          <w:szCs w:val="21"/>
        </w:rPr>
        <w:t>D365</w:t>
      </w:r>
      <w:r>
        <w:rPr>
          <w:rFonts w:hint="eastAsia" w:ascii="Times New Roman" w:hAnsi="Times New Roman" w:eastAsia="宋体" w:cs="Times New Roman"/>
          <w:sz w:val="21"/>
          <w:szCs w:val="21"/>
        </w:rPr>
        <w:t>访视在给药前</w:t>
      </w:r>
      <w:r>
        <w:rPr>
          <w:rFonts w:ascii="Times New Roman" w:hAnsi="Times New Roman" w:eastAsia="宋体" w:cs="Times New Roman"/>
          <w:sz w:val="21"/>
          <w:szCs w:val="21"/>
        </w:rPr>
        <w:t>1h</w:t>
      </w:r>
      <w:r>
        <w:rPr>
          <w:rFonts w:hint="eastAsia" w:ascii="Times New Roman" w:hAnsi="Times New Roman" w:eastAsia="宋体" w:cs="Times New Roman"/>
          <w:sz w:val="21"/>
          <w:szCs w:val="21"/>
        </w:rPr>
        <w:t>内进行</w:t>
      </w:r>
      <w:r>
        <w:rPr>
          <w:rFonts w:ascii="Times New Roman" w:hAnsi="Times New Roman" w:eastAsia="宋体" w:cs="Times New Roman"/>
          <w:sz w:val="21"/>
          <w:szCs w:val="21"/>
        </w:rPr>
        <w:t>IL-17A</w:t>
      </w:r>
      <w:r>
        <w:rPr>
          <w:rFonts w:hint="eastAsia" w:ascii="Times New Roman" w:hAnsi="Times New Roman" w:eastAsia="宋体" w:cs="Times New Roman"/>
          <w:sz w:val="21"/>
          <w:szCs w:val="21"/>
        </w:rPr>
        <w:t>血样采集，提前退出访视于访视当天进行</w:t>
      </w:r>
      <w:r>
        <w:rPr>
          <w:rFonts w:ascii="Times New Roman" w:hAnsi="Times New Roman" w:eastAsia="宋体" w:cs="Times New Roman"/>
          <w:sz w:val="21"/>
          <w:szCs w:val="21"/>
        </w:rPr>
        <w:t>IL-17A</w:t>
      </w:r>
      <w:r>
        <w:rPr>
          <w:rFonts w:hint="eastAsia" w:ascii="Times New Roman" w:hAnsi="Times New Roman" w:eastAsia="宋体" w:cs="Times New Roman"/>
          <w:sz w:val="21"/>
          <w:szCs w:val="21"/>
        </w:rPr>
        <w:t>血样采集。</w:t>
      </w:r>
    </w:p>
    <w:p w14:paraId="4BD45751">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服用、分发和回收试验用药品：基础期</w:t>
      </w:r>
      <w:r>
        <w:rPr>
          <w:rFonts w:hint="eastAsia" w:ascii="Times New Roman" w:hAnsi="Times New Roman" w:eastAsia="宋体" w:cs="Times New Roman"/>
          <w:kern w:val="2"/>
          <w:sz w:val="21"/>
          <w:szCs w:val="21"/>
        </w:rPr>
        <w:t>给药周期为</w:t>
      </w:r>
      <w:r>
        <w:rPr>
          <w:rFonts w:ascii="Times New Roman" w:hAnsi="Times New Roman" w:eastAsia="宋体" w:cs="Times New Roman"/>
          <w:kern w:val="2"/>
          <w:sz w:val="21"/>
          <w:szCs w:val="21"/>
        </w:rPr>
        <w:t>16</w:t>
      </w:r>
      <w:r>
        <w:rPr>
          <w:rFonts w:hint="eastAsia" w:ascii="Times New Roman" w:hAnsi="Times New Roman" w:eastAsia="宋体" w:cs="Times New Roman"/>
          <w:kern w:val="2"/>
          <w:sz w:val="21"/>
          <w:szCs w:val="21"/>
        </w:rPr>
        <w:t>周，即第</w:t>
      </w: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天至第</w:t>
      </w:r>
      <w:r>
        <w:rPr>
          <w:rFonts w:ascii="Times New Roman" w:hAnsi="Times New Roman" w:eastAsia="宋体" w:cs="Times New Roman"/>
          <w:kern w:val="2"/>
          <w:sz w:val="21"/>
          <w:szCs w:val="21"/>
        </w:rPr>
        <w:t>113</w:t>
      </w:r>
      <w:r>
        <w:rPr>
          <w:rFonts w:hint="eastAsia" w:ascii="Times New Roman" w:hAnsi="Times New Roman" w:eastAsia="宋体" w:cs="Times New Roman"/>
          <w:kern w:val="2"/>
          <w:sz w:val="21"/>
          <w:szCs w:val="21"/>
        </w:rPr>
        <w:t>天±</w:t>
      </w:r>
      <w:r>
        <w:rPr>
          <w:rFonts w:ascii="Times New Roman" w:hAnsi="Times New Roman" w:eastAsia="宋体" w:cs="Times New Roman"/>
          <w:kern w:val="2"/>
          <w:sz w:val="21"/>
          <w:szCs w:val="21"/>
        </w:rPr>
        <w:t>3</w:t>
      </w:r>
      <w:r>
        <w:rPr>
          <w:rFonts w:hint="eastAsia" w:ascii="Times New Roman" w:hAnsi="Times New Roman" w:eastAsia="宋体" w:cs="Times New Roman"/>
          <w:kern w:val="2"/>
          <w:sz w:val="21"/>
          <w:szCs w:val="21"/>
        </w:rPr>
        <w:t>天内连续给药；扩展期给药周期为</w:t>
      </w:r>
      <w:r>
        <w:rPr>
          <w:rFonts w:ascii="Times New Roman" w:hAnsi="Times New Roman" w:eastAsia="宋体" w:cs="Times New Roman"/>
          <w:kern w:val="2"/>
          <w:sz w:val="21"/>
          <w:szCs w:val="21"/>
        </w:rPr>
        <w:t>36</w:t>
      </w:r>
      <w:r>
        <w:rPr>
          <w:rFonts w:hint="eastAsia" w:ascii="Times New Roman" w:hAnsi="Times New Roman" w:eastAsia="宋体" w:cs="Times New Roman"/>
          <w:kern w:val="2"/>
          <w:sz w:val="21"/>
          <w:szCs w:val="21"/>
        </w:rPr>
        <w:t>周，即第</w:t>
      </w:r>
      <w:r>
        <w:rPr>
          <w:rFonts w:ascii="Times New Roman" w:hAnsi="Times New Roman" w:eastAsia="宋体" w:cs="Times New Roman"/>
          <w:kern w:val="2"/>
          <w:sz w:val="21"/>
          <w:szCs w:val="21"/>
        </w:rPr>
        <w:t>114</w:t>
      </w:r>
      <w:r>
        <w:rPr>
          <w:rFonts w:hint="eastAsia" w:ascii="Times New Roman" w:hAnsi="Times New Roman" w:eastAsia="宋体" w:cs="Times New Roman"/>
          <w:kern w:val="2"/>
          <w:sz w:val="21"/>
          <w:szCs w:val="21"/>
        </w:rPr>
        <w:t>天±</w:t>
      </w:r>
      <w:r>
        <w:rPr>
          <w:rFonts w:ascii="Times New Roman" w:hAnsi="Times New Roman" w:eastAsia="宋体" w:cs="Times New Roman"/>
          <w:kern w:val="2"/>
          <w:sz w:val="21"/>
          <w:szCs w:val="21"/>
        </w:rPr>
        <w:t>3</w:t>
      </w:r>
      <w:r>
        <w:rPr>
          <w:rFonts w:hint="eastAsia" w:ascii="Times New Roman" w:hAnsi="Times New Roman" w:eastAsia="宋体" w:cs="Times New Roman"/>
          <w:kern w:val="2"/>
          <w:sz w:val="21"/>
          <w:szCs w:val="21"/>
        </w:rPr>
        <w:t>天至第</w:t>
      </w:r>
      <w:r>
        <w:rPr>
          <w:rFonts w:ascii="Times New Roman" w:hAnsi="Times New Roman" w:eastAsia="宋体" w:cs="Times New Roman"/>
          <w:kern w:val="2"/>
          <w:sz w:val="21"/>
          <w:szCs w:val="21"/>
        </w:rPr>
        <w:t>365</w:t>
      </w:r>
      <w:r>
        <w:rPr>
          <w:rFonts w:hint="eastAsia" w:ascii="Times New Roman" w:hAnsi="Times New Roman" w:eastAsia="宋体" w:cs="Times New Roman"/>
          <w:kern w:val="2"/>
          <w:sz w:val="21"/>
          <w:szCs w:val="21"/>
        </w:rPr>
        <w:t>天±</w:t>
      </w:r>
      <w:r>
        <w:rPr>
          <w:rFonts w:ascii="Times New Roman" w:hAnsi="Times New Roman" w:eastAsia="宋体" w:cs="Times New Roman"/>
          <w:kern w:val="2"/>
          <w:sz w:val="21"/>
          <w:szCs w:val="21"/>
        </w:rPr>
        <w:t>3</w:t>
      </w:r>
      <w:r>
        <w:rPr>
          <w:rFonts w:hint="eastAsia" w:ascii="Times New Roman" w:hAnsi="Times New Roman" w:eastAsia="宋体" w:cs="Times New Roman"/>
          <w:kern w:val="2"/>
          <w:sz w:val="21"/>
          <w:szCs w:val="21"/>
        </w:rPr>
        <w:t>天内连续给药。</w:t>
      </w:r>
      <w:r>
        <w:rPr>
          <w:rFonts w:hint="eastAsia" w:ascii="Times New Roman" w:hAnsi="Times New Roman" w:eastAsia="宋体" w:cs="Times New Roman"/>
          <w:sz w:val="21"/>
          <w:szCs w:val="21"/>
        </w:rPr>
        <w:t>参与者在中心访视时，将在中心完成试验用药品服用；离院时分发试验用药品，第</w:t>
      </w:r>
      <w:r>
        <w:rPr>
          <w:rFonts w:ascii="Times New Roman" w:hAnsi="Times New Roman" w:eastAsia="宋体" w:cs="Times New Roman"/>
          <w:sz w:val="21"/>
          <w:szCs w:val="21"/>
        </w:rPr>
        <w:t>52</w:t>
      </w:r>
      <w:r>
        <w:rPr>
          <w:rFonts w:hint="eastAsia" w:ascii="Times New Roman" w:hAnsi="Times New Roman" w:eastAsia="宋体" w:cs="Times New Roman"/>
          <w:sz w:val="21"/>
          <w:szCs w:val="21"/>
        </w:rPr>
        <w:t>周无需分发试验用药品；其它访视日期需要回收已发放的试验用药品，无论该药品是否已使用，并发放新的试验用药品。</w:t>
      </w:r>
    </w:p>
    <w:p w14:paraId="0482161B">
      <w:pPr>
        <w:pStyle w:val="97"/>
        <w:numPr>
          <w:ilvl w:val="0"/>
          <w:numId w:val="29"/>
        </w:numPr>
        <w:spacing w:line="360" w:lineRule="auto"/>
        <w:ind w:left="426"/>
        <w:rPr>
          <w:rFonts w:ascii="Times New Roman" w:hAnsi="Times New Roman" w:cs="Times New Roman"/>
          <w:sz w:val="21"/>
          <w:szCs w:val="21"/>
        </w:rPr>
      </w:pPr>
      <w:r>
        <w:rPr>
          <w:rFonts w:hint="eastAsia" w:ascii="Times New Roman" w:hAnsi="Times New Roman" w:eastAsia="宋体" w:cs="Times New Roman"/>
          <w:sz w:val="21"/>
          <w:szCs w:val="21"/>
        </w:rPr>
        <w:t>日记卡发放和回收：</w:t>
      </w:r>
      <w:r>
        <w:rPr>
          <w:rFonts w:ascii="Times New Roman" w:hAnsi="Times New Roman" w:eastAsia="宋体" w:cs="Times New Roman"/>
          <w:sz w:val="21"/>
          <w:szCs w:val="21"/>
        </w:rPr>
        <w:t>D1</w:t>
      </w:r>
      <w:r>
        <w:rPr>
          <w:rFonts w:hint="eastAsia" w:ascii="Times New Roman" w:hAnsi="Times New Roman" w:eastAsia="宋体" w:cs="Times New Roman"/>
          <w:sz w:val="21"/>
          <w:szCs w:val="21"/>
        </w:rPr>
        <w:t>进行首次试验用药品发放时发放参与者日记卡，并进行日记卡填写宣教，之后的每次访视将收回已发放的日记卡，并分发放新的日记卡，第</w:t>
      </w:r>
      <w:r>
        <w:rPr>
          <w:rFonts w:ascii="Times New Roman" w:hAnsi="Times New Roman" w:eastAsia="宋体" w:cs="Times New Roman"/>
          <w:sz w:val="21"/>
          <w:szCs w:val="21"/>
        </w:rPr>
        <w:t>52</w:t>
      </w:r>
      <w:r>
        <w:rPr>
          <w:rFonts w:hint="eastAsia" w:ascii="Times New Roman" w:hAnsi="Times New Roman" w:eastAsia="宋体" w:cs="Times New Roman"/>
          <w:sz w:val="21"/>
          <w:szCs w:val="21"/>
        </w:rPr>
        <w:t>周或提前退出访视时仅回收日记卡。</w:t>
      </w:r>
    </w:p>
    <w:p w14:paraId="77C803C6">
      <w:pPr>
        <w:pStyle w:val="97"/>
        <w:numPr>
          <w:ilvl w:val="0"/>
          <w:numId w:val="29"/>
        </w:numPr>
        <w:spacing w:line="360" w:lineRule="auto"/>
        <w:ind w:left="426"/>
        <w:rPr>
          <w:rFonts w:ascii="Times New Roman" w:hAnsi="Times New Roman" w:cs="Times New Roman"/>
          <w:sz w:val="21"/>
          <w:szCs w:val="21"/>
        </w:rPr>
      </w:pPr>
      <w:r>
        <w:rPr>
          <w:rFonts w:hint="eastAsia" w:ascii="Times New Roman" w:hAnsi="Times New Roman" w:eastAsia="宋体" w:cs="Times New Roman"/>
          <w:sz w:val="21"/>
          <w:szCs w:val="21"/>
        </w:rPr>
        <w:t>用药依从性评估：应记录每例参与者准确的用药剂量和时间。用药发生延迟、药物过量、漏给、用药错误以及终止的原因也应记录在日记卡和</w:t>
      </w:r>
      <w:r>
        <w:rPr>
          <w:rFonts w:ascii="Times New Roman" w:hAnsi="Times New Roman" w:eastAsia="宋体" w:cs="Times New Roman"/>
          <w:sz w:val="21"/>
          <w:szCs w:val="21"/>
        </w:rPr>
        <w:t>eCRF</w:t>
      </w:r>
      <w:r>
        <w:rPr>
          <w:rFonts w:hint="eastAsia" w:ascii="Times New Roman" w:hAnsi="Times New Roman" w:eastAsia="宋体" w:cs="Times New Roman"/>
          <w:sz w:val="21"/>
          <w:szCs w:val="21"/>
        </w:rPr>
        <w:t>中。将根据实际使用药物剂量与对应应接受药物剂量的比较评估依从性，并根据试验用药品发放、药物返还、研究病历和</w:t>
      </w:r>
      <w:r>
        <w:rPr>
          <w:rFonts w:ascii="Times New Roman" w:hAnsi="Times New Roman" w:eastAsia="宋体" w:cs="Times New Roman"/>
          <w:sz w:val="21"/>
          <w:szCs w:val="21"/>
        </w:rPr>
        <w:t>eCRF</w:t>
      </w:r>
      <w:r>
        <w:rPr>
          <w:rFonts w:hint="eastAsia" w:ascii="Times New Roman" w:hAnsi="Times New Roman" w:eastAsia="宋体" w:cs="Times New Roman"/>
          <w:sz w:val="21"/>
          <w:szCs w:val="21"/>
        </w:rPr>
        <w:t>记录进一步确认。</w:t>
      </w:r>
    </w:p>
    <w:p w14:paraId="44BA904C">
      <w:pPr>
        <w:pStyle w:val="97"/>
        <w:numPr>
          <w:ilvl w:val="0"/>
          <w:numId w:val="29"/>
        </w:numPr>
        <w:spacing w:line="360" w:lineRule="auto"/>
        <w:ind w:left="426"/>
        <w:rPr>
          <w:rFonts w:ascii="Times New Roman" w:hAnsi="Times New Roman" w:cs="Times New Roman"/>
          <w:sz w:val="21"/>
          <w:szCs w:val="21"/>
        </w:rPr>
      </w:pPr>
      <w:r>
        <w:rPr>
          <w:rFonts w:hint="eastAsia" w:ascii="Times New Roman" w:hAnsi="Times New Roman" w:eastAsia="宋体" w:cs="Times New Roman"/>
          <w:sz w:val="21"/>
          <w:szCs w:val="21"/>
        </w:rPr>
        <w:t>合并治疗：定义为自签署</w:t>
      </w:r>
      <w:r>
        <w:rPr>
          <w:rFonts w:ascii="Times New Roman" w:hAnsi="Times New Roman" w:eastAsia="宋体" w:cs="Times New Roman"/>
          <w:sz w:val="21"/>
          <w:szCs w:val="21"/>
        </w:rPr>
        <w:t>ICF</w:t>
      </w:r>
      <w:r>
        <w:rPr>
          <w:rFonts w:hint="eastAsia" w:ascii="Times New Roman" w:hAnsi="Times New Roman" w:eastAsia="宋体" w:cs="Times New Roman"/>
          <w:sz w:val="21"/>
          <w:szCs w:val="21"/>
        </w:rPr>
        <w:t>开始至研究结束，在此期间使用的治疗药物或治疗方法。</w:t>
      </w:r>
    </w:p>
    <w:p w14:paraId="2D69B4E8">
      <w:pPr>
        <w:pStyle w:val="97"/>
        <w:numPr>
          <w:ilvl w:val="0"/>
          <w:numId w:val="29"/>
        </w:numPr>
        <w:spacing w:line="360" w:lineRule="auto"/>
        <w:ind w:left="426"/>
        <w:rPr>
          <w:rFonts w:ascii="Times New Roman" w:hAnsi="Times New Roman" w:cs="Times New Roman"/>
          <w:sz w:val="21"/>
          <w:szCs w:val="21"/>
        </w:rPr>
      </w:pPr>
      <w:r>
        <w:rPr>
          <w:rFonts w:hint="eastAsia" w:ascii="Times New Roman" w:hAnsi="Times New Roman" w:eastAsia="宋体" w:cs="Times New Roman"/>
          <w:sz w:val="21"/>
          <w:szCs w:val="21"/>
        </w:rPr>
        <w:t>不良事件于D1启动给药后开始记录，直至末次安全性随访或者退出研究为止（以先发生时间为准）。</w:t>
      </w:r>
    </w:p>
    <w:p w14:paraId="0755C2A0">
      <w:pPr>
        <w:pStyle w:val="97"/>
        <w:numPr>
          <w:ilvl w:val="0"/>
          <w:numId w:val="29"/>
        </w:numPr>
        <w:spacing w:line="360" w:lineRule="auto"/>
        <w:ind w:left="426"/>
        <w:rPr>
          <w:rFonts w:ascii="Times New Roman" w:hAnsi="Times New Roman" w:eastAsia="宋体" w:cs="Times New Roman"/>
          <w:sz w:val="21"/>
          <w:szCs w:val="21"/>
        </w:rPr>
      </w:pPr>
      <w:r>
        <w:rPr>
          <w:rFonts w:hint="eastAsia" w:ascii="Times New Roman" w:hAnsi="Times New Roman" w:eastAsia="宋体" w:cs="Times New Roman"/>
          <w:sz w:val="21"/>
          <w:szCs w:val="21"/>
        </w:rPr>
        <w:t>提前退出：对于给药后提前退出的参与者，需要在距末次给药后</w:t>
      </w:r>
      <w:r>
        <w:rPr>
          <w:rFonts w:ascii="Times New Roman" w:hAnsi="Times New Roman" w:eastAsia="宋体" w:cs="Times New Roman"/>
          <w:sz w:val="21"/>
          <w:szCs w:val="21"/>
        </w:rPr>
        <w:t>7</w:t>
      </w:r>
      <w:r>
        <w:rPr>
          <w:rFonts w:hint="eastAsia" w:ascii="Times New Roman" w:hAnsi="Times New Roman" w:eastAsia="宋体" w:cs="Times New Roman"/>
          <w:sz w:val="21"/>
          <w:szCs w:val="21"/>
        </w:rPr>
        <w:t>天内完成退出访视的各项检查。</w:t>
      </w:r>
    </w:p>
    <w:p w14:paraId="4BF0ABDE">
      <w:pPr>
        <w:rPr>
          <w:rFonts w:ascii="Times New Roman" w:hAnsi="Times New Roman" w:cs="Times New Roman"/>
        </w:rPr>
      </w:pPr>
      <w:r>
        <w:rPr>
          <w:rFonts w:ascii="Times New Roman" w:hAnsi="Times New Roman" w:cs="Times New Roman"/>
        </w:rPr>
        <w:br w:type="page"/>
      </w:r>
    </w:p>
    <w:p w14:paraId="2117C9E1">
      <w:pPr>
        <w:spacing w:line="360" w:lineRule="auto"/>
        <w:jc w:val="both"/>
        <w:rPr>
          <w:rFonts w:ascii="Times New Roman" w:hAnsi="Times New Roman" w:cs="Times New Roman"/>
        </w:rPr>
        <w:sectPr>
          <w:headerReference r:id="rId5" w:type="default"/>
          <w:pgSz w:w="16840" w:h="11910" w:orient="landscape"/>
          <w:pgMar w:top="1418" w:right="1701" w:bottom="1418" w:left="1418" w:header="851" w:footer="851" w:gutter="284"/>
          <w:cols w:space="720" w:num="1"/>
          <w:docGrid w:linePitch="299" w:charSpace="0"/>
        </w:sectPr>
      </w:pPr>
    </w:p>
    <w:p w14:paraId="14050EB3">
      <w:pPr>
        <w:pStyle w:val="114"/>
        <w:numPr>
          <w:ilvl w:val="0"/>
          <w:numId w:val="12"/>
        </w:numPr>
        <w:jc w:val="left"/>
        <w:rPr>
          <w:rFonts w:cs="Times New Roman"/>
        </w:rPr>
      </w:pPr>
      <w:bookmarkStart w:id="11" w:name="_Toc170405260"/>
      <w:bookmarkEnd w:id="11"/>
      <w:bookmarkStart w:id="12" w:name="_Toc170405259"/>
      <w:bookmarkEnd w:id="12"/>
      <w:bookmarkStart w:id="13" w:name="_Toc170405464"/>
      <w:bookmarkEnd w:id="13"/>
      <w:bookmarkStart w:id="14" w:name="_Toc170405463"/>
      <w:bookmarkEnd w:id="14"/>
      <w:bookmarkStart w:id="15" w:name="_Toc217032200"/>
      <w:r>
        <w:rPr>
          <w:rFonts w:hint="eastAsia" w:cs="Times New Roman"/>
        </w:rPr>
        <w:t>研究背景和立项依据</w:t>
      </w:r>
      <w:bookmarkEnd w:id="15"/>
    </w:p>
    <w:p w14:paraId="6DD2D230">
      <w:pPr>
        <w:pStyle w:val="116"/>
        <w:numPr>
          <w:ilvl w:val="1"/>
          <w:numId w:val="12"/>
        </w:numPr>
        <w:jc w:val="left"/>
        <w:rPr>
          <w:rFonts w:cs="Times New Roman"/>
          <w:sz w:val="24"/>
          <w:szCs w:val="24"/>
        </w:rPr>
      </w:pPr>
      <w:bookmarkStart w:id="16" w:name="_Toc217032201"/>
      <w:r>
        <w:rPr>
          <w:rFonts w:hint="eastAsia" w:cs="Times New Roman"/>
          <w:sz w:val="24"/>
          <w:szCs w:val="24"/>
        </w:rPr>
        <w:t>疾病背景</w:t>
      </w:r>
      <w:bookmarkEnd w:id="16"/>
    </w:p>
    <w:p w14:paraId="53E47808">
      <w:pPr>
        <w:pStyle w:val="60"/>
        <w:ind w:firstLine="480"/>
        <w:rPr>
          <w:rFonts w:cs="Times New Roman"/>
          <w:sz w:val="24"/>
          <w:szCs w:val="24"/>
        </w:rPr>
      </w:pPr>
      <w:r>
        <w:rPr>
          <w:rFonts w:hint="eastAsia" w:cs="Times New Roman"/>
          <w:sz w:val="24"/>
          <w:szCs w:val="24"/>
        </w:rPr>
        <w:t>银屑病是一种免疫介导的慢性、复发性、炎症性皮肤病，可合并其它系统异常，严重影响患者健康和生活质量</w:t>
      </w:r>
      <w:r>
        <w:rPr>
          <w:rFonts w:cs="Times New Roman"/>
          <w:sz w:val="24"/>
          <w:szCs w:val="24"/>
          <w:vertAlign w:val="superscript"/>
        </w:rPr>
        <w:t>[1]</w:t>
      </w:r>
      <w:r>
        <w:rPr>
          <w:rFonts w:hint="eastAsia" w:cs="Times New Roman"/>
          <w:sz w:val="24"/>
          <w:szCs w:val="24"/>
        </w:rPr>
        <w:t>。我国银屑病患病率约为</w:t>
      </w:r>
      <w:r>
        <w:rPr>
          <w:rFonts w:cs="Times New Roman"/>
          <w:sz w:val="24"/>
          <w:szCs w:val="24"/>
        </w:rPr>
        <w:t>0.5%</w:t>
      </w:r>
      <w:r>
        <w:rPr>
          <w:rFonts w:hint="eastAsia" w:cs="Times New Roman"/>
          <w:sz w:val="24"/>
          <w:szCs w:val="24"/>
        </w:rPr>
        <w:t>，且呈逐年上升趋势</w:t>
      </w:r>
      <w:r>
        <w:rPr>
          <w:rFonts w:cs="Times New Roman"/>
          <w:sz w:val="24"/>
          <w:szCs w:val="24"/>
          <w:vertAlign w:val="superscript"/>
        </w:rPr>
        <w:t>[2,3]</w:t>
      </w:r>
      <w:r>
        <w:rPr>
          <w:rFonts w:hint="eastAsia" w:cs="Times New Roman"/>
          <w:sz w:val="24"/>
          <w:szCs w:val="24"/>
        </w:rPr>
        <w:t>。斑块状银屑病是最常见的类型，约占银屑病的</w:t>
      </w:r>
      <w:r>
        <w:rPr>
          <w:rFonts w:cs="Times New Roman"/>
          <w:sz w:val="24"/>
          <w:szCs w:val="24"/>
        </w:rPr>
        <w:t>80%-90%</w:t>
      </w:r>
      <w:r>
        <w:rPr>
          <w:rFonts w:hint="eastAsia" w:cs="Times New Roman"/>
          <w:sz w:val="24"/>
          <w:szCs w:val="24"/>
        </w:rPr>
        <w:t>，临床表现为界限清楚的暗红色斑块，上附白色、银白色鳞屑，大小各异，局限或广泛分布。皮损组织病理可见皮角化过度，融合性角化不全，颗粒层减少或消失，棘细胞明显增生，毛细血管迂曲、扩张，周围淋巴细胞浸润，有时在角化不全处见中性粒细胞聚集</w:t>
      </w:r>
      <w:r>
        <w:rPr>
          <w:rFonts w:cs="Times New Roman"/>
          <w:sz w:val="24"/>
          <w:szCs w:val="24"/>
          <w:vertAlign w:val="superscript"/>
        </w:rPr>
        <w:t>[1,4]</w:t>
      </w:r>
      <w:r>
        <w:rPr>
          <w:rFonts w:hint="eastAsia" w:cs="Times New Roman"/>
          <w:sz w:val="24"/>
          <w:szCs w:val="24"/>
        </w:rPr>
        <w:t>。</w:t>
      </w:r>
    </w:p>
    <w:p w14:paraId="72681330">
      <w:pPr>
        <w:pStyle w:val="60"/>
        <w:ind w:firstLine="480"/>
        <w:rPr>
          <w:rFonts w:cs="Times New Roman"/>
          <w:sz w:val="24"/>
          <w:szCs w:val="24"/>
        </w:rPr>
      </w:pPr>
      <w:r>
        <w:rPr>
          <w:rFonts w:hint="eastAsia" w:cs="Times New Roman"/>
          <w:sz w:val="24"/>
          <w:szCs w:val="24"/>
        </w:rPr>
        <w:t>银屑病的确切病因和发病机制尚未完全阐明，涉及遗传、免疫、环境等多种因素，其中免疫应答紊乱、炎症因子过度表达是关键。</w:t>
      </w:r>
      <w:r>
        <w:rPr>
          <w:rFonts w:cs="Times New Roman"/>
          <w:sz w:val="24"/>
          <w:szCs w:val="24"/>
        </w:rPr>
        <w:t>T</w:t>
      </w:r>
      <w:r>
        <w:rPr>
          <w:rFonts w:hint="eastAsia" w:cs="Times New Roman"/>
          <w:sz w:val="24"/>
          <w:szCs w:val="24"/>
        </w:rPr>
        <w:t>细胞、树突细胞、中性粒细胞和角质形成细胞等多种细胞，通过肿瘤坏死因子</w:t>
      </w:r>
      <w:r>
        <w:rPr>
          <w:rFonts w:cs="Times New Roman"/>
          <w:sz w:val="24"/>
          <w:szCs w:val="24"/>
        </w:rPr>
        <w:t>α</w:t>
      </w:r>
      <w:r>
        <w:rPr>
          <w:rFonts w:hint="eastAsia" w:cs="Times New Roman"/>
          <w:sz w:val="24"/>
          <w:szCs w:val="24"/>
        </w:rPr>
        <w:t>（</w:t>
      </w:r>
      <w:r>
        <w:rPr>
          <w:rFonts w:cs="Times New Roman"/>
          <w:sz w:val="24"/>
          <w:szCs w:val="24"/>
        </w:rPr>
        <w:t>Tumor Necrosis Factor-α</w:t>
      </w:r>
      <w:r>
        <w:rPr>
          <w:rFonts w:hint="eastAsia" w:cs="Times New Roman"/>
          <w:sz w:val="24"/>
          <w:szCs w:val="24"/>
        </w:rPr>
        <w:t>，</w:t>
      </w:r>
      <w:r>
        <w:rPr>
          <w:rFonts w:cs="Times New Roman"/>
          <w:sz w:val="24"/>
          <w:szCs w:val="24"/>
        </w:rPr>
        <w:t>TNF-α</w:t>
      </w:r>
      <w:r>
        <w:rPr>
          <w:rFonts w:hint="eastAsia" w:cs="Times New Roman"/>
          <w:sz w:val="24"/>
          <w:szCs w:val="24"/>
        </w:rPr>
        <w:t>）、</w:t>
      </w:r>
      <w:r>
        <w:rPr>
          <w:rFonts w:cs="Times New Roman"/>
          <w:sz w:val="24"/>
          <w:szCs w:val="24"/>
        </w:rPr>
        <w:t>γ</w:t>
      </w:r>
      <w:r>
        <w:rPr>
          <w:rFonts w:hint="eastAsia" w:cs="Times New Roman"/>
          <w:sz w:val="24"/>
          <w:szCs w:val="24"/>
        </w:rPr>
        <w:t>干扰素（</w:t>
      </w:r>
      <w:r>
        <w:rPr>
          <w:rFonts w:cs="Times New Roman"/>
          <w:sz w:val="24"/>
          <w:szCs w:val="24"/>
        </w:rPr>
        <w:t>Interferon-γ</w:t>
      </w:r>
      <w:r>
        <w:rPr>
          <w:rFonts w:hint="eastAsia" w:cs="Times New Roman"/>
          <w:sz w:val="24"/>
          <w:szCs w:val="24"/>
        </w:rPr>
        <w:t>，</w:t>
      </w:r>
      <w:r>
        <w:rPr>
          <w:rFonts w:cs="Times New Roman"/>
          <w:sz w:val="24"/>
          <w:szCs w:val="24"/>
        </w:rPr>
        <w:t>IFN-γ</w:t>
      </w:r>
      <w:r>
        <w:rPr>
          <w:rFonts w:hint="eastAsia" w:cs="Times New Roman"/>
          <w:sz w:val="24"/>
          <w:szCs w:val="24"/>
        </w:rPr>
        <w:t>）、</w:t>
      </w:r>
      <w:r>
        <w:rPr>
          <w:rFonts w:cs="Times New Roman"/>
          <w:sz w:val="24"/>
          <w:szCs w:val="24"/>
        </w:rPr>
        <w:t>IL</w:t>
      </w:r>
      <w:r>
        <w:rPr>
          <w:rFonts w:hint="eastAsia" w:cs="Times New Roman"/>
          <w:sz w:val="24"/>
          <w:szCs w:val="24"/>
        </w:rPr>
        <w:t>（</w:t>
      </w:r>
      <w:r>
        <w:rPr>
          <w:rFonts w:cs="Times New Roman"/>
          <w:sz w:val="24"/>
          <w:szCs w:val="24"/>
        </w:rPr>
        <w:t>Interleukin</w:t>
      </w:r>
      <w:r>
        <w:rPr>
          <w:rFonts w:hint="eastAsia" w:cs="Times New Roman"/>
          <w:sz w:val="24"/>
          <w:szCs w:val="24"/>
        </w:rPr>
        <w:t>，</w:t>
      </w:r>
      <w:r>
        <w:rPr>
          <w:rFonts w:cs="Times New Roman"/>
          <w:sz w:val="24"/>
          <w:szCs w:val="24"/>
        </w:rPr>
        <w:t>IL</w:t>
      </w:r>
      <w:r>
        <w:rPr>
          <w:rFonts w:hint="eastAsia" w:cs="Times New Roman"/>
          <w:sz w:val="24"/>
          <w:szCs w:val="24"/>
        </w:rPr>
        <w:t>）</w:t>
      </w:r>
      <w:r>
        <w:rPr>
          <w:rFonts w:cs="Times New Roman"/>
          <w:sz w:val="24"/>
          <w:szCs w:val="24"/>
        </w:rPr>
        <w:t>17</w:t>
      </w:r>
      <w:r>
        <w:rPr>
          <w:rFonts w:hint="eastAsia" w:cs="Times New Roman"/>
          <w:sz w:val="24"/>
          <w:szCs w:val="24"/>
        </w:rPr>
        <w:t>和</w:t>
      </w:r>
      <w:r>
        <w:rPr>
          <w:rFonts w:cs="Times New Roman"/>
          <w:sz w:val="24"/>
          <w:szCs w:val="24"/>
        </w:rPr>
        <w:t>IL22</w:t>
      </w:r>
      <w:r>
        <w:rPr>
          <w:rFonts w:hint="eastAsia" w:cs="Times New Roman"/>
          <w:sz w:val="24"/>
          <w:szCs w:val="24"/>
        </w:rPr>
        <w:t>等细胞因子，引起银屑病特征性变化，包括中性粒细胞浸润、血管生成。活化的树突细胞等可产生</w:t>
      </w:r>
      <w:r>
        <w:rPr>
          <w:rFonts w:cs="Times New Roman"/>
          <w:sz w:val="24"/>
          <w:szCs w:val="24"/>
        </w:rPr>
        <w:t>IL-12</w:t>
      </w:r>
      <w:r>
        <w:rPr>
          <w:rFonts w:hint="eastAsia" w:cs="Times New Roman"/>
          <w:sz w:val="24"/>
          <w:szCs w:val="24"/>
        </w:rPr>
        <w:t>和</w:t>
      </w:r>
      <w:r>
        <w:rPr>
          <w:rFonts w:cs="Times New Roman"/>
          <w:sz w:val="24"/>
          <w:szCs w:val="24"/>
        </w:rPr>
        <w:t>IL-23</w:t>
      </w:r>
      <w:r>
        <w:rPr>
          <w:rFonts w:hint="eastAsia" w:cs="Times New Roman"/>
          <w:sz w:val="24"/>
          <w:szCs w:val="24"/>
        </w:rPr>
        <w:t>，诱导</w:t>
      </w:r>
      <w:r>
        <w:rPr>
          <w:rFonts w:cs="Times New Roman"/>
          <w:sz w:val="24"/>
          <w:szCs w:val="24"/>
        </w:rPr>
        <w:t>Th1</w:t>
      </w:r>
      <w:r>
        <w:rPr>
          <w:rFonts w:hint="eastAsia" w:cs="Times New Roman"/>
          <w:sz w:val="24"/>
          <w:szCs w:val="24"/>
        </w:rPr>
        <w:t>、</w:t>
      </w:r>
      <w:r>
        <w:rPr>
          <w:rFonts w:cs="Times New Roman"/>
          <w:sz w:val="24"/>
          <w:szCs w:val="24"/>
        </w:rPr>
        <w:t>Th17</w:t>
      </w:r>
      <w:r>
        <w:rPr>
          <w:rFonts w:hint="eastAsia" w:cs="Times New Roman"/>
          <w:sz w:val="24"/>
          <w:szCs w:val="24"/>
        </w:rPr>
        <w:t>和</w:t>
      </w:r>
      <w:r>
        <w:rPr>
          <w:rFonts w:cs="Times New Roman"/>
          <w:sz w:val="24"/>
          <w:szCs w:val="24"/>
        </w:rPr>
        <w:t>Th22</w:t>
      </w:r>
      <w:r>
        <w:rPr>
          <w:rFonts w:hint="eastAsia" w:cs="Times New Roman"/>
          <w:sz w:val="24"/>
          <w:szCs w:val="24"/>
        </w:rPr>
        <w:t>细胞（</w:t>
      </w:r>
      <w:r>
        <w:rPr>
          <w:rFonts w:cs="Times New Roman"/>
          <w:sz w:val="24"/>
          <w:szCs w:val="24"/>
        </w:rPr>
        <w:t>helper T Cell 1/17/22</w:t>
      </w:r>
      <w:r>
        <w:rPr>
          <w:rFonts w:hint="eastAsia" w:cs="Times New Roman"/>
          <w:sz w:val="24"/>
          <w:szCs w:val="24"/>
        </w:rPr>
        <w:t>，</w:t>
      </w:r>
      <w:r>
        <w:rPr>
          <w:rFonts w:cs="Times New Roman"/>
          <w:sz w:val="24"/>
          <w:szCs w:val="24"/>
        </w:rPr>
        <w:t>Th1/17/22</w:t>
      </w:r>
      <w:r>
        <w:rPr>
          <w:rFonts w:hint="eastAsia" w:cs="Times New Roman"/>
          <w:sz w:val="24"/>
          <w:szCs w:val="24"/>
        </w:rPr>
        <w:t>）活化或增殖，产生</w:t>
      </w:r>
      <w:r>
        <w:rPr>
          <w:rFonts w:cs="Times New Roman"/>
          <w:sz w:val="24"/>
          <w:szCs w:val="24"/>
        </w:rPr>
        <w:t>TNF-α</w:t>
      </w:r>
      <w:r>
        <w:rPr>
          <w:rFonts w:hint="eastAsia" w:cs="Times New Roman"/>
          <w:sz w:val="24"/>
          <w:szCs w:val="24"/>
        </w:rPr>
        <w:t>、</w:t>
      </w:r>
      <w:r>
        <w:rPr>
          <w:rFonts w:cs="Times New Roman"/>
          <w:sz w:val="24"/>
          <w:szCs w:val="24"/>
        </w:rPr>
        <w:t>IL-17</w:t>
      </w:r>
      <w:r>
        <w:rPr>
          <w:rFonts w:hint="eastAsia" w:cs="Times New Roman"/>
          <w:sz w:val="24"/>
          <w:szCs w:val="24"/>
        </w:rPr>
        <w:t>和</w:t>
      </w:r>
      <w:r>
        <w:rPr>
          <w:rFonts w:cs="Times New Roman"/>
          <w:sz w:val="24"/>
          <w:szCs w:val="24"/>
        </w:rPr>
        <w:t>IL-22</w:t>
      </w:r>
      <w:r>
        <w:rPr>
          <w:rFonts w:hint="eastAsia" w:cs="Times New Roman"/>
          <w:sz w:val="24"/>
          <w:szCs w:val="24"/>
        </w:rPr>
        <w:t>等细胞因子，刺激角质形成细胞过度增殖及产生相关的细胞因子和趋化因子，形成炎症循环。其中</w:t>
      </w:r>
      <w:r>
        <w:rPr>
          <w:rFonts w:cs="Times New Roman"/>
          <w:sz w:val="24"/>
          <w:szCs w:val="24"/>
        </w:rPr>
        <w:t>IL⁃23</w:t>
      </w:r>
      <w:r>
        <w:rPr>
          <w:rFonts w:hint="eastAsia" w:cs="Times New Roman"/>
          <w:sz w:val="24"/>
          <w:szCs w:val="24"/>
        </w:rPr>
        <w:t>介导的</w:t>
      </w:r>
      <w:r>
        <w:rPr>
          <w:rFonts w:cs="Times New Roman"/>
          <w:sz w:val="24"/>
          <w:szCs w:val="24"/>
        </w:rPr>
        <w:t>Th17</w:t>
      </w:r>
      <w:r>
        <w:rPr>
          <w:rFonts w:hint="eastAsia" w:cs="Times New Roman"/>
          <w:sz w:val="24"/>
          <w:szCs w:val="24"/>
        </w:rPr>
        <w:t>途径活化发挥了核心作用。上述免疫分子与相应的细胞膜受体结合后，通过</w:t>
      </w:r>
      <w:r>
        <w:rPr>
          <w:rFonts w:cs="Times New Roman"/>
          <w:sz w:val="24"/>
          <w:szCs w:val="24"/>
        </w:rPr>
        <w:t>Janus</w:t>
      </w:r>
      <w:r>
        <w:rPr>
          <w:rFonts w:hint="eastAsia" w:cs="Times New Roman"/>
          <w:sz w:val="24"/>
          <w:szCs w:val="24"/>
        </w:rPr>
        <w:t>激酶（</w:t>
      </w:r>
      <w:r>
        <w:rPr>
          <w:rFonts w:cs="Times New Roman"/>
          <w:sz w:val="24"/>
          <w:szCs w:val="24"/>
        </w:rPr>
        <w:t>Janus Kinase</w:t>
      </w:r>
      <w:r>
        <w:rPr>
          <w:rFonts w:hint="eastAsia" w:cs="Times New Roman"/>
          <w:sz w:val="24"/>
          <w:szCs w:val="24"/>
        </w:rPr>
        <w:t>，</w:t>
      </w:r>
      <w:r>
        <w:rPr>
          <w:rFonts w:cs="Times New Roman"/>
          <w:sz w:val="24"/>
          <w:szCs w:val="24"/>
        </w:rPr>
        <w:t>JAK</w:t>
      </w:r>
      <w:r>
        <w:rPr>
          <w:rFonts w:hint="eastAsia" w:cs="Times New Roman"/>
          <w:sz w:val="24"/>
          <w:szCs w:val="24"/>
        </w:rPr>
        <w:t>）、磷酸二酯酶</w:t>
      </w:r>
      <w:r>
        <w:rPr>
          <w:rFonts w:cs="Times New Roman"/>
          <w:sz w:val="24"/>
          <w:szCs w:val="24"/>
        </w:rPr>
        <w:t>4</w:t>
      </w:r>
      <w:r>
        <w:rPr>
          <w:rFonts w:hint="eastAsia" w:cs="Times New Roman"/>
          <w:sz w:val="24"/>
          <w:szCs w:val="24"/>
        </w:rPr>
        <w:t>（</w:t>
      </w:r>
      <w:r>
        <w:rPr>
          <w:rFonts w:cs="Times New Roman"/>
          <w:sz w:val="24"/>
          <w:szCs w:val="24"/>
        </w:rPr>
        <w:t>Phosphodiesterase-4</w:t>
      </w:r>
      <w:r>
        <w:rPr>
          <w:rFonts w:hint="eastAsia" w:cs="Times New Roman"/>
          <w:sz w:val="24"/>
          <w:szCs w:val="24"/>
        </w:rPr>
        <w:t>，</w:t>
      </w:r>
      <w:r>
        <w:rPr>
          <w:rFonts w:cs="Times New Roman"/>
          <w:sz w:val="24"/>
          <w:szCs w:val="24"/>
        </w:rPr>
        <w:t>PDE4</w:t>
      </w:r>
      <w:r>
        <w:rPr>
          <w:rFonts w:hint="eastAsia" w:cs="Times New Roman"/>
          <w:sz w:val="24"/>
          <w:szCs w:val="24"/>
        </w:rPr>
        <w:t>）等信号通路传递，引发斑块状银屑病</w:t>
      </w:r>
      <w:r>
        <w:rPr>
          <w:rFonts w:cs="Times New Roman"/>
          <w:sz w:val="24"/>
          <w:szCs w:val="24"/>
          <w:vertAlign w:val="superscript"/>
        </w:rPr>
        <w:t>[1,4]</w:t>
      </w:r>
      <w:r>
        <w:rPr>
          <w:rFonts w:hint="eastAsia" w:cs="Times New Roman"/>
          <w:sz w:val="24"/>
          <w:szCs w:val="24"/>
        </w:rPr>
        <w:t>。</w:t>
      </w:r>
    </w:p>
    <w:p w14:paraId="4BB4A826">
      <w:pPr>
        <w:pStyle w:val="60"/>
        <w:ind w:firstLine="480"/>
        <w:rPr>
          <w:rFonts w:cs="Times New Roman"/>
          <w:sz w:val="24"/>
          <w:szCs w:val="24"/>
        </w:rPr>
      </w:pPr>
      <w:r>
        <w:rPr>
          <w:rFonts w:hint="eastAsia" w:cs="Times New Roman"/>
          <w:sz w:val="24"/>
          <w:szCs w:val="24"/>
        </w:rPr>
        <w:t>斑块状银屑病的治疗以实现症状和皮损的清除为目的，并考虑用药安全性等因素个性化选择治疗方案。治疗方法包括外用药物、系统治疗及光疗。中度至重度斑块状银屑病通常需要系统治疗。系统治疗包括传统药物（如甲氨蝶呤、环孢素、维</w:t>
      </w:r>
      <w:r>
        <w:rPr>
          <w:rFonts w:cs="Times New Roman"/>
          <w:sz w:val="24"/>
          <w:szCs w:val="24"/>
        </w:rPr>
        <w:t>A</w:t>
      </w:r>
      <w:r>
        <w:rPr>
          <w:rFonts w:hint="eastAsia" w:cs="Times New Roman"/>
          <w:sz w:val="24"/>
          <w:szCs w:val="24"/>
        </w:rPr>
        <w:t>酸类）、生物制剂和小分子靶向药物。已上市的生物制剂治疗靶点包括</w:t>
      </w:r>
      <w:r>
        <w:rPr>
          <w:rFonts w:cs="Times New Roman"/>
          <w:sz w:val="24"/>
          <w:szCs w:val="24"/>
        </w:rPr>
        <w:t>TNF-α</w:t>
      </w:r>
      <w:r>
        <w:rPr>
          <w:rFonts w:hint="eastAsia" w:cs="Times New Roman"/>
          <w:sz w:val="24"/>
          <w:szCs w:val="24"/>
        </w:rPr>
        <w:t>、</w:t>
      </w:r>
      <w:r>
        <w:rPr>
          <w:rFonts w:cs="Times New Roman"/>
          <w:sz w:val="24"/>
          <w:szCs w:val="24"/>
        </w:rPr>
        <w:t>IL-12/23</w:t>
      </w:r>
      <w:r>
        <w:rPr>
          <w:rFonts w:hint="eastAsia" w:cs="Times New Roman"/>
          <w:sz w:val="24"/>
          <w:szCs w:val="24"/>
        </w:rPr>
        <w:t>、</w:t>
      </w:r>
      <w:r>
        <w:rPr>
          <w:rFonts w:cs="Times New Roman"/>
          <w:sz w:val="24"/>
          <w:szCs w:val="24"/>
        </w:rPr>
        <w:t>IL-17</w:t>
      </w:r>
      <w:r>
        <w:rPr>
          <w:rFonts w:hint="eastAsia" w:cs="Times New Roman"/>
          <w:sz w:val="24"/>
          <w:szCs w:val="24"/>
        </w:rPr>
        <w:t>和</w:t>
      </w:r>
      <w:r>
        <w:rPr>
          <w:rFonts w:cs="Times New Roman"/>
          <w:sz w:val="24"/>
          <w:szCs w:val="24"/>
        </w:rPr>
        <w:t>IL-23</w:t>
      </w:r>
      <w:r>
        <w:rPr>
          <w:rFonts w:hint="eastAsia" w:cs="Times New Roman"/>
          <w:sz w:val="24"/>
          <w:szCs w:val="24"/>
        </w:rPr>
        <w:t>。小分子靶向药物目前研发靶点集中于</w:t>
      </w:r>
      <w:r>
        <w:rPr>
          <w:rFonts w:cs="Times New Roman"/>
          <w:sz w:val="24"/>
          <w:szCs w:val="24"/>
        </w:rPr>
        <w:t>PDE4</w:t>
      </w:r>
      <w:r>
        <w:rPr>
          <w:rFonts w:hint="eastAsia" w:cs="Times New Roman"/>
          <w:sz w:val="24"/>
          <w:szCs w:val="24"/>
        </w:rPr>
        <w:t>、</w:t>
      </w:r>
      <w:r>
        <w:rPr>
          <w:rFonts w:cs="Times New Roman"/>
          <w:sz w:val="24"/>
          <w:szCs w:val="24"/>
        </w:rPr>
        <w:t>JAK1-3</w:t>
      </w:r>
      <w:r>
        <w:rPr>
          <w:rFonts w:hint="eastAsia" w:cs="Times New Roman"/>
          <w:sz w:val="24"/>
          <w:szCs w:val="24"/>
        </w:rPr>
        <w:t>及</w:t>
      </w:r>
      <w:r>
        <w:rPr>
          <w:rFonts w:cs="Times New Roman"/>
          <w:sz w:val="24"/>
          <w:szCs w:val="24"/>
        </w:rPr>
        <w:t>TYK2</w:t>
      </w:r>
      <w:r>
        <w:rPr>
          <w:rFonts w:hint="eastAsia" w:cs="Times New Roman"/>
          <w:sz w:val="24"/>
          <w:szCs w:val="24"/>
        </w:rPr>
        <w:t>等分子，国内已上市的有阿普米斯特（</w:t>
      </w:r>
      <w:r>
        <w:rPr>
          <w:rFonts w:cs="Times New Roman"/>
          <w:sz w:val="24"/>
          <w:szCs w:val="24"/>
        </w:rPr>
        <w:t>PDE4</w:t>
      </w:r>
      <w:r>
        <w:rPr>
          <w:rFonts w:hint="eastAsia" w:cs="Times New Roman"/>
          <w:sz w:val="24"/>
          <w:szCs w:val="24"/>
        </w:rPr>
        <w:t>抑制剂）和氘可来昔替尼（</w:t>
      </w:r>
      <w:r>
        <w:rPr>
          <w:rFonts w:cs="Times New Roman"/>
          <w:sz w:val="24"/>
          <w:szCs w:val="24"/>
        </w:rPr>
        <w:t>Tyrosine kinase 2</w:t>
      </w:r>
      <w:r>
        <w:rPr>
          <w:rFonts w:hint="eastAsia" w:cs="Times New Roman"/>
          <w:sz w:val="24"/>
          <w:szCs w:val="24"/>
        </w:rPr>
        <w:t>，</w:t>
      </w:r>
      <w:r>
        <w:rPr>
          <w:rFonts w:cs="Times New Roman"/>
          <w:sz w:val="24"/>
          <w:szCs w:val="24"/>
        </w:rPr>
        <w:t>TYK2</w:t>
      </w:r>
      <w:r>
        <w:rPr>
          <w:rFonts w:hint="eastAsia" w:cs="Times New Roman"/>
          <w:sz w:val="24"/>
          <w:szCs w:val="24"/>
        </w:rPr>
        <w:t>抑制剂）</w:t>
      </w:r>
      <w:r>
        <w:rPr>
          <w:rFonts w:cs="Times New Roman"/>
          <w:sz w:val="24"/>
          <w:szCs w:val="24"/>
          <w:vertAlign w:val="superscript"/>
        </w:rPr>
        <w:t>[1,5]</w:t>
      </w:r>
      <w:r>
        <w:rPr>
          <w:rFonts w:hint="eastAsia" w:cs="Times New Roman"/>
          <w:sz w:val="24"/>
          <w:szCs w:val="24"/>
        </w:rPr>
        <w:t>。</w:t>
      </w:r>
    </w:p>
    <w:p w14:paraId="132D4A66">
      <w:pPr>
        <w:pStyle w:val="60"/>
        <w:ind w:firstLine="480"/>
        <w:rPr>
          <w:rFonts w:cs="Times New Roman"/>
          <w:sz w:val="24"/>
          <w:szCs w:val="24"/>
        </w:rPr>
      </w:pPr>
      <w:r>
        <w:rPr>
          <w:rFonts w:hint="eastAsia" w:cs="Times New Roman"/>
          <w:sz w:val="24"/>
          <w:szCs w:val="24"/>
        </w:rPr>
        <w:t>以上药物虽可用于中度至重度斑块状银屑病治疗，但仍有部分患者耐药和</w:t>
      </w:r>
      <w:r>
        <w:rPr>
          <w:rFonts w:cs="Times New Roman"/>
          <w:sz w:val="24"/>
          <w:szCs w:val="24"/>
        </w:rPr>
        <w:t>/</w:t>
      </w:r>
      <w:r>
        <w:rPr>
          <w:rFonts w:hint="eastAsia" w:cs="Times New Roman"/>
          <w:sz w:val="24"/>
          <w:szCs w:val="24"/>
        </w:rPr>
        <w:t>或存在其它各种不足。甲氨蝶呤可引起骨髓抑制和肝毒性，长期应用可引起肝纤维化和肝硬化。环孢素不良反应包括高血压和肾毒性。维</w:t>
      </w:r>
      <w:r>
        <w:rPr>
          <w:rFonts w:cs="Times New Roman"/>
          <w:sz w:val="24"/>
          <w:szCs w:val="24"/>
        </w:rPr>
        <w:t>A</w:t>
      </w:r>
      <w:r>
        <w:rPr>
          <w:rFonts w:hint="eastAsia" w:cs="Times New Roman"/>
          <w:sz w:val="24"/>
          <w:szCs w:val="24"/>
        </w:rPr>
        <w:t>酸类可引起高脂血症并具有致畸性。生物制剂均为皮下或静脉给药，可能引起免疫抑制和发生严重超敏反应，治疗费用昂贵。阿普米斯特有效性较低</w:t>
      </w:r>
      <w:r>
        <w:rPr>
          <w:rFonts w:cs="Times New Roman"/>
          <w:sz w:val="24"/>
          <w:szCs w:val="24"/>
          <w:vertAlign w:val="superscript"/>
        </w:rPr>
        <w:t>[1,5]</w:t>
      </w:r>
      <w:r>
        <w:rPr>
          <w:rFonts w:hint="eastAsia" w:cs="Times New Roman"/>
          <w:sz w:val="24"/>
          <w:szCs w:val="24"/>
        </w:rPr>
        <w:t>。</w:t>
      </w:r>
    </w:p>
    <w:p w14:paraId="28941672">
      <w:pPr>
        <w:pStyle w:val="60"/>
        <w:ind w:firstLine="480"/>
        <w:rPr>
          <w:rFonts w:cs="Times New Roman"/>
          <w:sz w:val="24"/>
          <w:szCs w:val="24"/>
        </w:rPr>
      </w:pPr>
      <w:r>
        <w:rPr>
          <w:rFonts w:hint="eastAsia" w:cs="Times New Roman"/>
          <w:sz w:val="24"/>
          <w:szCs w:val="24"/>
        </w:rPr>
        <w:t>综上，无论是从疗效、安全性、给药方式、经济性等方面来看，中度至重度斑块状银屑病的治疗仍存在巨大的未被满足的临床需求，仍需开发新靶点治疗药物以解决现有药物的疗效不足、副作用明显、价格昂贵、依从性差等问题。</w:t>
      </w:r>
    </w:p>
    <w:p w14:paraId="24F0D257">
      <w:pPr>
        <w:pStyle w:val="116"/>
        <w:numPr>
          <w:ilvl w:val="1"/>
          <w:numId w:val="12"/>
        </w:numPr>
        <w:jc w:val="left"/>
        <w:rPr>
          <w:rFonts w:cs="Times New Roman"/>
          <w:sz w:val="24"/>
          <w:szCs w:val="24"/>
        </w:rPr>
      </w:pPr>
      <w:bookmarkStart w:id="17" w:name="_Toc217032202"/>
      <w:r>
        <w:rPr>
          <w:rFonts w:hint="eastAsia" w:cs="Times New Roman"/>
          <w:sz w:val="24"/>
          <w:szCs w:val="24"/>
        </w:rPr>
        <w:t>研究药物背景</w:t>
      </w:r>
      <w:bookmarkEnd w:id="17"/>
    </w:p>
    <w:p w14:paraId="1691CC5E">
      <w:pPr>
        <w:pStyle w:val="116"/>
        <w:numPr>
          <w:ilvl w:val="2"/>
          <w:numId w:val="12"/>
        </w:numPr>
        <w:jc w:val="left"/>
        <w:outlineLvl w:val="2"/>
        <w:rPr>
          <w:rFonts w:cs="Times New Roman"/>
          <w:sz w:val="24"/>
          <w:szCs w:val="24"/>
        </w:rPr>
      </w:pPr>
      <w:r>
        <w:rPr>
          <w:rFonts w:cs="Times New Roman"/>
          <w:sz w:val="24"/>
          <w:szCs w:val="24"/>
        </w:rPr>
        <w:t xml:space="preserve"> </w:t>
      </w:r>
      <w:bookmarkStart w:id="18" w:name="_Toc217032203"/>
      <w:r>
        <w:rPr>
          <w:rFonts w:cs="Times New Roman"/>
          <w:sz w:val="24"/>
          <w:szCs w:val="24"/>
        </w:rPr>
        <w:t>TYK2</w:t>
      </w:r>
      <w:r>
        <w:rPr>
          <w:rFonts w:hint="eastAsia" w:cs="Times New Roman"/>
          <w:sz w:val="24"/>
          <w:szCs w:val="24"/>
        </w:rPr>
        <w:t>抑制剂</w:t>
      </w:r>
      <w:bookmarkEnd w:id="18"/>
    </w:p>
    <w:p w14:paraId="114522AB">
      <w:pPr>
        <w:pStyle w:val="60"/>
        <w:ind w:firstLine="480"/>
        <w:rPr>
          <w:rStyle w:val="99"/>
          <w:rFonts w:cs="Times New Roman"/>
          <w:sz w:val="24"/>
          <w:szCs w:val="24"/>
        </w:rPr>
      </w:pPr>
      <w:r>
        <w:rPr>
          <w:rStyle w:val="99"/>
          <w:rFonts w:cs="Times New Roman"/>
          <w:sz w:val="24"/>
          <w:szCs w:val="24"/>
        </w:rPr>
        <w:t>TYK2</w:t>
      </w:r>
      <w:r>
        <w:rPr>
          <w:rStyle w:val="99"/>
          <w:rFonts w:hint="eastAsia" w:cs="Times New Roman"/>
          <w:sz w:val="24"/>
          <w:szCs w:val="24"/>
        </w:rPr>
        <w:t>与</w:t>
      </w:r>
      <w:r>
        <w:rPr>
          <w:rStyle w:val="99"/>
          <w:rFonts w:cs="Times New Roman"/>
          <w:sz w:val="24"/>
          <w:szCs w:val="24"/>
        </w:rPr>
        <w:t>JAK1</w:t>
      </w:r>
      <w:r>
        <w:rPr>
          <w:rStyle w:val="99"/>
          <w:rFonts w:hint="eastAsia" w:cs="Times New Roman"/>
          <w:sz w:val="24"/>
          <w:szCs w:val="24"/>
        </w:rPr>
        <w:t>、</w:t>
      </w:r>
      <w:r>
        <w:rPr>
          <w:rStyle w:val="99"/>
          <w:rFonts w:cs="Times New Roman"/>
          <w:sz w:val="24"/>
          <w:szCs w:val="24"/>
        </w:rPr>
        <w:t>JAK2</w:t>
      </w:r>
      <w:r>
        <w:rPr>
          <w:rStyle w:val="99"/>
          <w:rFonts w:hint="eastAsia" w:cs="Times New Roman"/>
          <w:sz w:val="24"/>
          <w:szCs w:val="24"/>
        </w:rPr>
        <w:t>、</w:t>
      </w:r>
      <w:r>
        <w:rPr>
          <w:rStyle w:val="99"/>
          <w:rFonts w:cs="Times New Roman"/>
          <w:sz w:val="24"/>
          <w:szCs w:val="24"/>
        </w:rPr>
        <w:t>JAK3</w:t>
      </w:r>
      <w:r>
        <w:rPr>
          <w:rStyle w:val="99"/>
          <w:rFonts w:hint="eastAsia" w:cs="Times New Roman"/>
          <w:sz w:val="24"/>
          <w:szCs w:val="24"/>
        </w:rPr>
        <w:t>同属于</w:t>
      </w:r>
      <w:r>
        <w:rPr>
          <w:rStyle w:val="99"/>
          <w:rFonts w:cs="Times New Roman"/>
          <w:sz w:val="24"/>
          <w:szCs w:val="24"/>
        </w:rPr>
        <w:t>JAK</w:t>
      </w:r>
      <w:r>
        <w:rPr>
          <w:rStyle w:val="99"/>
          <w:rFonts w:hint="eastAsia" w:cs="Times New Roman"/>
          <w:sz w:val="24"/>
          <w:szCs w:val="24"/>
        </w:rPr>
        <w:t>家族成员。</w:t>
      </w:r>
      <w:r>
        <w:rPr>
          <w:rStyle w:val="99"/>
          <w:rFonts w:cs="Times New Roman"/>
          <w:sz w:val="24"/>
          <w:szCs w:val="24"/>
        </w:rPr>
        <w:t>JAK</w:t>
      </w:r>
      <w:r>
        <w:rPr>
          <w:rStyle w:val="99"/>
          <w:rFonts w:hint="eastAsia" w:cs="Times New Roman"/>
          <w:sz w:val="24"/>
          <w:szCs w:val="24"/>
        </w:rPr>
        <w:t>是一种非受体酪氨酸激酶，被激活后发生二聚磷酸化，然后与信号传导转录活化因子（</w:t>
      </w:r>
      <w:r>
        <w:rPr>
          <w:rStyle w:val="99"/>
          <w:rFonts w:cs="Times New Roman"/>
          <w:sz w:val="24"/>
          <w:szCs w:val="24"/>
        </w:rPr>
        <w:t>Signal Transducers and Activators of Transcription</w:t>
      </w:r>
      <w:r>
        <w:rPr>
          <w:rStyle w:val="99"/>
          <w:rFonts w:hint="eastAsia" w:cs="Times New Roman"/>
          <w:sz w:val="24"/>
          <w:szCs w:val="24"/>
        </w:rPr>
        <w:t>，</w:t>
      </w:r>
      <w:r>
        <w:rPr>
          <w:rStyle w:val="99"/>
          <w:rFonts w:cs="Times New Roman"/>
          <w:sz w:val="24"/>
          <w:szCs w:val="24"/>
        </w:rPr>
        <w:t>STAT</w:t>
      </w:r>
      <w:r>
        <w:rPr>
          <w:rStyle w:val="99"/>
          <w:rFonts w:hint="eastAsia" w:cs="Times New Roman"/>
          <w:sz w:val="24"/>
          <w:szCs w:val="24"/>
        </w:rPr>
        <w:t>）结合使</w:t>
      </w:r>
      <w:r>
        <w:rPr>
          <w:rStyle w:val="99"/>
          <w:rFonts w:cs="Times New Roman"/>
          <w:sz w:val="24"/>
          <w:szCs w:val="24"/>
        </w:rPr>
        <w:t>STAT</w:t>
      </w:r>
      <w:r>
        <w:rPr>
          <w:rStyle w:val="99"/>
          <w:rFonts w:hint="eastAsia" w:cs="Times New Roman"/>
          <w:sz w:val="24"/>
          <w:szCs w:val="24"/>
        </w:rPr>
        <w:t>磷酸化活化，影响核内脱氧核糖核酸（</w:t>
      </w:r>
      <w:r>
        <w:rPr>
          <w:rStyle w:val="99"/>
          <w:rFonts w:cs="Times New Roman"/>
          <w:sz w:val="24"/>
          <w:szCs w:val="24"/>
        </w:rPr>
        <w:t>DeoxyriboNucleic Acid</w:t>
      </w:r>
      <w:r>
        <w:rPr>
          <w:rStyle w:val="99"/>
          <w:rFonts w:hint="eastAsia" w:cs="Times New Roman"/>
          <w:sz w:val="24"/>
          <w:szCs w:val="24"/>
        </w:rPr>
        <w:t>，</w:t>
      </w:r>
      <w:r>
        <w:rPr>
          <w:rStyle w:val="99"/>
          <w:rFonts w:cs="Times New Roman"/>
          <w:sz w:val="24"/>
          <w:szCs w:val="24"/>
        </w:rPr>
        <w:t>DNA</w:t>
      </w:r>
      <w:r>
        <w:rPr>
          <w:rStyle w:val="99"/>
          <w:rFonts w:hint="eastAsia" w:cs="Times New Roman"/>
          <w:sz w:val="24"/>
          <w:szCs w:val="24"/>
        </w:rPr>
        <w:t>）转录和表达，广泛参与细胞增殖、分化、凋亡、血管生成及免疫调节等过程</w:t>
      </w:r>
      <w:r>
        <w:rPr>
          <w:rStyle w:val="99"/>
          <w:rFonts w:cs="Times New Roman"/>
          <w:sz w:val="24"/>
          <w:szCs w:val="24"/>
          <w:vertAlign w:val="superscript"/>
        </w:rPr>
        <w:t>[6]</w:t>
      </w:r>
      <w:r>
        <w:rPr>
          <w:rStyle w:val="99"/>
          <w:rFonts w:hint="eastAsia" w:cs="Times New Roman"/>
          <w:sz w:val="24"/>
          <w:szCs w:val="24"/>
        </w:rPr>
        <w:t>。其中，</w:t>
      </w:r>
      <w:r>
        <w:rPr>
          <w:rStyle w:val="99"/>
          <w:rFonts w:cs="Times New Roman"/>
          <w:sz w:val="24"/>
          <w:szCs w:val="24"/>
        </w:rPr>
        <w:t>TYK2</w:t>
      </w:r>
      <w:r>
        <w:rPr>
          <w:rStyle w:val="99"/>
          <w:rFonts w:hint="eastAsia" w:cs="Times New Roman"/>
          <w:sz w:val="24"/>
          <w:szCs w:val="24"/>
        </w:rPr>
        <w:t>可与</w:t>
      </w:r>
      <w:r>
        <w:rPr>
          <w:rStyle w:val="99"/>
          <w:rFonts w:cs="Times New Roman"/>
          <w:sz w:val="24"/>
          <w:szCs w:val="24"/>
        </w:rPr>
        <w:t>JAK2</w:t>
      </w:r>
      <w:r>
        <w:rPr>
          <w:rStyle w:val="99"/>
          <w:rFonts w:hint="eastAsia" w:cs="Times New Roman"/>
          <w:sz w:val="24"/>
          <w:szCs w:val="24"/>
        </w:rPr>
        <w:t>或</w:t>
      </w:r>
      <w:r>
        <w:rPr>
          <w:rStyle w:val="99"/>
          <w:rFonts w:cs="Times New Roman"/>
          <w:sz w:val="24"/>
          <w:szCs w:val="24"/>
        </w:rPr>
        <w:t>JAK1</w:t>
      </w:r>
      <w:r>
        <w:rPr>
          <w:rStyle w:val="99"/>
          <w:rFonts w:hint="eastAsia" w:cs="Times New Roman"/>
          <w:sz w:val="24"/>
          <w:szCs w:val="24"/>
        </w:rPr>
        <w:t>二聚化，主要介导</w:t>
      </w:r>
      <w:r>
        <w:rPr>
          <w:rStyle w:val="99"/>
          <w:rFonts w:cs="Times New Roman"/>
          <w:sz w:val="24"/>
          <w:szCs w:val="24"/>
        </w:rPr>
        <w:t>IL-12</w:t>
      </w:r>
      <w:r>
        <w:rPr>
          <w:rStyle w:val="99"/>
          <w:rFonts w:hint="eastAsia" w:cs="Times New Roman"/>
          <w:sz w:val="24"/>
          <w:szCs w:val="24"/>
        </w:rPr>
        <w:t>、</w:t>
      </w:r>
      <w:r>
        <w:rPr>
          <w:rStyle w:val="99"/>
          <w:rFonts w:cs="Times New Roman"/>
          <w:sz w:val="24"/>
          <w:szCs w:val="24"/>
        </w:rPr>
        <w:t>IL-23</w:t>
      </w:r>
      <w:r>
        <w:rPr>
          <w:rStyle w:val="99"/>
          <w:rFonts w:hint="eastAsia" w:cs="Times New Roman"/>
          <w:sz w:val="24"/>
          <w:szCs w:val="24"/>
        </w:rPr>
        <w:t>和</w:t>
      </w:r>
      <w:r>
        <w:rPr>
          <w:rStyle w:val="99"/>
          <w:rFonts w:cs="Times New Roman"/>
          <w:sz w:val="24"/>
          <w:szCs w:val="24"/>
        </w:rPr>
        <w:t>I</w:t>
      </w:r>
      <w:r>
        <w:rPr>
          <w:rStyle w:val="99"/>
          <w:rFonts w:hint="eastAsia" w:cs="Times New Roman"/>
          <w:sz w:val="24"/>
          <w:szCs w:val="24"/>
        </w:rPr>
        <w:t>型</w:t>
      </w:r>
      <w:r>
        <w:rPr>
          <w:rStyle w:val="99"/>
          <w:rFonts w:cs="Times New Roman"/>
          <w:sz w:val="24"/>
          <w:szCs w:val="24"/>
        </w:rPr>
        <w:t>IFN</w:t>
      </w:r>
      <w:r>
        <w:rPr>
          <w:rStyle w:val="99"/>
          <w:rFonts w:hint="eastAsia" w:cs="Times New Roman"/>
          <w:sz w:val="24"/>
          <w:szCs w:val="24"/>
        </w:rPr>
        <w:t>驱动的应答，而这些细胞因子在多种免疫介导疾病中均发挥重要作用</w:t>
      </w:r>
      <w:r>
        <w:rPr>
          <w:rStyle w:val="99"/>
          <w:rFonts w:cs="Times New Roman"/>
          <w:sz w:val="24"/>
          <w:szCs w:val="24"/>
          <w:vertAlign w:val="superscript"/>
        </w:rPr>
        <w:t>[7]</w:t>
      </w:r>
      <w:r>
        <w:rPr>
          <w:rStyle w:val="99"/>
          <w:rFonts w:hint="eastAsia" w:cs="Times New Roman"/>
          <w:sz w:val="24"/>
          <w:szCs w:val="24"/>
        </w:rPr>
        <w:t>。与银屑病发生最相关的是</w:t>
      </w:r>
      <w:r>
        <w:rPr>
          <w:rStyle w:val="99"/>
          <w:rFonts w:cs="Times New Roman"/>
          <w:sz w:val="24"/>
          <w:szCs w:val="24"/>
        </w:rPr>
        <w:t>IL-23</w:t>
      </w:r>
      <w:r>
        <w:rPr>
          <w:rStyle w:val="99"/>
          <w:rFonts w:hint="eastAsia" w:cs="Times New Roman"/>
          <w:sz w:val="24"/>
          <w:szCs w:val="24"/>
        </w:rPr>
        <w:t>介导的</w:t>
      </w:r>
      <w:r>
        <w:rPr>
          <w:rStyle w:val="99"/>
          <w:rFonts w:cs="Times New Roman"/>
          <w:sz w:val="24"/>
          <w:szCs w:val="24"/>
        </w:rPr>
        <w:t>Th17</w:t>
      </w:r>
      <w:r>
        <w:rPr>
          <w:rStyle w:val="99"/>
          <w:rFonts w:hint="eastAsia" w:cs="Times New Roman"/>
          <w:sz w:val="24"/>
          <w:szCs w:val="24"/>
        </w:rPr>
        <w:t>途径活化。</w:t>
      </w:r>
      <w:r>
        <w:rPr>
          <w:rStyle w:val="99"/>
          <w:rFonts w:cs="Times New Roman"/>
          <w:sz w:val="24"/>
          <w:szCs w:val="24"/>
        </w:rPr>
        <w:t>IL-23</w:t>
      </w:r>
      <w:r>
        <w:rPr>
          <w:rStyle w:val="99"/>
          <w:rFonts w:hint="eastAsia" w:cs="Times New Roman"/>
          <w:sz w:val="24"/>
          <w:szCs w:val="24"/>
        </w:rPr>
        <w:t>可刺激</w:t>
      </w:r>
      <w:r>
        <w:rPr>
          <w:rStyle w:val="99"/>
          <w:rFonts w:cs="Times New Roman"/>
          <w:sz w:val="24"/>
          <w:szCs w:val="24"/>
        </w:rPr>
        <w:t>Th17</w:t>
      </w:r>
      <w:r>
        <w:rPr>
          <w:rStyle w:val="99"/>
          <w:rFonts w:hint="eastAsia" w:cs="Times New Roman"/>
          <w:sz w:val="24"/>
          <w:szCs w:val="24"/>
        </w:rPr>
        <w:t>产生多种银屑病发病关键促炎因子，包括</w:t>
      </w:r>
      <w:r>
        <w:rPr>
          <w:rStyle w:val="99"/>
          <w:rFonts w:cs="Times New Roman"/>
          <w:sz w:val="24"/>
          <w:szCs w:val="24"/>
        </w:rPr>
        <w:t>IL-17A</w:t>
      </w:r>
      <w:r>
        <w:rPr>
          <w:rStyle w:val="99"/>
          <w:rFonts w:hint="eastAsia" w:cs="Times New Roman"/>
          <w:sz w:val="24"/>
          <w:szCs w:val="24"/>
        </w:rPr>
        <w:t>和</w:t>
      </w:r>
      <w:r>
        <w:rPr>
          <w:rStyle w:val="99"/>
          <w:rFonts w:cs="Times New Roman"/>
          <w:sz w:val="24"/>
          <w:szCs w:val="24"/>
        </w:rPr>
        <w:t>IL-17F</w:t>
      </w:r>
      <w:r>
        <w:rPr>
          <w:rStyle w:val="99"/>
          <w:rFonts w:cs="Times New Roman"/>
          <w:sz w:val="24"/>
          <w:szCs w:val="24"/>
          <w:vertAlign w:val="superscript"/>
        </w:rPr>
        <w:t>[4,5]</w:t>
      </w:r>
      <w:r>
        <w:rPr>
          <w:rStyle w:val="99"/>
          <w:rFonts w:hint="eastAsia" w:cs="Times New Roman"/>
          <w:sz w:val="24"/>
          <w:szCs w:val="24"/>
        </w:rPr>
        <w:t>。因此靶向抑制</w:t>
      </w:r>
      <w:r>
        <w:rPr>
          <w:rStyle w:val="99"/>
          <w:rFonts w:cs="Times New Roman"/>
          <w:sz w:val="24"/>
          <w:szCs w:val="24"/>
        </w:rPr>
        <w:t>TYK2</w:t>
      </w:r>
      <w:r>
        <w:rPr>
          <w:rStyle w:val="99"/>
          <w:rFonts w:hint="eastAsia" w:cs="Times New Roman"/>
          <w:sz w:val="24"/>
          <w:szCs w:val="24"/>
        </w:rPr>
        <w:t>，有望通过抑制炎症信号分子驱动的应答，包括抑制银屑病发病关键</w:t>
      </w:r>
      <w:r>
        <w:rPr>
          <w:rStyle w:val="99"/>
          <w:rFonts w:cs="Times New Roman"/>
          <w:sz w:val="24"/>
          <w:szCs w:val="24"/>
        </w:rPr>
        <w:t>IL23/Th17</w:t>
      </w:r>
      <w:r>
        <w:rPr>
          <w:rStyle w:val="99"/>
          <w:rFonts w:hint="eastAsia" w:cs="Times New Roman"/>
          <w:sz w:val="24"/>
          <w:szCs w:val="24"/>
        </w:rPr>
        <w:t>信号轴，以达到治疗银屑病的目的。</w:t>
      </w:r>
    </w:p>
    <w:p w14:paraId="06372C28">
      <w:pPr>
        <w:pStyle w:val="60"/>
        <w:ind w:firstLine="480"/>
        <w:rPr>
          <w:rStyle w:val="99"/>
          <w:rFonts w:cs="Times New Roman"/>
          <w:sz w:val="24"/>
          <w:szCs w:val="24"/>
        </w:rPr>
      </w:pPr>
      <w:r>
        <w:rPr>
          <w:rStyle w:val="99"/>
          <w:rFonts w:hint="eastAsia" w:cs="Times New Roman"/>
          <w:sz w:val="24"/>
          <w:szCs w:val="24"/>
        </w:rPr>
        <w:t>截至目前，已有一款</w:t>
      </w:r>
      <w:r>
        <w:rPr>
          <w:rStyle w:val="99"/>
          <w:rFonts w:cs="Times New Roman"/>
          <w:sz w:val="24"/>
          <w:szCs w:val="24"/>
        </w:rPr>
        <w:t>TYK2</w:t>
      </w:r>
      <w:r>
        <w:rPr>
          <w:rStyle w:val="99"/>
          <w:rFonts w:hint="eastAsia" w:cs="Times New Roman"/>
          <w:sz w:val="24"/>
          <w:szCs w:val="24"/>
        </w:rPr>
        <w:t>抑制剂（氘可来昔替尼）分别于</w:t>
      </w:r>
      <w:r>
        <w:rPr>
          <w:rStyle w:val="99"/>
          <w:rFonts w:cs="Times New Roman"/>
          <w:sz w:val="24"/>
          <w:szCs w:val="24"/>
        </w:rPr>
        <w:t>2022</w:t>
      </w:r>
      <w:r>
        <w:rPr>
          <w:rStyle w:val="99"/>
          <w:rFonts w:hint="eastAsia" w:cs="Times New Roman"/>
          <w:sz w:val="24"/>
          <w:szCs w:val="24"/>
        </w:rPr>
        <w:t>年</w:t>
      </w:r>
      <w:r>
        <w:rPr>
          <w:rStyle w:val="99"/>
          <w:rFonts w:cs="Times New Roman"/>
          <w:sz w:val="24"/>
          <w:szCs w:val="24"/>
        </w:rPr>
        <w:t>9</w:t>
      </w:r>
      <w:r>
        <w:rPr>
          <w:rStyle w:val="99"/>
          <w:rFonts w:hint="eastAsia" w:cs="Times New Roman"/>
          <w:sz w:val="24"/>
          <w:szCs w:val="24"/>
        </w:rPr>
        <w:t>月获美国食品药品监督管理局（</w:t>
      </w:r>
      <w:r>
        <w:rPr>
          <w:rStyle w:val="99"/>
          <w:rFonts w:cs="Times New Roman"/>
          <w:sz w:val="24"/>
          <w:szCs w:val="24"/>
        </w:rPr>
        <w:t>Food and Drug Administration</w:t>
      </w:r>
      <w:r>
        <w:rPr>
          <w:rStyle w:val="99"/>
          <w:rFonts w:hint="eastAsia" w:cs="Times New Roman"/>
          <w:sz w:val="24"/>
          <w:szCs w:val="24"/>
        </w:rPr>
        <w:t>，</w:t>
      </w:r>
      <w:r>
        <w:rPr>
          <w:rStyle w:val="99"/>
          <w:rFonts w:cs="Times New Roman"/>
          <w:sz w:val="24"/>
          <w:szCs w:val="24"/>
        </w:rPr>
        <w:t>USA</w:t>
      </w:r>
      <w:r>
        <w:rPr>
          <w:rStyle w:val="99"/>
          <w:rFonts w:hint="eastAsia" w:cs="Times New Roman"/>
          <w:sz w:val="24"/>
          <w:szCs w:val="24"/>
        </w:rPr>
        <w:t>，</w:t>
      </w:r>
      <w:r>
        <w:rPr>
          <w:rStyle w:val="99"/>
          <w:rFonts w:cs="Times New Roman"/>
          <w:sz w:val="24"/>
          <w:szCs w:val="24"/>
        </w:rPr>
        <w:t>FDA</w:t>
      </w:r>
      <w:r>
        <w:rPr>
          <w:rStyle w:val="99"/>
          <w:rFonts w:hint="eastAsia" w:cs="Times New Roman"/>
          <w:sz w:val="24"/>
          <w:szCs w:val="24"/>
        </w:rPr>
        <w:t>）和</w:t>
      </w:r>
      <w:r>
        <w:rPr>
          <w:rStyle w:val="99"/>
          <w:rFonts w:cs="Times New Roman"/>
          <w:sz w:val="24"/>
          <w:szCs w:val="24"/>
        </w:rPr>
        <w:t>2023</w:t>
      </w:r>
      <w:r>
        <w:rPr>
          <w:rStyle w:val="99"/>
          <w:rFonts w:hint="eastAsia" w:cs="Times New Roman"/>
          <w:sz w:val="24"/>
          <w:szCs w:val="24"/>
        </w:rPr>
        <w:t>年</w:t>
      </w:r>
      <w:r>
        <w:rPr>
          <w:rStyle w:val="99"/>
          <w:rFonts w:cs="Times New Roman"/>
          <w:sz w:val="24"/>
          <w:szCs w:val="24"/>
        </w:rPr>
        <w:t>10</w:t>
      </w:r>
      <w:r>
        <w:rPr>
          <w:rStyle w:val="99"/>
          <w:rFonts w:hint="eastAsia" w:cs="Times New Roman"/>
          <w:sz w:val="24"/>
          <w:szCs w:val="24"/>
        </w:rPr>
        <w:t>月获国家药品监督管理局（</w:t>
      </w:r>
      <w:r>
        <w:rPr>
          <w:rStyle w:val="99"/>
          <w:rFonts w:cs="Times New Roman"/>
          <w:sz w:val="24"/>
          <w:szCs w:val="24"/>
        </w:rPr>
        <w:t>National Medical Products Administration</w:t>
      </w:r>
      <w:r>
        <w:rPr>
          <w:rStyle w:val="99"/>
          <w:rFonts w:hint="eastAsia" w:cs="Times New Roman"/>
          <w:sz w:val="24"/>
          <w:szCs w:val="24"/>
        </w:rPr>
        <w:t>，</w:t>
      </w:r>
      <w:r>
        <w:rPr>
          <w:rStyle w:val="99"/>
          <w:rFonts w:cs="Times New Roman"/>
          <w:sz w:val="24"/>
          <w:szCs w:val="24"/>
        </w:rPr>
        <w:t>NMPA</w:t>
      </w:r>
      <w:r>
        <w:rPr>
          <w:rStyle w:val="99"/>
          <w:rFonts w:hint="eastAsia" w:cs="Times New Roman"/>
          <w:sz w:val="24"/>
          <w:szCs w:val="24"/>
        </w:rPr>
        <w:t>）批准用于治疗成人中度至重度斑块状银屑病，根据其披露的安全性和有效性数据，进一步验证了小分子</w:t>
      </w:r>
      <w:r>
        <w:rPr>
          <w:rStyle w:val="99"/>
          <w:rFonts w:cs="Times New Roman"/>
          <w:sz w:val="24"/>
          <w:szCs w:val="24"/>
        </w:rPr>
        <w:t>TYK2</w:t>
      </w:r>
      <w:r>
        <w:rPr>
          <w:rStyle w:val="99"/>
          <w:rFonts w:hint="eastAsia" w:cs="Times New Roman"/>
          <w:sz w:val="24"/>
          <w:szCs w:val="24"/>
        </w:rPr>
        <w:t>抑制剂在治疗银屑病中的良好应用</w:t>
      </w:r>
      <w:r>
        <w:rPr>
          <w:rStyle w:val="99"/>
          <w:rFonts w:cs="Times New Roman"/>
          <w:sz w:val="24"/>
          <w:szCs w:val="24"/>
          <w:vertAlign w:val="superscript"/>
        </w:rPr>
        <w:t>[8]</w:t>
      </w:r>
      <w:r>
        <w:rPr>
          <w:rStyle w:val="99"/>
          <w:rFonts w:hint="eastAsia" w:cs="Times New Roman"/>
          <w:sz w:val="24"/>
          <w:szCs w:val="24"/>
        </w:rPr>
        <w:t>。此外，相较于需注射给药的生物制剂，小分子药物具有口服给药的优势，患者依从性更好。</w:t>
      </w:r>
    </w:p>
    <w:p w14:paraId="079D36B5">
      <w:pPr>
        <w:pStyle w:val="116"/>
        <w:numPr>
          <w:ilvl w:val="2"/>
          <w:numId w:val="12"/>
        </w:numPr>
        <w:outlineLvl w:val="2"/>
        <w:rPr>
          <w:rFonts w:cs="Times New Roman"/>
          <w:sz w:val="24"/>
          <w:szCs w:val="24"/>
        </w:rPr>
      </w:pPr>
      <w:r>
        <w:rPr>
          <w:rFonts w:cs="Times New Roman"/>
          <w:sz w:val="24"/>
          <w:szCs w:val="24"/>
        </w:rPr>
        <w:t xml:space="preserve"> </w:t>
      </w:r>
      <w:bookmarkStart w:id="19" w:name="_Toc217032204"/>
      <w:r>
        <w:rPr>
          <w:rFonts w:cs="Times New Roman"/>
          <w:sz w:val="24"/>
          <w:szCs w:val="24"/>
        </w:rPr>
        <w:t>CMS-D001</w:t>
      </w:r>
      <w:r>
        <w:rPr>
          <w:rFonts w:hint="eastAsia" w:cs="Times New Roman"/>
          <w:sz w:val="24"/>
          <w:szCs w:val="24"/>
        </w:rPr>
        <w:t>片</w:t>
      </w:r>
      <w:bookmarkEnd w:id="19"/>
    </w:p>
    <w:p w14:paraId="7661AEB2">
      <w:pPr>
        <w:pStyle w:val="60"/>
        <w:ind w:firstLine="480"/>
        <w:rPr>
          <w:rStyle w:val="99"/>
          <w:rFonts w:cs="Times New Roman"/>
          <w:sz w:val="24"/>
          <w:szCs w:val="24"/>
        </w:rPr>
      </w:pPr>
      <w:r>
        <w:rPr>
          <w:rStyle w:val="99"/>
          <w:rFonts w:cs="Times New Roman"/>
          <w:sz w:val="24"/>
          <w:szCs w:val="24"/>
        </w:rPr>
        <w:t>CMS-D001</w:t>
      </w:r>
      <w:r>
        <w:rPr>
          <w:rStyle w:val="99"/>
          <w:rFonts w:hint="eastAsia" w:cs="Times New Roman"/>
          <w:sz w:val="24"/>
          <w:szCs w:val="24"/>
        </w:rPr>
        <w:t>片是申请人－海南德镁医药科技有限责任公司研发的新型口服小分子</w:t>
      </w:r>
      <w:r>
        <w:rPr>
          <w:rStyle w:val="99"/>
          <w:rFonts w:cs="Times New Roman"/>
          <w:sz w:val="24"/>
          <w:szCs w:val="24"/>
        </w:rPr>
        <w:t>TYK2</w:t>
      </w:r>
      <w:r>
        <w:rPr>
          <w:rStyle w:val="99"/>
          <w:rFonts w:hint="eastAsia" w:cs="Times New Roman"/>
          <w:sz w:val="24"/>
          <w:szCs w:val="24"/>
        </w:rPr>
        <w:t>抑制剂，通过抑制</w:t>
      </w:r>
      <w:r>
        <w:rPr>
          <w:rStyle w:val="99"/>
          <w:rFonts w:cs="Times New Roman"/>
          <w:sz w:val="24"/>
          <w:szCs w:val="24"/>
        </w:rPr>
        <w:t>TYK2</w:t>
      </w:r>
      <w:r>
        <w:rPr>
          <w:rStyle w:val="99"/>
          <w:rFonts w:hint="eastAsia" w:cs="Times New Roman"/>
          <w:sz w:val="24"/>
          <w:szCs w:val="24"/>
        </w:rPr>
        <w:t>活性，阻断</w:t>
      </w:r>
      <w:r>
        <w:rPr>
          <w:rStyle w:val="99"/>
          <w:rFonts w:cs="Times New Roman"/>
          <w:sz w:val="24"/>
          <w:szCs w:val="24"/>
        </w:rPr>
        <w:t>IL-12</w:t>
      </w:r>
      <w:r>
        <w:rPr>
          <w:rStyle w:val="99"/>
          <w:rFonts w:hint="eastAsia" w:cs="Times New Roman"/>
          <w:sz w:val="24"/>
          <w:szCs w:val="24"/>
        </w:rPr>
        <w:t>、</w:t>
      </w:r>
      <w:r>
        <w:rPr>
          <w:rStyle w:val="99"/>
          <w:rFonts w:cs="Times New Roman"/>
          <w:sz w:val="24"/>
          <w:szCs w:val="24"/>
        </w:rPr>
        <w:t>IL-23</w:t>
      </w:r>
      <w:r>
        <w:rPr>
          <w:rStyle w:val="99"/>
          <w:rFonts w:hint="eastAsia" w:cs="Times New Roman"/>
          <w:sz w:val="24"/>
          <w:szCs w:val="24"/>
        </w:rPr>
        <w:t>和</w:t>
      </w:r>
      <w:r>
        <w:rPr>
          <w:rStyle w:val="99"/>
          <w:rFonts w:cs="Times New Roman"/>
          <w:sz w:val="24"/>
          <w:szCs w:val="24"/>
        </w:rPr>
        <w:t>I</w:t>
      </w:r>
      <w:r>
        <w:rPr>
          <w:rStyle w:val="99"/>
          <w:rFonts w:hint="eastAsia" w:cs="Times New Roman"/>
          <w:sz w:val="24"/>
          <w:szCs w:val="24"/>
        </w:rPr>
        <w:t>型</w:t>
      </w:r>
      <w:r>
        <w:rPr>
          <w:rStyle w:val="99"/>
          <w:rFonts w:cs="Times New Roman"/>
          <w:sz w:val="24"/>
          <w:szCs w:val="24"/>
        </w:rPr>
        <w:t>IFN</w:t>
      </w:r>
      <w:r>
        <w:rPr>
          <w:rStyle w:val="99"/>
          <w:rFonts w:hint="eastAsia" w:cs="Times New Roman"/>
          <w:sz w:val="24"/>
          <w:szCs w:val="24"/>
        </w:rPr>
        <w:t>信号通路，抑制</w:t>
      </w:r>
      <w:r>
        <w:rPr>
          <w:rStyle w:val="99"/>
          <w:rFonts w:cs="Times New Roman"/>
          <w:sz w:val="24"/>
          <w:szCs w:val="24"/>
        </w:rPr>
        <w:t>IL-23/Th17</w:t>
      </w:r>
      <w:r>
        <w:rPr>
          <w:rStyle w:val="99"/>
          <w:rFonts w:hint="eastAsia" w:cs="Times New Roman"/>
          <w:sz w:val="24"/>
          <w:szCs w:val="24"/>
        </w:rPr>
        <w:t>信号轴活化等机制抑制炎症反应，达到治疗银屑病的目的。</w:t>
      </w:r>
    </w:p>
    <w:p w14:paraId="7A717A33">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药品名称：</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w:t>
      </w:r>
    </w:p>
    <w:p w14:paraId="4080852D">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sz w:val="24"/>
          <w:szCs w:val="24"/>
        </w:rPr>
        <w:t>分子式：</w:t>
      </w:r>
      <w:r>
        <w:rPr>
          <w:rFonts w:ascii="Times New Roman" w:hAnsi="Times New Roman" w:eastAsia="宋体" w:cs="Times New Roman"/>
          <w:sz w:val="24"/>
          <w:szCs w:val="24"/>
        </w:rPr>
        <w:t>C</w:t>
      </w:r>
      <w:r>
        <w:rPr>
          <w:rFonts w:ascii="Times New Roman" w:hAnsi="Times New Roman" w:cs="Times New Roman"/>
          <w:sz w:val="24"/>
          <w:szCs w:val="24"/>
        </w:rPr>
        <w:t>23</w:t>
      </w:r>
      <w:r>
        <w:rPr>
          <w:rFonts w:ascii="Times New Roman" w:hAnsi="Times New Roman" w:eastAsia="宋体" w:cs="Times New Roman"/>
          <w:sz w:val="24"/>
          <w:szCs w:val="24"/>
        </w:rPr>
        <w:t>H</w:t>
      </w:r>
      <w:r>
        <w:rPr>
          <w:rFonts w:ascii="Times New Roman" w:hAnsi="Times New Roman" w:cs="Times New Roman"/>
          <w:sz w:val="24"/>
          <w:szCs w:val="24"/>
        </w:rPr>
        <w:t>21</w:t>
      </w:r>
      <w:r>
        <w:rPr>
          <w:rFonts w:ascii="Times New Roman" w:hAnsi="Times New Roman" w:eastAsia="宋体" w:cs="Times New Roman"/>
          <w:sz w:val="24"/>
          <w:szCs w:val="24"/>
        </w:rPr>
        <w:t>N</w:t>
      </w:r>
      <w:r>
        <w:rPr>
          <w:rFonts w:ascii="Times New Roman" w:hAnsi="Times New Roman" w:cs="Times New Roman"/>
          <w:sz w:val="24"/>
          <w:szCs w:val="24"/>
        </w:rPr>
        <w:t>9</w:t>
      </w:r>
    </w:p>
    <w:p w14:paraId="7ABE5E3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分子量：</w:t>
      </w:r>
      <w:r>
        <w:rPr>
          <w:rFonts w:ascii="Times New Roman" w:hAnsi="Times New Roman" w:eastAsia="宋体" w:cs="Times New Roman"/>
          <w:sz w:val="24"/>
          <w:szCs w:val="24"/>
        </w:rPr>
        <w:t>423.48</w:t>
      </w:r>
    </w:p>
    <w:p w14:paraId="08D541C3">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药品注册分类：化学药品</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类</w:t>
      </w:r>
    </w:p>
    <w:p w14:paraId="3F2D390A">
      <w:pPr>
        <w:pStyle w:val="116"/>
        <w:numPr>
          <w:ilvl w:val="3"/>
          <w:numId w:val="12"/>
        </w:numPr>
        <w:ind w:hanging="708"/>
        <w:outlineLvl w:val="3"/>
        <w:rPr>
          <w:rFonts w:cs="Times New Roman"/>
          <w:sz w:val="24"/>
          <w:szCs w:val="24"/>
        </w:rPr>
      </w:pPr>
      <w:bookmarkStart w:id="20" w:name="_Toc215214021"/>
      <w:bookmarkStart w:id="21" w:name="_Toc215213311"/>
      <w:bookmarkStart w:id="22" w:name="_Toc217032205"/>
      <w:r>
        <w:rPr>
          <w:rFonts w:hint="eastAsia" w:cs="Times New Roman"/>
          <w:sz w:val="24"/>
          <w:szCs w:val="24"/>
        </w:rPr>
        <w:t>临床前研究概述</w:t>
      </w:r>
      <w:bookmarkEnd w:id="20"/>
      <w:bookmarkEnd w:id="21"/>
      <w:bookmarkEnd w:id="22"/>
    </w:p>
    <w:p w14:paraId="6B89038E">
      <w:pPr>
        <w:pStyle w:val="116"/>
        <w:numPr>
          <w:ilvl w:val="4"/>
          <w:numId w:val="12"/>
        </w:numPr>
        <w:ind w:hanging="849"/>
        <w:outlineLvl w:val="4"/>
        <w:rPr>
          <w:rFonts w:cs="Times New Roman"/>
          <w:sz w:val="24"/>
          <w:szCs w:val="24"/>
        </w:rPr>
      </w:pPr>
      <w:bookmarkStart w:id="23" w:name="_Toc215214022"/>
      <w:bookmarkStart w:id="24" w:name="_Toc215213312"/>
      <w:bookmarkStart w:id="25" w:name="_Toc217032206"/>
      <w:r>
        <w:rPr>
          <w:rFonts w:hint="eastAsia" w:cs="Times New Roman"/>
          <w:sz w:val="24"/>
          <w:szCs w:val="24"/>
        </w:rPr>
        <w:t>药理学</w:t>
      </w:r>
      <w:bookmarkEnd w:id="23"/>
      <w:bookmarkEnd w:id="24"/>
      <w:bookmarkEnd w:id="25"/>
    </w:p>
    <w:p w14:paraId="4A54AC91">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体外药效学研究结果显示，在分子水平，</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特异性抑制</w:t>
      </w:r>
      <w:r>
        <w:rPr>
          <w:rFonts w:ascii="Times New Roman" w:hAnsi="Times New Roman" w:eastAsia="宋体" w:cs="Times New Roman"/>
          <w:sz w:val="24"/>
          <w:szCs w:val="24"/>
        </w:rPr>
        <w:t>TYK2</w:t>
      </w:r>
      <w:r>
        <w:rPr>
          <w:rFonts w:hint="eastAsia" w:ascii="Times New Roman" w:hAnsi="Times New Roman" w:eastAsia="宋体" w:cs="Times New Roman"/>
          <w:sz w:val="24"/>
          <w:szCs w:val="24"/>
        </w:rPr>
        <w:t>，</w:t>
      </w:r>
      <w:r>
        <w:rPr>
          <w:rFonts w:ascii="Times New Roman" w:hAnsi="Times New Roman" w:eastAsia="宋体" w:cs="Times New Roman"/>
          <w:sz w:val="24"/>
          <w:szCs w:val="24"/>
        </w:rPr>
        <w:t>IC</w:t>
      </w:r>
      <w:r>
        <w:rPr>
          <w:rFonts w:ascii="Times New Roman" w:hAnsi="Times New Roman" w:eastAsia="宋体" w:cs="Times New Roman"/>
          <w:sz w:val="24"/>
          <w:szCs w:val="24"/>
          <w:vertAlign w:val="subscript"/>
        </w:rPr>
        <w:t>50</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0.8 nM</w:t>
      </w:r>
      <w:r>
        <w:rPr>
          <w:rFonts w:hint="eastAsia" w:ascii="Times New Roman" w:hAnsi="Times New Roman" w:eastAsia="宋体" w:cs="Times New Roman"/>
          <w:sz w:val="24"/>
          <w:szCs w:val="24"/>
        </w:rPr>
        <w:t>。在细胞水平，显著抑制</w:t>
      </w:r>
      <w:r>
        <w:rPr>
          <w:rFonts w:ascii="Times New Roman" w:hAnsi="Times New Roman" w:eastAsia="宋体" w:cs="Times New Roman"/>
          <w:sz w:val="24"/>
          <w:szCs w:val="24"/>
        </w:rPr>
        <w:t>IFN-α</w:t>
      </w:r>
      <w:r>
        <w:rPr>
          <w:rFonts w:hint="eastAsia" w:ascii="Times New Roman" w:hAnsi="Times New Roman" w:eastAsia="宋体" w:cs="Times New Roman"/>
          <w:sz w:val="24"/>
          <w:szCs w:val="24"/>
        </w:rPr>
        <w:t>刺激的胞内</w:t>
      </w:r>
      <w:r>
        <w:rPr>
          <w:rFonts w:ascii="Times New Roman" w:hAnsi="Times New Roman" w:eastAsia="宋体" w:cs="Times New Roman"/>
          <w:sz w:val="24"/>
          <w:szCs w:val="24"/>
        </w:rPr>
        <w:t>STAT1</w:t>
      </w:r>
      <w:r>
        <w:rPr>
          <w:rFonts w:hint="eastAsia" w:ascii="Times New Roman" w:hAnsi="Times New Roman" w:eastAsia="宋体" w:cs="Times New Roman"/>
          <w:sz w:val="24"/>
          <w:szCs w:val="24"/>
        </w:rPr>
        <w:t>磷酸化，</w:t>
      </w:r>
      <w:r>
        <w:rPr>
          <w:rFonts w:ascii="Times New Roman" w:hAnsi="Times New Roman" w:eastAsia="宋体" w:cs="Times New Roman"/>
          <w:sz w:val="24"/>
          <w:szCs w:val="24"/>
        </w:rPr>
        <w:t>IC</w:t>
      </w:r>
      <w:r>
        <w:rPr>
          <w:rFonts w:ascii="Times New Roman" w:hAnsi="Times New Roman" w:eastAsia="宋体" w:cs="Times New Roman"/>
          <w:sz w:val="24"/>
          <w:szCs w:val="24"/>
          <w:vertAlign w:val="subscript"/>
        </w:rPr>
        <w:t>50</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68.1 nM</w:t>
      </w:r>
      <w:r>
        <w:rPr>
          <w:rFonts w:hint="eastAsia" w:ascii="Times New Roman" w:hAnsi="Times New Roman" w:eastAsia="宋体" w:cs="Times New Roman"/>
          <w:sz w:val="24"/>
          <w:szCs w:val="24"/>
        </w:rPr>
        <w:t>。在脱靶研究中未有明显的脱靶活性，安全性较好。</w:t>
      </w:r>
    </w:p>
    <w:p w14:paraId="1B1D2B06">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体内药效学研究结果显示，在</w:t>
      </w:r>
      <w:r>
        <w:rPr>
          <w:rFonts w:ascii="Times New Roman" w:hAnsi="Times New Roman" w:eastAsia="宋体" w:cs="Times New Roman"/>
          <w:sz w:val="24"/>
          <w:szCs w:val="24"/>
        </w:rPr>
        <w:t>IL-23</w:t>
      </w:r>
      <w:r>
        <w:rPr>
          <w:rFonts w:hint="eastAsia" w:ascii="Times New Roman" w:hAnsi="Times New Roman" w:eastAsia="宋体" w:cs="Times New Roman"/>
          <w:sz w:val="24"/>
          <w:szCs w:val="24"/>
        </w:rPr>
        <w:t>诱导的小鼠耳廓银屑病模型中，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 mg/kg</w:t>
      </w:r>
      <w:r>
        <w:rPr>
          <w:rFonts w:hint="eastAsia" w:ascii="Times New Roman" w:hAnsi="Times New Roman" w:eastAsia="宋体" w:cs="Times New Roman"/>
          <w:sz w:val="24"/>
          <w:szCs w:val="24"/>
        </w:rPr>
        <w:t>）连续</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天（前</w:t>
      </w:r>
      <w:r>
        <w:rPr>
          <w:rFonts w:ascii="Times New Roman" w:hAnsi="Times New Roman" w:eastAsia="宋体" w:cs="Times New Roman"/>
          <w:sz w:val="24"/>
          <w:szCs w:val="24"/>
        </w:rPr>
        <w:t>9</w:t>
      </w:r>
      <w:r>
        <w:rPr>
          <w:rFonts w:hint="eastAsia" w:ascii="Times New Roman" w:hAnsi="Times New Roman" w:eastAsia="宋体" w:cs="Times New Roman"/>
          <w:sz w:val="24"/>
          <w:szCs w:val="24"/>
        </w:rPr>
        <w:t>天每天给药</w:t>
      </w:r>
      <w:r>
        <w:rPr>
          <w:rFonts w:ascii="Times New Roman" w:hAnsi="Times New Roman" w:eastAsia="宋体" w:cs="Times New Roman"/>
          <w:sz w:val="24"/>
          <w:szCs w:val="24"/>
        </w:rPr>
        <w:t>2</w:t>
      </w:r>
      <w:r>
        <w:rPr>
          <w:rFonts w:hint="eastAsia" w:ascii="Times New Roman" w:hAnsi="Times New Roman" w:eastAsia="宋体" w:cs="Times New Roman"/>
          <w:sz w:val="24"/>
          <w:szCs w:val="24"/>
        </w:rPr>
        <w:t>次，第</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天单次给药）经口灌胃给药可显著降低小鼠的耳厚、耳重，</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 mg/kg</w:t>
      </w:r>
      <w:r>
        <w:rPr>
          <w:rFonts w:hint="eastAsia" w:ascii="Times New Roman" w:hAnsi="Times New Roman" w:eastAsia="宋体" w:cs="Times New Roman"/>
          <w:sz w:val="24"/>
          <w:szCs w:val="24"/>
        </w:rPr>
        <w:t>）显著降低造模侧耳廓表皮异常增生总评分，活性药物所有剂量组均降低小鼠血清中</w:t>
      </w:r>
      <w:r>
        <w:rPr>
          <w:rFonts w:ascii="Times New Roman" w:hAnsi="Times New Roman" w:eastAsia="宋体" w:cs="Times New Roman"/>
          <w:sz w:val="24"/>
          <w:szCs w:val="24"/>
        </w:rPr>
        <w:t>IL-17</w:t>
      </w:r>
      <w:r>
        <w:rPr>
          <w:rFonts w:hint="eastAsia" w:ascii="Times New Roman" w:hAnsi="Times New Roman" w:eastAsia="宋体" w:cs="Times New Roman"/>
          <w:sz w:val="24"/>
          <w:szCs w:val="24"/>
        </w:rPr>
        <w:t>水平，改善机体异常的免疫功能。</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起效剂量为</w:t>
      </w:r>
      <w:r>
        <w:rPr>
          <w:rFonts w:ascii="Times New Roman" w:hAnsi="Times New Roman" w:eastAsia="宋体" w:cs="Times New Roman"/>
          <w:sz w:val="24"/>
          <w:szCs w:val="24"/>
        </w:rPr>
        <w:t>2 mg/kg BID</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2-20 mg/kg</w:t>
      </w:r>
      <w:r>
        <w:rPr>
          <w:rFonts w:hint="eastAsia" w:ascii="Times New Roman" w:hAnsi="Times New Roman" w:eastAsia="宋体" w:cs="Times New Roman"/>
          <w:sz w:val="24"/>
          <w:szCs w:val="24"/>
        </w:rPr>
        <w:t>范围内呈良好量</w:t>
      </w:r>
      <w:r>
        <w:rPr>
          <w:rFonts w:ascii="Times New Roman" w:hAnsi="Times New Roman" w:eastAsia="宋体" w:cs="Times New Roman"/>
          <w:sz w:val="24"/>
          <w:szCs w:val="24"/>
        </w:rPr>
        <w:t>-</w:t>
      </w:r>
      <w:r>
        <w:rPr>
          <w:rFonts w:hint="eastAsia" w:ascii="Times New Roman" w:hAnsi="Times New Roman" w:eastAsia="宋体" w:cs="Times New Roman"/>
          <w:sz w:val="24"/>
          <w:szCs w:val="24"/>
        </w:rPr>
        <w:t>效关系。在</w:t>
      </w:r>
      <w:r>
        <w:rPr>
          <w:rFonts w:ascii="Times New Roman" w:hAnsi="Times New Roman" w:eastAsia="宋体" w:cs="Times New Roman"/>
          <w:sz w:val="24"/>
          <w:szCs w:val="24"/>
        </w:rPr>
        <w:t>CMS-D0012mg/kg BID</w:t>
      </w:r>
      <w:r>
        <w:rPr>
          <w:rFonts w:hint="eastAsia" w:ascii="Times New Roman" w:hAnsi="Times New Roman" w:eastAsia="宋体" w:cs="Times New Roman"/>
          <w:sz w:val="24"/>
          <w:szCs w:val="24"/>
        </w:rPr>
        <w:t>灌胃给药后，小鼠体内的最大血药浓度（</w:t>
      </w:r>
      <w:r>
        <w:rPr>
          <w:rFonts w:ascii="Times New Roman" w:hAnsi="Times New Roman" w:eastAsia="宋体" w:cs="Times New Roman"/>
          <w:sz w:val="24"/>
          <w:szCs w:val="24"/>
        </w:rPr>
        <w:t>Maximum Concentration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C</w:t>
      </w:r>
      <w:r>
        <w:rPr>
          <w:rFonts w:ascii="Times New Roman" w:hAnsi="Times New Roman" w:eastAsia="宋体" w:cs="Times New Roman"/>
          <w:sz w:val="24"/>
          <w:szCs w:val="24"/>
          <w:vertAlign w:val="subscript"/>
        </w:rPr>
        <w:t>max</w:t>
      </w:r>
      <w:r>
        <w:rPr>
          <w:rStyle w:val="99"/>
          <w:rFonts w:hint="eastAsia" w:ascii="Times New Roman" w:hAnsi="Times New Roman" w:cs="Times New Roman"/>
          <w:sz w:val="24"/>
          <w:szCs w:val="24"/>
        </w:rPr>
        <w:t>）</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914.72 ng/mL</w:t>
      </w:r>
      <w:r>
        <w:rPr>
          <w:rFonts w:hint="eastAsia" w:ascii="Times New Roman" w:hAnsi="Times New Roman" w:eastAsia="宋体" w:cs="Times New Roman"/>
          <w:sz w:val="24"/>
          <w:szCs w:val="24"/>
        </w:rPr>
        <w:t>，</w:t>
      </w:r>
      <w:r>
        <w:rPr>
          <w:rFonts w:ascii="Times New Roman" w:hAnsi="Times New Roman" w:eastAsia="宋体" w:cs="Times New Roman"/>
          <w:sz w:val="24"/>
          <w:szCs w:val="24"/>
        </w:rPr>
        <w:t>0-t</w:t>
      </w:r>
      <w:r>
        <w:rPr>
          <w:rFonts w:hint="eastAsia" w:ascii="Times New Roman" w:hAnsi="Times New Roman" w:eastAsia="宋体" w:cs="Times New Roman"/>
          <w:sz w:val="24"/>
          <w:szCs w:val="24"/>
        </w:rPr>
        <w:t>药</w:t>
      </w:r>
      <w:r>
        <w:rPr>
          <w:rFonts w:ascii="Times New Roman" w:hAnsi="Times New Roman" w:eastAsia="宋体" w:cs="Times New Roman"/>
          <w:sz w:val="24"/>
          <w:szCs w:val="24"/>
        </w:rPr>
        <w:t>-</w:t>
      </w:r>
      <w:r>
        <w:rPr>
          <w:rFonts w:hint="eastAsia" w:ascii="Times New Roman" w:hAnsi="Times New Roman" w:eastAsia="宋体" w:cs="Times New Roman"/>
          <w:sz w:val="24"/>
          <w:szCs w:val="24"/>
        </w:rPr>
        <w:t>时曲线下面积</w:t>
      </w:r>
      <w:r>
        <w:rPr>
          <w:rFonts w:ascii="Times New Roman" w:hAnsi="Times New Roman" w:eastAsia="宋体" w:cs="Times New Roman"/>
          <w:sz w:val="24"/>
          <w:szCs w:val="24"/>
        </w:rPr>
        <w:t xml:space="preserve">[0-t Area under the curve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0-t</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0-6 h</w:t>
      </w:r>
      <w:r>
        <w:rPr>
          <w:rFonts w:ascii="Times New Roman" w:hAnsi="Times New Roman" w:eastAsia="宋体" w:cs="Times New Roman"/>
          <w:sz w:val="24"/>
          <w:szCs w:val="24"/>
        </w:rPr>
        <w:t>)]</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1630.4 ng*h/mL</w:t>
      </w:r>
      <w:r>
        <w:rPr>
          <w:rFonts w:hint="eastAsia" w:ascii="Times New Roman" w:hAnsi="Times New Roman" w:eastAsia="宋体" w:cs="Times New Roman"/>
          <w:sz w:val="24"/>
          <w:szCs w:val="24"/>
        </w:rPr>
        <w:t>。</w:t>
      </w:r>
    </w:p>
    <w:p w14:paraId="1CC7BACD">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安全药理学研究结果显示，在高剂量（大鼠：</w:t>
      </w:r>
      <w:r>
        <w:rPr>
          <w:rFonts w:ascii="Times New Roman" w:hAnsi="Times New Roman" w:eastAsia="宋体" w:cs="Times New Roman"/>
          <w:sz w:val="24"/>
          <w:szCs w:val="24"/>
        </w:rPr>
        <w:t>100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Beagle</w:t>
      </w:r>
      <w:r>
        <w:rPr>
          <w:rFonts w:hint="eastAsia" w:ascii="Times New Roman" w:hAnsi="Times New Roman" w:eastAsia="宋体" w:cs="Times New Roman"/>
          <w:sz w:val="24"/>
          <w:szCs w:val="24"/>
        </w:rPr>
        <w:t>犬：</w:t>
      </w:r>
      <w:r>
        <w:rPr>
          <w:rFonts w:ascii="Times New Roman" w:hAnsi="Times New Roman" w:eastAsia="宋体" w:cs="Times New Roman"/>
          <w:sz w:val="24"/>
          <w:szCs w:val="24"/>
        </w:rPr>
        <w:t>30 mg/kg</w:t>
      </w:r>
      <w:r>
        <w:rPr>
          <w:rFonts w:hint="eastAsia" w:ascii="Times New Roman" w:hAnsi="Times New Roman" w:eastAsia="宋体" w:cs="Times New Roman"/>
          <w:sz w:val="24"/>
          <w:szCs w:val="24"/>
        </w:rPr>
        <w:t>）下对大鼠中枢神经系统、大鼠呼吸系统、</w:t>
      </w:r>
      <w:r>
        <w:rPr>
          <w:rFonts w:ascii="Times New Roman" w:hAnsi="Times New Roman" w:eastAsia="宋体" w:cs="Times New Roman"/>
          <w:sz w:val="24"/>
          <w:szCs w:val="24"/>
        </w:rPr>
        <w:t>Beagle</w:t>
      </w:r>
      <w:r>
        <w:rPr>
          <w:rFonts w:hint="eastAsia" w:ascii="Times New Roman" w:hAnsi="Times New Roman" w:eastAsia="宋体" w:cs="Times New Roman"/>
          <w:sz w:val="24"/>
          <w:szCs w:val="24"/>
        </w:rPr>
        <w:t>犬心血管系统未见明显影响。</w:t>
      </w:r>
      <w:r>
        <w:rPr>
          <w:rFonts w:ascii="Times New Roman" w:hAnsi="Times New Roman" w:eastAsia="宋体" w:cs="Times New Roman"/>
          <w:sz w:val="24"/>
          <w:szCs w:val="24"/>
        </w:rPr>
        <w:t>hERG</w:t>
      </w:r>
      <w:r>
        <w:rPr>
          <w:rFonts w:hint="eastAsia" w:ascii="Times New Roman" w:hAnsi="Times New Roman" w:eastAsia="宋体" w:cs="Times New Roman"/>
          <w:sz w:val="24"/>
          <w:szCs w:val="24"/>
        </w:rPr>
        <w:t>钾通道电流试验，</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hERG IC</w:t>
      </w:r>
      <w:r>
        <w:rPr>
          <w:rFonts w:ascii="Times New Roman" w:hAnsi="Times New Roman" w:eastAsia="宋体" w:cs="Times New Roman"/>
          <w:sz w:val="24"/>
          <w:szCs w:val="24"/>
          <w:vertAlign w:val="subscript"/>
        </w:rPr>
        <w:t>50</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11.71 µM</w:t>
      </w:r>
      <w:r>
        <w:rPr>
          <w:rFonts w:hint="eastAsia" w:ascii="Times New Roman" w:hAnsi="Times New Roman" w:eastAsia="宋体" w:cs="Times New Roman"/>
          <w:sz w:val="24"/>
          <w:szCs w:val="24"/>
        </w:rPr>
        <w:t>，结合比格犬安全药理试验中心电指标未见异常，提示心脏毒性风险较低。</w:t>
      </w:r>
    </w:p>
    <w:p w14:paraId="541F40C0">
      <w:pPr>
        <w:pStyle w:val="116"/>
        <w:numPr>
          <w:ilvl w:val="4"/>
          <w:numId w:val="12"/>
        </w:numPr>
        <w:ind w:hanging="849"/>
        <w:outlineLvl w:val="4"/>
        <w:rPr>
          <w:rFonts w:cs="Times New Roman"/>
          <w:sz w:val="24"/>
          <w:szCs w:val="24"/>
        </w:rPr>
      </w:pPr>
      <w:bookmarkStart w:id="26" w:name="_Toc215213313"/>
      <w:bookmarkStart w:id="27" w:name="_Toc215214023"/>
      <w:bookmarkStart w:id="28" w:name="_Toc217032207"/>
      <w:r>
        <w:rPr>
          <w:rFonts w:hint="eastAsia" w:cs="Times New Roman"/>
          <w:sz w:val="24"/>
          <w:szCs w:val="24"/>
        </w:rPr>
        <w:t>药代动力学</w:t>
      </w:r>
      <w:bookmarkEnd w:id="26"/>
      <w:bookmarkEnd w:id="27"/>
      <w:bookmarkEnd w:id="28"/>
    </w:p>
    <w:p w14:paraId="70DFFCF3">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在吸收研究中，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Caco-2</w:t>
      </w:r>
      <w:r>
        <w:rPr>
          <w:rFonts w:hint="eastAsia" w:ascii="Times New Roman" w:hAnsi="Times New Roman" w:eastAsia="宋体" w:cs="Times New Roman"/>
          <w:sz w:val="24"/>
          <w:szCs w:val="24"/>
        </w:rPr>
        <w:t>细胞中表现出中渗透性，是乳腺癌耐药蛋白（</w:t>
      </w:r>
      <w:r>
        <w:rPr>
          <w:rFonts w:ascii="Times New Roman" w:hAnsi="Times New Roman" w:eastAsia="宋体" w:cs="Times New Roman"/>
          <w:sz w:val="24"/>
          <w:szCs w:val="24"/>
        </w:rPr>
        <w:t>Breast Cancer Resistance Protein</w:t>
      </w:r>
      <w:r>
        <w:rPr>
          <w:rFonts w:hint="eastAsia" w:ascii="Times New Roman" w:hAnsi="Times New Roman" w:eastAsia="宋体" w:cs="Times New Roman"/>
          <w:sz w:val="24"/>
          <w:szCs w:val="24"/>
        </w:rPr>
        <w:t>，</w:t>
      </w:r>
      <w:r>
        <w:rPr>
          <w:rFonts w:ascii="Times New Roman" w:hAnsi="Times New Roman" w:eastAsia="宋体" w:cs="Times New Roman"/>
          <w:sz w:val="24"/>
          <w:szCs w:val="24"/>
        </w:rPr>
        <w:t>BCRP</w:t>
      </w:r>
      <w:r>
        <w:rPr>
          <w:rFonts w:hint="eastAsia" w:ascii="Times New Roman" w:hAnsi="Times New Roman" w:eastAsia="宋体" w:cs="Times New Roman"/>
          <w:sz w:val="24"/>
          <w:szCs w:val="24"/>
        </w:rPr>
        <w:t>）底物的可能性小或不是</w:t>
      </w:r>
      <w:r>
        <w:rPr>
          <w:rFonts w:ascii="Times New Roman" w:hAnsi="Times New Roman" w:eastAsia="宋体" w:cs="Times New Roman"/>
          <w:sz w:val="24"/>
          <w:szCs w:val="24"/>
        </w:rPr>
        <w:t>BCRP</w:t>
      </w:r>
      <w:r>
        <w:rPr>
          <w:rFonts w:hint="eastAsia" w:ascii="Times New Roman" w:hAnsi="Times New Roman" w:eastAsia="宋体" w:cs="Times New Roman"/>
          <w:sz w:val="24"/>
          <w:szCs w:val="24"/>
        </w:rPr>
        <w:t>的底物，极可能是</w:t>
      </w:r>
      <w:r>
        <w:rPr>
          <w:rFonts w:ascii="Times New Roman" w:hAnsi="Times New Roman" w:eastAsia="宋体" w:cs="Times New Roman"/>
          <w:sz w:val="24"/>
          <w:szCs w:val="24"/>
        </w:rPr>
        <w:t>P-gp</w:t>
      </w:r>
      <w:r>
        <w:rPr>
          <w:rFonts w:hint="eastAsia" w:ascii="Times New Roman" w:hAnsi="Times New Roman" w:eastAsia="宋体" w:cs="Times New Roman"/>
          <w:sz w:val="24"/>
          <w:szCs w:val="24"/>
        </w:rPr>
        <w:t>的底物。</w:t>
      </w:r>
    </w:p>
    <w:p w14:paraId="04FD2DA4">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在分布研究中，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在小鼠、大鼠、犬、猴及人五个种属中均展现出中等程度血浆蛋白结合率（</w:t>
      </w:r>
      <w:r>
        <w:rPr>
          <w:rFonts w:ascii="Times New Roman" w:hAnsi="Times New Roman" w:eastAsia="宋体" w:cs="Times New Roman"/>
          <w:sz w:val="24"/>
          <w:szCs w:val="24"/>
        </w:rPr>
        <w:t>64.3%~92.4%</w:t>
      </w:r>
      <w:r>
        <w:rPr>
          <w:rFonts w:hint="eastAsia" w:ascii="Times New Roman" w:hAnsi="Times New Roman" w:eastAsia="宋体" w:cs="Times New Roman"/>
          <w:sz w:val="24"/>
          <w:szCs w:val="24"/>
        </w:rPr>
        <w:t>），各种属均未见明显的浓度依赖性。</w:t>
      </w:r>
    </w:p>
    <w:p w14:paraId="5B1717E8">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在代谢研究中，细胞色素</w:t>
      </w:r>
      <w:r>
        <w:rPr>
          <w:rFonts w:ascii="Times New Roman" w:hAnsi="Times New Roman" w:eastAsia="宋体" w:cs="Times New Roman"/>
          <w:sz w:val="24"/>
          <w:szCs w:val="24"/>
        </w:rPr>
        <w:t>P450</w:t>
      </w:r>
      <w:r>
        <w:rPr>
          <w:rFonts w:hint="eastAsia" w:ascii="Times New Roman" w:hAnsi="Times New Roman" w:eastAsia="宋体" w:cs="Times New Roman"/>
          <w:sz w:val="24"/>
          <w:szCs w:val="24"/>
        </w:rPr>
        <w:t>酶（</w:t>
      </w:r>
      <w:r>
        <w:rPr>
          <w:rFonts w:ascii="Times New Roman" w:hAnsi="Times New Roman" w:eastAsia="宋体" w:cs="Times New Roman"/>
          <w:sz w:val="24"/>
          <w:szCs w:val="24"/>
        </w:rPr>
        <w:t>Cytochrome P450</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CYP450</w:t>
      </w:r>
      <w:r>
        <w:rPr>
          <w:rFonts w:hint="eastAsia" w:ascii="Times New Roman" w:hAnsi="Times New Roman" w:eastAsia="宋体" w:cs="Times New Roman"/>
          <w:sz w:val="24"/>
          <w:szCs w:val="24"/>
        </w:rPr>
        <w:t>）代谢反应表型研究结果显示，</w:t>
      </w:r>
      <w:r>
        <w:rPr>
          <w:rFonts w:ascii="Times New Roman" w:hAnsi="Times New Roman" w:eastAsia="宋体" w:cs="Times New Roman"/>
          <w:sz w:val="24"/>
          <w:szCs w:val="24"/>
        </w:rPr>
        <w:t>CYP3A</w:t>
      </w:r>
      <w:r>
        <w:rPr>
          <w:rFonts w:hint="eastAsia" w:ascii="Times New Roman" w:hAnsi="Times New Roman" w:eastAsia="宋体" w:cs="Times New Roman"/>
          <w:sz w:val="24"/>
          <w:szCs w:val="24"/>
        </w:rPr>
        <w:t>是主要代谢酶，其他同工酶起很少作用或者不起作用。</w:t>
      </w:r>
    </w:p>
    <w:p w14:paraId="5A3FC540">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在排泄研究中，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在雌雄大鼠体内主要经粪便排出体外，雌大鼠尿、粪、胆汁中原型药排泄比例分别</w:t>
      </w:r>
      <w:r>
        <w:rPr>
          <w:rFonts w:ascii="Times New Roman" w:hAnsi="Times New Roman" w:eastAsia="宋体" w:cs="Times New Roman"/>
          <w:sz w:val="24"/>
          <w:szCs w:val="24"/>
        </w:rPr>
        <w:t>1.37%</w:t>
      </w:r>
      <w:r>
        <w:rPr>
          <w:rFonts w:hint="eastAsia" w:ascii="Times New Roman" w:hAnsi="Times New Roman" w:eastAsia="宋体" w:cs="Times New Roman"/>
          <w:sz w:val="24"/>
          <w:szCs w:val="24"/>
        </w:rPr>
        <w:t>、</w:t>
      </w:r>
      <w:r>
        <w:rPr>
          <w:rFonts w:ascii="Times New Roman" w:hAnsi="Times New Roman" w:eastAsia="宋体" w:cs="Times New Roman"/>
          <w:sz w:val="24"/>
          <w:szCs w:val="24"/>
        </w:rPr>
        <w:t>55.8%</w:t>
      </w:r>
      <w:r>
        <w:rPr>
          <w:rFonts w:hint="eastAsia" w:ascii="Times New Roman" w:hAnsi="Times New Roman" w:eastAsia="宋体" w:cs="Times New Roman"/>
          <w:sz w:val="24"/>
          <w:szCs w:val="24"/>
        </w:rPr>
        <w:t>、</w:t>
      </w:r>
      <w:r>
        <w:rPr>
          <w:rFonts w:ascii="Times New Roman" w:hAnsi="Times New Roman" w:eastAsia="宋体" w:cs="Times New Roman"/>
          <w:sz w:val="24"/>
          <w:szCs w:val="24"/>
        </w:rPr>
        <w:t>0.78%</w:t>
      </w:r>
      <w:r>
        <w:rPr>
          <w:rFonts w:hint="eastAsia" w:ascii="Times New Roman" w:hAnsi="Times New Roman" w:eastAsia="宋体" w:cs="Times New Roman"/>
          <w:sz w:val="24"/>
          <w:szCs w:val="24"/>
        </w:rPr>
        <w:t>；雄大鼠尿、粪、胆汁中原型药排泄比例分别</w:t>
      </w:r>
      <w:r>
        <w:rPr>
          <w:rFonts w:ascii="Times New Roman" w:hAnsi="Times New Roman" w:eastAsia="宋体" w:cs="Times New Roman"/>
          <w:sz w:val="24"/>
          <w:szCs w:val="24"/>
        </w:rPr>
        <w:t>0.78%</w:t>
      </w:r>
      <w:r>
        <w:rPr>
          <w:rFonts w:hint="eastAsia" w:ascii="Times New Roman" w:hAnsi="Times New Roman" w:eastAsia="宋体" w:cs="Times New Roman"/>
          <w:sz w:val="24"/>
          <w:szCs w:val="24"/>
        </w:rPr>
        <w:t>、</w:t>
      </w:r>
      <w:r>
        <w:rPr>
          <w:rFonts w:ascii="Times New Roman" w:hAnsi="Times New Roman" w:eastAsia="宋体" w:cs="Times New Roman"/>
          <w:sz w:val="24"/>
          <w:szCs w:val="24"/>
        </w:rPr>
        <w:t>15%</w:t>
      </w:r>
      <w:r>
        <w:rPr>
          <w:rFonts w:hint="eastAsia" w:ascii="Times New Roman" w:hAnsi="Times New Roman" w:eastAsia="宋体" w:cs="Times New Roman"/>
          <w:sz w:val="24"/>
          <w:szCs w:val="24"/>
        </w:rPr>
        <w:t>、</w:t>
      </w:r>
      <w:r>
        <w:rPr>
          <w:rFonts w:ascii="Times New Roman" w:hAnsi="Times New Roman" w:eastAsia="宋体" w:cs="Times New Roman"/>
          <w:sz w:val="24"/>
          <w:szCs w:val="24"/>
        </w:rPr>
        <w:t>0.19%</w:t>
      </w:r>
      <w:r>
        <w:rPr>
          <w:rFonts w:hint="eastAsia" w:ascii="Times New Roman" w:hAnsi="Times New Roman" w:eastAsia="宋体" w:cs="Times New Roman"/>
          <w:sz w:val="24"/>
          <w:szCs w:val="24"/>
        </w:rPr>
        <w:t>。</w:t>
      </w:r>
    </w:p>
    <w:p w14:paraId="4E99F7D5">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在药物</w:t>
      </w:r>
      <w:r>
        <w:rPr>
          <w:rFonts w:ascii="Times New Roman" w:hAnsi="Times New Roman" w:eastAsia="宋体" w:cs="Times New Roman"/>
          <w:sz w:val="24"/>
          <w:szCs w:val="24"/>
        </w:rPr>
        <w:t>-</w:t>
      </w:r>
      <w:r>
        <w:rPr>
          <w:rFonts w:hint="eastAsia" w:ascii="Times New Roman" w:hAnsi="Times New Roman" w:eastAsia="宋体" w:cs="Times New Roman"/>
          <w:sz w:val="24"/>
          <w:szCs w:val="24"/>
        </w:rPr>
        <w:t>药物相互作用研究中，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对</w:t>
      </w:r>
      <w:r>
        <w:rPr>
          <w:rFonts w:ascii="Times New Roman" w:hAnsi="Times New Roman" w:eastAsia="宋体" w:cs="Times New Roman"/>
          <w:sz w:val="24"/>
          <w:szCs w:val="24"/>
        </w:rPr>
        <w:t>CYP450</w:t>
      </w:r>
      <w:r>
        <w:rPr>
          <w:rFonts w:hint="eastAsia" w:ascii="Times New Roman" w:hAnsi="Times New Roman" w:eastAsia="宋体" w:cs="Times New Roman"/>
          <w:sz w:val="24"/>
          <w:szCs w:val="24"/>
        </w:rPr>
        <w:t>同工酶</w:t>
      </w:r>
      <w:r>
        <w:rPr>
          <w:rFonts w:ascii="Times New Roman" w:hAnsi="Times New Roman" w:eastAsia="宋体" w:cs="Times New Roman"/>
          <w:sz w:val="24"/>
          <w:szCs w:val="24"/>
        </w:rPr>
        <w:t>CYP1A2</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CYP2B6</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CYP2C8</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CYP2C9</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CYP2C19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CYP2D6</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CYP3A</w:t>
      </w:r>
      <w:r>
        <w:rPr>
          <w:rFonts w:hint="eastAsia" w:ascii="Times New Roman" w:hAnsi="Times New Roman" w:eastAsia="宋体" w:cs="Times New Roman"/>
          <w:sz w:val="24"/>
          <w:szCs w:val="24"/>
        </w:rPr>
        <w:t>抑制活性</w:t>
      </w:r>
      <w:r>
        <w:rPr>
          <w:rFonts w:ascii="Times New Roman" w:hAnsi="Times New Roman" w:eastAsia="宋体" w:cs="Times New Roman"/>
          <w:sz w:val="24"/>
          <w:szCs w:val="24"/>
        </w:rPr>
        <w:t>IC50</w:t>
      </w:r>
      <w:r>
        <w:rPr>
          <w:rFonts w:hint="eastAsia" w:ascii="Times New Roman" w:hAnsi="Times New Roman" w:eastAsia="宋体" w:cs="Times New Roman"/>
          <w:sz w:val="24"/>
          <w:szCs w:val="24"/>
        </w:rPr>
        <w:t>值均</w:t>
      </w:r>
      <w:r>
        <w:rPr>
          <w:rFonts w:ascii="Times New Roman" w:hAnsi="Times New Roman" w:eastAsia="宋体" w:cs="Times New Roman"/>
          <w:sz w:val="24"/>
          <w:szCs w:val="24"/>
        </w:rPr>
        <w:t>&gt;50 μM</w:t>
      </w:r>
      <w:r>
        <w:rPr>
          <w:rFonts w:hint="eastAsia" w:ascii="Times New Roman" w:hAnsi="Times New Roman" w:eastAsia="宋体" w:cs="Times New Roman"/>
          <w:sz w:val="24"/>
          <w:szCs w:val="24"/>
        </w:rPr>
        <w:t>。</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对</w:t>
      </w:r>
      <w:r>
        <w:rPr>
          <w:rFonts w:ascii="Times New Roman" w:hAnsi="Times New Roman" w:eastAsia="宋体" w:cs="Times New Roman"/>
          <w:sz w:val="24"/>
          <w:szCs w:val="24"/>
        </w:rPr>
        <w:t>CYP3A</w:t>
      </w:r>
      <w:r>
        <w:rPr>
          <w:rFonts w:hint="eastAsia" w:ascii="Times New Roman" w:hAnsi="Times New Roman" w:eastAsia="宋体" w:cs="Times New Roman"/>
          <w:sz w:val="24"/>
          <w:szCs w:val="24"/>
        </w:rPr>
        <w:t>有时间依赖性抑制作用（</w:t>
      </w:r>
      <w:r>
        <w:rPr>
          <w:rFonts w:ascii="Times New Roman" w:hAnsi="Times New Roman" w:eastAsia="宋体" w:cs="Times New Roman"/>
          <w:sz w:val="24"/>
          <w:szCs w:val="24"/>
        </w:rPr>
        <w:t>Time-dependent inhibition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TDI</w:t>
      </w:r>
      <w:r>
        <w:rPr>
          <w:rFonts w:hint="eastAsia" w:ascii="Times New Roman" w:hAnsi="Times New Roman" w:eastAsia="宋体" w:cs="Times New Roman"/>
          <w:sz w:val="24"/>
          <w:szCs w:val="24"/>
        </w:rPr>
        <w:t>），偏移后的</w:t>
      </w:r>
      <w:r>
        <w:rPr>
          <w:rFonts w:ascii="Times New Roman" w:hAnsi="Times New Roman" w:eastAsia="宋体" w:cs="Times New Roman"/>
          <w:sz w:val="24"/>
          <w:szCs w:val="24"/>
        </w:rPr>
        <w:t>IC</w:t>
      </w:r>
      <w:r>
        <w:rPr>
          <w:rFonts w:ascii="Times New Roman" w:hAnsi="Times New Roman" w:eastAsia="宋体" w:cs="Times New Roman"/>
          <w:sz w:val="24"/>
          <w:szCs w:val="24"/>
          <w:vertAlign w:val="subscript"/>
        </w:rPr>
        <w:t>50</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64.2 μM</w:t>
      </w:r>
      <w:r>
        <w:rPr>
          <w:rFonts w:hint="eastAsia" w:ascii="Times New Roman" w:hAnsi="Times New Roman" w:eastAsia="宋体" w:cs="Times New Roman"/>
          <w:sz w:val="24"/>
          <w:szCs w:val="24"/>
        </w:rPr>
        <w:t>（以咪达唑仑为底物）和</w:t>
      </w:r>
      <w:r>
        <w:rPr>
          <w:rFonts w:ascii="Times New Roman" w:hAnsi="Times New Roman" w:eastAsia="宋体" w:cs="Times New Roman"/>
          <w:sz w:val="24"/>
          <w:szCs w:val="24"/>
        </w:rPr>
        <w:t>43.5 μM</w:t>
      </w:r>
      <w:r>
        <w:rPr>
          <w:rFonts w:hint="eastAsia" w:ascii="Times New Roman" w:hAnsi="Times New Roman" w:eastAsia="宋体" w:cs="Times New Roman"/>
          <w:sz w:val="24"/>
          <w:szCs w:val="24"/>
        </w:rPr>
        <w:t>（以睾酮为底物），对研究的其他</w:t>
      </w:r>
      <w:r>
        <w:rPr>
          <w:rFonts w:ascii="Times New Roman" w:hAnsi="Times New Roman" w:eastAsia="宋体" w:cs="Times New Roman"/>
          <w:sz w:val="24"/>
          <w:szCs w:val="24"/>
        </w:rPr>
        <w:t>CYP450</w:t>
      </w:r>
      <w:r>
        <w:rPr>
          <w:rFonts w:hint="eastAsia" w:ascii="Times New Roman" w:hAnsi="Times New Roman" w:eastAsia="宋体" w:cs="Times New Roman"/>
          <w:sz w:val="24"/>
          <w:szCs w:val="24"/>
        </w:rPr>
        <w:t>同工酶未见</w:t>
      </w:r>
      <w:r>
        <w:rPr>
          <w:rFonts w:ascii="Times New Roman" w:hAnsi="Times New Roman" w:eastAsia="宋体" w:cs="Times New Roman"/>
          <w:sz w:val="24"/>
          <w:szCs w:val="24"/>
        </w:rPr>
        <w:t>TDI</w:t>
      </w:r>
      <w:r>
        <w:rPr>
          <w:rFonts w:hint="eastAsia" w:ascii="Times New Roman" w:hAnsi="Times New Roman" w:eastAsia="宋体" w:cs="Times New Roman"/>
          <w:sz w:val="24"/>
          <w:szCs w:val="24"/>
        </w:rPr>
        <w:t>。体外肝细胞诱导试验结果显示，</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在酶活水平上未见对</w:t>
      </w:r>
      <w:r>
        <w:rPr>
          <w:rFonts w:ascii="Times New Roman" w:hAnsi="Times New Roman" w:eastAsia="宋体" w:cs="Times New Roman"/>
          <w:sz w:val="24"/>
          <w:szCs w:val="24"/>
        </w:rPr>
        <w:t>CYP1A2</w:t>
      </w:r>
      <w:r>
        <w:rPr>
          <w:rFonts w:hint="eastAsia" w:ascii="Times New Roman" w:hAnsi="Times New Roman" w:eastAsia="宋体" w:cs="Times New Roman"/>
          <w:sz w:val="24"/>
          <w:szCs w:val="24"/>
        </w:rPr>
        <w:t>、</w:t>
      </w:r>
      <w:r>
        <w:rPr>
          <w:rFonts w:ascii="Times New Roman" w:hAnsi="Times New Roman" w:eastAsia="宋体" w:cs="Times New Roman"/>
          <w:sz w:val="24"/>
          <w:szCs w:val="24"/>
        </w:rPr>
        <w:t>CYP2B6</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CYP3A4</w:t>
      </w:r>
      <w:r>
        <w:rPr>
          <w:rFonts w:hint="eastAsia" w:ascii="Times New Roman" w:hAnsi="Times New Roman" w:eastAsia="宋体" w:cs="Times New Roman"/>
          <w:sz w:val="24"/>
          <w:szCs w:val="24"/>
        </w:rPr>
        <w:t>的诱导作用；基因水平上，在</w:t>
      </w:r>
      <w:r>
        <w:rPr>
          <w:rFonts w:ascii="Times New Roman" w:hAnsi="Times New Roman" w:eastAsia="宋体" w:cs="Times New Roman"/>
          <w:sz w:val="24"/>
          <w:szCs w:val="24"/>
        </w:rPr>
        <w:t>30 μM</w:t>
      </w:r>
      <w:r>
        <w:rPr>
          <w:rFonts w:hint="eastAsia" w:ascii="Times New Roman" w:hAnsi="Times New Roman" w:eastAsia="宋体" w:cs="Times New Roman"/>
          <w:sz w:val="24"/>
          <w:szCs w:val="24"/>
        </w:rPr>
        <w:t>浓度下对三个供体的</w:t>
      </w:r>
      <w:r>
        <w:rPr>
          <w:rFonts w:ascii="Times New Roman" w:hAnsi="Times New Roman" w:eastAsia="宋体" w:cs="Times New Roman"/>
          <w:sz w:val="24"/>
          <w:szCs w:val="24"/>
        </w:rPr>
        <w:t>CYP3A4</w:t>
      </w:r>
      <w:r>
        <w:rPr>
          <w:rFonts w:hint="eastAsia" w:ascii="Times New Roman" w:hAnsi="Times New Roman" w:eastAsia="宋体" w:cs="Times New Roman"/>
          <w:sz w:val="24"/>
          <w:szCs w:val="24"/>
        </w:rPr>
        <w:t>和一个供体的</w:t>
      </w:r>
      <w:r>
        <w:rPr>
          <w:rFonts w:ascii="Times New Roman" w:hAnsi="Times New Roman" w:eastAsia="宋体" w:cs="Times New Roman"/>
          <w:sz w:val="24"/>
          <w:szCs w:val="24"/>
        </w:rPr>
        <w:t>CYP2B6</w:t>
      </w:r>
      <w:r>
        <w:rPr>
          <w:rFonts w:hint="eastAsia" w:ascii="Times New Roman" w:hAnsi="Times New Roman" w:eastAsia="宋体" w:cs="Times New Roman"/>
          <w:sz w:val="24"/>
          <w:szCs w:val="24"/>
        </w:rPr>
        <w:t>展现出一定的诱导作用。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能够抑制</w:t>
      </w:r>
      <w:r>
        <w:rPr>
          <w:rFonts w:ascii="Times New Roman" w:hAnsi="Times New Roman" w:eastAsia="宋体" w:cs="Times New Roman"/>
          <w:sz w:val="24"/>
          <w:szCs w:val="24"/>
        </w:rPr>
        <w:t>BCRP</w:t>
      </w:r>
      <w:r>
        <w:rPr>
          <w:rFonts w:hint="eastAsia" w:ascii="Times New Roman" w:hAnsi="Times New Roman" w:eastAsia="宋体" w:cs="Times New Roman"/>
          <w:sz w:val="24"/>
          <w:szCs w:val="24"/>
        </w:rPr>
        <w:t>对雌酮</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硫酸盐的外排转运作用，其</w:t>
      </w:r>
      <w:r>
        <w:rPr>
          <w:rFonts w:ascii="Times New Roman" w:hAnsi="Times New Roman" w:eastAsia="宋体" w:cs="Times New Roman"/>
          <w:sz w:val="24"/>
          <w:szCs w:val="24"/>
        </w:rPr>
        <w:t>IC</w:t>
      </w:r>
      <w:r>
        <w:rPr>
          <w:rFonts w:ascii="Times New Roman" w:hAnsi="Times New Roman" w:eastAsia="宋体" w:cs="Times New Roman"/>
          <w:sz w:val="24"/>
          <w:szCs w:val="24"/>
          <w:vertAlign w:val="subscript"/>
        </w:rPr>
        <w:t>50</w:t>
      </w:r>
      <w:r>
        <w:rPr>
          <w:rFonts w:hint="eastAsia" w:ascii="Times New Roman" w:hAnsi="Times New Roman" w:eastAsia="宋体" w:cs="Times New Roman"/>
          <w:sz w:val="24"/>
          <w:szCs w:val="24"/>
        </w:rPr>
        <w:t>值为</w:t>
      </w:r>
      <w:r>
        <w:rPr>
          <w:rFonts w:ascii="Times New Roman" w:hAnsi="Times New Roman" w:eastAsia="宋体" w:cs="Times New Roman"/>
          <w:sz w:val="24"/>
          <w:szCs w:val="24"/>
        </w:rPr>
        <w:t>3.45 μM</w:t>
      </w:r>
      <w:r>
        <w:rPr>
          <w:rFonts w:hint="eastAsia" w:ascii="Times New Roman" w:hAnsi="Times New Roman" w:eastAsia="宋体" w:cs="Times New Roman"/>
          <w:sz w:val="24"/>
          <w:szCs w:val="24"/>
        </w:rPr>
        <w:t>；</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能够抑制</w:t>
      </w:r>
      <w:r>
        <w:rPr>
          <w:rFonts w:ascii="Times New Roman" w:hAnsi="Times New Roman" w:eastAsia="宋体" w:cs="Times New Roman"/>
          <w:sz w:val="24"/>
          <w:szCs w:val="24"/>
        </w:rPr>
        <w:t>P-gp</w:t>
      </w:r>
      <w:r>
        <w:rPr>
          <w:rFonts w:hint="eastAsia" w:ascii="Times New Roman" w:hAnsi="Times New Roman" w:eastAsia="宋体" w:cs="Times New Roman"/>
          <w:sz w:val="24"/>
          <w:szCs w:val="24"/>
        </w:rPr>
        <w:t>对地高辛的外排转运作用，其</w:t>
      </w:r>
      <w:r>
        <w:rPr>
          <w:rFonts w:ascii="Times New Roman" w:hAnsi="Times New Roman" w:eastAsia="宋体" w:cs="Times New Roman"/>
          <w:sz w:val="24"/>
          <w:szCs w:val="24"/>
        </w:rPr>
        <w:t>IC</w:t>
      </w:r>
      <w:r>
        <w:rPr>
          <w:rFonts w:ascii="Times New Roman" w:hAnsi="Times New Roman" w:eastAsia="宋体" w:cs="Times New Roman"/>
          <w:sz w:val="24"/>
          <w:szCs w:val="24"/>
          <w:vertAlign w:val="subscript"/>
        </w:rPr>
        <w:t>50</w:t>
      </w:r>
      <w:r>
        <w:rPr>
          <w:rFonts w:hint="eastAsia" w:ascii="Times New Roman" w:hAnsi="Times New Roman" w:eastAsia="宋体" w:cs="Times New Roman"/>
          <w:sz w:val="24"/>
          <w:szCs w:val="24"/>
        </w:rPr>
        <w:t>值为</w:t>
      </w:r>
      <w:r>
        <w:rPr>
          <w:rFonts w:ascii="Times New Roman" w:hAnsi="Times New Roman" w:eastAsia="宋体" w:cs="Times New Roman"/>
          <w:sz w:val="24"/>
          <w:szCs w:val="24"/>
        </w:rPr>
        <w:t>12.7 µM</w:t>
      </w:r>
      <w:r>
        <w:rPr>
          <w:rFonts w:hint="eastAsia" w:ascii="Times New Roman" w:hAnsi="Times New Roman" w:eastAsia="宋体" w:cs="Times New Roman"/>
          <w:sz w:val="24"/>
          <w:szCs w:val="24"/>
        </w:rPr>
        <w:t>。大鼠和比格犬</w:t>
      </w:r>
      <w:r>
        <w:rPr>
          <w:rFonts w:ascii="Times New Roman" w:hAnsi="Times New Roman" w:eastAsia="宋体" w:cs="Times New Roman"/>
          <w:sz w:val="24"/>
          <w:szCs w:val="24"/>
        </w:rPr>
        <w:t>7</w:t>
      </w:r>
      <w:r>
        <w:rPr>
          <w:rFonts w:hint="eastAsia" w:ascii="Times New Roman" w:hAnsi="Times New Roman" w:eastAsia="宋体" w:cs="Times New Roman"/>
          <w:sz w:val="24"/>
          <w:szCs w:val="24"/>
        </w:rPr>
        <w:t>天连续给药的药代动力学研究结果显示，</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血浆暴露量没有明显的蓄积或下降，提示</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在动物体内没有明显的自抑制或自诱导。具体药物相互作用风险，需结合临床有效剂量下的暴露量及拟联合用药情况综合分析。</w:t>
      </w:r>
    </w:p>
    <w:p w14:paraId="3174C3E3">
      <w:pPr>
        <w:pStyle w:val="116"/>
        <w:numPr>
          <w:ilvl w:val="4"/>
          <w:numId w:val="12"/>
        </w:numPr>
        <w:ind w:hanging="849"/>
        <w:jc w:val="left"/>
        <w:outlineLvl w:val="4"/>
        <w:rPr>
          <w:rFonts w:cs="Times New Roman"/>
          <w:sz w:val="24"/>
          <w:szCs w:val="24"/>
        </w:rPr>
      </w:pPr>
      <w:bookmarkStart w:id="29" w:name="_Toc215213314"/>
      <w:bookmarkStart w:id="30" w:name="_Toc215214024"/>
      <w:bookmarkStart w:id="31" w:name="_Toc217032208"/>
      <w:r>
        <w:rPr>
          <w:rFonts w:hint="eastAsia" w:cs="Times New Roman"/>
          <w:sz w:val="24"/>
          <w:szCs w:val="24"/>
        </w:rPr>
        <w:t>毒理学</w:t>
      </w:r>
      <w:bookmarkEnd w:id="29"/>
      <w:bookmarkEnd w:id="30"/>
      <w:bookmarkEnd w:id="31"/>
    </w:p>
    <w:p w14:paraId="2AEF9B5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在单次给药毒理研究中，</w:t>
      </w:r>
      <w:r>
        <w:rPr>
          <w:rFonts w:ascii="Times New Roman" w:hAnsi="Times New Roman" w:eastAsia="宋体" w:cs="Times New Roman"/>
          <w:sz w:val="24"/>
          <w:szCs w:val="24"/>
        </w:rPr>
        <w:t>SD</w:t>
      </w:r>
      <w:r>
        <w:rPr>
          <w:rFonts w:hint="eastAsia" w:ascii="Times New Roman" w:hAnsi="Times New Roman" w:eastAsia="宋体" w:cs="Times New Roman"/>
          <w:sz w:val="24"/>
          <w:szCs w:val="24"/>
        </w:rPr>
        <w:t>大鼠及比格犬的最大耐受剂量（</w:t>
      </w:r>
      <w:r>
        <w:rPr>
          <w:rFonts w:ascii="Times New Roman" w:hAnsi="Times New Roman" w:eastAsia="宋体" w:cs="Times New Roman"/>
          <w:sz w:val="24"/>
          <w:szCs w:val="24"/>
        </w:rPr>
        <w:t>Maximum tolerated dose</w:t>
      </w:r>
      <w:r>
        <w:rPr>
          <w:rFonts w:hint="eastAsia" w:ascii="Times New Roman" w:hAnsi="Times New Roman" w:eastAsia="宋体" w:cs="Times New Roman"/>
          <w:sz w:val="24"/>
          <w:szCs w:val="24"/>
        </w:rPr>
        <w:t>，</w:t>
      </w:r>
      <w:r>
        <w:rPr>
          <w:rFonts w:ascii="Times New Roman" w:hAnsi="Times New Roman" w:eastAsia="宋体" w:cs="Times New Roman"/>
          <w:sz w:val="24"/>
          <w:szCs w:val="24"/>
        </w:rPr>
        <w:t>MTD</w:t>
      </w:r>
      <w:r>
        <w:rPr>
          <w:rFonts w:hint="eastAsia" w:ascii="Times New Roman" w:hAnsi="Times New Roman" w:eastAsia="宋体" w:cs="Times New Roman"/>
          <w:sz w:val="24"/>
          <w:szCs w:val="24"/>
        </w:rPr>
        <w:t>）均为</w:t>
      </w:r>
      <w:r>
        <w:rPr>
          <w:rFonts w:ascii="Times New Roman" w:hAnsi="Times New Roman" w:eastAsia="宋体" w:cs="Times New Roman"/>
          <w:sz w:val="24"/>
          <w:szCs w:val="24"/>
        </w:rPr>
        <w:t>1000 mg/kg</w:t>
      </w:r>
      <w:r>
        <w:rPr>
          <w:rFonts w:hint="eastAsia" w:ascii="Times New Roman" w:hAnsi="Times New Roman" w:eastAsia="宋体" w:cs="Times New Roman"/>
          <w:sz w:val="24"/>
          <w:szCs w:val="24"/>
        </w:rPr>
        <w:t>。</w:t>
      </w:r>
    </w:p>
    <w:p w14:paraId="4A62DBD1">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bCs/>
          <w:sz w:val="24"/>
          <w:szCs w:val="24"/>
        </w:rPr>
        <w:t>SD</w:t>
      </w:r>
      <w:r>
        <w:rPr>
          <w:rFonts w:hint="eastAsia" w:ascii="Times New Roman" w:hAnsi="Times New Roman" w:eastAsia="宋体" w:cs="Times New Roman"/>
          <w:bCs/>
          <w:sz w:val="24"/>
          <w:szCs w:val="24"/>
        </w:rPr>
        <w:t>大鼠</w:t>
      </w:r>
      <w:r>
        <w:rPr>
          <w:rFonts w:ascii="Times New Roman" w:hAnsi="Times New Roman" w:eastAsia="宋体" w:cs="Times New Roman"/>
          <w:sz w:val="24"/>
          <w:szCs w:val="24"/>
        </w:rPr>
        <w:t>28</w:t>
      </w:r>
      <w:r>
        <w:rPr>
          <w:rFonts w:hint="eastAsia" w:ascii="Times New Roman" w:hAnsi="Times New Roman" w:eastAsia="宋体" w:cs="Times New Roman"/>
          <w:sz w:val="24"/>
          <w:szCs w:val="24"/>
        </w:rPr>
        <w:t>天重复给药毒理研究中，</w:t>
      </w:r>
      <w:r>
        <w:rPr>
          <w:rFonts w:hint="eastAsia" w:ascii="Times New Roman" w:hAnsi="Times New Roman" w:eastAsia="宋体" w:cs="Times New Roman"/>
          <w:bCs/>
          <w:sz w:val="24"/>
          <w:szCs w:val="24"/>
        </w:rPr>
        <w:t>每天</w:t>
      </w:r>
      <w:r>
        <w:rPr>
          <w:rFonts w:ascii="Times New Roman" w:hAnsi="Times New Roman" w:eastAsia="宋体" w:cs="Times New Roman"/>
          <w:bCs/>
          <w:sz w:val="24"/>
          <w:szCs w:val="24"/>
        </w:rPr>
        <w:t>1</w:t>
      </w:r>
      <w:r>
        <w:rPr>
          <w:rFonts w:hint="eastAsia" w:ascii="Times New Roman" w:hAnsi="Times New Roman" w:eastAsia="宋体" w:cs="Times New Roman"/>
          <w:bCs/>
          <w:sz w:val="24"/>
          <w:szCs w:val="24"/>
        </w:rPr>
        <w:t>次，连续</w:t>
      </w:r>
      <w:r>
        <w:rPr>
          <w:rFonts w:ascii="Times New Roman" w:hAnsi="Times New Roman" w:eastAsia="宋体" w:cs="Times New Roman"/>
          <w:bCs/>
          <w:sz w:val="24"/>
          <w:szCs w:val="24"/>
        </w:rPr>
        <w:t>28</w:t>
      </w:r>
      <w:r>
        <w:rPr>
          <w:rFonts w:hint="eastAsia" w:ascii="Times New Roman" w:hAnsi="Times New Roman" w:eastAsia="宋体" w:cs="Times New Roman"/>
          <w:bCs/>
          <w:sz w:val="24"/>
          <w:szCs w:val="24"/>
        </w:rPr>
        <w:t>天灌胃给予</w:t>
      </w:r>
      <w:r>
        <w:rPr>
          <w:rFonts w:ascii="Times New Roman" w:hAnsi="Times New Roman" w:eastAsia="宋体" w:cs="Times New Roman"/>
          <w:bCs/>
          <w:sz w:val="24"/>
          <w:szCs w:val="24"/>
        </w:rPr>
        <w:t>2.5/5 mg/kg</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5/10 mg/kg</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 xml:space="preserve">30/60 </w:t>
      </w:r>
      <w:r>
        <w:rPr>
          <w:rFonts w:ascii="Times New Roman" w:hAnsi="Times New Roman" w:eastAsia="宋体" w:cs="Times New Roman"/>
          <w:sz w:val="24"/>
          <w:szCs w:val="24"/>
        </w:rPr>
        <w:t>mg/kg</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雌</w:t>
      </w:r>
      <w:r>
        <w:rPr>
          <w:rFonts w:ascii="Times New Roman" w:hAnsi="Times New Roman" w:eastAsia="宋体" w:cs="Times New Roman"/>
          <w:sz w:val="24"/>
          <w:szCs w:val="24"/>
        </w:rPr>
        <w:t>/</w:t>
      </w:r>
      <w:r>
        <w:rPr>
          <w:rFonts w:hint="eastAsia" w:ascii="Times New Roman" w:hAnsi="Times New Roman" w:eastAsia="宋体" w:cs="Times New Roman"/>
          <w:sz w:val="24"/>
          <w:szCs w:val="24"/>
        </w:rPr>
        <w:t>雄）剂量的</w:t>
      </w:r>
      <w:r>
        <w:rPr>
          <w:rFonts w:ascii="Times New Roman" w:hAnsi="Times New Roman" w:eastAsia="宋体" w:cs="Times New Roman"/>
          <w:bCs/>
          <w:sz w:val="24"/>
          <w:szCs w:val="24"/>
        </w:rPr>
        <w:t>CMS-D001</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 xml:space="preserve">5/10 </w:t>
      </w:r>
      <w:r>
        <w:rPr>
          <w:rFonts w:ascii="Times New Roman" w:hAnsi="Times New Roman" w:eastAsia="宋体" w:cs="Times New Roman"/>
          <w:sz w:val="24"/>
          <w:szCs w:val="24"/>
        </w:rPr>
        <w:t>mg/kg/day</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雌</w:t>
      </w:r>
      <w:r>
        <w:rPr>
          <w:rFonts w:ascii="Times New Roman" w:hAnsi="Times New Roman" w:eastAsia="宋体" w:cs="Times New Roman"/>
          <w:sz w:val="24"/>
          <w:szCs w:val="24"/>
        </w:rPr>
        <w:t>/</w:t>
      </w:r>
      <w:r>
        <w:rPr>
          <w:rFonts w:hint="eastAsia" w:ascii="Times New Roman" w:hAnsi="Times New Roman" w:eastAsia="宋体" w:cs="Times New Roman"/>
          <w:sz w:val="24"/>
          <w:szCs w:val="24"/>
        </w:rPr>
        <w:t>雄）剂量组动物的</w:t>
      </w:r>
      <w:r>
        <w:rPr>
          <w:rFonts w:hint="eastAsia" w:ascii="Times New Roman" w:hAnsi="Times New Roman" w:eastAsia="宋体" w:cs="Times New Roman"/>
          <w:bCs/>
          <w:sz w:val="24"/>
          <w:szCs w:val="24"/>
        </w:rPr>
        <w:t>血液学、骨髓涂片和组织病理改变与</w:t>
      </w:r>
      <w:r>
        <w:rPr>
          <w:rFonts w:ascii="Times New Roman" w:hAnsi="Times New Roman" w:eastAsia="宋体" w:cs="Times New Roman"/>
          <w:bCs/>
          <w:sz w:val="24"/>
          <w:szCs w:val="24"/>
        </w:rPr>
        <w:t>PF-06826647</w:t>
      </w:r>
      <w:r>
        <w:rPr>
          <w:rFonts w:hint="eastAsia" w:ascii="Times New Roman" w:hAnsi="Times New Roman" w:eastAsia="宋体" w:cs="Times New Roman"/>
          <w:bCs/>
          <w:sz w:val="24"/>
          <w:szCs w:val="24"/>
        </w:rPr>
        <w:t>表现基本一致，均与抑制</w:t>
      </w:r>
      <w:r>
        <w:rPr>
          <w:rFonts w:ascii="Times New Roman" w:hAnsi="Times New Roman" w:eastAsia="宋体" w:cs="Times New Roman"/>
          <w:bCs/>
          <w:sz w:val="24"/>
          <w:szCs w:val="24"/>
        </w:rPr>
        <w:t>TYK2</w:t>
      </w:r>
      <w:r>
        <w:rPr>
          <w:rFonts w:hint="eastAsia" w:ascii="Times New Roman" w:hAnsi="Times New Roman" w:eastAsia="宋体" w:cs="Times New Roman"/>
          <w:bCs/>
          <w:sz w:val="24"/>
          <w:szCs w:val="24"/>
        </w:rPr>
        <w:t>的药理作用相关，其</w:t>
      </w:r>
      <w:r>
        <w:rPr>
          <w:rFonts w:hint="eastAsia" w:ascii="Times New Roman" w:hAnsi="Times New Roman" w:eastAsia="宋体" w:cs="Times New Roman"/>
          <w:sz w:val="24"/>
          <w:szCs w:val="24"/>
        </w:rPr>
        <w:t>变化程度较轻，仅有部分动物出现以上病变，且试验过程中，动物耐受良好，</w:t>
      </w:r>
      <w:r>
        <w:rPr>
          <w:rFonts w:hint="eastAsia" w:ascii="Times New Roman" w:hAnsi="Times New Roman" w:eastAsia="宋体" w:cs="Times New Roman"/>
          <w:bCs/>
          <w:sz w:val="24"/>
          <w:szCs w:val="24"/>
        </w:rPr>
        <w:t>停药恢复</w:t>
      </w:r>
      <w:r>
        <w:rPr>
          <w:rFonts w:ascii="Times New Roman" w:hAnsi="Times New Roman" w:eastAsia="宋体" w:cs="Times New Roman"/>
          <w:bCs/>
          <w:sz w:val="24"/>
          <w:szCs w:val="24"/>
        </w:rPr>
        <w:t>4</w:t>
      </w:r>
      <w:r>
        <w:rPr>
          <w:rFonts w:hint="eastAsia" w:ascii="Times New Roman" w:hAnsi="Times New Roman" w:eastAsia="宋体" w:cs="Times New Roman"/>
          <w:bCs/>
          <w:sz w:val="24"/>
          <w:szCs w:val="24"/>
        </w:rPr>
        <w:t>周后均可完全恢复。因此，</w:t>
      </w:r>
      <w:r>
        <w:rPr>
          <w:rFonts w:hint="eastAsia" w:ascii="Times New Roman" w:hAnsi="Times New Roman" w:eastAsia="宋体" w:cs="Times New Roman"/>
          <w:sz w:val="24"/>
          <w:szCs w:val="24"/>
        </w:rPr>
        <w:t>最高未见不良反应剂量（</w:t>
      </w:r>
      <w:r>
        <w:rPr>
          <w:rFonts w:ascii="Times New Roman" w:hAnsi="Times New Roman" w:eastAsia="宋体" w:cs="Times New Roman"/>
          <w:sz w:val="24"/>
          <w:szCs w:val="24"/>
        </w:rPr>
        <w:t>No observed adverse effect level</w:t>
      </w:r>
      <w:r>
        <w:rPr>
          <w:rFonts w:hint="eastAsia" w:ascii="Times New Roman" w:hAnsi="Times New Roman" w:eastAsia="宋体" w:cs="Times New Roman"/>
          <w:sz w:val="24"/>
          <w:szCs w:val="24"/>
        </w:rPr>
        <w:t>，</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）为</w:t>
      </w:r>
      <w:r>
        <w:rPr>
          <w:rFonts w:ascii="Times New Roman" w:hAnsi="Times New Roman" w:eastAsia="宋体" w:cs="Times New Roman"/>
          <w:bCs/>
          <w:sz w:val="24"/>
          <w:szCs w:val="24"/>
        </w:rPr>
        <w:t xml:space="preserve">5/10 </w:t>
      </w:r>
      <w:r>
        <w:rPr>
          <w:rFonts w:ascii="Times New Roman" w:hAnsi="Times New Roman" w:eastAsia="宋体" w:cs="Times New Roman"/>
          <w:sz w:val="24"/>
          <w:szCs w:val="24"/>
        </w:rPr>
        <w:t>mg/kg/day</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雌</w:t>
      </w:r>
      <w:r>
        <w:rPr>
          <w:rFonts w:ascii="Times New Roman" w:hAnsi="Times New Roman" w:eastAsia="宋体" w:cs="Times New Roman"/>
          <w:sz w:val="24"/>
          <w:szCs w:val="24"/>
        </w:rPr>
        <w:t>/</w:t>
      </w:r>
      <w:r>
        <w:rPr>
          <w:rFonts w:hint="eastAsia" w:ascii="Times New Roman" w:hAnsi="Times New Roman" w:eastAsia="宋体" w:cs="Times New Roman"/>
          <w:sz w:val="24"/>
          <w:szCs w:val="24"/>
        </w:rPr>
        <w:t>雄）</w:t>
      </w:r>
      <w:r>
        <w:rPr>
          <w:rFonts w:hint="eastAsia" w:ascii="Times New Roman" w:hAnsi="Times New Roman" w:eastAsia="宋体" w:cs="Times New Roman"/>
          <w:bCs/>
          <w:sz w:val="24"/>
          <w:szCs w:val="24"/>
        </w:rPr>
        <w:t>，该剂量下，雌性动物</w:t>
      </w:r>
      <w:r>
        <w:rPr>
          <w:rFonts w:ascii="Times New Roman" w:hAnsi="Times New Roman" w:eastAsia="宋体" w:cs="Times New Roman"/>
          <w:bCs/>
          <w:sz w:val="24"/>
          <w:szCs w:val="24"/>
        </w:rPr>
        <w:t>D28 CMS-D001</w:t>
      </w:r>
      <w:r>
        <w:rPr>
          <w:rFonts w:hint="eastAsia" w:ascii="Times New Roman" w:hAnsi="Times New Roman" w:eastAsia="宋体" w:cs="Times New Roman"/>
          <w:bCs/>
          <w:sz w:val="24"/>
          <w:szCs w:val="24"/>
        </w:rPr>
        <w:t>的</w:t>
      </w:r>
      <w:r>
        <w:rPr>
          <w:rFonts w:ascii="Times New Roman" w:hAnsi="Times New Roman" w:eastAsia="宋体" w:cs="Times New Roman"/>
          <w:bCs/>
          <w:sz w:val="24"/>
          <w:szCs w:val="24"/>
        </w:rPr>
        <w:t>C</w:t>
      </w:r>
      <w:r>
        <w:rPr>
          <w:rFonts w:ascii="Times New Roman" w:hAnsi="Times New Roman" w:eastAsia="宋体" w:cs="Times New Roman"/>
          <w:bCs/>
          <w:sz w:val="24"/>
          <w:szCs w:val="24"/>
          <w:vertAlign w:val="subscript"/>
        </w:rPr>
        <w:t>max</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AUC</w:t>
      </w:r>
      <w:r>
        <w:rPr>
          <w:rFonts w:ascii="Times New Roman" w:hAnsi="Times New Roman" w:eastAsia="宋体" w:cs="Times New Roman"/>
          <w:bCs/>
          <w:sz w:val="24"/>
          <w:szCs w:val="24"/>
          <w:vertAlign w:val="subscript"/>
        </w:rPr>
        <w:t>0</w:t>
      </w:r>
      <w:r>
        <w:rPr>
          <w:rFonts w:hint="eastAsia" w:ascii="Times New Roman" w:hAnsi="Times New Roman" w:eastAsia="宋体" w:cs="Times New Roman"/>
          <w:bCs/>
          <w:sz w:val="24"/>
          <w:szCs w:val="24"/>
          <w:vertAlign w:val="subscript"/>
        </w:rPr>
        <w:t>→</w:t>
      </w:r>
      <w:r>
        <w:rPr>
          <w:rFonts w:ascii="Times New Roman" w:hAnsi="Times New Roman" w:eastAsia="宋体" w:cs="Times New Roman"/>
          <w:bCs/>
          <w:sz w:val="24"/>
          <w:szCs w:val="24"/>
          <w:vertAlign w:val="subscript"/>
        </w:rPr>
        <w:t>24h</w:t>
      </w:r>
      <w:r>
        <w:rPr>
          <w:rFonts w:hint="eastAsia" w:ascii="Times New Roman" w:hAnsi="Times New Roman" w:eastAsia="宋体" w:cs="Times New Roman"/>
          <w:bCs/>
          <w:sz w:val="24"/>
          <w:szCs w:val="24"/>
        </w:rPr>
        <w:t>分别为</w:t>
      </w:r>
      <w:r>
        <w:rPr>
          <w:rFonts w:ascii="Times New Roman" w:hAnsi="Times New Roman" w:eastAsia="宋体" w:cs="Times New Roman"/>
          <w:bCs/>
          <w:sz w:val="24"/>
          <w:szCs w:val="24"/>
        </w:rPr>
        <w:t>2110</w:t>
      </w:r>
      <w:r>
        <w:rPr>
          <w:rFonts w:ascii="Times New Roman" w:hAnsi="Times New Roman" w:eastAsia="宋体" w:cs="Times New Roman"/>
          <w:sz w:val="24"/>
          <w:szCs w:val="24"/>
        </w:rPr>
        <w:t xml:space="preserve"> </w:t>
      </w:r>
      <w:r>
        <w:rPr>
          <w:rFonts w:ascii="Times New Roman" w:hAnsi="Times New Roman" w:eastAsia="宋体" w:cs="Times New Roman"/>
          <w:bCs/>
          <w:sz w:val="24"/>
          <w:szCs w:val="24"/>
        </w:rPr>
        <w:t>ng/mL</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11886 ng*h /mL</w:t>
      </w:r>
      <w:r>
        <w:rPr>
          <w:rFonts w:hint="eastAsia" w:ascii="Times New Roman" w:hAnsi="Times New Roman" w:eastAsia="宋体" w:cs="Times New Roman"/>
          <w:bCs/>
          <w:sz w:val="24"/>
          <w:szCs w:val="24"/>
        </w:rPr>
        <w:t>；雄性动物</w:t>
      </w:r>
      <w:r>
        <w:rPr>
          <w:rFonts w:ascii="Times New Roman" w:hAnsi="Times New Roman" w:eastAsia="宋体" w:cs="Times New Roman"/>
          <w:bCs/>
          <w:sz w:val="24"/>
          <w:szCs w:val="24"/>
        </w:rPr>
        <w:t>D28 CMS-D001</w:t>
      </w:r>
      <w:r>
        <w:rPr>
          <w:rFonts w:hint="eastAsia" w:ascii="Times New Roman" w:hAnsi="Times New Roman" w:eastAsia="宋体" w:cs="Times New Roman"/>
          <w:bCs/>
          <w:sz w:val="24"/>
          <w:szCs w:val="24"/>
        </w:rPr>
        <w:t>的</w:t>
      </w:r>
      <w:r>
        <w:rPr>
          <w:rFonts w:ascii="Times New Roman" w:hAnsi="Times New Roman" w:eastAsia="宋体" w:cs="Times New Roman"/>
          <w:bCs/>
          <w:sz w:val="24"/>
          <w:szCs w:val="24"/>
        </w:rPr>
        <w:t>C</w:t>
      </w:r>
      <w:r>
        <w:rPr>
          <w:rFonts w:ascii="Times New Roman" w:hAnsi="Times New Roman" w:eastAsia="宋体" w:cs="Times New Roman"/>
          <w:bCs/>
          <w:sz w:val="24"/>
          <w:szCs w:val="24"/>
          <w:vertAlign w:val="subscript"/>
        </w:rPr>
        <w:t>max</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AUC</w:t>
      </w:r>
      <w:r>
        <w:rPr>
          <w:rFonts w:ascii="Times New Roman" w:hAnsi="Times New Roman" w:eastAsia="宋体" w:cs="Times New Roman"/>
          <w:bCs/>
          <w:sz w:val="24"/>
          <w:szCs w:val="24"/>
          <w:vertAlign w:val="subscript"/>
        </w:rPr>
        <w:t>0</w:t>
      </w:r>
      <w:r>
        <w:rPr>
          <w:rFonts w:hint="eastAsia" w:ascii="Times New Roman" w:hAnsi="Times New Roman" w:eastAsia="宋体" w:cs="Times New Roman"/>
          <w:bCs/>
          <w:sz w:val="24"/>
          <w:szCs w:val="24"/>
          <w:vertAlign w:val="subscript"/>
        </w:rPr>
        <w:t>→</w:t>
      </w:r>
      <w:r>
        <w:rPr>
          <w:rFonts w:ascii="Times New Roman" w:hAnsi="Times New Roman" w:eastAsia="宋体" w:cs="Times New Roman"/>
          <w:bCs/>
          <w:sz w:val="24"/>
          <w:szCs w:val="24"/>
          <w:vertAlign w:val="subscript"/>
        </w:rPr>
        <w:t>24h</w:t>
      </w:r>
      <w:r>
        <w:rPr>
          <w:rFonts w:hint="eastAsia" w:ascii="Times New Roman" w:hAnsi="Times New Roman" w:eastAsia="宋体" w:cs="Times New Roman"/>
          <w:bCs/>
          <w:sz w:val="24"/>
          <w:szCs w:val="24"/>
        </w:rPr>
        <w:t>分别为</w:t>
      </w:r>
      <w:r>
        <w:rPr>
          <w:rFonts w:ascii="Times New Roman" w:hAnsi="Times New Roman" w:eastAsia="宋体" w:cs="Times New Roman"/>
          <w:bCs/>
          <w:sz w:val="24"/>
          <w:szCs w:val="24"/>
        </w:rPr>
        <w:t>1556</w:t>
      </w:r>
      <w:r>
        <w:rPr>
          <w:rFonts w:ascii="Times New Roman" w:hAnsi="Times New Roman" w:eastAsia="宋体" w:cs="Times New Roman"/>
          <w:sz w:val="24"/>
          <w:szCs w:val="24"/>
        </w:rPr>
        <w:t xml:space="preserve"> </w:t>
      </w:r>
      <w:r>
        <w:rPr>
          <w:rFonts w:ascii="Times New Roman" w:hAnsi="Times New Roman" w:eastAsia="宋体" w:cs="Times New Roman"/>
          <w:bCs/>
          <w:sz w:val="24"/>
          <w:szCs w:val="24"/>
        </w:rPr>
        <w:t>ng/mL</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8928</w:t>
      </w:r>
      <w:r>
        <w:rPr>
          <w:rFonts w:ascii="Times New Roman" w:hAnsi="Times New Roman" w:eastAsia="宋体" w:cs="Times New Roman"/>
          <w:sz w:val="24"/>
          <w:szCs w:val="24"/>
        </w:rPr>
        <w:t xml:space="preserve"> </w:t>
      </w:r>
      <w:r>
        <w:rPr>
          <w:rFonts w:ascii="Times New Roman" w:hAnsi="Times New Roman" w:eastAsia="宋体" w:cs="Times New Roman"/>
          <w:bCs/>
          <w:sz w:val="24"/>
          <w:szCs w:val="24"/>
        </w:rPr>
        <w:t>ng*h /mL</w:t>
      </w:r>
      <w:r>
        <w:rPr>
          <w:rFonts w:hint="eastAsia" w:ascii="Times New Roman" w:hAnsi="Times New Roman" w:eastAsia="宋体" w:cs="Times New Roman"/>
          <w:bCs/>
          <w:sz w:val="24"/>
          <w:szCs w:val="24"/>
        </w:rPr>
        <w:t>。</w:t>
      </w:r>
    </w:p>
    <w:p w14:paraId="2BB4593D">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sz w:val="24"/>
          <w:szCs w:val="24"/>
        </w:rPr>
        <w:t>Beagle</w:t>
      </w:r>
      <w:r>
        <w:rPr>
          <w:rFonts w:hint="eastAsia" w:ascii="Times New Roman" w:hAnsi="Times New Roman" w:eastAsia="宋体" w:cs="Times New Roman"/>
          <w:sz w:val="24"/>
          <w:szCs w:val="24"/>
        </w:rPr>
        <w:t>犬</w:t>
      </w:r>
      <w:r>
        <w:rPr>
          <w:rFonts w:ascii="Times New Roman" w:hAnsi="Times New Roman" w:eastAsia="宋体" w:cs="Times New Roman"/>
          <w:sz w:val="24"/>
          <w:szCs w:val="24"/>
        </w:rPr>
        <w:t>28</w:t>
      </w:r>
      <w:r>
        <w:rPr>
          <w:rFonts w:hint="eastAsia" w:ascii="Times New Roman" w:hAnsi="Times New Roman" w:eastAsia="宋体" w:cs="Times New Roman"/>
          <w:sz w:val="24"/>
          <w:szCs w:val="24"/>
        </w:rPr>
        <w:t>天重复给药毒理研究中，每天</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次，连续</w:t>
      </w:r>
      <w:r>
        <w:rPr>
          <w:rFonts w:ascii="Times New Roman" w:hAnsi="Times New Roman" w:eastAsia="宋体" w:cs="Times New Roman"/>
          <w:sz w:val="24"/>
          <w:szCs w:val="24"/>
        </w:rPr>
        <w:t>28</w:t>
      </w:r>
      <w:r>
        <w:rPr>
          <w:rFonts w:hint="eastAsia" w:ascii="Times New Roman" w:hAnsi="Times New Roman" w:eastAsia="宋体" w:cs="Times New Roman"/>
          <w:sz w:val="24"/>
          <w:szCs w:val="24"/>
        </w:rPr>
        <w:t>天灌胃给予</w:t>
      </w:r>
      <w:r>
        <w:rPr>
          <w:rFonts w:ascii="Times New Roman" w:hAnsi="Times New Roman" w:eastAsia="宋体" w:cs="Times New Roman"/>
          <w:sz w:val="24"/>
          <w:szCs w:val="24"/>
        </w:rPr>
        <w:t>2</w:t>
      </w:r>
      <w:r>
        <w:rPr>
          <w:rFonts w:ascii="Times New Roman" w:hAnsi="Times New Roman" w:eastAsia="宋体" w:cs="Times New Roman"/>
          <w:bCs/>
          <w:sz w:val="24"/>
          <w:szCs w:val="24"/>
        </w:rPr>
        <w:t xml:space="preserve">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8</w:t>
      </w:r>
      <w:r>
        <w:rPr>
          <w:rFonts w:ascii="Times New Roman" w:hAnsi="Times New Roman" w:eastAsia="宋体" w:cs="Times New Roman"/>
          <w:bCs/>
          <w:sz w:val="24"/>
          <w:szCs w:val="24"/>
        </w:rPr>
        <w:t xml:space="preserve">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30 mg/kg</w:t>
      </w:r>
      <w:r>
        <w:rPr>
          <w:rFonts w:hint="eastAsia" w:ascii="Times New Roman" w:hAnsi="Times New Roman" w:eastAsia="宋体" w:cs="Times New Roman"/>
          <w:sz w:val="24"/>
          <w:szCs w:val="24"/>
        </w:rPr>
        <w:t>剂量的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w:t>
      </w:r>
      <w:r>
        <w:rPr>
          <w:rFonts w:ascii="Times New Roman" w:hAnsi="Times New Roman" w:eastAsia="宋体" w:cs="Times New Roman"/>
          <w:sz w:val="24"/>
          <w:szCs w:val="24"/>
        </w:rPr>
        <w:t>8 mg/kg/day</w:t>
      </w:r>
      <w:r>
        <w:rPr>
          <w:rFonts w:hint="eastAsia" w:ascii="Times New Roman" w:hAnsi="Times New Roman" w:eastAsia="宋体" w:cs="Times New Roman"/>
          <w:sz w:val="24"/>
          <w:szCs w:val="24"/>
        </w:rPr>
        <w:t>剂量组动物的骨髓涂片和组织病理改变与</w:t>
      </w:r>
      <w:r>
        <w:rPr>
          <w:rFonts w:ascii="Times New Roman" w:hAnsi="Times New Roman" w:eastAsia="宋体" w:cs="Times New Roman"/>
          <w:sz w:val="24"/>
          <w:szCs w:val="24"/>
        </w:rPr>
        <w:t>PF-06826647</w:t>
      </w:r>
      <w:r>
        <w:rPr>
          <w:rFonts w:hint="eastAsia" w:ascii="Times New Roman" w:hAnsi="Times New Roman" w:eastAsia="宋体" w:cs="Times New Roman"/>
          <w:sz w:val="24"/>
          <w:szCs w:val="24"/>
        </w:rPr>
        <w:t>表现基本一致，均与抑制</w:t>
      </w:r>
      <w:r>
        <w:rPr>
          <w:rFonts w:ascii="Times New Roman" w:hAnsi="Times New Roman" w:eastAsia="宋体" w:cs="Times New Roman"/>
          <w:sz w:val="24"/>
          <w:szCs w:val="24"/>
        </w:rPr>
        <w:t>TYK2</w:t>
      </w:r>
      <w:r>
        <w:rPr>
          <w:rFonts w:hint="eastAsia" w:ascii="Times New Roman" w:hAnsi="Times New Roman" w:eastAsia="宋体" w:cs="Times New Roman"/>
          <w:sz w:val="24"/>
          <w:szCs w:val="24"/>
        </w:rPr>
        <w:t>的药理作用相关，其变化程度较轻，仅有部分动物出现以上病变，且试验过程中，动物耐受良好，没有造成明显的功能性损伤，恢复</w:t>
      </w:r>
      <w:r>
        <w:rPr>
          <w:rFonts w:ascii="Times New Roman" w:hAnsi="Times New Roman" w:eastAsia="宋体" w:cs="Times New Roman"/>
          <w:sz w:val="24"/>
          <w:szCs w:val="24"/>
        </w:rPr>
        <w:t>4</w:t>
      </w:r>
      <w:r>
        <w:rPr>
          <w:rFonts w:hint="eastAsia" w:ascii="Times New Roman" w:hAnsi="Times New Roman" w:eastAsia="宋体" w:cs="Times New Roman"/>
          <w:sz w:val="24"/>
          <w:szCs w:val="24"/>
        </w:rPr>
        <w:t>周后均可完全恢复。因此，最高未见不良反应剂量（</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8 mg/kg/day</w:t>
      </w:r>
      <w:r>
        <w:rPr>
          <w:rFonts w:hint="eastAsia" w:ascii="Times New Roman" w:hAnsi="Times New Roman" w:eastAsia="宋体" w:cs="Times New Roman"/>
          <w:sz w:val="24"/>
          <w:szCs w:val="24"/>
        </w:rPr>
        <w:t>，该剂量下，</w:t>
      </w:r>
      <w:r>
        <w:rPr>
          <w:rFonts w:ascii="Times New Roman" w:hAnsi="Times New Roman" w:eastAsia="宋体" w:cs="Times New Roman"/>
          <w:sz w:val="24"/>
          <w:szCs w:val="24"/>
        </w:rPr>
        <w:t>D28</w:t>
      </w:r>
      <w:r>
        <w:rPr>
          <w:rFonts w:hint="eastAsia" w:ascii="Times New Roman" w:hAnsi="Times New Roman" w:eastAsia="宋体" w:cs="Times New Roman"/>
          <w:sz w:val="24"/>
          <w:szCs w:val="24"/>
        </w:rPr>
        <w:t>雌性动物</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vertAlign w:val="subscript"/>
        </w:rPr>
        <w:t>→</w:t>
      </w:r>
      <w:r>
        <w:rPr>
          <w:rFonts w:ascii="Times New Roman" w:hAnsi="Times New Roman" w:eastAsia="宋体" w:cs="Times New Roman"/>
          <w:sz w:val="24"/>
          <w:szCs w:val="24"/>
          <w:vertAlign w:val="subscript"/>
        </w:rPr>
        <w:t>24h</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1094 ng/mL</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3764 ng*h /mL</w:t>
      </w:r>
      <w:r>
        <w:rPr>
          <w:rFonts w:hint="eastAsia" w:ascii="Times New Roman" w:hAnsi="Times New Roman" w:eastAsia="宋体" w:cs="Times New Roman"/>
          <w:sz w:val="24"/>
          <w:szCs w:val="24"/>
        </w:rPr>
        <w:t>；雄性动物</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vertAlign w:val="subscript"/>
        </w:rPr>
        <w:t>→</w:t>
      </w:r>
      <w:r>
        <w:rPr>
          <w:rFonts w:ascii="Times New Roman" w:hAnsi="Times New Roman" w:eastAsia="宋体" w:cs="Times New Roman"/>
          <w:sz w:val="24"/>
          <w:szCs w:val="24"/>
          <w:vertAlign w:val="subscript"/>
        </w:rPr>
        <w:t>24h</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1598 ng/mL</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5549 ng*h /mL</w:t>
      </w:r>
      <w:r>
        <w:rPr>
          <w:rFonts w:hint="eastAsia" w:ascii="Times New Roman" w:hAnsi="Times New Roman" w:eastAsia="宋体" w:cs="Times New Roman"/>
          <w:sz w:val="24"/>
          <w:szCs w:val="24"/>
        </w:rPr>
        <w:t>。</w:t>
      </w:r>
    </w:p>
    <w:p w14:paraId="7CFDC9F2">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sz w:val="24"/>
          <w:szCs w:val="24"/>
        </w:rPr>
        <w:t>SD</w:t>
      </w:r>
      <w:r>
        <w:rPr>
          <w:rFonts w:hint="eastAsia" w:ascii="Times New Roman" w:hAnsi="Times New Roman" w:eastAsia="宋体" w:cs="Times New Roman"/>
          <w:sz w:val="24"/>
          <w:szCs w:val="24"/>
        </w:rPr>
        <w:t>大鼠</w:t>
      </w:r>
      <w:r>
        <w:rPr>
          <w:rFonts w:ascii="Times New Roman" w:hAnsi="Times New Roman" w:eastAsia="宋体" w:cs="Times New Roman"/>
          <w:sz w:val="24"/>
          <w:szCs w:val="24"/>
        </w:rPr>
        <w:t>13</w:t>
      </w:r>
      <w:r>
        <w:rPr>
          <w:rFonts w:hint="eastAsia" w:ascii="Times New Roman" w:hAnsi="Times New Roman" w:eastAsia="宋体" w:cs="Times New Roman"/>
          <w:sz w:val="24"/>
          <w:szCs w:val="24"/>
        </w:rPr>
        <w:t>周重复给药毒性研究中，每天</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次连续</w:t>
      </w:r>
      <w:r>
        <w:rPr>
          <w:rFonts w:ascii="Times New Roman" w:hAnsi="Times New Roman" w:eastAsia="宋体" w:cs="Times New Roman"/>
          <w:sz w:val="24"/>
          <w:szCs w:val="24"/>
        </w:rPr>
        <w:t>13</w:t>
      </w:r>
      <w:r>
        <w:rPr>
          <w:rFonts w:hint="eastAsia" w:ascii="Times New Roman" w:hAnsi="Times New Roman" w:eastAsia="宋体" w:cs="Times New Roman"/>
          <w:sz w:val="24"/>
          <w:szCs w:val="24"/>
        </w:rPr>
        <w:t>周经口灌胃</w:t>
      </w:r>
      <w:r>
        <w:rPr>
          <w:rFonts w:ascii="Times New Roman" w:hAnsi="Times New Roman" w:eastAsia="宋体" w:cs="Times New Roman"/>
          <w:sz w:val="24"/>
          <w:szCs w:val="24"/>
        </w:rPr>
        <w:t xml:space="preserve"> 2.5/5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5/10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10/20 mg/kg</w:t>
      </w:r>
      <w:r>
        <w:rPr>
          <w:rFonts w:hint="eastAsia" w:ascii="Times New Roman" w:hAnsi="Times New Roman" w:eastAsia="宋体" w:cs="Times New Roman"/>
          <w:sz w:val="24"/>
          <w:szCs w:val="24"/>
        </w:rPr>
        <w:t>（雌</w:t>
      </w:r>
      <w:r>
        <w:rPr>
          <w:rFonts w:ascii="Times New Roman" w:hAnsi="Times New Roman" w:eastAsia="宋体" w:cs="Times New Roman"/>
          <w:sz w:val="24"/>
          <w:szCs w:val="24"/>
        </w:rPr>
        <w:t>/</w:t>
      </w:r>
      <w:r>
        <w:rPr>
          <w:rFonts w:hint="eastAsia" w:ascii="Times New Roman" w:hAnsi="Times New Roman" w:eastAsia="宋体" w:cs="Times New Roman"/>
          <w:sz w:val="24"/>
          <w:szCs w:val="24"/>
        </w:rPr>
        <w:t>雄）剂量的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，停药恢复</w:t>
      </w:r>
      <w:r>
        <w:rPr>
          <w:rFonts w:ascii="Times New Roman" w:hAnsi="Times New Roman" w:eastAsia="宋体" w:cs="Times New Roman"/>
          <w:sz w:val="24"/>
          <w:szCs w:val="24"/>
        </w:rPr>
        <w:t>4</w:t>
      </w:r>
      <w:r>
        <w:rPr>
          <w:rFonts w:hint="eastAsia" w:ascii="Times New Roman" w:hAnsi="Times New Roman" w:eastAsia="宋体" w:cs="Times New Roman"/>
          <w:sz w:val="24"/>
          <w:szCs w:val="24"/>
        </w:rPr>
        <w:t>周，各组均未见与受试物相关的动物濒死</w:t>
      </w:r>
      <w:r>
        <w:rPr>
          <w:rFonts w:ascii="Times New Roman" w:hAnsi="Times New Roman" w:eastAsia="宋体" w:cs="Times New Roman"/>
          <w:sz w:val="24"/>
          <w:szCs w:val="24"/>
        </w:rPr>
        <w:t>/</w:t>
      </w:r>
      <w:r>
        <w:rPr>
          <w:rFonts w:hint="eastAsia" w:ascii="Times New Roman" w:hAnsi="Times New Roman" w:eastAsia="宋体" w:cs="Times New Roman"/>
          <w:sz w:val="24"/>
          <w:szCs w:val="24"/>
        </w:rPr>
        <w:t>死亡和其他明显毒性反应。毒代动力学结果显示，首末次给药后，各剂量组雌雄动物血浆中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暴露量均随剂量增加而增加，重复给药</w:t>
      </w:r>
      <w:r>
        <w:rPr>
          <w:rFonts w:ascii="Times New Roman" w:hAnsi="Times New Roman" w:eastAsia="宋体" w:cs="Times New Roman"/>
          <w:sz w:val="24"/>
          <w:szCs w:val="24"/>
        </w:rPr>
        <w:t>13</w:t>
      </w:r>
      <w:r>
        <w:rPr>
          <w:rFonts w:hint="eastAsia" w:ascii="Times New Roman" w:hAnsi="Times New Roman" w:eastAsia="宋体" w:cs="Times New Roman"/>
          <w:sz w:val="24"/>
          <w:szCs w:val="24"/>
        </w:rPr>
        <w:t>周后，未见明显药物蓄积，</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10/20 mg/kg</w:t>
      </w:r>
      <w:r>
        <w:rPr>
          <w:rFonts w:hint="eastAsia" w:ascii="Times New Roman" w:hAnsi="Times New Roman" w:eastAsia="宋体" w:cs="Times New Roman"/>
          <w:sz w:val="24"/>
          <w:szCs w:val="24"/>
        </w:rPr>
        <w:t>（雌</w:t>
      </w:r>
      <w:r>
        <w:rPr>
          <w:rFonts w:ascii="Times New Roman" w:hAnsi="Times New Roman" w:eastAsia="宋体" w:cs="Times New Roman"/>
          <w:sz w:val="24"/>
          <w:szCs w:val="24"/>
        </w:rPr>
        <w:t>/</w:t>
      </w:r>
      <w:r>
        <w:rPr>
          <w:rFonts w:hint="eastAsia" w:ascii="Times New Roman" w:hAnsi="Times New Roman" w:eastAsia="宋体" w:cs="Times New Roman"/>
          <w:sz w:val="24"/>
          <w:szCs w:val="24"/>
        </w:rPr>
        <w:t>雄），该剂量水平下末次给药后，雌、雄动物血浆中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的暴露量</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-last</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22226 ng*h /mL</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21391 ng*h /mL</w:t>
      </w:r>
      <w:r>
        <w:rPr>
          <w:rFonts w:hint="eastAsia" w:ascii="Times New Roman" w:hAnsi="Times New Roman" w:eastAsia="宋体" w:cs="Times New Roman"/>
          <w:sz w:val="24"/>
          <w:szCs w:val="24"/>
        </w:rPr>
        <w:t>。</w:t>
      </w:r>
    </w:p>
    <w:p w14:paraId="61FC4705">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在犬</w:t>
      </w:r>
      <w:r>
        <w:rPr>
          <w:rFonts w:ascii="Times New Roman" w:hAnsi="Times New Roman" w:eastAsia="宋体" w:cs="Times New Roman"/>
          <w:sz w:val="24"/>
          <w:szCs w:val="24"/>
        </w:rPr>
        <w:t>13</w:t>
      </w:r>
      <w:r>
        <w:rPr>
          <w:rFonts w:hint="eastAsia" w:ascii="Times New Roman" w:hAnsi="Times New Roman" w:eastAsia="宋体" w:cs="Times New Roman"/>
          <w:sz w:val="24"/>
          <w:szCs w:val="24"/>
        </w:rPr>
        <w:t>周重复给药毒性研究中，每天</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次连续</w:t>
      </w:r>
      <w:r>
        <w:rPr>
          <w:rFonts w:ascii="Times New Roman" w:hAnsi="Times New Roman" w:eastAsia="宋体" w:cs="Times New Roman"/>
          <w:sz w:val="24"/>
          <w:szCs w:val="24"/>
        </w:rPr>
        <w:t>13</w:t>
      </w:r>
      <w:r>
        <w:rPr>
          <w:rFonts w:hint="eastAsia" w:ascii="Times New Roman" w:hAnsi="Times New Roman" w:eastAsia="宋体" w:cs="Times New Roman"/>
          <w:sz w:val="24"/>
          <w:szCs w:val="24"/>
        </w:rPr>
        <w:t>周经口灌胃</w:t>
      </w:r>
      <w:r>
        <w:rPr>
          <w:rFonts w:ascii="Times New Roman" w:hAnsi="Times New Roman" w:eastAsia="宋体" w:cs="Times New Roman"/>
          <w:sz w:val="24"/>
          <w:szCs w:val="24"/>
        </w:rPr>
        <w:t>2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8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16 mg/kg</w:t>
      </w:r>
      <w:r>
        <w:rPr>
          <w:rFonts w:hint="eastAsia" w:ascii="Times New Roman" w:hAnsi="Times New Roman" w:eastAsia="宋体" w:cs="Times New Roman"/>
          <w:sz w:val="24"/>
          <w:szCs w:val="24"/>
        </w:rPr>
        <w:t>剂量的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，停药恢复</w:t>
      </w:r>
      <w:r>
        <w:rPr>
          <w:rFonts w:ascii="Times New Roman" w:hAnsi="Times New Roman" w:eastAsia="宋体" w:cs="Times New Roman"/>
          <w:sz w:val="24"/>
          <w:szCs w:val="24"/>
        </w:rPr>
        <w:t>4</w:t>
      </w:r>
      <w:r>
        <w:rPr>
          <w:rFonts w:hint="eastAsia" w:ascii="Times New Roman" w:hAnsi="Times New Roman" w:eastAsia="宋体" w:cs="Times New Roman"/>
          <w:sz w:val="24"/>
          <w:szCs w:val="24"/>
        </w:rPr>
        <w:t>周。各组均未见与受试物相关的动物濒死</w:t>
      </w:r>
      <w:r>
        <w:rPr>
          <w:rFonts w:ascii="Times New Roman" w:hAnsi="Times New Roman" w:eastAsia="宋体" w:cs="Times New Roman"/>
          <w:sz w:val="24"/>
          <w:szCs w:val="24"/>
        </w:rPr>
        <w:t>/</w:t>
      </w:r>
      <w:r>
        <w:rPr>
          <w:rFonts w:hint="eastAsia" w:ascii="Times New Roman" w:hAnsi="Times New Roman" w:eastAsia="宋体" w:cs="Times New Roman"/>
          <w:sz w:val="24"/>
          <w:szCs w:val="24"/>
        </w:rPr>
        <w:t>死亡和其他明显毒性反应。毒代动力学结果显示，首末次给药后，各剂量组雌雄动物血浆中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暴露量均随剂量增加而增加，未见明显性别差异，重复给药</w:t>
      </w:r>
      <w:r>
        <w:rPr>
          <w:rFonts w:ascii="Times New Roman" w:hAnsi="Times New Roman" w:eastAsia="宋体" w:cs="Times New Roman"/>
          <w:sz w:val="24"/>
          <w:szCs w:val="24"/>
        </w:rPr>
        <w:t>13</w:t>
      </w:r>
      <w:r>
        <w:rPr>
          <w:rFonts w:hint="eastAsia" w:ascii="Times New Roman" w:hAnsi="Times New Roman" w:eastAsia="宋体" w:cs="Times New Roman"/>
          <w:sz w:val="24"/>
          <w:szCs w:val="24"/>
        </w:rPr>
        <w:t>周后，未见明显药物蓄积，</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16 mg/kg</w:t>
      </w:r>
      <w:r>
        <w:rPr>
          <w:rFonts w:hint="eastAsia" w:ascii="Times New Roman" w:hAnsi="Times New Roman" w:eastAsia="宋体" w:cs="Times New Roman"/>
          <w:sz w:val="24"/>
          <w:szCs w:val="24"/>
        </w:rPr>
        <w:t>，该剂量水平下末次给药后，雌、雄动物血浆中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的暴露量</w:t>
      </w:r>
      <w:r>
        <w:rPr>
          <w:rFonts w:ascii="Times New Roman" w:hAnsi="Times New Roman" w:eastAsia="宋体" w:cs="Times New Roman"/>
          <w:sz w:val="24"/>
          <w:szCs w:val="24"/>
        </w:rPr>
        <w:t>AUC_</w:t>
      </w:r>
      <w:r>
        <w:rPr>
          <w:rFonts w:ascii="Times New Roman" w:hAnsi="Times New Roman" w:eastAsia="宋体" w:cs="Times New Roman"/>
          <w:sz w:val="24"/>
          <w:szCs w:val="24"/>
          <w:vertAlign w:val="subscript"/>
        </w:rPr>
        <w:t>last</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10247 ng*h /mL</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9479 ng*h /mL</w:t>
      </w:r>
      <w:r>
        <w:rPr>
          <w:rFonts w:hint="eastAsia" w:ascii="Times New Roman" w:hAnsi="Times New Roman" w:eastAsia="宋体" w:cs="Times New Roman"/>
          <w:sz w:val="24"/>
          <w:szCs w:val="24"/>
        </w:rPr>
        <w:t>。</w:t>
      </w:r>
    </w:p>
    <w:p w14:paraId="06A3F7D0">
      <w:pPr>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SD</w:t>
      </w:r>
      <w:r>
        <w:rPr>
          <w:rFonts w:hint="eastAsia" w:ascii="Times New Roman" w:hAnsi="Times New Roman" w:eastAsia="宋体" w:cs="Times New Roman"/>
          <w:sz w:val="24"/>
          <w:szCs w:val="24"/>
        </w:rPr>
        <w:t>大鼠</w:t>
      </w:r>
      <w:r>
        <w:rPr>
          <w:rFonts w:ascii="Times New Roman" w:hAnsi="Times New Roman" w:eastAsia="宋体" w:cs="Times New Roman"/>
          <w:sz w:val="24"/>
          <w:szCs w:val="24"/>
        </w:rPr>
        <w:t>6</w:t>
      </w:r>
      <w:r>
        <w:rPr>
          <w:rFonts w:hint="eastAsia" w:ascii="Times New Roman" w:hAnsi="Times New Roman" w:eastAsia="宋体" w:cs="Times New Roman"/>
          <w:sz w:val="24"/>
          <w:szCs w:val="24"/>
        </w:rPr>
        <w:t>个月长毒研究（</w:t>
      </w:r>
      <w:r>
        <w:rPr>
          <w:rFonts w:ascii="Times New Roman" w:hAnsi="Times New Roman" w:eastAsia="宋体" w:cs="Times New Roman"/>
          <w:sz w:val="24"/>
          <w:szCs w:val="24"/>
        </w:rPr>
        <w:t>2.5/5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5/10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10/20 mg/kg</w:t>
      </w:r>
      <w:r>
        <w:rPr>
          <w:rFonts w:hint="eastAsia" w:ascii="Times New Roman" w:hAnsi="Times New Roman" w:eastAsia="宋体" w:cs="Times New Roman"/>
          <w:sz w:val="24"/>
          <w:szCs w:val="24"/>
        </w:rPr>
        <w:t>剂量）以及犬的</w:t>
      </w:r>
      <w:r>
        <w:rPr>
          <w:rFonts w:ascii="Times New Roman" w:hAnsi="Times New Roman" w:eastAsia="宋体" w:cs="Times New Roman"/>
          <w:sz w:val="24"/>
          <w:szCs w:val="24"/>
        </w:rPr>
        <w:t>9</w:t>
      </w:r>
      <w:r>
        <w:rPr>
          <w:rFonts w:hint="eastAsia" w:ascii="Times New Roman" w:hAnsi="Times New Roman" w:eastAsia="宋体" w:cs="Times New Roman"/>
          <w:sz w:val="24"/>
          <w:szCs w:val="24"/>
        </w:rPr>
        <w:t>个月长毒研究（</w:t>
      </w:r>
      <w:r>
        <w:rPr>
          <w:rFonts w:ascii="Times New Roman" w:hAnsi="Times New Roman" w:eastAsia="宋体" w:cs="Times New Roman"/>
          <w:sz w:val="24"/>
          <w:szCs w:val="24"/>
        </w:rPr>
        <w:t>6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12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 mg/kg</w:t>
      </w:r>
      <w:r>
        <w:rPr>
          <w:rFonts w:hint="eastAsia" w:ascii="Times New Roman" w:hAnsi="Times New Roman" w:eastAsia="宋体" w:cs="Times New Roman"/>
          <w:sz w:val="24"/>
          <w:szCs w:val="24"/>
        </w:rPr>
        <w:t>剂量）正在进行中。</w:t>
      </w:r>
    </w:p>
    <w:p w14:paraId="3685294A">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遗传毒性试验标准组合（细菌回复突变试验，</w:t>
      </w:r>
      <w:r>
        <w:rPr>
          <w:rFonts w:ascii="Times New Roman" w:hAnsi="Times New Roman" w:eastAsia="宋体" w:cs="Times New Roman"/>
          <w:sz w:val="24"/>
          <w:szCs w:val="24"/>
        </w:rPr>
        <w:t>CHL</w:t>
      </w:r>
      <w:r>
        <w:rPr>
          <w:rFonts w:hint="eastAsia" w:ascii="Times New Roman" w:hAnsi="Times New Roman" w:eastAsia="宋体" w:cs="Times New Roman"/>
          <w:sz w:val="24"/>
          <w:szCs w:val="24"/>
        </w:rPr>
        <w:t>细胞染色体畸变试验和大鼠体内微核试验）试验结果显示均为阴性。</w:t>
      </w:r>
    </w:p>
    <w:p w14:paraId="496D7FAA">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兔</w:t>
      </w:r>
      <w:r>
        <w:rPr>
          <w:rFonts w:ascii="Times New Roman" w:hAnsi="Times New Roman" w:eastAsia="宋体" w:cs="Times New Roman"/>
          <w:sz w:val="24"/>
          <w:szCs w:val="24"/>
        </w:rPr>
        <w:t>II</w:t>
      </w:r>
      <w:r>
        <w:rPr>
          <w:rFonts w:hint="eastAsia" w:ascii="Times New Roman" w:hAnsi="Times New Roman" w:eastAsia="宋体" w:cs="Times New Roman"/>
          <w:sz w:val="24"/>
          <w:szCs w:val="24"/>
        </w:rPr>
        <w:t>段生殖毒试验中，新西兰孕兔于</w:t>
      </w:r>
      <w:r>
        <w:rPr>
          <w:rFonts w:ascii="Times New Roman" w:hAnsi="Times New Roman" w:eastAsia="宋体" w:cs="Times New Roman"/>
          <w:sz w:val="24"/>
          <w:szCs w:val="24"/>
        </w:rPr>
        <w:t>GD7-GD19</w:t>
      </w:r>
      <w:r>
        <w:rPr>
          <w:rFonts w:hint="eastAsia" w:ascii="Times New Roman" w:hAnsi="Times New Roman" w:eastAsia="宋体" w:cs="Times New Roman"/>
          <w:sz w:val="24"/>
          <w:szCs w:val="24"/>
        </w:rPr>
        <w:t>每天</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次经口灌胃给予</w:t>
      </w:r>
      <w:r>
        <w:rPr>
          <w:rFonts w:ascii="Times New Roman" w:hAnsi="Times New Roman" w:eastAsia="宋体" w:cs="Times New Roman"/>
          <w:sz w:val="24"/>
          <w:szCs w:val="24"/>
        </w:rPr>
        <w:t>3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30 mg/kg</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。试验期间，</w:t>
      </w:r>
      <w:r>
        <w:rPr>
          <w:rFonts w:ascii="Times New Roman" w:hAnsi="Times New Roman" w:eastAsia="宋体" w:cs="Times New Roman"/>
          <w:sz w:val="24"/>
          <w:szCs w:val="24"/>
        </w:rPr>
        <w:t>CMS-D001 30 mg/kg</w:t>
      </w:r>
      <w:r>
        <w:rPr>
          <w:rFonts w:hint="eastAsia" w:ascii="Times New Roman" w:hAnsi="Times New Roman" w:eastAsia="宋体" w:cs="Times New Roman"/>
          <w:sz w:val="24"/>
          <w:szCs w:val="24"/>
        </w:rPr>
        <w:t>组可见高别骨骼畸形率增加及</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只胎仔全身多处外观、内脏、骨骼畸形；除此之外，</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各剂量组孕兔均未见与受试物相关的死亡</w:t>
      </w:r>
      <w:r>
        <w:rPr>
          <w:rFonts w:ascii="Times New Roman" w:hAnsi="Times New Roman" w:eastAsia="宋体" w:cs="Times New Roman"/>
          <w:sz w:val="24"/>
          <w:szCs w:val="24"/>
        </w:rPr>
        <w:t>/</w:t>
      </w:r>
      <w:r>
        <w:rPr>
          <w:rFonts w:hint="eastAsia" w:ascii="Times New Roman" w:hAnsi="Times New Roman" w:eastAsia="宋体" w:cs="Times New Roman"/>
          <w:sz w:val="24"/>
          <w:szCs w:val="24"/>
        </w:rPr>
        <w:t>濒死、流产、提前分娩发生，各组孕兔的一般状态、体重、摄食量、生殖功能及胚胎形成、脏器重量及系数、胎仔生长发育等指标均未见与受试物相关的明显异常改变。在</w:t>
      </w:r>
      <w:r>
        <w:rPr>
          <w:rFonts w:ascii="Times New Roman" w:hAnsi="Times New Roman" w:eastAsia="宋体" w:cs="Times New Roman"/>
          <w:sz w:val="24"/>
          <w:szCs w:val="24"/>
        </w:rPr>
        <w:t>3~30 mg/kg</w:t>
      </w:r>
      <w:r>
        <w:rPr>
          <w:rFonts w:hint="eastAsia" w:ascii="Times New Roman" w:hAnsi="Times New Roman" w:eastAsia="宋体" w:cs="Times New Roman"/>
          <w:sz w:val="24"/>
          <w:szCs w:val="24"/>
        </w:rPr>
        <w:t>剂量范围内，首次给药后，孕兔血浆中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的暴露量随给药剂量的增大而增大，重复给药后各剂量组新西兰孕兔</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无明显蓄积趋势；</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可通过胎盘分布至胚胎</w:t>
      </w:r>
      <w:r>
        <w:rPr>
          <w:rFonts w:ascii="Times New Roman" w:hAnsi="Times New Roman" w:eastAsia="宋体" w:cs="Times New Roman"/>
          <w:sz w:val="24"/>
          <w:szCs w:val="24"/>
        </w:rPr>
        <w:t>-</w:t>
      </w:r>
      <w:r>
        <w:rPr>
          <w:rFonts w:hint="eastAsia" w:ascii="Times New Roman" w:hAnsi="Times New Roman" w:eastAsia="宋体" w:cs="Times New Roman"/>
          <w:sz w:val="24"/>
          <w:szCs w:val="24"/>
        </w:rPr>
        <w:t>胎仔中。在本试验条件下，</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对孕兔的无明显毒性反应剂量（</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30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GD19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_last</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12047 ng/mL</w:t>
      </w:r>
      <w:r>
        <w:rPr>
          <w:rFonts w:hint="eastAsia" w:ascii="Times New Roman" w:hAnsi="Times New Roman" w:eastAsia="宋体" w:cs="Times New Roman"/>
          <w:sz w:val="24"/>
          <w:szCs w:val="24"/>
        </w:rPr>
        <w:t>），对胚胎</w:t>
      </w:r>
      <w:r>
        <w:rPr>
          <w:rFonts w:ascii="Times New Roman" w:hAnsi="Times New Roman" w:eastAsia="宋体" w:cs="Times New Roman"/>
          <w:sz w:val="24"/>
          <w:szCs w:val="24"/>
        </w:rPr>
        <w:t>-</w:t>
      </w:r>
      <w:r>
        <w:rPr>
          <w:rFonts w:hint="eastAsia" w:ascii="Times New Roman" w:hAnsi="Times New Roman" w:eastAsia="宋体" w:cs="Times New Roman"/>
          <w:sz w:val="24"/>
          <w:szCs w:val="24"/>
        </w:rPr>
        <w:t>胎仔发育的无明显毒性反应剂量（</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10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GD19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_last</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4529 h*ng/mL</w:t>
      </w:r>
      <w:r>
        <w:rPr>
          <w:rFonts w:hint="eastAsia" w:ascii="Times New Roman" w:hAnsi="Times New Roman" w:eastAsia="宋体" w:cs="Times New Roman"/>
          <w:sz w:val="24"/>
          <w:szCs w:val="24"/>
        </w:rPr>
        <w:t>）。</w:t>
      </w:r>
    </w:p>
    <w:p w14:paraId="5ED0D48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大鼠</w:t>
      </w:r>
      <w:r>
        <w:rPr>
          <w:rFonts w:ascii="Times New Roman" w:hAnsi="Times New Roman" w:eastAsia="宋体" w:cs="Times New Roman"/>
          <w:sz w:val="24"/>
          <w:szCs w:val="24"/>
        </w:rPr>
        <w:t>II</w:t>
      </w:r>
      <w:r>
        <w:rPr>
          <w:rFonts w:hint="eastAsia" w:ascii="Times New Roman" w:hAnsi="Times New Roman" w:eastAsia="宋体" w:cs="Times New Roman"/>
          <w:sz w:val="24"/>
          <w:szCs w:val="24"/>
        </w:rPr>
        <w:t>段生殖毒试验中，</w:t>
      </w:r>
      <w:r>
        <w:rPr>
          <w:rFonts w:ascii="Times New Roman" w:hAnsi="Times New Roman" w:eastAsia="宋体" w:cs="Times New Roman"/>
          <w:sz w:val="24"/>
          <w:szCs w:val="24"/>
        </w:rPr>
        <w:t>SD</w:t>
      </w:r>
      <w:r>
        <w:rPr>
          <w:rFonts w:hint="eastAsia" w:ascii="Times New Roman" w:hAnsi="Times New Roman" w:eastAsia="宋体" w:cs="Times New Roman"/>
          <w:sz w:val="24"/>
          <w:szCs w:val="24"/>
        </w:rPr>
        <w:t>孕鼠于</w:t>
      </w:r>
      <w:r>
        <w:rPr>
          <w:rFonts w:ascii="Times New Roman" w:hAnsi="Times New Roman" w:eastAsia="宋体" w:cs="Times New Roman"/>
          <w:sz w:val="24"/>
          <w:szCs w:val="24"/>
        </w:rPr>
        <w:t>GD7</w:t>
      </w:r>
      <w:r>
        <w:rPr>
          <w:rFonts w:hint="eastAsia" w:ascii="Times New Roman" w:hAnsi="Times New Roman" w:eastAsia="宋体" w:cs="Times New Roman"/>
          <w:sz w:val="24"/>
          <w:szCs w:val="24"/>
        </w:rPr>
        <w:t>～</w:t>
      </w:r>
      <w:r>
        <w:rPr>
          <w:rFonts w:ascii="Times New Roman" w:hAnsi="Times New Roman" w:eastAsia="宋体" w:cs="Times New Roman"/>
          <w:sz w:val="24"/>
          <w:szCs w:val="24"/>
        </w:rPr>
        <w:t>GD17</w:t>
      </w:r>
      <w:r>
        <w:rPr>
          <w:rFonts w:hint="eastAsia" w:ascii="Times New Roman" w:hAnsi="Times New Roman" w:eastAsia="宋体" w:cs="Times New Roman"/>
          <w:sz w:val="24"/>
          <w:szCs w:val="24"/>
        </w:rPr>
        <w:t>每天</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次经口灌胃给予</w:t>
      </w:r>
      <w:r>
        <w:rPr>
          <w:rFonts w:ascii="Times New Roman" w:hAnsi="Times New Roman" w:eastAsia="宋体" w:cs="Times New Roman"/>
          <w:sz w:val="24"/>
          <w:szCs w:val="24"/>
        </w:rPr>
        <w:t>1.5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5 mg/kg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15 mg/kg</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。试验期间，各组孕鼠未见受试物相关的死亡</w:t>
      </w:r>
      <w:r>
        <w:rPr>
          <w:rFonts w:ascii="Times New Roman" w:hAnsi="Times New Roman" w:eastAsia="宋体" w:cs="Times New Roman"/>
          <w:sz w:val="24"/>
          <w:szCs w:val="24"/>
        </w:rPr>
        <w:t>/</w:t>
      </w:r>
      <w:r>
        <w:rPr>
          <w:rFonts w:hint="eastAsia" w:ascii="Times New Roman" w:hAnsi="Times New Roman" w:eastAsia="宋体" w:cs="Times New Roman"/>
          <w:sz w:val="24"/>
          <w:szCs w:val="24"/>
        </w:rPr>
        <w:t>濒死、流产</w:t>
      </w:r>
      <w:r>
        <w:rPr>
          <w:rFonts w:ascii="Times New Roman" w:hAnsi="Times New Roman" w:eastAsia="宋体" w:cs="Times New Roman"/>
          <w:sz w:val="24"/>
          <w:szCs w:val="24"/>
        </w:rPr>
        <w:t>/</w:t>
      </w:r>
      <w:r>
        <w:rPr>
          <w:rFonts w:hint="eastAsia" w:ascii="Times New Roman" w:hAnsi="Times New Roman" w:eastAsia="宋体" w:cs="Times New Roman"/>
          <w:sz w:val="24"/>
          <w:szCs w:val="24"/>
        </w:rPr>
        <w:t>早产发生；各组孕鼠的一般状态、体重、摄食量、生殖功能、胚胎形成、胎仔生长发育相关指标亦均未见与受试物相关的异常改变。在</w:t>
      </w:r>
      <w:r>
        <w:rPr>
          <w:rFonts w:ascii="Times New Roman" w:hAnsi="Times New Roman" w:eastAsia="宋体" w:cs="Times New Roman"/>
          <w:sz w:val="24"/>
          <w:szCs w:val="24"/>
        </w:rPr>
        <w:t>1.5</w:t>
      </w:r>
      <w:r>
        <w:rPr>
          <w:rFonts w:hint="eastAsia" w:ascii="Times New Roman" w:hAnsi="Times New Roman" w:eastAsia="宋体" w:cs="Times New Roman"/>
          <w:sz w:val="24"/>
          <w:szCs w:val="24"/>
        </w:rPr>
        <w:t>～</w:t>
      </w:r>
      <w:r>
        <w:rPr>
          <w:rFonts w:ascii="Times New Roman" w:hAnsi="Times New Roman" w:eastAsia="宋体" w:cs="Times New Roman"/>
          <w:sz w:val="24"/>
          <w:szCs w:val="24"/>
        </w:rPr>
        <w:t>15 mg/kg</w:t>
      </w:r>
      <w:r>
        <w:rPr>
          <w:rFonts w:hint="eastAsia" w:ascii="Times New Roman" w:hAnsi="Times New Roman" w:eastAsia="宋体" w:cs="Times New Roman"/>
          <w:sz w:val="24"/>
          <w:szCs w:val="24"/>
        </w:rPr>
        <w:t>剂量范围内，首次给药后，孕鼠血浆中</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的暴露量随给药剂量的增加而增大；重复给药后各剂量组</w:t>
      </w:r>
      <w:r>
        <w:rPr>
          <w:rFonts w:ascii="Times New Roman" w:hAnsi="Times New Roman" w:eastAsia="宋体" w:cs="Times New Roman"/>
          <w:sz w:val="24"/>
          <w:szCs w:val="24"/>
        </w:rPr>
        <w:t>SD</w:t>
      </w:r>
      <w:r>
        <w:rPr>
          <w:rFonts w:hint="eastAsia" w:ascii="Times New Roman" w:hAnsi="Times New Roman" w:eastAsia="宋体" w:cs="Times New Roman"/>
          <w:sz w:val="24"/>
          <w:szCs w:val="24"/>
        </w:rPr>
        <w:t>孕鼠</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的暴露量均无明显蓄积趋势；</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可以通过胎盘分布至胚胎</w:t>
      </w:r>
      <w:r>
        <w:rPr>
          <w:rFonts w:ascii="Times New Roman" w:hAnsi="Times New Roman" w:eastAsia="宋体" w:cs="Times New Roman"/>
          <w:sz w:val="24"/>
          <w:szCs w:val="24"/>
        </w:rPr>
        <w:t>-</w:t>
      </w:r>
      <w:r>
        <w:rPr>
          <w:rFonts w:hint="eastAsia" w:ascii="Times New Roman" w:hAnsi="Times New Roman" w:eastAsia="宋体" w:cs="Times New Roman"/>
          <w:sz w:val="24"/>
          <w:szCs w:val="24"/>
        </w:rPr>
        <w:t>胎仔中。在本试验条件下，</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对亲代孕鼠及胚胎胎仔发育的无明显毒性反应剂量（</w:t>
      </w:r>
      <w:r>
        <w:rPr>
          <w:rFonts w:ascii="Times New Roman" w:hAnsi="Times New Roman" w:eastAsia="宋体" w:cs="Times New Roman"/>
          <w:sz w:val="24"/>
          <w:szCs w:val="24"/>
        </w:rPr>
        <w:t>NOAEL</w:t>
      </w:r>
      <w:r>
        <w:rPr>
          <w:rFonts w:hint="eastAsia" w:ascii="Times New Roman" w:hAnsi="Times New Roman" w:eastAsia="宋体" w:cs="Times New Roman"/>
          <w:sz w:val="24"/>
          <w:szCs w:val="24"/>
        </w:rPr>
        <w:t>）均为</w:t>
      </w:r>
      <w:r>
        <w:rPr>
          <w:rFonts w:ascii="Times New Roman" w:hAnsi="Times New Roman" w:eastAsia="宋体" w:cs="Times New Roman"/>
          <w:sz w:val="24"/>
          <w:szCs w:val="24"/>
        </w:rPr>
        <w:t>15 mg/kg</w:t>
      </w:r>
      <w:r>
        <w:rPr>
          <w:rFonts w:hint="eastAsia" w:ascii="Times New Roman" w:hAnsi="Times New Roman" w:eastAsia="宋体" w:cs="Times New Roman"/>
          <w:sz w:val="24"/>
          <w:szCs w:val="24"/>
        </w:rPr>
        <w:t>，该剂量下末次给药（</w:t>
      </w:r>
      <w:r>
        <w:rPr>
          <w:rFonts w:ascii="Times New Roman" w:hAnsi="Times New Roman" w:eastAsia="宋体" w:cs="Times New Roman"/>
          <w:sz w:val="24"/>
          <w:szCs w:val="24"/>
        </w:rPr>
        <w:t>GD17</w:t>
      </w:r>
      <w:r>
        <w:rPr>
          <w:rFonts w:hint="eastAsia" w:ascii="Times New Roman" w:hAnsi="Times New Roman" w:eastAsia="宋体" w:cs="Times New Roman"/>
          <w:sz w:val="24"/>
          <w:szCs w:val="24"/>
        </w:rPr>
        <w:t>）的暴露量</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_last</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27238 h*ng/mL</w:t>
      </w:r>
      <w:r>
        <w:rPr>
          <w:rFonts w:hint="eastAsia" w:ascii="Times New Roman" w:hAnsi="Times New Roman" w:eastAsia="宋体" w:cs="Times New Roman"/>
          <w:sz w:val="24"/>
          <w:szCs w:val="24"/>
        </w:rPr>
        <w:t>。</w:t>
      </w:r>
    </w:p>
    <w:p w14:paraId="7E5FAFFF">
      <w:pPr>
        <w:pStyle w:val="116"/>
        <w:numPr>
          <w:ilvl w:val="3"/>
          <w:numId w:val="12"/>
        </w:numPr>
        <w:ind w:hanging="708"/>
        <w:outlineLvl w:val="3"/>
        <w:rPr>
          <w:rFonts w:cs="Times New Roman"/>
          <w:sz w:val="24"/>
          <w:szCs w:val="24"/>
        </w:rPr>
      </w:pPr>
      <w:bookmarkStart w:id="32" w:name="_Toc217032209"/>
      <w:bookmarkStart w:id="33" w:name="_Toc215214025"/>
      <w:bookmarkStart w:id="34" w:name="_Toc215213315"/>
      <w:r>
        <w:rPr>
          <w:rFonts w:hint="eastAsia" w:cs="Times New Roman"/>
          <w:sz w:val="24"/>
          <w:szCs w:val="24"/>
        </w:rPr>
        <w:t>临床研究概述</w:t>
      </w:r>
      <w:bookmarkEnd w:id="32"/>
      <w:bookmarkEnd w:id="33"/>
      <w:bookmarkEnd w:id="34"/>
    </w:p>
    <w:p w14:paraId="7E703476">
      <w:pPr>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片已完成一项在中国健康参与者中的Ⅰ期研究（研究编号：</w:t>
      </w:r>
      <w:r>
        <w:rPr>
          <w:rFonts w:ascii="Times New Roman" w:hAnsi="Times New Roman" w:eastAsia="宋体" w:cs="Times New Roman"/>
          <w:sz w:val="24"/>
          <w:szCs w:val="24"/>
        </w:rPr>
        <w:t>D001-01-001</w:t>
      </w:r>
      <w:r>
        <w:rPr>
          <w:rFonts w:hint="eastAsia" w:ascii="Times New Roman" w:hAnsi="Times New Roman" w:cs="Times New Roman"/>
          <w:sz w:val="24"/>
          <w:szCs w:val="24"/>
        </w:rPr>
        <w:t>，</w:t>
      </w:r>
      <w:r>
        <w:rPr>
          <w:rFonts w:ascii="Times New Roman" w:hAnsi="Times New Roman" w:eastAsia="宋体" w:cs="Times New Roman"/>
          <w:sz w:val="24"/>
          <w:szCs w:val="24"/>
        </w:rPr>
        <w:t>CTR20243429</w:t>
      </w:r>
      <w:r>
        <w:rPr>
          <w:rFonts w:hint="eastAsia" w:ascii="Times New Roman" w:hAnsi="Times New Roman" w:eastAsia="宋体" w:cs="Times New Roman"/>
          <w:sz w:val="24"/>
          <w:szCs w:val="24"/>
        </w:rPr>
        <w:t>），该研究包括单次给药剂量递增（</w:t>
      </w:r>
      <w:r>
        <w:rPr>
          <w:rFonts w:ascii="Times New Roman" w:hAnsi="Times New Roman" w:eastAsia="宋体" w:cs="Times New Roman"/>
          <w:sz w:val="24"/>
          <w:szCs w:val="24"/>
        </w:rPr>
        <w:t>SAD</w:t>
      </w:r>
      <w:r>
        <w:rPr>
          <w:rFonts w:hint="eastAsia" w:ascii="Times New Roman" w:hAnsi="Times New Roman" w:eastAsia="宋体" w:cs="Times New Roman"/>
          <w:sz w:val="24"/>
          <w:szCs w:val="24"/>
        </w:rPr>
        <w:t>）研究部分和多次给药剂量递增（</w:t>
      </w:r>
      <w:r>
        <w:rPr>
          <w:rFonts w:ascii="Times New Roman" w:hAnsi="Times New Roman" w:eastAsia="宋体" w:cs="Times New Roman"/>
          <w:sz w:val="24"/>
          <w:szCs w:val="24"/>
        </w:rPr>
        <w:t>MAD</w:t>
      </w:r>
      <w:r>
        <w:rPr>
          <w:rFonts w:hint="eastAsia" w:ascii="Times New Roman" w:hAnsi="Times New Roman" w:eastAsia="宋体" w:cs="Times New Roman"/>
          <w:sz w:val="24"/>
          <w:szCs w:val="24"/>
        </w:rPr>
        <w:t>）研究部分。目前，正在中国银屑病患者中开展一项随机、双盲、安慰剂对照的</w:t>
      </w:r>
      <w:r>
        <w:rPr>
          <w:rFonts w:ascii="Times New Roman" w:hAnsi="Times New Roman" w:eastAsia="宋体" w:cs="Times New Roman"/>
          <w:sz w:val="24"/>
          <w:szCs w:val="24"/>
        </w:rPr>
        <w:t>1b</w:t>
      </w:r>
      <w:r>
        <w:rPr>
          <w:rFonts w:hint="eastAsia" w:ascii="Times New Roman" w:hAnsi="Times New Roman" w:eastAsia="宋体" w:cs="Times New Roman"/>
          <w:sz w:val="24"/>
          <w:szCs w:val="24"/>
        </w:rPr>
        <w:t>期研究（研究编号：</w:t>
      </w:r>
      <w:r>
        <w:rPr>
          <w:rFonts w:ascii="Times New Roman" w:hAnsi="Times New Roman" w:eastAsia="宋体" w:cs="Times New Roman"/>
          <w:sz w:val="24"/>
          <w:szCs w:val="24"/>
        </w:rPr>
        <w:t>D001-01-002</w:t>
      </w:r>
      <w:r>
        <w:rPr>
          <w:rFonts w:hint="eastAsia" w:ascii="Times New Roman" w:hAnsi="Times New Roman" w:eastAsia="宋体" w:cs="Times New Roman"/>
          <w:sz w:val="24"/>
          <w:szCs w:val="24"/>
        </w:rPr>
        <w:t>，</w:t>
      </w:r>
      <w:r>
        <w:rPr>
          <w:rFonts w:ascii="Times New Roman" w:hAnsi="Times New Roman" w:eastAsia="宋体" w:cs="Times New Roman"/>
          <w:sz w:val="24"/>
          <w:szCs w:val="24"/>
        </w:rPr>
        <w:t>CTR20251392</w:t>
      </w:r>
      <w:r>
        <w:rPr>
          <w:rFonts w:hint="eastAsia" w:ascii="Times New Roman" w:hAnsi="Times New Roman" w:eastAsia="宋体" w:cs="Times New Roman"/>
          <w:sz w:val="24"/>
          <w:szCs w:val="24"/>
        </w:rPr>
        <w:t>）。</w:t>
      </w:r>
    </w:p>
    <w:p w14:paraId="4FB715AC">
      <w:pPr>
        <w:pStyle w:val="116"/>
        <w:numPr>
          <w:ilvl w:val="4"/>
          <w:numId w:val="12"/>
        </w:numPr>
        <w:ind w:hanging="849"/>
        <w:outlineLvl w:val="4"/>
        <w:rPr>
          <w:rFonts w:cs="Times New Roman"/>
          <w:sz w:val="24"/>
          <w:szCs w:val="24"/>
        </w:rPr>
      </w:pPr>
      <w:bookmarkStart w:id="35" w:name="_Toc215213316"/>
      <w:bookmarkStart w:id="36" w:name="_Toc215214026"/>
      <w:bookmarkStart w:id="37" w:name="_Toc217032210"/>
      <w:r>
        <w:rPr>
          <w:rFonts w:hint="eastAsia" w:cs="Times New Roman"/>
          <w:sz w:val="24"/>
          <w:szCs w:val="24"/>
        </w:rPr>
        <w:t>健康参与者</w:t>
      </w:r>
      <w:r>
        <w:rPr>
          <w:rFonts w:cs="Times New Roman"/>
          <w:sz w:val="24"/>
          <w:szCs w:val="24"/>
        </w:rPr>
        <w:fldChar w:fldCharType="begin"/>
      </w:r>
      <w:r>
        <w:rPr>
          <w:rFonts w:cs="Times New Roman"/>
          <w:sz w:val="24"/>
          <w:szCs w:val="24"/>
        </w:rPr>
        <w:instrText xml:space="preserve"> = 1 \* ROMAN </w:instrText>
      </w:r>
      <w:r>
        <w:rPr>
          <w:rFonts w:cs="Times New Roman"/>
          <w:sz w:val="24"/>
          <w:szCs w:val="24"/>
        </w:rPr>
        <w:fldChar w:fldCharType="separate"/>
      </w:r>
      <w:r>
        <w:rPr>
          <w:rFonts w:cs="Times New Roman"/>
          <w:sz w:val="24"/>
          <w:szCs w:val="24"/>
        </w:rPr>
        <w:t>I</w:t>
      </w:r>
      <w:r>
        <w:rPr>
          <w:rFonts w:cs="Times New Roman"/>
          <w:sz w:val="24"/>
          <w:szCs w:val="24"/>
        </w:rPr>
        <w:fldChar w:fldCharType="end"/>
      </w:r>
      <w:r>
        <w:rPr>
          <w:rFonts w:hint="eastAsia" w:cs="Times New Roman"/>
          <w:sz w:val="24"/>
          <w:szCs w:val="24"/>
        </w:rPr>
        <w:t>期研究</w:t>
      </w:r>
      <w:bookmarkEnd w:id="35"/>
      <w:bookmarkEnd w:id="36"/>
      <w:bookmarkEnd w:id="37"/>
    </w:p>
    <w:p w14:paraId="001C2ADB">
      <w:pPr>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片在中国健康参与者中已完成</w:t>
      </w:r>
      <w:r>
        <w:rPr>
          <w:rFonts w:ascii="Times New Roman" w:hAnsi="Times New Roman" w:eastAsia="宋体" w:cs="Times New Roman"/>
          <w:sz w:val="24"/>
          <w:szCs w:val="24"/>
        </w:rPr>
        <w:t>SAD 2.5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7.5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25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75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150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200 mg</w:t>
      </w:r>
      <w:r>
        <w:rPr>
          <w:rFonts w:hint="eastAsia" w:ascii="Times New Roman" w:hAnsi="Times New Roman" w:eastAsia="宋体" w:cs="Times New Roman"/>
          <w:sz w:val="24"/>
          <w:szCs w:val="24"/>
        </w:rPr>
        <w:t>六个剂量组的递增研究和</w:t>
      </w:r>
      <w:r>
        <w:rPr>
          <w:rFonts w:ascii="Times New Roman" w:hAnsi="Times New Roman" w:eastAsia="宋体" w:cs="Times New Roman"/>
          <w:sz w:val="24"/>
          <w:szCs w:val="24"/>
        </w:rPr>
        <w:t>MAD 50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100 mg</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200 mg</w:t>
      </w:r>
      <w:r>
        <w:rPr>
          <w:rFonts w:hint="eastAsia" w:ascii="Times New Roman" w:hAnsi="Times New Roman" w:eastAsia="宋体" w:cs="Times New Roman"/>
          <w:sz w:val="24"/>
          <w:szCs w:val="24"/>
        </w:rPr>
        <w:t>三个剂量组研究，其中，</w:t>
      </w:r>
      <w:r>
        <w:rPr>
          <w:rFonts w:ascii="Times New Roman" w:hAnsi="Times New Roman" w:eastAsia="宋体" w:cs="Times New Roman"/>
          <w:sz w:val="24"/>
          <w:szCs w:val="24"/>
        </w:rPr>
        <w:t>SAD</w:t>
      </w:r>
      <w:r>
        <w:rPr>
          <w:rFonts w:hint="eastAsia" w:ascii="Times New Roman" w:hAnsi="Times New Roman" w:eastAsia="宋体" w:cs="Times New Roman"/>
          <w:sz w:val="24"/>
          <w:szCs w:val="24"/>
        </w:rPr>
        <w:t>研究各剂量组均服用一次试验用药物，</w:t>
      </w:r>
      <w:r>
        <w:rPr>
          <w:rFonts w:ascii="Times New Roman" w:hAnsi="Times New Roman" w:eastAsia="宋体" w:cs="Times New Roman"/>
          <w:sz w:val="24"/>
          <w:szCs w:val="24"/>
        </w:rPr>
        <w:t>MAD</w:t>
      </w:r>
      <w:r>
        <w:rPr>
          <w:rFonts w:hint="eastAsia" w:ascii="Times New Roman" w:hAnsi="Times New Roman" w:eastAsia="宋体" w:cs="Times New Roman"/>
          <w:sz w:val="24"/>
          <w:szCs w:val="24"/>
        </w:rPr>
        <w:t>研究各剂量组均为每日一次，连续十天服用试验用药物。</w:t>
      </w:r>
    </w:p>
    <w:p w14:paraId="12154931">
      <w:pPr>
        <w:spacing w:line="360" w:lineRule="auto"/>
        <w:ind w:firstLine="482" w:firstLineChars="200"/>
        <w:jc w:val="both"/>
        <w:rPr>
          <w:rFonts w:ascii="Times New Roman" w:hAnsi="Times New Roman" w:cs="Times New Roman"/>
          <w:sz w:val="24"/>
          <w:szCs w:val="24"/>
        </w:rPr>
      </w:pPr>
      <w:r>
        <w:rPr>
          <w:rFonts w:hint="eastAsia" w:ascii="Times New Roman" w:hAnsi="Times New Roman" w:eastAsia="宋体" w:cs="Times New Roman"/>
          <w:b/>
          <w:sz w:val="24"/>
          <w:szCs w:val="24"/>
        </w:rPr>
        <w:t>安全性结果</w:t>
      </w:r>
    </w:p>
    <w:p w14:paraId="212B3EF3">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sz w:val="24"/>
          <w:szCs w:val="24"/>
        </w:rPr>
        <w:t xml:space="preserve">Part-1 SAD </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Part-2 MAD</w:t>
      </w:r>
      <w:r>
        <w:rPr>
          <w:rFonts w:hint="eastAsia" w:ascii="Times New Roman" w:hAnsi="Times New Roman" w:eastAsia="宋体" w:cs="Times New Roman"/>
          <w:sz w:val="24"/>
          <w:szCs w:val="24"/>
        </w:rPr>
        <w:t>研究中，均无</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发生，无</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级及以上的</w:t>
      </w:r>
      <w:r>
        <w:rPr>
          <w:rFonts w:ascii="Times New Roman" w:hAnsi="Times New Roman" w:eastAsia="宋体" w:cs="Times New Roman"/>
          <w:sz w:val="24"/>
          <w:szCs w:val="24"/>
        </w:rPr>
        <w:t>AE</w:t>
      </w:r>
      <w:r>
        <w:rPr>
          <w:rFonts w:hint="eastAsia" w:ascii="Times New Roman" w:hAnsi="Times New Roman" w:eastAsia="宋体" w:cs="Times New Roman"/>
          <w:sz w:val="24"/>
          <w:szCs w:val="24"/>
        </w:rPr>
        <w:t>，无导致死亡的</w:t>
      </w:r>
      <w:r>
        <w:rPr>
          <w:rStyle w:val="139"/>
          <w:rFonts w:hint="eastAsia" w:ascii="Times New Roman" w:hAnsi="Times New Roman" w:eastAsia="宋体" w:cs="Times New Roman"/>
          <w:b w:val="0"/>
          <w:i w:val="0"/>
          <w:iCs w:val="0"/>
          <w:sz w:val="24"/>
          <w:szCs w:val="24"/>
        </w:rPr>
        <w:t>治疗期出现的不良事件（</w:t>
      </w:r>
      <w:r>
        <w:rPr>
          <w:rStyle w:val="139"/>
          <w:rFonts w:ascii="Times New Roman" w:hAnsi="Times New Roman" w:eastAsia="宋体" w:cs="Times New Roman"/>
          <w:b w:val="0"/>
          <w:i w:val="0"/>
          <w:iCs w:val="0"/>
          <w:sz w:val="24"/>
          <w:szCs w:val="24"/>
        </w:rPr>
        <w:t>Treatment Emergent Adverse Event</w:t>
      </w:r>
      <w:r>
        <w:rPr>
          <w:rStyle w:val="139"/>
          <w:rFonts w:hint="eastAsia" w:ascii="Times New Roman" w:hAnsi="Times New Roman" w:eastAsia="宋体" w:cs="Times New Roman"/>
          <w:b w:val="0"/>
          <w:i w:val="0"/>
          <w:iCs w:val="0"/>
          <w:sz w:val="24"/>
          <w:szCs w:val="24"/>
        </w:rPr>
        <w:t>，</w:t>
      </w:r>
      <w:r>
        <w:rPr>
          <w:rStyle w:val="139"/>
          <w:rFonts w:ascii="Times New Roman" w:hAnsi="Times New Roman" w:eastAsia="宋体" w:cs="Times New Roman"/>
          <w:b w:val="0"/>
          <w:i w:val="0"/>
          <w:iCs w:val="0"/>
          <w:sz w:val="24"/>
          <w:szCs w:val="24"/>
        </w:rPr>
        <w:t>TEAE</w:t>
      </w:r>
      <w:r>
        <w:rPr>
          <w:rStyle w:val="139"/>
          <w:rFonts w:hint="eastAsia" w:ascii="Times New Roman" w:hAnsi="Times New Roman" w:eastAsia="宋体" w:cs="Times New Roman"/>
          <w:b w:val="0"/>
          <w:i w:val="0"/>
          <w:iCs w:val="0"/>
          <w:sz w:val="24"/>
          <w:szCs w:val="24"/>
        </w:rPr>
        <w:t>）</w:t>
      </w:r>
      <w:r>
        <w:rPr>
          <w:rFonts w:hint="eastAsia" w:ascii="Times New Roman" w:hAnsi="Times New Roman" w:eastAsia="宋体" w:cs="Times New Roman"/>
          <w:sz w:val="24"/>
          <w:szCs w:val="24"/>
        </w:rPr>
        <w:t>或其他重要的</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发生，无试验参与者因</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停用研究药物或退出研究。</w:t>
      </w:r>
    </w:p>
    <w:p w14:paraId="3992639F">
      <w:pPr>
        <w:spacing w:line="360" w:lineRule="auto"/>
        <w:ind w:left="220" w:right="220" w:firstLine="480" w:firstLineChars="200"/>
        <w:jc w:val="both"/>
        <w:rPr>
          <w:rFonts w:ascii="Times New Roman" w:hAnsi="Times New Roman" w:eastAsia="宋体" w:cs="Times New Roman"/>
          <w:i/>
          <w:iCs/>
          <w:sz w:val="24"/>
          <w:szCs w:val="24"/>
          <w:u w:val="single"/>
        </w:rPr>
      </w:pPr>
      <w:r>
        <w:rPr>
          <w:rFonts w:ascii="Times New Roman" w:hAnsi="Times New Roman" w:eastAsia="宋体" w:cs="Times New Roman"/>
          <w:i/>
          <w:iCs/>
          <w:sz w:val="24"/>
          <w:szCs w:val="24"/>
          <w:u w:val="single"/>
        </w:rPr>
        <w:t>SAD</w:t>
      </w:r>
      <w:r>
        <w:rPr>
          <w:rFonts w:hint="eastAsia" w:ascii="Times New Roman" w:hAnsi="Times New Roman" w:eastAsia="宋体" w:cs="Times New Roman"/>
          <w:i/>
          <w:iCs/>
          <w:sz w:val="24"/>
          <w:szCs w:val="24"/>
          <w:u w:val="single"/>
        </w:rPr>
        <w:t>研究</w:t>
      </w:r>
    </w:p>
    <w:p w14:paraId="7131AB22">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服用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片的</w:t>
      </w:r>
      <w:r>
        <w:rPr>
          <w:rFonts w:ascii="Times New Roman" w:hAnsi="Times New Roman" w:eastAsia="宋体" w:cs="Times New Roman"/>
          <w:sz w:val="24"/>
          <w:szCs w:val="24"/>
        </w:rPr>
        <w:t>33</w:t>
      </w:r>
      <w:r>
        <w:rPr>
          <w:rFonts w:hint="eastAsia" w:ascii="Times New Roman" w:hAnsi="Times New Roman" w:eastAsia="宋体" w:cs="Times New Roman"/>
          <w:sz w:val="24"/>
          <w:szCs w:val="24"/>
        </w:rPr>
        <w:t>例试验参与者中，有</w:t>
      </w:r>
      <w:r>
        <w:rPr>
          <w:rFonts w:ascii="Times New Roman" w:hAnsi="Times New Roman" w:eastAsia="宋体" w:cs="Times New Roman"/>
          <w:sz w:val="24"/>
          <w:szCs w:val="24"/>
        </w:rPr>
        <w:t>21</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63.6%</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33</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20</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60.6%</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30</w:t>
      </w:r>
      <w:r>
        <w:rPr>
          <w:rFonts w:hint="eastAsia" w:ascii="Times New Roman" w:hAnsi="Times New Roman" w:eastAsia="宋体" w:cs="Times New Roman"/>
          <w:sz w:val="24"/>
          <w:szCs w:val="24"/>
        </w:rPr>
        <w:t>例次治疗相关的不良事件（</w:t>
      </w:r>
      <w:r>
        <w:rPr>
          <w:rFonts w:ascii="Times New Roman" w:hAnsi="Times New Roman" w:eastAsia="宋体" w:cs="Times New Roman"/>
          <w:bCs/>
          <w:sz w:val="24"/>
          <w:szCs w:val="24"/>
        </w:rPr>
        <w:t>Treatment-Related Adverse Events</w:t>
      </w:r>
      <w:r>
        <w:rPr>
          <w:rFonts w:hint="eastAsia" w:ascii="Times New Roman" w:hAnsi="Times New Roman" w:eastAsia="宋体" w:cs="Times New Roman"/>
          <w:bCs/>
          <w:sz w:val="24"/>
          <w:szCs w:val="24"/>
        </w:rPr>
        <w:t>，</w:t>
      </w:r>
      <w:r>
        <w:rPr>
          <w:rFonts w:ascii="Times New Roman" w:hAnsi="Times New Roman" w:eastAsia="宋体" w:cs="Times New Roman"/>
          <w:sz w:val="24"/>
          <w:szCs w:val="24"/>
        </w:rPr>
        <w:t>TRAE</w:t>
      </w:r>
      <w:r>
        <w:rPr>
          <w:rFonts w:hint="eastAsia" w:ascii="Times New Roman" w:hAnsi="Times New Roman" w:eastAsia="宋体" w:cs="Times New Roman"/>
          <w:sz w:val="24"/>
          <w:szCs w:val="24"/>
        </w:rPr>
        <w:t>）。所有</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严重程度均为</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级。除</w:t>
      </w:r>
      <w:r>
        <w:rPr>
          <w:rFonts w:ascii="Times New Roman" w:hAnsi="Times New Roman" w:eastAsia="宋体" w:cs="Times New Roman"/>
          <w:sz w:val="24"/>
          <w:szCs w:val="24"/>
        </w:rPr>
        <w:t>5</w:t>
      </w:r>
      <w:r>
        <w:rPr>
          <w:rFonts w:hint="eastAsia" w:ascii="Times New Roman" w:hAnsi="Times New Roman" w:eastAsia="宋体" w:cs="Times New Roman"/>
          <w:sz w:val="24"/>
          <w:szCs w:val="24"/>
        </w:rPr>
        <w:t>例参与者的</w:t>
      </w:r>
      <w:r>
        <w:rPr>
          <w:rFonts w:ascii="Times New Roman" w:hAnsi="Times New Roman" w:eastAsia="宋体" w:cs="Times New Roman"/>
          <w:sz w:val="24"/>
          <w:szCs w:val="24"/>
        </w:rPr>
        <w:t>5</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转归为未知（参与者拒绝后续随访）外，其余参与者均未经治疗自行痊愈或好转。</w:t>
      </w:r>
    </w:p>
    <w:p w14:paraId="197F2340">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在服用安慰剂的</w:t>
      </w:r>
      <w:r>
        <w:rPr>
          <w:rFonts w:ascii="Times New Roman" w:hAnsi="Times New Roman" w:eastAsia="宋体" w:cs="Times New Roman"/>
          <w:sz w:val="24"/>
          <w:szCs w:val="24"/>
        </w:rPr>
        <w:t>11</w:t>
      </w:r>
      <w:r>
        <w:rPr>
          <w:rFonts w:hint="eastAsia" w:ascii="Times New Roman" w:hAnsi="Times New Roman" w:eastAsia="宋体" w:cs="Times New Roman"/>
          <w:sz w:val="24"/>
          <w:szCs w:val="24"/>
        </w:rPr>
        <w:t>例参与者中，有</w:t>
      </w:r>
      <w:r>
        <w:rPr>
          <w:rFonts w:ascii="Times New Roman" w:hAnsi="Times New Roman" w:eastAsia="宋体" w:cs="Times New Roman"/>
          <w:sz w:val="24"/>
          <w:szCs w:val="24"/>
        </w:rPr>
        <w:t>7</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63.6%</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7</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5</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45.5%</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5</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TRAE</w:t>
      </w:r>
      <w:r>
        <w:rPr>
          <w:rFonts w:hint="eastAsia" w:ascii="Times New Roman" w:hAnsi="Times New Roman" w:eastAsia="宋体" w:cs="Times New Roman"/>
          <w:sz w:val="24"/>
          <w:szCs w:val="24"/>
        </w:rPr>
        <w:t>。所有</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严重程度均为</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级，且均未经治疗自行痊愈或好转。</w:t>
      </w:r>
    </w:p>
    <w:p w14:paraId="6AEB4EC4">
      <w:pPr>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Part-1 SAD</w:t>
      </w:r>
      <w:r>
        <w:rPr>
          <w:rFonts w:hint="eastAsia" w:ascii="Times New Roman" w:hAnsi="Times New Roman" w:eastAsia="宋体" w:cs="Times New Roman"/>
          <w:sz w:val="24"/>
          <w:szCs w:val="24"/>
        </w:rPr>
        <w:t>阶段单次服用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片后</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发生率与安慰剂组无明显差异。单次服用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片后最常报告的</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（发生率≥</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）为血甘油三酯升高</w:t>
      </w:r>
      <w:r>
        <w:rPr>
          <w:rFonts w:ascii="Times New Roman" w:hAnsi="Times New Roman" w:eastAsia="宋体" w:cs="Times New Roman"/>
          <w:sz w:val="24"/>
          <w:szCs w:val="24"/>
        </w:rPr>
        <w:t>21.2%</w:t>
      </w:r>
      <w:r>
        <w:rPr>
          <w:rFonts w:hint="eastAsia" w:ascii="Times New Roman" w:hAnsi="Times New Roman" w:eastAsia="宋体" w:cs="Times New Roman"/>
          <w:sz w:val="24"/>
          <w:szCs w:val="24"/>
        </w:rPr>
        <w:t>（</w:t>
      </w:r>
      <w:r>
        <w:rPr>
          <w:rFonts w:ascii="Times New Roman" w:hAnsi="Times New Roman" w:eastAsia="宋体" w:cs="Times New Roman"/>
          <w:sz w:val="24"/>
          <w:szCs w:val="24"/>
        </w:rPr>
        <w:t>7/33</w:t>
      </w:r>
      <w:r>
        <w:rPr>
          <w:rFonts w:hint="eastAsia" w:ascii="Times New Roman" w:hAnsi="Times New Roman" w:eastAsia="宋体" w:cs="Times New Roman"/>
          <w:sz w:val="24"/>
          <w:szCs w:val="24"/>
        </w:rPr>
        <w:t>）和网织红细胞百分比升高</w:t>
      </w:r>
      <w:r>
        <w:rPr>
          <w:rFonts w:ascii="Times New Roman" w:hAnsi="Times New Roman" w:eastAsia="宋体" w:cs="Times New Roman"/>
          <w:sz w:val="24"/>
          <w:szCs w:val="24"/>
        </w:rPr>
        <w:t>12.1%</w:t>
      </w:r>
      <w:r>
        <w:rPr>
          <w:rFonts w:hint="eastAsia" w:ascii="Times New Roman" w:hAnsi="Times New Roman" w:eastAsia="宋体" w:cs="Times New Roman"/>
          <w:sz w:val="24"/>
          <w:szCs w:val="24"/>
        </w:rPr>
        <w:t>（</w:t>
      </w:r>
      <w:r>
        <w:rPr>
          <w:rFonts w:ascii="Times New Roman" w:hAnsi="Times New Roman" w:eastAsia="宋体" w:cs="Times New Roman"/>
          <w:sz w:val="24"/>
          <w:szCs w:val="24"/>
        </w:rPr>
        <w:t>4/33</w:t>
      </w:r>
      <w:r>
        <w:rPr>
          <w:rFonts w:hint="eastAsia" w:ascii="Times New Roman" w:hAnsi="Times New Roman" w:eastAsia="宋体" w:cs="Times New Roman"/>
          <w:sz w:val="24"/>
          <w:szCs w:val="24"/>
        </w:rPr>
        <w:t>）；安慰剂组中最常报告的</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（发生率≥</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）为网织红细胞百分比升高</w:t>
      </w:r>
      <w:r>
        <w:rPr>
          <w:rFonts w:ascii="Times New Roman" w:hAnsi="Times New Roman" w:eastAsia="宋体" w:cs="Times New Roman"/>
          <w:sz w:val="24"/>
          <w:szCs w:val="24"/>
        </w:rPr>
        <w:t>27.3%</w:t>
      </w:r>
      <w:r>
        <w:rPr>
          <w:rFonts w:hint="eastAsia" w:ascii="Times New Roman" w:hAnsi="Times New Roman" w:eastAsia="宋体" w:cs="Times New Roman"/>
          <w:sz w:val="24"/>
          <w:szCs w:val="24"/>
        </w:rPr>
        <w:t>（</w:t>
      </w:r>
      <w:r>
        <w:rPr>
          <w:rFonts w:ascii="Times New Roman" w:hAnsi="Times New Roman" w:eastAsia="宋体" w:cs="Times New Roman"/>
          <w:sz w:val="24"/>
          <w:szCs w:val="24"/>
        </w:rPr>
        <w:t>3/11</w:t>
      </w:r>
      <w:r>
        <w:rPr>
          <w:rFonts w:hint="eastAsia" w:ascii="Times New Roman" w:hAnsi="Times New Roman" w:eastAsia="宋体" w:cs="Times New Roman"/>
          <w:sz w:val="24"/>
          <w:szCs w:val="24"/>
        </w:rPr>
        <w:t>）。。</w:t>
      </w:r>
    </w:p>
    <w:p w14:paraId="3FC8C15B">
      <w:pPr>
        <w:spacing w:line="360" w:lineRule="auto"/>
        <w:ind w:firstLine="480" w:firstLineChars="200"/>
        <w:jc w:val="both"/>
        <w:rPr>
          <w:rFonts w:ascii="Times New Roman" w:hAnsi="Times New Roman" w:eastAsia="宋体" w:cs="Times New Roman"/>
          <w:i/>
          <w:iCs/>
          <w:sz w:val="24"/>
          <w:szCs w:val="24"/>
          <w:u w:val="single"/>
        </w:rPr>
      </w:pPr>
      <w:r>
        <w:rPr>
          <w:rFonts w:ascii="Times New Roman" w:hAnsi="Times New Roman" w:eastAsia="宋体" w:cs="Times New Roman"/>
          <w:i/>
          <w:iCs/>
          <w:sz w:val="24"/>
          <w:szCs w:val="24"/>
          <w:u w:val="single"/>
        </w:rPr>
        <w:t>MAD</w:t>
      </w:r>
      <w:r>
        <w:rPr>
          <w:rFonts w:hint="eastAsia" w:ascii="Times New Roman" w:hAnsi="Times New Roman" w:eastAsia="宋体" w:cs="Times New Roman"/>
          <w:i/>
          <w:iCs/>
          <w:sz w:val="24"/>
          <w:szCs w:val="24"/>
          <w:u w:val="single"/>
        </w:rPr>
        <w:t>研究</w:t>
      </w:r>
    </w:p>
    <w:p w14:paraId="1F4743AE">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服用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片的</w:t>
      </w:r>
      <w:r>
        <w:rPr>
          <w:rFonts w:ascii="Times New Roman" w:hAnsi="Times New Roman" w:eastAsia="宋体" w:cs="Times New Roman"/>
          <w:sz w:val="24"/>
          <w:szCs w:val="24"/>
        </w:rPr>
        <w:t>18</w:t>
      </w:r>
      <w:r>
        <w:rPr>
          <w:rFonts w:hint="eastAsia" w:ascii="Times New Roman" w:hAnsi="Times New Roman" w:eastAsia="宋体" w:cs="Times New Roman"/>
          <w:sz w:val="24"/>
          <w:szCs w:val="24"/>
        </w:rPr>
        <w:t>例参与者中，有</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88.9%</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31</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4</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22.2%</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6</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级</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，其余</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均为</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级。有</w:t>
      </w:r>
      <w:r>
        <w:rPr>
          <w:rFonts w:ascii="Times New Roman" w:hAnsi="Times New Roman" w:eastAsia="宋体" w:cs="Times New Roman"/>
          <w:sz w:val="24"/>
          <w:szCs w:val="24"/>
        </w:rPr>
        <w:t>15</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83.3%</w:t>
      </w:r>
      <w:r>
        <w:rPr>
          <w:rFonts w:hint="eastAsia" w:ascii="Times New Roman" w:hAnsi="Times New Roman" w:eastAsia="宋体" w:cs="Times New Roman"/>
          <w:sz w:val="24"/>
          <w:szCs w:val="24"/>
        </w:rPr>
        <w:t>）参与者</w:t>
      </w:r>
      <w:r>
        <w:rPr>
          <w:rFonts w:ascii="Times New Roman" w:hAnsi="Times New Roman" w:eastAsia="宋体" w:cs="Times New Roman"/>
          <w:sz w:val="24"/>
          <w:szCs w:val="24"/>
        </w:rPr>
        <w:t>26</w:t>
      </w:r>
      <w:r>
        <w:rPr>
          <w:rFonts w:hint="eastAsia" w:ascii="Times New Roman" w:hAnsi="Times New Roman" w:eastAsia="宋体" w:cs="Times New Roman"/>
          <w:sz w:val="24"/>
          <w:szCs w:val="24"/>
        </w:rPr>
        <w:t>例次为</w:t>
      </w:r>
      <w:r>
        <w:rPr>
          <w:rFonts w:ascii="Times New Roman" w:hAnsi="Times New Roman" w:eastAsia="宋体" w:cs="Times New Roman"/>
          <w:sz w:val="24"/>
          <w:szCs w:val="24"/>
        </w:rPr>
        <w:t>TRAE</w: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3</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16.7%</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5</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级</w:t>
      </w:r>
      <w:r>
        <w:rPr>
          <w:rFonts w:ascii="Times New Roman" w:hAnsi="Times New Roman" w:eastAsia="宋体" w:cs="Times New Roman"/>
          <w:sz w:val="24"/>
          <w:szCs w:val="24"/>
        </w:rPr>
        <w:t>TRAE</w:t>
      </w:r>
      <w:r>
        <w:rPr>
          <w:rFonts w:hint="eastAsia" w:ascii="Times New Roman" w:hAnsi="Times New Roman" w:eastAsia="宋体" w:cs="Times New Roman"/>
          <w:sz w:val="24"/>
          <w:szCs w:val="24"/>
        </w:rPr>
        <w:t>，其余</w:t>
      </w:r>
      <w:r>
        <w:rPr>
          <w:rFonts w:ascii="Times New Roman" w:hAnsi="Times New Roman" w:eastAsia="宋体" w:cs="Times New Roman"/>
          <w:sz w:val="24"/>
          <w:szCs w:val="24"/>
        </w:rPr>
        <w:t>TRAE</w:t>
      </w:r>
      <w:r>
        <w:rPr>
          <w:rFonts w:hint="eastAsia" w:ascii="Times New Roman" w:hAnsi="Times New Roman" w:eastAsia="宋体" w:cs="Times New Roman"/>
          <w:sz w:val="24"/>
          <w:szCs w:val="24"/>
        </w:rPr>
        <w:t>均为</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级。所有</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中，有</w:t>
      </w:r>
      <w:r>
        <w:rPr>
          <w:rFonts w:ascii="Times New Roman" w:hAnsi="Times New Roman" w:eastAsia="宋体" w:cs="Times New Roman"/>
          <w:sz w:val="24"/>
          <w:szCs w:val="24"/>
        </w:rPr>
        <w:t>1</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转归为未知（参与者拒绝后续随访），</w:t>
      </w:r>
      <w:r>
        <w:rPr>
          <w:rFonts w:ascii="Times New Roman" w:hAnsi="Times New Roman" w:eastAsia="宋体" w:cs="Times New Roman"/>
          <w:sz w:val="24"/>
          <w:szCs w:val="24"/>
        </w:rPr>
        <w:t>4</w:t>
      </w:r>
      <w:r>
        <w:rPr>
          <w:rFonts w:hint="eastAsia" w:ascii="Times New Roman" w:hAnsi="Times New Roman" w:eastAsia="宋体" w:cs="Times New Roman"/>
          <w:sz w:val="24"/>
          <w:szCs w:val="24"/>
        </w:rPr>
        <w:t>例参与者有</w:t>
      </w:r>
      <w:r>
        <w:rPr>
          <w:rFonts w:ascii="Times New Roman" w:hAnsi="Times New Roman" w:eastAsia="宋体" w:cs="Times New Roman"/>
          <w:sz w:val="24"/>
          <w:szCs w:val="24"/>
        </w:rPr>
        <w:t>6</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在接受合并用药治疗后痊愈或好转，其余</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均未经治疗自行痊愈或好转。</w:t>
      </w:r>
    </w:p>
    <w:p w14:paraId="0BFC3D89">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在服用安慰剂的</w:t>
      </w:r>
      <w:r>
        <w:rPr>
          <w:rFonts w:ascii="Times New Roman" w:hAnsi="Times New Roman" w:eastAsia="宋体" w:cs="Times New Roman"/>
          <w:sz w:val="24"/>
          <w:szCs w:val="24"/>
        </w:rPr>
        <w:t>6</w:t>
      </w:r>
      <w:r>
        <w:rPr>
          <w:rFonts w:hint="eastAsia" w:ascii="Times New Roman" w:hAnsi="Times New Roman" w:eastAsia="宋体" w:cs="Times New Roman"/>
          <w:sz w:val="24"/>
          <w:szCs w:val="24"/>
        </w:rPr>
        <w:t>例参与者中，有</w:t>
      </w:r>
      <w:r>
        <w:rPr>
          <w:rFonts w:ascii="Times New Roman" w:hAnsi="Times New Roman" w:eastAsia="宋体" w:cs="Times New Roman"/>
          <w:sz w:val="24"/>
          <w:szCs w:val="24"/>
        </w:rPr>
        <w:t>2</w:t>
      </w:r>
      <w:r>
        <w:rPr>
          <w:rFonts w:hint="eastAsia" w:ascii="Times New Roman" w:hAnsi="Times New Roman" w:eastAsia="宋体" w:cs="Times New Roman"/>
          <w:sz w:val="24"/>
          <w:szCs w:val="24"/>
        </w:rPr>
        <w:t>例（</w:t>
      </w:r>
      <w:r>
        <w:rPr>
          <w:rFonts w:ascii="Times New Roman" w:hAnsi="Times New Roman" w:eastAsia="宋体" w:cs="Times New Roman"/>
          <w:sz w:val="24"/>
          <w:szCs w:val="24"/>
        </w:rPr>
        <w:t>33.3%</w:t>
      </w:r>
      <w:r>
        <w:rPr>
          <w:rFonts w:hint="eastAsia" w:ascii="Times New Roman" w:hAnsi="Times New Roman" w:eastAsia="宋体" w:cs="Times New Roman"/>
          <w:sz w:val="24"/>
          <w:szCs w:val="24"/>
        </w:rPr>
        <w:t>）参与者发生</w:t>
      </w:r>
      <w:r>
        <w:rPr>
          <w:rFonts w:ascii="Times New Roman" w:hAnsi="Times New Roman" w:eastAsia="宋体" w:cs="Times New Roman"/>
          <w:sz w:val="24"/>
          <w:szCs w:val="24"/>
        </w:rPr>
        <w:t>7</w:t>
      </w:r>
      <w:r>
        <w:rPr>
          <w:rFonts w:hint="eastAsia" w:ascii="Times New Roman" w:hAnsi="Times New Roman" w:eastAsia="宋体" w:cs="Times New Roman"/>
          <w:sz w:val="24"/>
          <w:szCs w:val="24"/>
        </w:rPr>
        <w:t>例次</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，也均为</w:t>
      </w:r>
      <w:r>
        <w:rPr>
          <w:rFonts w:ascii="Times New Roman" w:hAnsi="Times New Roman" w:eastAsia="宋体" w:cs="Times New Roman"/>
          <w:sz w:val="24"/>
          <w:szCs w:val="24"/>
        </w:rPr>
        <w:t>TRAE</w:t>
      </w:r>
      <w:r>
        <w:rPr>
          <w:rFonts w:hint="eastAsia" w:ascii="Times New Roman" w:hAnsi="Times New Roman" w:eastAsia="宋体" w:cs="Times New Roman"/>
          <w:sz w:val="24"/>
          <w:szCs w:val="24"/>
        </w:rPr>
        <w:t>。所有</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严重程度均为</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级，且均未经治疗自行痊愈或好转。</w:t>
      </w:r>
    </w:p>
    <w:p w14:paraId="6C1AAFD1">
      <w:pPr>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Part-2 MAD</w:t>
      </w:r>
      <w:r>
        <w:rPr>
          <w:rFonts w:hint="eastAsia" w:ascii="Times New Roman" w:hAnsi="Times New Roman" w:eastAsia="宋体" w:cs="Times New Roman"/>
          <w:sz w:val="24"/>
          <w:szCs w:val="24"/>
        </w:rPr>
        <w:t>阶段各剂量组多次</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服用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片后</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发生率高于安慰剂组，且发生率呈现一定的剂量相关性。多次</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服用</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片后最常报告的</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（发生率≥</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）为：血小板计数升高</w:t>
      </w:r>
      <w:r>
        <w:rPr>
          <w:rFonts w:ascii="Times New Roman" w:hAnsi="Times New Roman" w:eastAsia="宋体" w:cs="Times New Roman"/>
          <w:sz w:val="24"/>
          <w:szCs w:val="24"/>
        </w:rPr>
        <w:t>44.4%</w:t>
      </w:r>
      <w:r>
        <w:rPr>
          <w:rFonts w:hint="eastAsia" w:ascii="Times New Roman" w:hAnsi="Times New Roman" w:eastAsia="宋体" w:cs="Times New Roman"/>
          <w:sz w:val="24"/>
          <w:szCs w:val="24"/>
        </w:rPr>
        <w:t>（</w:t>
      </w:r>
      <w:r>
        <w:rPr>
          <w:rFonts w:ascii="Times New Roman" w:hAnsi="Times New Roman" w:eastAsia="宋体" w:cs="Times New Roman"/>
          <w:sz w:val="24"/>
          <w:szCs w:val="24"/>
        </w:rPr>
        <w:t>8/18</w:t>
      </w:r>
      <w:r>
        <w:rPr>
          <w:rFonts w:hint="eastAsia" w:ascii="Times New Roman" w:hAnsi="Times New Roman" w:eastAsia="宋体" w:cs="Times New Roman"/>
          <w:sz w:val="24"/>
          <w:szCs w:val="24"/>
        </w:rPr>
        <w:t>），网织红细胞百分比升高、头晕和贫血均为</w:t>
      </w:r>
      <w:r>
        <w:rPr>
          <w:rFonts w:ascii="Times New Roman" w:hAnsi="Times New Roman" w:eastAsia="宋体" w:cs="Times New Roman"/>
          <w:sz w:val="24"/>
          <w:szCs w:val="24"/>
        </w:rPr>
        <w:t>11.1%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2/18</w:t>
      </w:r>
      <w:r>
        <w:rPr>
          <w:rFonts w:hint="eastAsia" w:ascii="Times New Roman" w:hAnsi="Times New Roman" w:eastAsia="宋体" w:cs="Times New Roman"/>
          <w:sz w:val="24"/>
          <w:szCs w:val="24"/>
        </w:rPr>
        <w:t>）；安慰剂组中最常报告的</w:t>
      </w:r>
      <w:r>
        <w:rPr>
          <w:rFonts w:ascii="Times New Roman" w:hAnsi="Times New Roman" w:eastAsia="宋体" w:cs="Times New Roman"/>
          <w:sz w:val="24"/>
          <w:szCs w:val="24"/>
        </w:rPr>
        <w:t>TEAE</w:t>
      </w:r>
      <w:r>
        <w:rPr>
          <w:rFonts w:hint="eastAsia" w:ascii="Times New Roman" w:hAnsi="Times New Roman" w:eastAsia="宋体" w:cs="Times New Roman"/>
          <w:sz w:val="24"/>
          <w:szCs w:val="24"/>
        </w:rPr>
        <w:t>（发生率≥</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）为尿白细胞阳性</w:t>
      </w:r>
      <w:r>
        <w:rPr>
          <w:rFonts w:ascii="Times New Roman" w:hAnsi="Times New Roman" w:eastAsia="宋体" w:cs="Times New Roman"/>
          <w:sz w:val="24"/>
          <w:szCs w:val="24"/>
        </w:rPr>
        <w:t>33.3%</w:t>
      </w:r>
      <w:r>
        <w:rPr>
          <w:rFonts w:hint="eastAsia" w:ascii="Times New Roman" w:hAnsi="Times New Roman" w:eastAsia="宋体" w:cs="Times New Roman"/>
          <w:sz w:val="24"/>
          <w:szCs w:val="24"/>
        </w:rPr>
        <w:t>（</w:t>
      </w:r>
      <w:r>
        <w:rPr>
          <w:rFonts w:ascii="Times New Roman" w:hAnsi="Times New Roman" w:eastAsia="宋体" w:cs="Times New Roman"/>
          <w:sz w:val="24"/>
          <w:szCs w:val="24"/>
        </w:rPr>
        <w:t>2/6</w:t>
      </w:r>
      <w:r>
        <w:rPr>
          <w:rFonts w:hint="eastAsia" w:ascii="Times New Roman" w:hAnsi="Times New Roman" w:eastAsia="宋体" w:cs="Times New Roman"/>
          <w:sz w:val="24"/>
          <w:szCs w:val="24"/>
        </w:rPr>
        <w:t>），网织红细胞百分比升高、单核细胞百分比升高、心电图</w:t>
      </w:r>
      <w:r>
        <w:rPr>
          <w:rFonts w:ascii="Times New Roman" w:hAnsi="Times New Roman" w:eastAsia="宋体" w:cs="Times New Roman"/>
          <w:sz w:val="24"/>
          <w:szCs w:val="24"/>
        </w:rPr>
        <w:t>T</w:t>
      </w:r>
      <w:r>
        <w:rPr>
          <w:rFonts w:hint="eastAsia" w:ascii="Times New Roman" w:hAnsi="Times New Roman" w:eastAsia="宋体" w:cs="Times New Roman"/>
          <w:sz w:val="24"/>
          <w:szCs w:val="24"/>
        </w:rPr>
        <w:t>波异常和贫血均为</w:t>
      </w:r>
      <w:r>
        <w:rPr>
          <w:rFonts w:ascii="Times New Roman" w:hAnsi="Times New Roman" w:eastAsia="宋体" w:cs="Times New Roman"/>
          <w:sz w:val="24"/>
          <w:szCs w:val="24"/>
        </w:rPr>
        <w:t>16.7%</w:t>
      </w:r>
      <w:r>
        <w:rPr>
          <w:rFonts w:hint="eastAsia" w:ascii="Times New Roman" w:hAnsi="Times New Roman" w:eastAsia="宋体" w:cs="Times New Roman"/>
          <w:sz w:val="24"/>
          <w:szCs w:val="24"/>
        </w:rPr>
        <w:t>（</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w:t>
      </w:r>
    </w:p>
    <w:p w14:paraId="1EF24486">
      <w:pPr>
        <w:spacing w:line="360" w:lineRule="auto"/>
        <w:ind w:firstLine="482" w:firstLineChars="200"/>
        <w:jc w:val="both"/>
        <w:rPr>
          <w:rFonts w:ascii="Times New Roman" w:hAnsi="Times New Roman" w:cs="Times New Roman"/>
          <w:sz w:val="24"/>
          <w:szCs w:val="24"/>
        </w:rPr>
      </w:pPr>
      <w:r>
        <w:rPr>
          <w:rFonts w:hint="eastAsia" w:ascii="Times New Roman" w:hAnsi="Times New Roman" w:eastAsia="宋体" w:cs="Times New Roman"/>
          <w:b/>
          <w:sz w:val="24"/>
          <w:szCs w:val="24"/>
        </w:rPr>
        <w:t>药代动力学结果</w:t>
      </w:r>
    </w:p>
    <w:p w14:paraId="0E7C8551">
      <w:pPr>
        <w:spacing w:line="360" w:lineRule="auto"/>
        <w:ind w:firstLine="480" w:firstLineChars="200"/>
        <w:jc w:val="both"/>
        <w:rPr>
          <w:rFonts w:ascii="Times New Roman" w:hAnsi="Times New Roman" w:eastAsia="宋体" w:cs="Times New Roman"/>
          <w:i/>
          <w:iCs/>
          <w:sz w:val="24"/>
          <w:szCs w:val="24"/>
          <w:u w:val="single"/>
        </w:rPr>
      </w:pPr>
      <w:r>
        <w:rPr>
          <w:rFonts w:ascii="Times New Roman" w:hAnsi="Times New Roman" w:cs="Times New Roman"/>
          <w:i/>
          <w:sz w:val="24"/>
          <w:szCs w:val="24"/>
          <w:u w:val="single"/>
        </w:rPr>
        <w:t>CMS-D001</w:t>
      </w:r>
    </w:p>
    <w:p w14:paraId="5A133B28">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健康参与者单次口服</w:t>
      </w:r>
      <w:r>
        <w:rPr>
          <w:rFonts w:ascii="Times New Roman" w:hAnsi="Times New Roman" w:eastAsia="宋体" w:cs="Times New Roman"/>
          <w:sz w:val="24"/>
          <w:szCs w:val="24"/>
        </w:rPr>
        <w:t>2.5~200 mg CMS-D001</w:t>
      </w:r>
      <w:r>
        <w:rPr>
          <w:rFonts w:hint="eastAsia" w:ascii="Times New Roman" w:hAnsi="Times New Roman" w:eastAsia="宋体" w:cs="Times New Roman"/>
          <w:sz w:val="24"/>
          <w:szCs w:val="24"/>
        </w:rPr>
        <w:t>片后，</w:t>
      </w:r>
      <w:r>
        <w:rPr>
          <w:rFonts w:ascii="Times New Roman" w:hAnsi="Times New Roman" w:eastAsia="宋体" w:cs="Times New Roman"/>
          <w:sz w:val="24"/>
          <w:szCs w:val="24"/>
        </w:rPr>
        <w:t>CMS-D001 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的增加比例小于剂量增加比例</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25~200 mg</w:t>
      </w:r>
      <w:r>
        <w:rPr>
          <w:rFonts w:hint="eastAsia" w:ascii="Times New Roman" w:hAnsi="Times New Roman" w:eastAsia="宋体" w:cs="Times New Roman"/>
          <w:sz w:val="24"/>
          <w:szCs w:val="24"/>
        </w:rPr>
        <w:t>剂量范围内，</w:t>
      </w:r>
      <w:r>
        <w:rPr>
          <w:rFonts w:ascii="Times New Roman" w:hAnsi="Times New Roman" w:eastAsia="宋体" w:cs="Times New Roman"/>
          <w:sz w:val="24"/>
          <w:szCs w:val="24"/>
        </w:rPr>
        <w:t>AUC</w:t>
      </w:r>
      <w:r>
        <w:rPr>
          <w:rFonts w:hint="eastAsia" w:ascii="Times New Roman" w:hAnsi="Times New Roman" w:eastAsia="宋体" w:cs="Times New Roman"/>
          <w:sz w:val="24"/>
          <w:szCs w:val="24"/>
        </w:rPr>
        <w:t>可能随剂量的增加大致成比例增加；暴露呈低至中度个体间变异。各剂量组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的中位</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1.50~3.99 h</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1/2</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6.56~10.6 h</w:t>
      </w:r>
      <w:r>
        <w:rPr>
          <w:rFonts w:hint="eastAsia" w:ascii="Times New Roman" w:hAnsi="Times New Roman" w:eastAsia="宋体" w:cs="Times New Roman"/>
          <w:sz w:val="24"/>
          <w:szCs w:val="24"/>
        </w:rPr>
        <w:t>。</w:t>
      </w:r>
    </w:p>
    <w:p w14:paraId="2ED1595B">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健康参与者连续</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天</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口服</w:t>
      </w:r>
      <w:r>
        <w:rPr>
          <w:rFonts w:ascii="Times New Roman" w:hAnsi="Times New Roman" w:eastAsia="宋体" w:cs="Times New Roman"/>
          <w:sz w:val="24"/>
          <w:szCs w:val="24"/>
        </w:rPr>
        <w:t>50~200 mg CMS-D001</w:t>
      </w:r>
      <w:r>
        <w:rPr>
          <w:rFonts w:hint="eastAsia" w:ascii="Times New Roman" w:hAnsi="Times New Roman" w:eastAsia="宋体" w:cs="Times New Roman"/>
          <w:sz w:val="24"/>
          <w:szCs w:val="24"/>
        </w:rPr>
        <w:t>片后，</w:t>
      </w:r>
      <w:r>
        <w:rPr>
          <w:rFonts w:ascii="Times New Roman" w:hAnsi="Times New Roman" w:eastAsia="宋体" w:cs="Times New Roman"/>
          <w:sz w:val="24"/>
          <w:szCs w:val="24"/>
        </w:rPr>
        <w:t>CMS-D001 C</w:t>
      </w:r>
      <w:r>
        <w:rPr>
          <w:rFonts w:ascii="Times New Roman" w:hAnsi="Times New Roman" w:eastAsia="宋体" w:cs="Times New Roman"/>
          <w:sz w:val="24"/>
          <w:szCs w:val="24"/>
          <w:vertAlign w:val="subscript"/>
        </w:rPr>
        <w:t>max,ss</w:t>
      </w:r>
      <w:r>
        <w:rPr>
          <w:rFonts w:hint="eastAsia" w:ascii="Times New Roman" w:hAnsi="Times New Roman" w:eastAsia="宋体" w:cs="Times New Roman"/>
          <w:sz w:val="24"/>
          <w:szCs w:val="24"/>
        </w:rPr>
        <w:t>的增加比例小于剂量增加比例，</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vertAlign w:val="subscript"/>
        </w:rPr>
        <w:t>τ</w:t>
      </w:r>
      <w:r>
        <w:rPr>
          <w:rFonts w:ascii="Times New Roman" w:hAnsi="Times New Roman" w:eastAsia="宋体" w:cs="Times New Roman"/>
          <w:sz w:val="24"/>
          <w:szCs w:val="24"/>
          <w:vertAlign w:val="subscript"/>
        </w:rPr>
        <w:t>,ss</w:t>
      </w:r>
      <w:r>
        <w:rPr>
          <w:rFonts w:hint="eastAsia" w:ascii="Times New Roman" w:hAnsi="Times New Roman" w:eastAsia="宋体" w:cs="Times New Roman"/>
          <w:sz w:val="24"/>
          <w:szCs w:val="24"/>
        </w:rPr>
        <w:t>可能随剂量的增加大致成比例增加；暴露呈低至中度个体间变异。稳态时，各剂量组</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的中位</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max,ss</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1.50~4.00 h</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1/2</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10.0~10.2 h</w:t>
      </w:r>
      <w:r>
        <w:rPr>
          <w:rFonts w:hint="eastAsia" w:ascii="Times New Roman" w:hAnsi="Times New Roman" w:eastAsia="宋体" w:cs="Times New Roman"/>
          <w:sz w:val="24"/>
          <w:szCs w:val="24"/>
        </w:rPr>
        <w:t>。连续</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给药后，</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在体内有轻微蓄积（平均</w:t>
      </w:r>
      <w:r>
        <w:rPr>
          <w:rFonts w:ascii="Times New Roman" w:hAnsi="Times New Roman" w:eastAsia="宋体" w:cs="Times New Roman"/>
          <w:sz w:val="24"/>
          <w:szCs w:val="24"/>
        </w:rPr>
        <w:t>Rac_C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w:t>
      </w:r>
      <w:r>
        <w:rPr>
          <w:rFonts w:ascii="Times New Roman" w:hAnsi="Times New Roman" w:eastAsia="宋体" w:cs="Times New Roman"/>
          <w:sz w:val="24"/>
          <w:szCs w:val="24"/>
        </w:rPr>
        <w:t>1.12~1.48</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Rac_AUC</w:t>
      </w:r>
      <w:r>
        <w:rPr>
          <w:rFonts w:hint="eastAsia" w:ascii="Times New Roman" w:hAnsi="Times New Roman" w:eastAsia="宋体" w:cs="Times New Roman"/>
          <w:sz w:val="24"/>
          <w:szCs w:val="24"/>
        </w:rPr>
        <w:t>：</w:t>
      </w:r>
      <w:r>
        <w:rPr>
          <w:rFonts w:ascii="Times New Roman" w:hAnsi="Times New Roman" w:eastAsia="宋体" w:cs="Times New Roman"/>
          <w:sz w:val="24"/>
          <w:szCs w:val="24"/>
        </w:rPr>
        <w:t>1.36~1.71</w:t>
      </w:r>
      <w:r>
        <w:rPr>
          <w:rFonts w:hint="eastAsia" w:ascii="Times New Roman" w:hAnsi="Times New Roman" w:eastAsia="宋体" w:cs="Times New Roman"/>
          <w:sz w:val="24"/>
          <w:szCs w:val="24"/>
        </w:rPr>
        <w:t>）。</w:t>
      </w:r>
    </w:p>
    <w:p w14:paraId="305DBA26">
      <w:pPr>
        <w:spacing w:line="360" w:lineRule="auto"/>
        <w:ind w:firstLine="480" w:firstLineChars="200"/>
        <w:jc w:val="both"/>
        <w:rPr>
          <w:rFonts w:ascii="Times New Roman" w:hAnsi="Times New Roman" w:eastAsia="宋体" w:cs="Times New Roman"/>
          <w:i/>
          <w:iCs/>
          <w:sz w:val="24"/>
          <w:szCs w:val="24"/>
          <w:u w:val="single"/>
        </w:rPr>
      </w:pPr>
      <w:r>
        <w:rPr>
          <w:rFonts w:hint="eastAsia" w:ascii="Times New Roman" w:hAnsi="Times New Roman" w:eastAsia="宋体" w:cs="Times New Roman"/>
          <w:i/>
          <w:iCs/>
          <w:sz w:val="24"/>
          <w:szCs w:val="24"/>
          <w:u w:val="single"/>
        </w:rPr>
        <w:t>代谢物</w:t>
      </w:r>
      <w:r>
        <w:rPr>
          <w:rFonts w:ascii="Times New Roman" w:hAnsi="Times New Roman" w:eastAsia="宋体" w:cs="Times New Roman"/>
          <w:i/>
          <w:iCs/>
          <w:sz w:val="24"/>
          <w:szCs w:val="24"/>
          <w:u w:val="single"/>
        </w:rPr>
        <w:t>M414-2</w:t>
      </w:r>
    </w:p>
    <w:p w14:paraId="16BAFF3A">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健康参与者单次口服</w:t>
      </w:r>
      <w:r>
        <w:rPr>
          <w:rFonts w:ascii="Times New Roman" w:hAnsi="Times New Roman" w:eastAsia="宋体" w:cs="Times New Roman"/>
          <w:sz w:val="24"/>
          <w:szCs w:val="24"/>
        </w:rPr>
        <w:t>100</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200 mg CMS-D001</w:t>
      </w:r>
      <w:r>
        <w:rPr>
          <w:rFonts w:hint="eastAsia" w:ascii="Times New Roman" w:hAnsi="Times New Roman" w:eastAsia="宋体" w:cs="Times New Roman"/>
          <w:sz w:val="24"/>
          <w:szCs w:val="24"/>
        </w:rPr>
        <w:t>片后，</w:t>
      </w:r>
      <w:r>
        <w:rPr>
          <w:rFonts w:ascii="Times New Roman" w:hAnsi="Times New Roman" w:eastAsia="宋体" w:cs="Times New Roman"/>
          <w:sz w:val="24"/>
          <w:szCs w:val="24"/>
        </w:rPr>
        <w:t>M414-2</w:t>
      </w:r>
      <w:r>
        <w:rPr>
          <w:rFonts w:hint="eastAsia" w:ascii="Times New Roman" w:hAnsi="Times New Roman" w:eastAsia="宋体" w:cs="Times New Roman"/>
          <w:sz w:val="24"/>
          <w:szCs w:val="24"/>
        </w:rPr>
        <w:t>的暴露（</w:t>
      </w:r>
      <w:r>
        <w:rPr>
          <w:rFonts w:ascii="Times New Roman" w:hAnsi="Times New Roman" w:eastAsia="宋体" w:cs="Times New Roman"/>
          <w:sz w:val="24"/>
          <w:szCs w:val="24"/>
        </w:rPr>
        <w:t>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AUC</w:t>
      </w:r>
      <w:r>
        <w:rPr>
          <w:rFonts w:hint="eastAsia" w:ascii="Times New Roman" w:hAnsi="Times New Roman" w:eastAsia="宋体" w:cs="Times New Roman"/>
          <w:sz w:val="24"/>
          <w:szCs w:val="24"/>
        </w:rPr>
        <w:t>）随剂量增加而增加，且个体间变异为低至中度。各剂量组</w:t>
      </w:r>
      <w:r>
        <w:rPr>
          <w:rFonts w:ascii="Times New Roman" w:hAnsi="Times New Roman" w:eastAsia="宋体" w:cs="Times New Roman"/>
          <w:sz w:val="24"/>
          <w:szCs w:val="24"/>
        </w:rPr>
        <w:t>M414-2</w:t>
      </w:r>
      <w:r>
        <w:rPr>
          <w:rFonts w:hint="eastAsia" w:ascii="Times New Roman" w:hAnsi="Times New Roman" w:eastAsia="宋体" w:cs="Times New Roman"/>
          <w:sz w:val="24"/>
          <w:szCs w:val="24"/>
        </w:rPr>
        <w:t>的中位</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3.50</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3.00 h</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1/2</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7.96</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10.5 h</w:t>
      </w:r>
      <w:r>
        <w:rPr>
          <w:rFonts w:hint="eastAsia" w:ascii="Times New Roman" w:hAnsi="Times New Roman" w:eastAsia="宋体" w:cs="Times New Roman"/>
          <w:sz w:val="24"/>
          <w:szCs w:val="24"/>
        </w:rPr>
        <w:t>。</w:t>
      </w:r>
    </w:p>
    <w:p w14:paraId="1EDE091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健康参与者连续</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天</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口服</w:t>
      </w:r>
      <w:r>
        <w:rPr>
          <w:rFonts w:ascii="Times New Roman" w:hAnsi="Times New Roman" w:eastAsia="宋体" w:cs="Times New Roman"/>
          <w:sz w:val="24"/>
          <w:szCs w:val="24"/>
        </w:rPr>
        <w:t>100</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200 mg CMS-D001</w:t>
      </w:r>
      <w:r>
        <w:rPr>
          <w:rFonts w:hint="eastAsia" w:ascii="Times New Roman" w:hAnsi="Times New Roman" w:eastAsia="宋体" w:cs="Times New Roman"/>
          <w:sz w:val="24"/>
          <w:szCs w:val="24"/>
        </w:rPr>
        <w:t>片后，</w:t>
      </w:r>
      <w:r>
        <w:rPr>
          <w:rFonts w:ascii="Times New Roman" w:hAnsi="Times New Roman" w:eastAsia="宋体" w:cs="Times New Roman"/>
          <w:sz w:val="24"/>
          <w:szCs w:val="24"/>
        </w:rPr>
        <w:t>M414-2</w:t>
      </w:r>
      <w:r>
        <w:rPr>
          <w:rFonts w:hint="eastAsia" w:ascii="Times New Roman" w:hAnsi="Times New Roman" w:eastAsia="宋体" w:cs="Times New Roman"/>
          <w:sz w:val="24"/>
          <w:szCs w:val="24"/>
        </w:rPr>
        <w:t>的暴露（</w:t>
      </w:r>
      <w:r>
        <w:rPr>
          <w:rFonts w:ascii="Times New Roman" w:hAnsi="Times New Roman" w:eastAsia="宋体" w:cs="Times New Roman"/>
          <w:sz w:val="24"/>
          <w:szCs w:val="24"/>
        </w:rPr>
        <w:t>C</w:t>
      </w:r>
      <w:r>
        <w:rPr>
          <w:rFonts w:ascii="Times New Roman" w:hAnsi="Times New Roman" w:eastAsia="宋体" w:cs="Times New Roman"/>
          <w:sz w:val="24"/>
          <w:szCs w:val="24"/>
          <w:vertAlign w:val="subscript"/>
        </w:rPr>
        <w:t>max,ss</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AUC</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vertAlign w:val="subscript"/>
        </w:rPr>
        <w:t>τ</w:t>
      </w:r>
      <w:r>
        <w:rPr>
          <w:rFonts w:ascii="Times New Roman" w:hAnsi="Times New Roman" w:eastAsia="宋体" w:cs="Times New Roman"/>
          <w:sz w:val="24"/>
          <w:szCs w:val="24"/>
          <w:vertAlign w:val="subscript"/>
        </w:rPr>
        <w:t>,ss</w:t>
      </w:r>
      <w:r>
        <w:rPr>
          <w:rFonts w:hint="eastAsia" w:ascii="Times New Roman" w:hAnsi="Times New Roman" w:eastAsia="宋体" w:cs="Times New Roman"/>
          <w:sz w:val="24"/>
          <w:szCs w:val="24"/>
        </w:rPr>
        <w:t>）随剂量增加而增加，且个体间变异为中度。稳态时，各剂量组</w:t>
      </w:r>
      <w:r>
        <w:rPr>
          <w:rFonts w:ascii="Times New Roman" w:hAnsi="Times New Roman" w:eastAsia="宋体" w:cs="Times New Roman"/>
          <w:sz w:val="24"/>
          <w:szCs w:val="24"/>
        </w:rPr>
        <w:t>M414-2</w:t>
      </w:r>
      <w:r>
        <w:rPr>
          <w:rFonts w:hint="eastAsia" w:ascii="Times New Roman" w:hAnsi="Times New Roman" w:eastAsia="宋体" w:cs="Times New Roman"/>
          <w:sz w:val="24"/>
          <w:szCs w:val="24"/>
        </w:rPr>
        <w:t>的中位</w:t>
      </w:r>
      <w:r>
        <w:rPr>
          <w:rFonts w:ascii="Times New Roman" w:hAnsi="Times New Roman" w:eastAsia="宋体" w:cs="Times New Roman"/>
          <w:sz w:val="24"/>
          <w:szCs w:val="24"/>
        </w:rPr>
        <w:t>T</w:t>
      </w:r>
      <w:r>
        <w:rPr>
          <w:rFonts w:ascii="Times New Roman" w:hAnsi="Times New Roman" w:eastAsia="宋体" w:cs="Times New Roman"/>
          <w:sz w:val="24"/>
          <w:szCs w:val="24"/>
          <w:vertAlign w:val="subscript"/>
        </w:rPr>
        <w:t>max,ss</w:t>
      </w:r>
      <w:r>
        <w:rPr>
          <w:rFonts w:hint="eastAsia" w:ascii="Times New Roman" w:hAnsi="Times New Roman" w:eastAsia="宋体" w:cs="Times New Roman"/>
          <w:sz w:val="24"/>
          <w:szCs w:val="24"/>
        </w:rPr>
        <w:t>均为</w:t>
      </w:r>
      <w:r>
        <w:rPr>
          <w:rFonts w:ascii="Times New Roman" w:hAnsi="Times New Roman" w:eastAsia="宋体" w:cs="Times New Roman"/>
          <w:sz w:val="24"/>
          <w:szCs w:val="24"/>
        </w:rPr>
        <w:t>4.00 h</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t1/2</w:t>
      </w:r>
      <w:r>
        <w:rPr>
          <w:rFonts w:hint="eastAsia" w:ascii="Times New Roman" w:hAnsi="Times New Roman" w:eastAsia="宋体" w:cs="Times New Roman"/>
          <w:sz w:val="24"/>
          <w:szCs w:val="24"/>
        </w:rPr>
        <w:t>分别为</w:t>
      </w:r>
      <w:r>
        <w:rPr>
          <w:rFonts w:ascii="Times New Roman" w:hAnsi="Times New Roman" w:eastAsia="宋体" w:cs="Times New Roman"/>
          <w:sz w:val="24"/>
          <w:szCs w:val="24"/>
        </w:rPr>
        <w:t>10.7</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11.2 h</w:t>
      </w:r>
      <w:r>
        <w:rPr>
          <w:rFonts w:hint="eastAsia" w:ascii="Times New Roman" w:hAnsi="Times New Roman" w:eastAsia="宋体" w:cs="Times New Roman"/>
          <w:sz w:val="24"/>
          <w:szCs w:val="24"/>
        </w:rPr>
        <w:t>。连续</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给药后</w:t>
      </w:r>
      <w:r>
        <w:rPr>
          <w:rFonts w:ascii="Times New Roman" w:hAnsi="Times New Roman" w:eastAsia="宋体" w:cs="Times New Roman"/>
          <w:sz w:val="24"/>
          <w:szCs w:val="24"/>
        </w:rPr>
        <w:t>M414-2</w:t>
      </w:r>
      <w:r>
        <w:rPr>
          <w:rFonts w:hint="eastAsia" w:ascii="Times New Roman" w:hAnsi="Times New Roman" w:eastAsia="宋体" w:cs="Times New Roman"/>
          <w:sz w:val="24"/>
          <w:szCs w:val="24"/>
        </w:rPr>
        <w:t>在体内有轻微蓄积（平均</w:t>
      </w:r>
      <w:r>
        <w:rPr>
          <w:rFonts w:ascii="Times New Roman" w:hAnsi="Times New Roman" w:eastAsia="宋体" w:cs="Times New Roman"/>
          <w:sz w:val="24"/>
          <w:szCs w:val="24"/>
        </w:rPr>
        <w:t>Rac_C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w:t>
      </w:r>
      <w:r>
        <w:rPr>
          <w:rFonts w:ascii="Times New Roman" w:hAnsi="Times New Roman" w:eastAsia="宋体" w:cs="Times New Roman"/>
          <w:sz w:val="24"/>
          <w:szCs w:val="24"/>
        </w:rPr>
        <w:t>1.22~1.46</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Rac_AUC</w:t>
      </w:r>
      <w:r>
        <w:rPr>
          <w:rFonts w:hint="eastAsia" w:ascii="Times New Roman" w:hAnsi="Times New Roman" w:eastAsia="宋体" w:cs="Times New Roman"/>
          <w:sz w:val="24"/>
          <w:szCs w:val="24"/>
        </w:rPr>
        <w:t>：</w:t>
      </w:r>
      <w:r>
        <w:rPr>
          <w:rFonts w:ascii="Times New Roman" w:hAnsi="Times New Roman" w:eastAsia="宋体" w:cs="Times New Roman"/>
          <w:sz w:val="24"/>
          <w:szCs w:val="24"/>
        </w:rPr>
        <w:t>1.36~1.66</w:t>
      </w:r>
      <w:r>
        <w:rPr>
          <w:rFonts w:hint="eastAsia" w:ascii="Times New Roman" w:hAnsi="Times New Roman" w:eastAsia="宋体" w:cs="Times New Roman"/>
          <w:sz w:val="24"/>
          <w:szCs w:val="24"/>
        </w:rPr>
        <w:t>）。</w:t>
      </w:r>
    </w:p>
    <w:p w14:paraId="69BF5375">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单次或多次</w:t>
      </w:r>
      <w:r>
        <w:rPr>
          <w:rFonts w:ascii="Times New Roman" w:hAnsi="Times New Roman" w:eastAsia="宋体" w:cs="Times New Roman"/>
          <w:sz w:val="24"/>
          <w:szCs w:val="24"/>
        </w:rPr>
        <w:t>QD</w:t>
      </w:r>
      <w:r>
        <w:rPr>
          <w:rFonts w:hint="eastAsia" w:ascii="Times New Roman" w:hAnsi="Times New Roman" w:eastAsia="宋体" w:cs="Times New Roman"/>
          <w:sz w:val="24"/>
          <w:szCs w:val="24"/>
        </w:rPr>
        <w:t>给药后，各剂量组</w:t>
      </w:r>
      <w:r>
        <w:rPr>
          <w:rFonts w:ascii="Times New Roman" w:hAnsi="Times New Roman" w:eastAsia="宋体" w:cs="Times New Roman"/>
          <w:sz w:val="24"/>
          <w:szCs w:val="24"/>
        </w:rPr>
        <w:t>M414-2</w:t>
      </w:r>
      <w:r>
        <w:rPr>
          <w:rFonts w:hint="eastAsia" w:ascii="Times New Roman" w:hAnsi="Times New Roman" w:eastAsia="宋体" w:cs="Times New Roman"/>
          <w:sz w:val="24"/>
          <w:szCs w:val="24"/>
        </w:rPr>
        <w:t>的暴露明显低于</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MPr_C</w:t>
      </w:r>
      <w:r>
        <w:rPr>
          <w:rFonts w:ascii="Times New Roman" w:hAnsi="Times New Roman" w:eastAsia="宋体" w:cs="Times New Roman"/>
          <w:sz w:val="24"/>
          <w:szCs w:val="24"/>
          <w:vertAlign w:val="subscript"/>
        </w:rPr>
        <w:t>max</w:t>
      </w:r>
      <w:r>
        <w:rPr>
          <w:rFonts w:hint="eastAsia" w:ascii="Times New Roman" w:hAnsi="Times New Roman" w:eastAsia="宋体" w:cs="Times New Roman"/>
          <w:sz w:val="24"/>
          <w:szCs w:val="24"/>
        </w:rPr>
        <w:t>：</w:t>
      </w:r>
      <w:r>
        <w:rPr>
          <w:rFonts w:ascii="Times New Roman" w:hAnsi="Times New Roman" w:eastAsia="宋体" w:cs="Times New Roman"/>
          <w:sz w:val="24"/>
          <w:szCs w:val="24"/>
        </w:rPr>
        <w:t>0.189~0.245</w:t>
      </w:r>
      <w:r>
        <w:rPr>
          <w:rFonts w:hint="eastAsia" w:ascii="Times New Roman" w:hAnsi="Times New Roman" w:eastAsia="宋体" w:cs="Times New Roman"/>
          <w:sz w:val="24"/>
          <w:szCs w:val="24"/>
        </w:rPr>
        <w:t>；平均</w:t>
      </w:r>
      <w:r>
        <w:rPr>
          <w:rFonts w:ascii="Times New Roman" w:hAnsi="Times New Roman" w:eastAsia="宋体" w:cs="Times New Roman"/>
          <w:sz w:val="24"/>
          <w:szCs w:val="24"/>
        </w:rPr>
        <w:t>MPr_AUC</w:t>
      </w:r>
      <w:r>
        <w:rPr>
          <w:rFonts w:hint="eastAsia" w:ascii="Times New Roman" w:hAnsi="Times New Roman" w:eastAsia="宋体" w:cs="Times New Roman"/>
          <w:sz w:val="24"/>
          <w:szCs w:val="24"/>
        </w:rPr>
        <w:t>：</w:t>
      </w:r>
      <w:r>
        <w:rPr>
          <w:rFonts w:ascii="Times New Roman" w:hAnsi="Times New Roman" w:eastAsia="宋体" w:cs="Times New Roman"/>
          <w:sz w:val="24"/>
          <w:szCs w:val="24"/>
        </w:rPr>
        <w:t>0.192~0.256</w:t>
      </w:r>
      <w:r>
        <w:rPr>
          <w:rFonts w:hint="eastAsia" w:ascii="Times New Roman" w:hAnsi="Times New Roman" w:eastAsia="宋体" w:cs="Times New Roman"/>
          <w:sz w:val="24"/>
          <w:szCs w:val="24"/>
        </w:rPr>
        <w:t>）。</w:t>
      </w:r>
    </w:p>
    <w:p w14:paraId="024BFEE6">
      <w:pPr>
        <w:pStyle w:val="116"/>
        <w:numPr>
          <w:ilvl w:val="4"/>
          <w:numId w:val="12"/>
        </w:numPr>
        <w:ind w:hanging="849"/>
        <w:jc w:val="left"/>
        <w:outlineLvl w:val="4"/>
        <w:rPr>
          <w:rFonts w:cs="Times New Roman"/>
          <w:sz w:val="24"/>
          <w:szCs w:val="24"/>
        </w:rPr>
      </w:pPr>
      <w:bookmarkStart w:id="38" w:name="_Toc215213317"/>
      <w:bookmarkStart w:id="39" w:name="_Toc217032211"/>
      <w:bookmarkStart w:id="40" w:name="_Toc215214027"/>
      <w:r>
        <w:rPr>
          <w:rFonts w:hint="eastAsia" w:cs="Times New Roman"/>
          <w:sz w:val="24"/>
          <w:szCs w:val="24"/>
        </w:rPr>
        <w:t>银屑病患者</w:t>
      </w:r>
      <w:r>
        <w:rPr>
          <w:rFonts w:cs="Times New Roman"/>
          <w:sz w:val="24"/>
          <w:szCs w:val="24"/>
        </w:rPr>
        <w:t>1b</w:t>
      </w:r>
      <w:r>
        <w:rPr>
          <w:rFonts w:hint="eastAsia" w:cs="Times New Roman"/>
          <w:sz w:val="24"/>
          <w:szCs w:val="24"/>
        </w:rPr>
        <w:t>期研究</w:t>
      </w:r>
      <w:bookmarkEnd w:id="38"/>
      <w:bookmarkEnd w:id="39"/>
      <w:bookmarkEnd w:id="40"/>
    </w:p>
    <w:p w14:paraId="676A1C32">
      <w:pPr>
        <w:spacing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截止</w:t>
      </w:r>
      <w:r>
        <w:rPr>
          <w:rFonts w:ascii="Times New Roman" w:hAnsi="Times New Roman" w:eastAsia="宋体" w:cs="Times New Roman"/>
          <w:color w:val="000000" w:themeColor="text1"/>
          <w:sz w:val="24"/>
          <w:szCs w:val="24"/>
          <w14:textFill>
            <w14:solidFill>
              <w14:schemeClr w14:val="tx1"/>
            </w14:solidFill>
          </w14:textFill>
        </w:rPr>
        <w:t>2025</w:t>
      </w:r>
      <w:r>
        <w:rPr>
          <w:rFonts w:hint="eastAsia" w:ascii="Times New Roman" w:hAnsi="Times New Roman" w:eastAsia="宋体" w:cs="Times New Roman"/>
          <w:color w:val="000000" w:themeColor="text1"/>
          <w:sz w:val="24"/>
          <w:szCs w:val="24"/>
          <w14:textFill>
            <w14:solidFill>
              <w14:schemeClr w14:val="tx1"/>
            </w14:solidFill>
          </w14:textFill>
        </w:rPr>
        <w:t>年</w:t>
      </w:r>
      <w:r>
        <w:rPr>
          <w:rFonts w:ascii="Times New Roman" w:hAnsi="Times New Roman" w:eastAsia="宋体" w:cs="Times New Roman"/>
          <w:color w:val="000000" w:themeColor="text1"/>
          <w:sz w:val="24"/>
          <w:szCs w:val="24"/>
          <w14:textFill>
            <w14:solidFill>
              <w14:schemeClr w14:val="tx1"/>
            </w14:solidFill>
          </w14:textFill>
        </w:rPr>
        <w:t>11</w:t>
      </w:r>
      <w:r>
        <w:rPr>
          <w:rFonts w:hint="eastAsia" w:ascii="Times New Roman" w:hAnsi="Times New Roman" w:eastAsia="宋体" w:cs="Times New Roman"/>
          <w:color w:val="000000" w:themeColor="text1"/>
          <w:sz w:val="24"/>
          <w:szCs w:val="24"/>
          <w14:textFill>
            <w14:solidFill>
              <w14:schemeClr w14:val="tx1"/>
            </w14:solidFill>
          </w14:textFill>
        </w:rPr>
        <w:t>月</w:t>
      </w:r>
      <w:r>
        <w:rPr>
          <w:rFonts w:ascii="Times New Roman" w:hAnsi="Times New Roman" w:eastAsia="宋体" w:cs="Times New Roman"/>
          <w:color w:val="000000" w:themeColor="text1"/>
          <w:sz w:val="24"/>
          <w:szCs w:val="24"/>
          <w14:textFill>
            <w14:solidFill>
              <w14:schemeClr w14:val="tx1"/>
            </w14:solidFill>
          </w14:textFill>
        </w:rPr>
        <w:t>23</w:t>
      </w:r>
      <w:r>
        <w:rPr>
          <w:rFonts w:hint="eastAsia" w:ascii="Times New Roman" w:hAnsi="Times New Roman" w:eastAsia="宋体" w:cs="Times New Roman"/>
          <w:color w:val="000000" w:themeColor="text1"/>
          <w:sz w:val="24"/>
          <w:szCs w:val="24"/>
          <w14:textFill>
            <w14:solidFill>
              <w14:schemeClr w14:val="tx1"/>
            </w14:solidFill>
          </w14:textFill>
        </w:rPr>
        <w:t>日共入组</w:t>
      </w:r>
      <w:r>
        <w:rPr>
          <w:rFonts w:ascii="Times New Roman" w:hAnsi="Times New Roman" w:eastAsia="宋体" w:cs="Times New Roman"/>
          <w:color w:val="000000" w:themeColor="text1"/>
          <w:sz w:val="24"/>
          <w:szCs w:val="24"/>
          <w14:textFill>
            <w14:solidFill>
              <w14:schemeClr w14:val="tx1"/>
            </w14:solidFill>
          </w14:textFill>
        </w:rPr>
        <w:t>40</w:t>
      </w:r>
      <w:r>
        <w:rPr>
          <w:rFonts w:hint="eastAsia" w:ascii="Times New Roman" w:hAnsi="Times New Roman" w:eastAsia="宋体" w:cs="Times New Roman"/>
          <w:color w:val="000000" w:themeColor="text1"/>
          <w:sz w:val="24"/>
          <w:szCs w:val="24"/>
          <w14:textFill>
            <w14:solidFill>
              <w14:schemeClr w14:val="tx1"/>
            </w14:solidFill>
          </w14:textFill>
        </w:rPr>
        <w:t>例参与者，</w:t>
      </w:r>
      <w:r>
        <w:rPr>
          <w:rFonts w:ascii="Times New Roman" w:hAnsi="Times New Roman" w:eastAsia="宋体" w:cs="Times New Roman"/>
          <w:color w:val="000000" w:themeColor="text1"/>
          <w:sz w:val="24"/>
          <w:szCs w:val="24"/>
          <w14:textFill>
            <w14:solidFill>
              <w14:schemeClr w14:val="tx1"/>
            </w14:solidFill>
          </w14:textFill>
        </w:rPr>
        <w:t>15</w:t>
      </w:r>
      <w:r>
        <w:rPr>
          <w:rFonts w:hint="eastAsia" w:ascii="Times New Roman" w:hAnsi="Times New Roman" w:eastAsia="宋体" w:cs="Times New Roman"/>
          <w:color w:val="000000" w:themeColor="text1"/>
          <w:sz w:val="24"/>
          <w:szCs w:val="24"/>
          <w14:textFill>
            <w14:solidFill>
              <w14:schemeClr w14:val="tx1"/>
            </w14:solidFill>
          </w14:textFill>
        </w:rPr>
        <w:t>例已完成</w:t>
      </w:r>
      <w:r>
        <w:rPr>
          <w:rFonts w:ascii="Times New Roman" w:hAnsi="Times New Roman" w:eastAsia="宋体" w:cs="Times New Roman"/>
          <w:color w:val="000000" w:themeColor="text1"/>
          <w:sz w:val="24"/>
          <w:szCs w:val="24"/>
          <w14:textFill>
            <w14:solidFill>
              <w14:schemeClr w14:val="tx1"/>
            </w14:solidFill>
          </w14:textFill>
        </w:rPr>
        <w:t>12</w:t>
      </w:r>
      <w:r>
        <w:rPr>
          <w:rFonts w:hint="eastAsia" w:ascii="Times New Roman" w:hAnsi="Times New Roman" w:eastAsia="宋体" w:cs="Times New Roman"/>
          <w:color w:val="000000" w:themeColor="text1"/>
          <w:sz w:val="24"/>
          <w:szCs w:val="24"/>
          <w14:textFill>
            <w14:solidFill>
              <w14:schemeClr w14:val="tx1"/>
            </w14:solidFill>
          </w14:textFill>
        </w:rPr>
        <w:t>周访视，总体安全性、耐受性良好，无≥</w:t>
      </w: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级的</w:t>
      </w:r>
      <w:r>
        <w:rPr>
          <w:rFonts w:ascii="Times New Roman" w:hAnsi="Times New Roman" w:eastAsia="宋体" w:cs="Times New Roman"/>
          <w:color w:val="000000" w:themeColor="text1"/>
          <w:sz w:val="24"/>
          <w:szCs w:val="24"/>
          <w14:textFill>
            <w14:solidFill>
              <w14:schemeClr w14:val="tx1"/>
            </w14:solidFill>
          </w14:textFill>
        </w:rPr>
        <w:t>AE</w:t>
      </w:r>
      <w:r>
        <w:rPr>
          <w:rFonts w:hint="eastAsia" w:ascii="Times New Roman" w:hAnsi="Times New Roman" w:eastAsia="宋体" w:cs="Times New Roman"/>
          <w:color w:val="000000" w:themeColor="text1"/>
          <w:sz w:val="24"/>
          <w:szCs w:val="24"/>
          <w14:textFill>
            <w14:solidFill>
              <w14:schemeClr w14:val="tx1"/>
            </w14:solidFill>
          </w14:textFill>
        </w:rPr>
        <w:t>，无</w:t>
      </w:r>
      <w:r>
        <w:rPr>
          <w:rFonts w:ascii="Times New Roman" w:hAnsi="Times New Roman" w:eastAsia="宋体" w:cs="Times New Roman"/>
          <w:color w:val="000000" w:themeColor="text1"/>
          <w:sz w:val="24"/>
          <w:szCs w:val="24"/>
          <w14:textFill>
            <w14:solidFill>
              <w14:schemeClr w14:val="tx1"/>
            </w14:solidFill>
          </w14:textFill>
        </w:rPr>
        <w:t>SAE</w:t>
      </w:r>
      <w:r>
        <w:rPr>
          <w:rFonts w:hint="eastAsia" w:ascii="Times New Roman" w:hAnsi="Times New Roman" w:eastAsia="宋体" w:cs="Times New Roman"/>
          <w:color w:val="000000" w:themeColor="text1"/>
          <w:sz w:val="24"/>
          <w:szCs w:val="24"/>
          <w14:textFill>
            <w14:solidFill>
              <w14:schemeClr w14:val="tx1"/>
            </w14:solidFill>
          </w14:textFill>
        </w:rPr>
        <w:t>，无导致停药</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减量的</w:t>
      </w:r>
      <w:r>
        <w:rPr>
          <w:rFonts w:ascii="Times New Roman" w:hAnsi="Times New Roman" w:eastAsia="宋体" w:cs="Times New Roman"/>
          <w:color w:val="000000" w:themeColor="text1"/>
          <w:sz w:val="24"/>
          <w:szCs w:val="24"/>
          <w14:textFill>
            <w14:solidFill>
              <w14:schemeClr w14:val="tx1"/>
            </w14:solidFill>
          </w14:textFill>
        </w:rPr>
        <w:t>AE</w:t>
      </w:r>
      <w:r>
        <w:rPr>
          <w:rFonts w:hint="eastAsia" w:ascii="Times New Roman" w:hAnsi="Times New Roman" w:eastAsia="宋体" w:cs="Times New Roman"/>
          <w:color w:val="000000" w:themeColor="text1"/>
          <w:sz w:val="24"/>
          <w:szCs w:val="24"/>
          <w14:textFill>
            <w14:solidFill>
              <w14:schemeClr w14:val="tx1"/>
            </w14:solidFill>
          </w14:textFill>
        </w:rPr>
        <w:t>。</w:t>
      </w:r>
    </w:p>
    <w:p w14:paraId="45D089A6">
      <w:pPr>
        <w:pStyle w:val="116"/>
        <w:numPr>
          <w:ilvl w:val="1"/>
          <w:numId w:val="12"/>
        </w:numPr>
        <w:jc w:val="left"/>
        <w:rPr>
          <w:rFonts w:cs="Times New Roman"/>
          <w:sz w:val="24"/>
          <w:szCs w:val="24"/>
        </w:rPr>
      </w:pPr>
      <w:bookmarkStart w:id="41" w:name="_Toc217032212"/>
      <w:r>
        <w:rPr>
          <w:rFonts w:hint="eastAsia" w:cs="Times New Roman"/>
          <w:sz w:val="24"/>
          <w:szCs w:val="24"/>
        </w:rPr>
        <w:t>风险</w:t>
      </w:r>
      <w:r>
        <w:rPr>
          <w:rFonts w:cs="Times New Roman"/>
          <w:sz w:val="24"/>
          <w:szCs w:val="24"/>
        </w:rPr>
        <w:t>/</w:t>
      </w:r>
      <w:r>
        <w:rPr>
          <w:rFonts w:hint="eastAsia" w:cs="Times New Roman"/>
          <w:sz w:val="24"/>
          <w:szCs w:val="24"/>
        </w:rPr>
        <w:t>获益评估</w:t>
      </w:r>
      <w:bookmarkEnd w:id="41"/>
    </w:p>
    <w:p w14:paraId="53CDFECE">
      <w:pPr>
        <w:pStyle w:val="116"/>
        <w:numPr>
          <w:ilvl w:val="2"/>
          <w:numId w:val="12"/>
        </w:numPr>
        <w:jc w:val="left"/>
        <w:outlineLvl w:val="2"/>
        <w:rPr>
          <w:rFonts w:cs="Times New Roman"/>
          <w:sz w:val="24"/>
          <w:szCs w:val="24"/>
        </w:rPr>
      </w:pPr>
      <w:bookmarkStart w:id="42" w:name="_Toc217032213"/>
      <w:r>
        <w:rPr>
          <w:rFonts w:hint="eastAsia" w:cs="Times New Roman"/>
          <w:sz w:val="24"/>
          <w:szCs w:val="24"/>
        </w:rPr>
        <w:t>风险评估</w:t>
      </w:r>
      <w:bookmarkEnd w:id="42"/>
    </w:p>
    <w:p w14:paraId="4CDAE47E">
      <w:pPr>
        <w:pStyle w:val="60"/>
        <w:ind w:firstLine="480"/>
        <w:rPr>
          <w:rStyle w:val="99"/>
          <w:rFonts w:cs="Times New Roman"/>
          <w:sz w:val="24"/>
          <w:szCs w:val="24"/>
        </w:rPr>
      </w:pPr>
      <w:r>
        <w:rPr>
          <w:rStyle w:val="99"/>
          <w:rFonts w:cs="Times New Roman"/>
          <w:sz w:val="24"/>
          <w:szCs w:val="24"/>
        </w:rPr>
        <w:t>CMS-D001</w:t>
      </w:r>
      <w:r>
        <w:rPr>
          <w:rStyle w:val="99"/>
          <w:rFonts w:hint="eastAsia" w:cs="Times New Roman"/>
          <w:sz w:val="24"/>
          <w:szCs w:val="24"/>
        </w:rPr>
        <w:t>片临床前毒理研究观察到可逆的血液学参数变化，血液学指标下降可能与抑制</w:t>
      </w:r>
      <w:r>
        <w:rPr>
          <w:rStyle w:val="99"/>
          <w:rFonts w:cs="Times New Roman"/>
          <w:sz w:val="24"/>
          <w:szCs w:val="24"/>
        </w:rPr>
        <w:t>TYK2</w:t>
      </w:r>
      <w:r>
        <w:rPr>
          <w:rStyle w:val="99"/>
          <w:rFonts w:hint="eastAsia" w:cs="Times New Roman"/>
          <w:sz w:val="24"/>
          <w:szCs w:val="24"/>
        </w:rPr>
        <w:t>的药理作用相关。</w:t>
      </w:r>
      <w:r>
        <w:rPr>
          <w:rStyle w:val="99"/>
          <w:rFonts w:cs="Times New Roman"/>
          <w:sz w:val="24"/>
          <w:szCs w:val="24"/>
        </w:rPr>
        <w:t>CMS-D001</w:t>
      </w:r>
      <w:r>
        <w:rPr>
          <w:rStyle w:val="99"/>
          <w:rFonts w:hint="eastAsia" w:cs="Times New Roman"/>
          <w:sz w:val="24"/>
          <w:szCs w:val="24"/>
        </w:rPr>
        <w:t>片已完成的首次人体临床研究为“一项评价</w:t>
      </w:r>
      <w:r>
        <w:rPr>
          <w:rStyle w:val="99"/>
          <w:rFonts w:cs="Times New Roman"/>
          <w:sz w:val="24"/>
          <w:szCs w:val="24"/>
        </w:rPr>
        <w:t>CMS-D001</w:t>
      </w:r>
      <w:r>
        <w:rPr>
          <w:rStyle w:val="99"/>
          <w:rFonts w:hint="eastAsia" w:cs="Times New Roman"/>
          <w:sz w:val="24"/>
          <w:szCs w:val="24"/>
        </w:rPr>
        <w:t>片在健康</w:t>
      </w:r>
      <w:r>
        <w:rPr>
          <w:rFonts w:hint="eastAsia" w:cs="Times New Roman"/>
          <w:sz w:val="24"/>
          <w:szCs w:val="24"/>
        </w:rPr>
        <w:t>参与者</w:t>
      </w:r>
      <w:r>
        <w:rPr>
          <w:rStyle w:val="99"/>
          <w:rFonts w:hint="eastAsia" w:cs="Times New Roman"/>
          <w:sz w:val="24"/>
          <w:szCs w:val="24"/>
        </w:rPr>
        <w:t>安全性、耐受性、药代动力学及疗效的随机、双盲、安慰剂对照、单次或多次给药剂量递增及食物影响（开放）的Ⅰ期临床研究（试验编号：</w:t>
      </w:r>
      <w:r>
        <w:rPr>
          <w:rStyle w:val="99"/>
          <w:rFonts w:cs="Times New Roman"/>
          <w:sz w:val="24"/>
          <w:szCs w:val="24"/>
        </w:rPr>
        <w:t>D001-01-001</w:t>
      </w:r>
      <w:r>
        <w:rPr>
          <w:rStyle w:val="99"/>
          <w:rFonts w:hint="eastAsia" w:cs="Times New Roman"/>
          <w:sz w:val="24"/>
          <w:szCs w:val="24"/>
        </w:rPr>
        <w:t>，药物临床试验登记号：</w:t>
      </w:r>
      <w:r>
        <w:rPr>
          <w:rStyle w:val="99"/>
          <w:rFonts w:cs="Times New Roman"/>
          <w:sz w:val="24"/>
          <w:szCs w:val="24"/>
        </w:rPr>
        <w:t>CTR20243429</w:t>
      </w:r>
      <w:r>
        <w:rPr>
          <w:rStyle w:val="99"/>
          <w:rFonts w:hint="eastAsia" w:cs="Times New Roman"/>
          <w:sz w:val="24"/>
          <w:szCs w:val="24"/>
        </w:rPr>
        <w:t>）”。临床</w:t>
      </w:r>
      <w:r>
        <w:rPr>
          <w:rStyle w:val="99"/>
          <w:rFonts w:cs="Times New Roman"/>
          <w:sz w:val="24"/>
          <w:szCs w:val="24"/>
        </w:rPr>
        <w:t>I</w:t>
      </w:r>
      <w:r>
        <w:rPr>
          <w:rStyle w:val="99"/>
          <w:rFonts w:hint="eastAsia" w:cs="Times New Roman"/>
          <w:sz w:val="24"/>
          <w:szCs w:val="24"/>
        </w:rPr>
        <w:t>期试验（编号</w:t>
      </w:r>
      <w:r>
        <w:rPr>
          <w:rStyle w:val="99"/>
          <w:rFonts w:cs="Times New Roman"/>
          <w:sz w:val="24"/>
          <w:szCs w:val="24"/>
        </w:rPr>
        <w:t>D001-01-001</w:t>
      </w:r>
      <w:r>
        <w:rPr>
          <w:rStyle w:val="99"/>
          <w:rFonts w:hint="eastAsia" w:cs="Times New Roman"/>
          <w:sz w:val="24"/>
          <w:szCs w:val="24"/>
        </w:rPr>
        <w:t>）暂未发现重要的安全性风险；同靶点药物临床试验中常见的不良反应包括鼻咽炎、上呼吸道感染、血压升高等；报道的实验室检查异常包括血红蛋白降低、中性粒细胞计数减少、淋巴细胞计数减少、血小板减少、肝酶升高、肌酐升高、肌酸磷酸激酶升高和血脂异常。这些安全性风险均可控，针对潜在安全性风险进行的临床预案请见本品《风险管理计划》。</w:t>
      </w:r>
    </w:p>
    <w:p w14:paraId="0966300F">
      <w:pPr>
        <w:pStyle w:val="116"/>
        <w:numPr>
          <w:ilvl w:val="2"/>
          <w:numId w:val="12"/>
        </w:numPr>
        <w:outlineLvl w:val="2"/>
        <w:rPr>
          <w:rFonts w:cs="Times New Roman"/>
          <w:sz w:val="24"/>
          <w:szCs w:val="24"/>
        </w:rPr>
      </w:pPr>
      <w:bookmarkStart w:id="43" w:name="_Toc217032214"/>
      <w:r>
        <w:rPr>
          <w:rFonts w:hint="eastAsia" w:cs="Times New Roman"/>
          <w:sz w:val="24"/>
          <w:szCs w:val="24"/>
        </w:rPr>
        <w:t>获益</w:t>
      </w:r>
      <w:bookmarkEnd w:id="43"/>
    </w:p>
    <w:p w14:paraId="0E7F83B1">
      <w:pPr>
        <w:pStyle w:val="60"/>
        <w:ind w:firstLine="480"/>
        <w:rPr>
          <w:rStyle w:val="99"/>
          <w:rFonts w:cs="Times New Roman"/>
          <w:sz w:val="24"/>
          <w:szCs w:val="24"/>
        </w:rPr>
      </w:pPr>
      <w:r>
        <w:rPr>
          <w:rStyle w:val="99"/>
          <w:rFonts w:hint="eastAsia" w:cs="Times New Roman"/>
          <w:sz w:val="24"/>
          <w:szCs w:val="24"/>
        </w:rPr>
        <w:t>临床前药效学研究充分提示了</w:t>
      </w:r>
      <w:r>
        <w:rPr>
          <w:rStyle w:val="99"/>
          <w:rFonts w:cs="Times New Roman"/>
          <w:sz w:val="24"/>
          <w:szCs w:val="24"/>
        </w:rPr>
        <w:t>CMS-D001</w:t>
      </w:r>
      <w:r>
        <w:rPr>
          <w:rStyle w:val="99"/>
          <w:rFonts w:hint="eastAsia" w:cs="Times New Roman"/>
          <w:sz w:val="24"/>
          <w:szCs w:val="24"/>
        </w:rPr>
        <w:t>片治疗银屑病的潜在获益；同靶点药物临床已显示出治疗银屑病的显著疗效。预期本研究随机分配至</w:t>
      </w:r>
      <w:r>
        <w:rPr>
          <w:rStyle w:val="99"/>
          <w:rFonts w:cs="Times New Roman"/>
          <w:sz w:val="24"/>
          <w:szCs w:val="24"/>
        </w:rPr>
        <w:t>CMS-D001</w:t>
      </w:r>
      <w:r>
        <w:rPr>
          <w:rStyle w:val="99"/>
          <w:rFonts w:hint="eastAsia" w:cs="Times New Roman"/>
          <w:sz w:val="24"/>
          <w:szCs w:val="24"/>
        </w:rPr>
        <w:t>片治疗组的银屑病患者将从治疗中获益，疾病得到缓解，也能为</w:t>
      </w:r>
      <w:r>
        <w:rPr>
          <w:rStyle w:val="99"/>
          <w:rFonts w:cs="Times New Roman"/>
          <w:sz w:val="24"/>
          <w:szCs w:val="24"/>
        </w:rPr>
        <w:t>CMS-D001</w:t>
      </w:r>
      <w:r>
        <w:rPr>
          <w:rStyle w:val="99"/>
          <w:rFonts w:hint="eastAsia" w:cs="Times New Roman"/>
          <w:sz w:val="24"/>
          <w:szCs w:val="24"/>
        </w:rPr>
        <w:t>片治疗银屑病患者提供宝贵数据。</w:t>
      </w:r>
    </w:p>
    <w:p w14:paraId="726896C0">
      <w:pPr>
        <w:pStyle w:val="116"/>
        <w:numPr>
          <w:ilvl w:val="2"/>
          <w:numId w:val="12"/>
        </w:numPr>
        <w:outlineLvl w:val="2"/>
        <w:rPr>
          <w:rFonts w:cs="Times New Roman"/>
          <w:sz w:val="24"/>
          <w:szCs w:val="24"/>
        </w:rPr>
      </w:pPr>
      <w:bookmarkStart w:id="44" w:name="_Toc217032215"/>
      <w:r>
        <w:rPr>
          <w:rFonts w:hint="eastAsia" w:cs="Times New Roman"/>
          <w:sz w:val="24"/>
          <w:szCs w:val="24"/>
        </w:rPr>
        <w:t>风险和获益的评估</w:t>
      </w:r>
      <w:bookmarkEnd w:id="44"/>
    </w:p>
    <w:p w14:paraId="68DD97B7">
      <w:pPr>
        <w:pStyle w:val="60"/>
        <w:ind w:firstLine="480"/>
        <w:rPr>
          <w:rStyle w:val="99"/>
          <w:rFonts w:cs="Times New Roman"/>
          <w:sz w:val="24"/>
          <w:szCs w:val="24"/>
        </w:rPr>
      </w:pPr>
      <w:r>
        <w:rPr>
          <w:rStyle w:val="99"/>
          <w:rFonts w:hint="eastAsia" w:cs="Times New Roman"/>
          <w:sz w:val="24"/>
          <w:szCs w:val="24"/>
        </w:rPr>
        <w:t>通过风险获益评估，参加本试验的银屑病患者潜在风险可控，预期有良好临床获益。试验开始前已充分论证调研，总结分析临床前毒理、</w:t>
      </w:r>
      <w:r>
        <w:rPr>
          <w:rStyle w:val="99"/>
          <w:rFonts w:cs="Times New Roman"/>
          <w:sz w:val="24"/>
          <w:szCs w:val="24"/>
        </w:rPr>
        <w:t>I</w:t>
      </w:r>
      <w:r>
        <w:rPr>
          <w:rStyle w:val="99"/>
          <w:rFonts w:hint="eastAsia" w:cs="Times New Roman"/>
          <w:sz w:val="24"/>
          <w:szCs w:val="24"/>
        </w:rPr>
        <w:t>期临床试验与同靶点药物的安全性信息，制定了严密的风险管理计划和应急预案。将通过入排标准筛选、避孕宣教、安全性检查评估、不良事件处置和报告等措施控制和降低风险。本试验将在具有相应资质的研究中心开展。此外，试验期间会更新并告知研究者</w:t>
      </w:r>
      <w:r>
        <w:rPr>
          <w:rStyle w:val="99"/>
          <w:rFonts w:cs="Times New Roman"/>
          <w:sz w:val="24"/>
          <w:szCs w:val="24"/>
        </w:rPr>
        <w:t>CMS-D001</w:t>
      </w:r>
      <w:r>
        <w:rPr>
          <w:rStyle w:val="99"/>
          <w:rFonts w:hint="eastAsia" w:cs="Times New Roman"/>
          <w:sz w:val="24"/>
          <w:szCs w:val="24"/>
        </w:rPr>
        <w:t>片的开发进展和安全性信息。综上，</w:t>
      </w:r>
      <w:r>
        <w:rPr>
          <w:rStyle w:val="99"/>
          <w:rFonts w:cs="Times New Roman"/>
          <w:sz w:val="24"/>
          <w:szCs w:val="24"/>
        </w:rPr>
        <w:t>CMS-D001</w:t>
      </w:r>
      <w:r>
        <w:rPr>
          <w:rStyle w:val="99"/>
          <w:rFonts w:hint="eastAsia" w:cs="Times New Roman"/>
          <w:sz w:val="24"/>
          <w:szCs w:val="24"/>
        </w:rPr>
        <w:t>片在银屑病患者中有较好的风险</w:t>
      </w:r>
      <w:r>
        <w:rPr>
          <w:rStyle w:val="99"/>
          <w:rFonts w:cs="Times New Roman"/>
          <w:sz w:val="24"/>
          <w:szCs w:val="24"/>
        </w:rPr>
        <w:t>/</w:t>
      </w:r>
      <w:r>
        <w:rPr>
          <w:rStyle w:val="99"/>
          <w:rFonts w:hint="eastAsia" w:cs="Times New Roman"/>
          <w:sz w:val="24"/>
          <w:szCs w:val="24"/>
        </w:rPr>
        <w:t>获益比，支持本品在银屑病患者中开展本试验。</w:t>
      </w:r>
    </w:p>
    <w:p w14:paraId="6AB3F254">
      <w:pPr>
        <w:pStyle w:val="114"/>
        <w:numPr>
          <w:ilvl w:val="0"/>
          <w:numId w:val="12"/>
        </w:numPr>
        <w:rPr>
          <w:rFonts w:cs="Times New Roman"/>
          <w:szCs w:val="28"/>
        </w:rPr>
      </w:pPr>
      <w:bookmarkStart w:id="45" w:name="_Toc217032216"/>
      <w:r>
        <w:rPr>
          <w:rFonts w:hint="eastAsia" w:cs="Times New Roman"/>
          <w:szCs w:val="28"/>
        </w:rPr>
        <w:t>研究目的与终点</w:t>
      </w:r>
      <w:bookmarkEnd w:id="45"/>
    </w:p>
    <w:p w14:paraId="621CF303">
      <w:pPr>
        <w:pStyle w:val="116"/>
        <w:numPr>
          <w:ilvl w:val="1"/>
          <w:numId w:val="12"/>
        </w:numPr>
        <w:jc w:val="left"/>
        <w:rPr>
          <w:rFonts w:cs="Times New Roman"/>
          <w:sz w:val="24"/>
          <w:szCs w:val="24"/>
        </w:rPr>
      </w:pPr>
      <w:bookmarkStart w:id="46" w:name="_Toc217032217"/>
      <w:r>
        <w:rPr>
          <w:rFonts w:hint="eastAsia" w:cs="Times New Roman"/>
          <w:sz w:val="24"/>
          <w:szCs w:val="24"/>
        </w:rPr>
        <w:t>研究目的</w:t>
      </w:r>
      <w:bookmarkEnd w:id="46"/>
    </w:p>
    <w:p w14:paraId="5C5FC97B">
      <w:pPr>
        <w:pStyle w:val="116"/>
        <w:numPr>
          <w:ilvl w:val="2"/>
          <w:numId w:val="12"/>
        </w:numPr>
        <w:jc w:val="left"/>
        <w:outlineLvl w:val="2"/>
        <w:rPr>
          <w:rFonts w:cs="Times New Roman"/>
          <w:sz w:val="24"/>
          <w:szCs w:val="24"/>
        </w:rPr>
      </w:pPr>
      <w:bookmarkStart w:id="47" w:name="_Toc217032218"/>
      <w:r>
        <w:rPr>
          <w:rFonts w:hint="eastAsia" w:cs="Times New Roman"/>
          <w:sz w:val="24"/>
          <w:szCs w:val="24"/>
        </w:rPr>
        <w:t>Ⅱ期临床研究阶段</w:t>
      </w:r>
      <w:bookmarkEnd w:id="47"/>
    </w:p>
    <w:p w14:paraId="46BCCAA5">
      <w:pPr>
        <w:pStyle w:val="114"/>
        <w:spacing w:before="0" w:after="0"/>
        <w:ind w:left="440" w:leftChars="200"/>
        <w:jc w:val="left"/>
        <w:outlineLvl w:val="9"/>
        <w:rPr>
          <w:rFonts w:cs="Times New Roman"/>
          <w:sz w:val="24"/>
          <w:szCs w:val="24"/>
        </w:rPr>
      </w:pPr>
      <w:r>
        <w:rPr>
          <w:rFonts w:hint="eastAsia" w:cs="Times New Roman"/>
          <w:sz w:val="24"/>
          <w:szCs w:val="24"/>
        </w:rPr>
        <w:t>主要目的</w:t>
      </w:r>
    </w:p>
    <w:p w14:paraId="038A692F">
      <w:pPr>
        <w:pStyle w:val="114"/>
        <w:numPr>
          <w:ilvl w:val="0"/>
          <w:numId w:val="30"/>
        </w:numPr>
        <w:spacing w:before="0" w:after="0"/>
        <w:ind w:left="839"/>
        <w:jc w:val="left"/>
        <w:outlineLvl w:val="9"/>
        <w:rPr>
          <w:rFonts w:cs="Times New Roman"/>
          <w:b w:val="0"/>
          <w:color w:val="000000"/>
          <w:sz w:val="24"/>
          <w:szCs w:val="24"/>
        </w:rPr>
      </w:pPr>
      <w:r>
        <w:rPr>
          <w:rFonts w:hint="eastAsia" w:cs="Times New Roman"/>
          <w:b w:val="0"/>
          <w:color w:val="000000"/>
          <w:sz w:val="24"/>
          <w:szCs w:val="24"/>
          <w:lang w:eastAsia="zh-Hans"/>
        </w:rPr>
        <w:t>评价</w:t>
      </w:r>
      <w:r>
        <w:rPr>
          <w:rFonts w:cs="Times New Roman"/>
          <w:b w:val="0"/>
          <w:color w:val="000000"/>
          <w:sz w:val="24"/>
          <w:szCs w:val="24"/>
          <w:lang w:eastAsia="zh-Hans"/>
        </w:rPr>
        <w:t>CMS-D001</w:t>
      </w:r>
      <w:r>
        <w:rPr>
          <w:rFonts w:hint="eastAsia" w:cs="Times New Roman"/>
          <w:b w:val="0"/>
          <w:color w:val="000000"/>
          <w:sz w:val="24"/>
          <w:szCs w:val="24"/>
          <w:lang w:eastAsia="zh-Hans"/>
        </w:rPr>
        <w:t>片治疗中度至重度斑块状银屑病的</w:t>
      </w:r>
      <w:r>
        <w:rPr>
          <w:rFonts w:hint="eastAsia" w:cs="Times New Roman"/>
          <w:b w:val="0"/>
          <w:color w:val="000000"/>
          <w:sz w:val="24"/>
          <w:szCs w:val="24"/>
        </w:rPr>
        <w:t>初步</w:t>
      </w:r>
      <w:r>
        <w:rPr>
          <w:rFonts w:hint="eastAsia" w:cs="Times New Roman"/>
          <w:b w:val="0"/>
          <w:color w:val="000000"/>
          <w:sz w:val="24"/>
          <w:szCs w:val="24"/>
          <w:lang w:eastAsia="zh-Hans"/>
        </w:rPr>
        <w:t>有效性</w:t>
      </w:r>
      <w:r>
        <w:rPr>
          <w:rFonts w:hint="eastAsia" w:cs="Times New Roman"/>
          <w:b w:val="0"/>
          <w:color w:val="000000"/>
          <w:sz w:val="24"/>
          <w:szCs w:val="24"/>
        </w:rPr>
        <w:t>。</w:t>
      </w:r>
    </w:p>
    <w:p w14:paraId="326263AD">
      <w:pPr>
        <w:pStyle w:val="114"/>
        <w:spacing w:before="0" w:after="0"/>
        <w:ind w:left="420"/>
        <w:jc w:val="left"/>
        <w:outlineLvl w:val="9"/>
        <w:rPr>
          <w:rFonts w:cs="Times New Roman"/>
          <w:sz w:val="24"/>
          <w:szCs w:val="24"/>
        </w:rPr>
      </w:pPr>
      <w:r>
        <w:rPr>
          <w:rFonts w:hint="eastAsia" w:cs="Times New Roman"/>
          <w:sz w:val="24"/>
          <w:szCs w:val="24"/>
        </w:rPr>
        <w:t>次要目的</w:t>
      </w:r>
    </w:p>
    <w:p w14:paraId="10A19790">
      <w:pPr>
        <w:pStyle w:val="114"/>
        <w:numPr>
          <w:ilvl w:val="0"/>
          <w:numId w:val="30"/>
        </w:numPr>
        <w:spacing w:before="0" w:after="0"/>
        <w:ind w:left="839"/>
        <w:jc w:val="left"/>
        <w:outlineLvl w:val="9"/>
        <w:rPr>
          <w:rFonts w:cs="Times New Roman"/>
          <w:b w:val="0"/>
          <w:bCs/>
          <w:sz w:val="24"/>
          <w:szCs w:val="24"/>
          <w:lang w:eastAsia="zh-Hans"/>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片治疗中度至重度斑块状银屑病的安全性和耐受性；</w:t>
      </w:r>
    </w:p>
    <w:p w14:paraId="1B733FBE">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及其主要代谢产物（如适用）在中度至重度斑块状银屑病中的药代动力学特征；</w:t>
      </w:r>
    </w:p>
    <w:p w14:paraId="4BA91111">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如果数据允许，评价</w:t>
      </w:r>
      <w:r>
        <w:rPr>
          <w:rFonts w:cs="Times New Roman"/>
          <w:b w:val="0"/>
          <w:bCs/>
          <w:sz w:val="24"/>
          <w:szCs w:val="24"/>
        </w:rPr>
        <w:t>CMS-D001</w:t>
      </w:r>
      <w:r>
        <w:rPr>
          <w:rFonts w:hint="eastAsia" w:cs="Times New Roman"/>
          <w:b w:val="0"/>
          <w:bCs/>
          <w:sz w:val="24"/>
          <w:szCs w:val="24"/>
        </w:rPr>
        <w:t>及其主要代谢产物（如适用）在中度至重度斑块状银屑病患者中的暴露</w:t>
      </w:r>
      <w:r>
        <w:rPr>
          <w:rFonts w:cs="Times New Roman"/>
          <w:b w:val="0"/>
          <w:bCs/>
          <w:sz w:val="24"/>
          <w:szCs w:val="24"/>
        </w:rPr>
        <w:t>-</w:t>
      </w:r>
      <w:r>
        <w:rPr>
          <w:rFonts w:hint="eastAsia" w:cs="Times New Roman"/>
          <w:b w:val="0"/>
          <w:bCs/>
          <w:sz w:val="24"/>
          <w:szCs w:val="24"/>
        </w:rPr>
        <w:t>效应（</w:t>
      </w:r>
      <w:r>
        <w:rPr>
          <w:rFonts w:cs="Times New Roman"/>
          <w:b w:val="0"/>
          <w:bCs/>
          <w:sz w:val="24"/>
          <w:szCs w:val="24"/>
        </w:rPr>
        <w:t>E-R</w:t>
      </w:r>
      <w:r>
        <w:rPr>
          <w:rFonts w:hint="eastAsia" w:cs="Times New Roman"/>
          <w:b w:val="0"/>
          <w:bCs/>
          <w:sz w:val="24"/>
          <w:szCs w:val="24"/>
        </w:rPr>
        <w:t>）关系；</w:t>
      </w:r>
    </w:p>
    <w:p w14:paraId="34374501">
      <w:pPr>
        <w:pStyle w:val="114"/>
        <w:spacing w:before="0" w:after="0"/>
        <w:ind w:left="420"/>
        <w:jc w:val="left"/>
        <w:outlineLvl w:val="9"/>
        <w:rPr>
          <w:sz w:val="24"/>
          <w:szCs w:val="18"/>
        </w:rPr>
      </w:pPr>
      <w:r>
        <w:rPr>
          <w:rFonts w:hint="eastAsia"/>
          <w:sz w:val="24"/>
          <w:szCs w:val="18"/>
        </w:rPr>
        <w:t>其他目的</w:t>
      </w:r>
    </w:p>
    <w:p w14:paraId="566ED8AC">
      <w:pPr>
        <w:pStyle w:val="60"/>
        <w:numPr>
          <w:ilvl w:val="0"/>
          <w:numId w:val="30"/>
        </w:numPr>
        <w:ind w:left="839" w:firstLineChars="0"/>
        <w:jc w:val="left"/>
        <w:rPr>
          <w:rFonts w:cs="Times New Roman"/>
          <w:bCs/>
          <w:sz w:val="24"/>
          <w:szCs w:val="24"/>
        </w:rPr>
      </w:pPr>
      <w:r>
        <w:rPr>
          <w:rStyle w:val="99"/>
          <w:rFonts w:hint="eastAsia" w:cs="Times New Roman"/>
          <w:sz w:val="24"/>
          <w:szCs w:val="24"/>
        </w:rPr>
        <w:t>探索口服CMS-D001片后的药效动力学（PD）特征。</w:t>
      </w:r>
    </w:p>
    <w:p w14:paraId="7F9E307D">
      <w:pPr>
        <w:pStyle w:val="116"/>
        <w:numPr>
          <w:ilvl w:val="2"/>
          <w:numId w:val="12"/>
        </w:numPr>
        <w:jc w:val="left"/>
        <w:outlineLvl w:val="2"/>
        <w:rPr>
          <w:rFonts w:cs="Times New Roman"/>
          <w:sz w:val="24"/>
          <w:szCs w:val="24"/>
        </w:rPr>
      </w:pPr>
      <w:bookmarkStart w:id="48" w:name="_Toc217032219"/>
      <w:bookmarkEnd w:id="48"/>
      <w:bookmarkStart w:id="49" w:name="_Toc217032220"/>
      <w:bookmarkEnd w:id="49"/>
      <w:bookmarkStart w:id="50" w:name="_Toc217032221"/>
      <w:r>
        <w:rPr>
          <w:rFonts w:hint="eastAsia" w:cs="Times New Roman"/>
          <w:sz w:val="24"/>
          <w:szCs w:val="24"/>
        </w:rPr>
        <w:t>Ⅲ期临床研究阶段</w:t>
      </w:r>
      <w:bookmarkEnd w:id="50"/>
    </w:p>
    <w:p w14:paraId="2BEB30EB">
      <w:pPr>
        <w:pStyle w:val="114"/>
        <w:spacing w:before="0" w:after="0"/>
        <w:ind w:left="440" w:leftChars="200"/>
        <w:jc w:val="left"/>
        <w:outlineLvl w:val="9"/>
        <w:rPr>
          <w:rFonts w:cs="Times New Roman"/>
          <w:sz w:val="24"/>
          <w:szCs w:val="24"/>
        </w:rPr>
      </w:pPr>
      <w:r>
        <w:rPr>
          <w:rFonts w:hint="eastAsia" w:cs="Times New Roman"/>
          <w:sz w:val="24"/>
          <w:szCs w:val="24"/>
        </w:rPr>
        <w:t>主要目的</w:t>
      </w:r>
    </w:p>
    <w:p w14:paraId="2769227E">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片治疗中度至重度斑块状银屑病的有效性</w:t>
      </w:r>
      <w:r>
        <w:rPr>
          <w:rFonts w:hint="eastAsia" w:cs="Times New Roman"/>
          <w:b w:val="0"/>
          <w:bCs/>
          <w:sz w:val="24"/>
          <w:szCs w:val="24"/>
        </w:rPr>
        <w:t>。</w:t>
      </w:r>
    </w:p>
    <w:p w14:paraId="4ECC837A">
      <w:pPr>
        <w:pStyle w:val="114"/>
        <w:spacing w:before="0" w:after="0"/>
        <w:ind w:left="420"/>
        <w:jc w:val="left"/>
        <w:outlineLvl w:val="9"/>
        <w:rPr>
          <w:rFonts w:cs="Times New Roman"/>
          <w:sz w:val="24"/>
          <w:szCs w:val="24"/>
        </w:rPr>
      </w:pPr>
      <w:r>
        <w:rPr>
          <w:rFonts w:hint="eastAsia" w:cs="Times New Roman"/>
          <w:sz w:val="24"/>
          <w:szCs w:val="24"/>
        </w:rPr>
        <w:t>次要目的</w:t>
      </w:r>
    </w:p>
    <w:p w14:paraId="1BEEBBF8">
      <w:pPr>
        <w:pStyle w:val="114"/>
        <w:numPr>
          <w:ilvl w:val="0"/>
          <w:numId w:val="30"/>
        </w:numPr>
        <w:spacing w:before="0" w:after="0"/>
        <w:ind w:left="839"/>
        <w:jc w:val="left"/>
        <w:outlineLvl w:val="9"/>
        <w:rPr>
          <w:rFonts w:cs="Times New Roman"/>
          <w:b w:val="0"/>
          <w:bCs/>
          <w:sz w:val="24"/>
          <w:szCs w:val="24"/>
          <w:lang w:eastAsia="zh-Hans"/>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片治疗中度至重度斑块状银屑病的安全性和耐受性；</w:t>
      </w:r>
    </w:p>
    <w:p w14:paraId="7D2ED408">
      <w:pPr>
        <w:pStyle w:val="114"/>
        <w:numPr>
          <w:ilvl w:val="0"/>
          <w:numId w:val="30"/>
        </w:numPr>
        <w:spacing w:before="0" w:after="0"/>
        <w:ind w:left="839"/>
        <w:jc w:val="left"/>
        <w:outlineLvl w:val="9"/>
        <w:rPr>
          <w:rFonts w:cs="Times New Roman"/>
          <w:sz w:val="24"/>
          <w:szCs w:val="24"/>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及其主要代谢产物（如适用）在中度至重度斑块状银屑病中的药代动力学特征；</w:t>
      </w:r>
    </w:p>
    <w:p w14:paraId="037DA6C6">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如果数据允许，评价</w:t>
      </w:r>
      <w:r>
        <w:rPr>
          <w:rFonts w:cs="Times New Roman"/>
          <w:b w:val="0"/>
          <w:bCs/>
          <w:sz w:val="24"/>
          <w:szCs w:val="24"/>
        </w:rPr>
        <w:t>CMS-D001</w:t>
      </w:r>
      <w:r>
        <w:rPr>
          <w:rFonts w:hint="eastAsia" w:cs="Times New Roman"/>
          <w:b w:val="0"/>
          <w:bCs/>
          <w:sz w:val="24"/>
          <w:szCs w:val="24"/>
        </w:rPr>
        <w:t>及其主要代谢产物（如适用）在中度至重度斑块状银屑病患者中的暴露</w:t>
      </w:r>
      <w:r>
        <w:rPr>
          <w:rFonts w:cs="Times New Roman"/>
          <w:b w:val="0"/>
          <w:bCs/>
          <w:sz w:val="24"/>
          <w:szCs w:val="24"/>
        </w:rPr>
        <w:t>-</w:t>
      </w:r>
      <w:r>
        <w:rPr>
          <w:rFonts w:hint="eastAsia" w:cs="Times New Roman"/>
          <w:b w:val="0"/>
          <w:bCs/>
          <w:sz w:val="24"/>
          <w:szCs w:val="24"/>
        </w:rPr>
        <w:t>效应（</w:t>
      </w:r>
      <w:r>
        <w:rPr>
          <w:rFonts w:cs="Times New Roman"/>
          <w:b w:val="0"/>
          <w:bCs/>
          <w:sz w:val="24"/>
          <w:szCs w:val="24"/>
        </w:rPr>
        <w:t>E-R</w:t>
      </w:r>
      <w:r>
        <w:rPr>
          <w:rFonts w:hint="eastAsia" w:cs="Times New Roman"/>
          <w:b w:val="0"/>
          <w:bCs/>
          <w:sz w:val="24"/>
          <w:szCs w:val="24"/>
        </w:rPr>
        <w:t>）关系。</w:t>
      </w:r>
    </w:p>
    <w:p w14:paraId="12DA11E3">
      <w:pPr>
        <w:pStyle w:val="114"/>
        <w:spacing w:before="0" w:after="0"/>
        <w:ind w:left="420"/>
        <w:jc w:val="left"/>
        <w:outlineLvl w:val="9"/>
        <w:rPr>
          <w:rFonts w:cs="Times New Roman"/>
          <w:sz w:val="24"/>
          <w:szCs w:val="24"/>
        </w:rPr>
      </w:pPr>
      <w:r>
        <w:rPr>
          <w:rFonts w:hint="eastAsia" w:cs="Times New Roman"/>
          <w:sz w:val="24"/>
          <w:szCs w:val="24"/>
        </w:rPr>
        <w:t>其他目的</w:t>
      </w:r>
    </w:p>
    <w:p w14:paraId="3510D2DF">
      <w:pPr>
        <w:pStyle w:val="60"/>
        <w:numPr>
          <w:ilvl w:val="0"/>
          <w:numId w:val="30"/>
        </w:numPr>
        <w:ind w:left="839" w:firstLineChars="0"/>
        <w:jc w:val="left"/>
        <w:rPr>
          <w:rFonts w:cs="Times New Roman"/>
          <w:bCs/>
          <w:sz w:val="24"/>
          <w:szCs w:val="24"/>
        </w:rPr>
      </w:pPr>
      <w:r>
        <w:rPr>
          <w:rStyle w:val="99"/>
          <w:rFonts w:hint="eastAsia" w:cs="Times New Roman"/>
          <w:sz w:val="24"/>
          <w:szCs w:val="24"/>
        </w:rPr>
        <w:t>探索口服CMS-D001片后的药效动力学（PD）特征。</w:t>
      </w:r>
    </w:p>
    <w:p w14:paraId="2CCC5802">
      <w:pPr>
        <w:pStyle w:val="116"/>
        <w:numPr>
          <w:ilvl w:val="1"/>
          <w:numId w:val="12"/>
        </w:numPr>
        <w:jc w:val="left"/>
        <w:rPr>
          <w:rFonts w:cs="Times New Roman"/>
          <w:sz w:val="24"/>
          <w:szCs w:val="24"/>
        </w:rPr>
      </w:pPr>
      <w:bookmarkStart w:id="51" w:name="_Toc217032222"/>
      <w:bookmarkEnd w:id="51"/>
      <w:bookmarkStart w:id="52" w:name="_Toc217032223"/>
      <w:bookmarkEnd w:id="52"/>
      <w:bookmarkStart w:id="53" w:name="_Toc217032224"/>
      <w:r>
        <w:rPr>
          <w:rFonts w:hint="eastAsia" w:cs="Times New Roman"/>
          <w:sz w:val="24"/>
          <w:szCs w:val="24"/>
        </w:rPr>
        <w:t>研究终点</w:t>
      </w:r>
      <w:bookmarkEnd w:id="53"/>
    </w:p>
    <w:p w14:paraId="00E1AA38">
      <w:pPr>
        <w:pStyle w:val="116"/>
        <w:numPr>
          <w:ilvl w:val="2"/>
          <w:numId w:val="12"/>
        </w:numPr>
        <w:jc w:val="left"/>
        <w:outlineLvl w:val="2"/>
        <w:rPr>
          <w:rFonts w:cs="Times New Roman"/>
          <w:sz w:val="24"/>
          <w:szCs w:val="24"/>
        </w:rPr>
      </w:pPr>
      <w:bookmarkStart w:id="54" w:name="_Toc217032225"/>
      <w:r>
        <w:rPr>
          <w:rFonts w:hint="eastAsia" w:cs="Times New Roman"/>
          <w:sz w:val="24"/>
          <w:szCs w:val="24"/>
        </w:rPr>
        <w:t>Ⅱ期临床研究阶段</w:t>
      </w:r>
      <w:bookmarkEnd w:id="54"/>
    </w:p>
    <w:p w14:paraId="35E14C14">
      <w:pPr>
        <w:pStyle w:val="114"/>
        <w:spacing w:before="0" w:after="0"/>
        <w:ind w:left="440" w:leftChars="200"/>
        <w:jc w:val="left"/>
        <w:outlineLvl w:val="9"/>
        <w:rPr>
          <w:rFonts w:cs="Times New Roman"/>
          <w:sz w:val="24"/>
          <w:szCs w:val="24"/>
        </w:rPr>
      </w:pPr>
      <w:r>
        <w:rPr>
          <w:rFonts w:hint="eastAsia" w:cs="Times New Roman"/>
          <w:sz w:val="24"/>
          <w:szCs w:val="24"/>
        </w:rPr>
        <w:t>主要疗效指标</w:t>
      </w:r>
    </w:p>
    <w:p w14:paraId="35AC16F1">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12</w:t>
      </w:r>
      <w:r>
        <w:rPr>
          <w:rFonts w:hint="eastAsia" w:cs="Times New Roman"/>
          <w:b w:val="0"/>
          <w:bCs/>
          <w:sz w:val="24"/>
          <w:szCs w:val="24"/>
        </w:rPr>
        <w:t>周，达到银屑病面积和严重程度指数（</w:t>
      </w:r>
      <w:r>
        <w:rPr>
          <w:rFonts w:cs="Times New Roman"/>
          <w:b w:val="0"/>
          <w:bCs/>
          <w:sz w:val="24"/>
          <w:szCs w:val="24"/>
        </w:rPr>
        <w:t>Psoriasis Area and Severity Index</w:t>
      </w:r>
      <w:r>
        <w:rPr>
          <w:rFonts w:hint="eastAsia" w:cs="Times New Roman"/>
          <w:b w:val="0"/>
          <w:bCs/>
          <w:sz w:val="24"/>
          <w:szCs w:val="24"/>
        </w:rPr>
        <w:t>，</w:t>
      </w:r>
      <w:r>
        <w:rPr>
          <w:rFonts w:cs="Times New Roman"/>
          <w:b w:val="0"/>
          <w:bCs/>
          <w:sz w:val="24"/>
          <w:szCs w:val="24"/>
        </w:rPr>
        <w:t>PASI</w:t>
      </w:r>
      <w:r>
        <w:rPr>
          <w:rFonts w:hint="eastAsia" w:cs="Times New Roman"/>
          <w:b w:val="0"/>
          <w:bCs/>
          <w:sz w:val="24"/>
          <w:szCs w:val="24"/>
        </w:rPr>
        <w:t>）较基线至少改善</w:t>
      </w:r>
      <w:r>
        <w:rPr>
          <w:rFonts w:cs="Times New Roman"/>
          <w:b w:val="0"/>
          <w:bCs/>
          <w:sz w:val="24"/>
          <w:szCs w:val="24"/>
        </w:rPr>
        <w:t>75%</w:t>
      </w:r>
      <w:r>
        <w:rPr>
          <w:rFonts w:hint="eastAsia" w:cs="Times New Roman"/>
          <w:b w:val="0"/>
          <w:bCs/>
          <w:sz w:val="24"/>
          <w:szCs w:val="24"/>
        </w:rPr>
        <w:t>的参与者比例（</w:t>
      </w:r>
      <w:r>
        <w:rPr>
          <w:rFonts w:cs="Times New Roman"/>
          <w:b w:val="0"/>
          <w:bCs/>
          <w:sz w:val="24"/>
          <w:szCs w:val="24"/>
        </w:rPr>
        <w:t>PASI 75</w:t>
      </w:r>
      <w:r>
        <w:rPr>
          <w:rFonts w:hint="eastAsia" w:cs="Times New Roman"/>
          <w:b w:val="0"/>
          <w:bCs/>
          <w:sz w:val="24"/>
          <w:szCs w:val="24"/>
        </w:rPr>
        <w:t>应答）。</w:t>
      </w:r>
    </w:p>
    <w:p w14:paraId="12D82EB1">
      <w:pPr>
        <w:pStyle w:val="114"/>
        <w:spacing w:before="0" w:after="0"/>
        <w:ind w:left="440" w:leftChars="200"/>
        <w:jc w:val="left"/>
        <w:outlineLvl w:val="9"/>
        <w:rPr>
          <w:rFonts w:cs="Times New Roman"/>
          <w:sz w:val="24"/>
          <w:szCs w:val="24"/>
        </w:rPr>
      </w:pPr>
      <w:r>
        <w:rPr>
          <w:rFonts w:hint="eastAsia" w:cs="Times New Roman"/>
          <w:sz w:val="24"/>
          <w:szCs w:val="24"/>
        </w:rPr>
        <w:t>次要疗效指标</w:t>
      </w:r>
    </w:p>
    <w:p w14:paraId="30D1B65A">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lang w:eastAsia="zh-Hans"/>
        </w:rPr>
        <w:t>第</w:t>
      </w:r>
      <w:r>
        <w:rPr>
          <w:rFonts w:cs="Times New Roman"/>
          <w:b w:val="0"/>
          <w:bCs/>
          <w:sz w:val="24"/>
          <w:szCs w:val="24"/>
          <w:lang w:eastAsia="zh-Hans"/>
        </w:rPr>
        <w:t>2</w:t>
      </w:r>
      <w:r>
        <w:rPr>
          <w:rFonts w:hint="eastAsia" w:cs="Times New Roman"/>
          <w:b w:val="0"/>
          <w:bCs/>
          <w:sz w:val="24"/>
          <w:szCs w:val="24"/>
          <w:lang w:eastAsia="zh-Hans"/>
        </w:rPr>
        <w:t>、</w:t>
      </w:r>
      <w:r>
        <w:rPr>
          <w:rFonts w:cs="Times New Roman"/>
          <w:b w:val="0"/>
          <w:bCs/>
          <w:sz w:val="24"/>
          <w:szCs w:val="24"/>
          <w:lang w:eastAsia="zh-Hans"/>
        </w:rPr>
        <w:t>4</w:t>
      </w:r>
      <w:r>
        <w:rPr>
          <w:rFonts w:hint="eastAsia" w:cs="Times New Roman"/>
          <w:b w:val="0"/>
          <w:bCs/>
          <w:sz w:val="24"/>
          <w:szCs w:val="24"/>
          <w:lang w:eastAsia="zh-Hans"/>
        </w:rPr>
        <w:t>、</w:t>
      </w:r>
      <w:r>
        <w:rPr>
          <w:rFonts w:cs="Times New Roman"/>
          <w:b w:val="0"/>
          <w:bCs/>
          <w:sz w:val="24"/>
          <w:szCs w:val="24"/>
          <w:lang w:eastAsia="zh-Hans"/>
        </w:rPr>
        <w:t>8</w:t>
      </w:r>
      <w:r>
        <w:rPr>
          <w:rFonts w:hint="eastAsia" w:cs="Times New Roman"/>
          <w:b w:val="0"/>
          <w:bCs/>
          <w:sz w:val="24"/>
          <w:szCs w:val="24"/>
        </w:rPr>
        <w:t>周，</w:t>
      </w:r>
      <w:r>
        <w:rPr>
          <w:rFonts w:hint="eastAsia" w:cs="Times New Roman"/>
          <w:b w:val="0"/>
          <w:bCs/>
          <w:sz w:val="24"/>
          <w:szCs w:val="24"/>
          <w:lang w:eastAsia="zh-Hans"/>
        </w:rPr>
        <w:t>达到</w:t>
      </w:r>
      <w:r>
        <w:rPr>
          <w:rFonts w:cs="Times New Roman"/>
          <w:b w:val="0"/>
          <w:bCs/>
          <w:sz w:val="24"/>
          <w:szCs w:val="24"/>
          <w:lang w:eastAsia="zh-Hans"/>
        </w:rPr>
        <w:t>PASI</w:t>
      </w:r>
      <w:r>
        <w:rPr>
          <w:rFonts w:cs="Times New Roman"/>
          <w:b w:val="0"/>
          <w:bCs/>
          <w:sz w:val="24"/>
          <w:szCs w:val="24"/>
        </w:rPr>
        <w:t xml:space="preserve"> </w:t>
      </w:r>
      <w:r>
        <w:rPr>
          <w:rFonts w:cs="Times New Roman"/>
          <w:b w:val="0"/>
          <w:bCs/>
          <w:sz w:val="24"/>
          <w:szCs w:val="24"/>
          <w:lang w:eastAsia="zh-Hans"/>
        </w:rPr>
        <w:t>75</w:t>
      </w:r>
      <w:r>
        <w:rPr>
          <w:rFonts w:hint="eastAsia" w:cs="Times New Roman"/>
          <w:b w:val="0"/>
          <w:bCs/>
          <w:sz w:val="24"/>
          <w:szCs w:val="24"/>
          <w:lang w:eastAsia="zh-Hans"/>
        </w:rPr>
        <w:t>应答的</w:t>
      </w:r>
      <w:r>
        <w:rPr>
          <w:rFonts w:hint="eastAsia" w:cs="Times New Roman"/>
          <w:b w:val="0"/>
          <w:bCs/>
          <w:sz w:val="24"/>
          <w:szCs w:val="24"/>
        </w:rPr>
        <w:t>参与者</w:t>
      </w:r>
      <w:r>
        <w:rPr>
          <w:rFonts w:hint="eastAsia" w:cs="Times New Roman"/>
          <w:b w:val="0"/>
          <w:bCs/>
          <w:sz w:val="24"/>
          <w:szCs w:val="24"/>
          <w:lang w:eastAsia="zh-Hans"/>
        </w:rPr>
        <w:t>比例</w:t>
      </w:r>
      <w:r>
        <w:rPr>
          <w:rFonts w:hint="eastAsia" w:cs="Times New Roman"/>
          <w:b w:val="0"/>
          <w:bCs/>
          <w:sz w:val="24"/>
          <w:szCs w:val="24"/>
        </w:rPr>
        <w:t>；</w:t>
      </w:r>
    </w:p>
    <w:p w14:paraId="78F4EF0F">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周，医生整体评估（</w:t>
      </w:r>
      <w:r>
        <w:rPr>
          <w:rFonts w:cs="Times New Roman"/>
          <w:b w:val="0"/>
          <w:bCs/>
          <w:sz w:val="24"/>
          <w:szCs w:val="24"/>
        </w:rPr>
        <w:t>Physician Global Assessment</w:t>
      </w:r>
      <w:r>
        <w:rPr>
          <w:rFonts w:hint="eastAsia" w:cs="Times New Roman"/>
          <w:b w:val="0"/>
          <w:bCs/>
          <w:sz w:val="24"/>
          <w:szCs w:val="24"/>
        </w:rPr>
        <w:t>，</w:t>
      </w:r>
      <w:r>
        <w:rPr>
          <w:rFonts w:cs="Times New Roman"/>
          <w:b w:val="0"/>
          <w:bCs/>
          <w:sz w:val="24"/>
          <w:szCs w:val="24"/>
        </w:rPr>
        <w:t>PGA</w:t>
      </w:r>
      <w:r>
        <w:rPr>
          <w:rFonts w:hint="eastAsia" w:cs="Times New Roman"/>
          <w:b w:val="0"/>
          <w:bCs/>
          <w:sz w:val="24"/>
          <w:szCs w:val="24"/>
        </w:rPr>
        <w:t>）评分为</w:t>
      </w:r>
      <w:r>
        <w:rPr>
          <w:rFonts w:cs="Times New Roman"/>
          <w:b w:val="0"/>
          <w:bCs/>
          <w:sz w:val="24"/>
          <w:szCs w:val="24"/>
        </w:rPr>
        <w:t>0</w:t>
      </w:r>
      <w:r>
        <w:rPr>
          <w:rFonts w:hint="eastAsia" w:cs="Times New Roman"/>
          <w:b w:val="0"/>
          <w:bCs/>
          <w:sz w:val="24"/>
          <w:szCs w:val="24"/>
        </w:rPr>
        <w:t>或</w:t>
      </w:r>
      <w:r>
        <w:rPr>
          <w:rFonts w:cs="Times New Roman"/>
          <w:b w:val="0"/>
          <w:bCs/>
          <w:sz w:val="24"/>
          <w:szCs w:val="24"/>
        </w:rPr>
        <w:t>1</w:t>
      </w:r>
      <w:r>
        <w:rPr>
          <w:rFonts w:hint="eastAsia" w:cs="Times New Roman"/>
          <w:b w:val="0"/>
          <w:bCs/>
          <w:sz w:val="24"/>
          <w:szCs w:val="24"/>
        </w:rPr>
        <w:t>的参与者比例；</w:t>
      </w:r>
    </w:p>
    <w:p w14:paraId="5FC4AE3E">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周，达到</w:t>
      </w:r>
      <w:r>
        <w:rPr>
          <w:rFonts w:cs="Times New Roman"/>
          <w:b w:val="0"/>
          <w:bCs/>
          <w:sz w:val="24"/>
          <w:szCs w:val="24"/>
        </w:rPr>
        <w:t>PASI 50/90/100</w:t>
      </w:r>
      <w:r>
        <w:rPr>
          <w:rFonts w:hint="eastAsia" w:cs="Times New Roman"/>
          <w:b w:val="0"/>
          <w:bCs/>
          <w:sz w:val="24"/>
          <w:szCs w:val="24"/>
        </w:rPr>
        <w:t>应答的参与者比例；</w:t>
      </w:r>
    </w:p>
    <w:p w14:paraId="7B443285">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周，</w:t>
      </w:r>
      <w:r>
        <w:rPr>
          <w:rFonts w:cs="Times New Roman"/>
          <w:b w:val="0"/>
          <w:bCs/>
          <w:sz w:val="24"/>
          <w:szCs w:val="24"/>
        </w:rPr>
        <w:t>PASI</w:t>
      </w:r>
      <w:r>
        <w:rPr>
          <w:rFonts w:hint="eastAsia" w:cs="Times New Roman"/>
          <w:b w:val="0"/>
          <w:bCs/>
          <w:sz w:val="24"/>
          <w:szCs w:val="24"/>
        </w:rPr>
        <w:t>较基线的变化值和百分比；</w:t>
      </w:r>
    </w:p>
    <w:p w14:paraId="57AB3EFA">
      <w:pPr>
        <w:pStyle w:val="114"/>
        <w:numPr>
          <w:ilvl w:val="0"/>
          <w:numId w:val="30"/>
        </w:numPr>
        <w:spacing w:before="0" w:after="0"/>
        <w:ind w:left="839"/>
        <w:jc w:val="left"/>
        <w:outlineLvl w:val="9"/>
        <w:rPr>
          <w:rFonts w:cs="Times New Roman"/>
          <w:b w:val="0"/>
          <w:bCs/>
          <w:sz w:val="24"/>
          <w:szCs w:val="24"/>
          <w:lang w:eastAsia="zh-Hans"/>
        </w:rPr>
      </w:pPr>
      <w:r>
        <w:rPr>
          <w:rFonts w:hint="eastAsia" w:cs="Times New Roman"/>
          <w:b w:val="0"/>
          <w:bCs/>
          <w:sz w:val="24"/>
          <w:szCs w:val="24"/>
          <w:lang w:eastAsia="zh-Hans"/>
        </w:rPr>
        <w:t>第</w:t>
      </w:r>
      <w:r>
        <w:rPr>
          <w:rFonts w:cs="Times New Roman"/>
          <w:b w:val="0"/>
          <w:bCs/>
          <w:sz w:val="24"/>
          <w:szCs w:val="24"/>
          <w:lang w:eastAsia="zh-Hans"/>
        </w:rPr>
        <w:t>2</w:t>
      </w:r>
      <w:r>
        <w:rPr>
          <w:rFonts w:hint="eastAsia" w:cs="Times New Roman"/>
          <w:b w:val="0"/>
          <w:bCs/>
          <w:sz w:val="24"/>
          <w:szCs w:val="24"/>
          <w:lang w:eastAsia="zh-Hans"/>
        </w:rPr>
        <w:t>、</w:t>
      </w:r>
      <w:r>
        <w:rPr>
          <w:rFonts w:cs="Times New Roman"/>
          <w:b w:val="0"/>
          <w:bCs/>
          <w:sz w:val="24"/>
          <w:szCs w:val="24"/>
          <w:lang w:eastAsia="zh-Hans"/>
        </w:rPr>
        <w:t>4</w:t>
      </w:r>
      <w:r>
        <w:rPr>
          <w:rFonts w:hint="eastAsia" w:cs="Times New Roman"/>
          <w:b w:val="0"/>
          <w:bCs/>
          <w:sz w:val="24"/>
          <w:szCs w:val="24"/>
          <w:lang w:eastAsia="zh-Hans"/>
        </w:rPr>
        <w:t>、</w:t>
      </w:r>
      <w:r>
        <w:rPr>
          <w:rFonts w:cs="Times New Roman"/>
          <w:b w:val="0"/>
          <w:bCs/>
          <w:sz w:val="24"/>
          <w:szCs w:val="24"/>
          <w:lang w:eastAsia="zh-Hans"/>
        </w:rPr>
        <w:t>8</w:t>
      </w:r>
      <w:r>
        <w:rPr>
          <w:rFonts w:hint="eastAsia" w:cs="Times New Roman"/>
          <w:b w:val="0"/>
          <w:bCs/>
          <w:sz w:val="24"/>
          <w:szCs w:val="24"/>
          <w:lang w:eastAsia="zh-Hans"/>
        </w:rPr>
        <w:t>、</w:t>
      </w:r>
      <w:r>
        <w:rPr>
          <w:rFonts w:cs="Times New Roman"/>
          <w:b w:val="0"/>
          <w:bCs/>
          <w:sz w:val="24"/>
          <w:szCs w:val="24"/>
          <w:lang w:eastAsia="zh-Hans"/>
        </w:rPr>
        <w:t>12</w:t>
      </w:r>
      <w:r>
        <w:rPr>
          <w:rFonts w:hint="eastAsia" w:cs="Times New Roman"/>
          <w:b w:val="0"/>
          <w:bCs/>
          <w:sz w:val="24"/>
          <w:szCs w:val="24"/>
          <w:lang w:eastAsia="zh-Hans"/>
        </w:rPr>
        <w:t>周，受累</w:t>
      </w:r>
      <w:r>
        <w:rPr>
          <w:rFonts w:hint="eastAsia" w:cs="Times New Roman"/>
          <w:b w:val="0"/>
          <w:bCs/>
          <w:sz w:val="24"/>
          <w:szCs w:val="24"/>
        </w:rPr>
        <w:t>的</w:t>
      </w:r>
      <w:r>
        <w:rPr>
          <w:rFonts w:hint="eastAsia" w:cs="Times New Roman"/>
          <w:b w:val="0"/>
          <w:bCs/>
          <w:sz w:val="24"/>
          <w:szCs w:val="24"/>
          <w:lang w:eastAsia="zh-Hans"/>
        </w:rPr>
        <w:t>体表面积</w:t>
      </w:r>
      <w:r>
        <w:rPr>
          <w:rFonts w:hint="eastAsia" w:cs="Times New Roman"/>
          <w:b w:val="0"/>
          <w:bCs/>
          <w:sz w:val="24"/>
          <w:szCs w:val="24"/>
        </w:rPr>
        <w:t>（</w:t>
      </w:r>
      <w:r>
        <w:rPr>
          <w:rFonts w:cs="Times New Roman"/>
          <w:b w:val="0"/>
          <w:bCs/>
          <w:sz w:val="24"/>
          <w:szCs w:val="24"/>
        </w:rPr>
        <w:t>Body Surface Area</w:t>
      </w:r>
      <w:r>
        <w:rPr>
          <w:rFonts w:hint="eastAsia" w:cs="Times New Roman"/>
          <w:b w:val="0"/>
          <w:bCs/>
          <w:sz w:val="24"/>
          <w:szCs w:val="24"/>
        </w:rPr>
        <w:t>，</w:t>
      </w:r>
      <w:r>
        <w:rPr>
          <w:rFonts w:cs="Times New Roman"/>
          <w:b w:val="0"/>
          <w:bCs/>
          <w:sz w:val="24"/>
          <w:szCs w:val="24"/>
        </w:rPr>
        <w:t>BSA</w:t>
      </w:r>
      <w:r>
        <w:rPr>
          <w:rFonts w:hint="eastAsia" w:cs="Times New Roman"/>
          <w:b w:val="0"/>
          <w:bCs/>
          <w:sz w:val="24"/>
          <w:szCs w:val="24"/>
        </w:rPr>
        <w:t>）较基线的变化值和百分比；</w:t>
      </w:r>
    </w:p>
    <w:p w14:paraId="3DBA3446">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lang w:eastAsia="zh-Hans"/>
        </w:rPr>
        <w:t>第</w:t>
      </w:r>
      <w:r>
        <w:rPr>
          <w:rFonts w:cs="Times New Roman"/>
          <w:b w:val="0"/>
          <w:bCs/>
          <w:sz w:val="24"/>
          <w:szCs w:val="24"/>
          <w:lang w:eastAsia="zh-Hans"/>
        </w:rPr>
        <w:t>2</w:t>
      </w:r>
      <w:r>
        <w:rPr>
          <w:rFonts w:hint="eastAsia" w:cs="Times New Roman"/>
          <w:b w:val="0"/>
          <w:bCs/>
          <w:sz w:val="24"/>
          <w:szCs w:val="24"/>
          <w:lang w:eastAsia="zh-Hans"/>
        </w:rPr>
        <w:t>、</w:t>
      </w:r>
      <w:r>
        <w:rPr>
          <w:rFonts w:cs="Times New Roman"/>
          <w:b w:val="0"/>
          <w:bCs/>
          <w:sz w:val="24"/>
          <w:szCs w:val="24"/>
          <w:lang w:eastAsia="zh-Hans"/>
        </w:rPr>
        <w:t>4</w:t>
      </w:r>
      <w:r>
        <w:rPr>
          <w:rFonts w:hint="eastAsia" w:cs="Times New Roman"/>
          <w:b w:val="0"/>
          <w:bCs/>
          <w:sz w:val="24"/>
          <w:szCs w:val="24"/>
          <w:lang w:eastAsia="zh-Hans"/>
        </w:rPr>
        <w:t>、</w:t>
      </w:r>
      <w:r>
        <w:rPr>
          <w:rFonts w:cs="Times New Roman"/>
          <w:b w:val="0"/>
          <w:bCs/>
          <w:sz w:val="24"/>
          <w:szCs w:val="24"/>
          <w:lang w:eastAsia="zh-Hans"/>
        </w:rPr>
        <w:t>8</w:t>
      </w:r>
      <w:r>
        <w:rPr>
          <w:rFonts w:hint="eastAsia" w:cs="Times New Roman"/>
          <w:b w:val="0"/>
          <w:bCs/>
          <w:sz w:val="24"/>
          <w:szCs w:val="24"/>
          <w:lang w:eastAsia="zh-Hans"/>
        </w:rPr>
        <w:t>、</w:t>
      </w:r>
      <w:r>
        <w:rPr>
          <w:rFonts w:cs="Times New Roman"/>
          <w:b w:val="0"/>
          <w:bCs/>
          <w:sz w:val="24"/>
          <w:szCs w:val="24"/>
          <w:lang w:eastAsia="zh-Hans"/>
        </w:rPr>
        <w:t>12</w:t>
      </w:r>
      <w:r>
        <w:rPr>
          <w:rFonts w:hint="eastAsia" w:cs="Times New Roman"/>
          <w:b w:val="0"/>
          <w:bCs/>
          <w:sz w:val="24"/>
          <w:szCs w:val="24"/>
          <w:lang w:eastAsia="zh-Hans"/>
        </w:rPr>
        <w:t>周</w:t>
      </w:r>
      <w:r>
        <w:rPr>
          <w:rFonts w:hint="eastAsia" w:cs="Times New Roman"/>
          <w:b w:val="0"/>
          <w:bCs/>
          <w:sz w:val="24"/>
          <w:szCs w:val="24"/>
        </w:rPr>
        <w:t>，</w:t>
      </w:r>
      <w:r>
        <w:rPr>
          <w:rFonts w:hint="eastAsia" w:cs="Times New Roman"/>
          <w:b w:val="0"/>
          <w:bCs/>
          <w:sz w:val="24"/>
          <w:szCs w:val="24"/>
          <w:lang w:eastAsia="zh-Hans"/>
        </w:rPr>
        <w:t>皮肤病生活质量指数（</w:t>
      </w:r>
      <w:r>
        <w:rPr>
          <w:rFonts w:cs="Times New Roman"/>
          <w:b w:val="0"/>
          <w:bCs/>
          <w:sz w:val="24"/>
          <w:szCs w:val="24"/>
          <w:lang w:eastAsia="zh-Hans"/>
        </w:rPr>
        <w:t>Dermatology Life Quality Index</w:t>
      </w:r>
      <w:r>
        <w:rPr>
          <w:rFonts w:hint="eastAsia" w:cs="Times New Roman"/>
          <w:b w:val="0"/>
          <w:bCs/>
          <w:sz w:val="24"/>
          <w:szCs w:val="24"/>
        </w:rPr>
        <w:t>，</w:t>
      </w:r>
      <w:r>
        <w:rPr>
          <w:rFonts w:cs="Times New Roman"/>
          <w:b w:val="0"/>
          <w:bCs/>
          <w:sz w:val="24"/>
          <w:szCs w:val="24"/>
          <w:lang w:eastAsia="zh-Hans"/>
        </w:rPr>
        <w:t>DLQI</w:t>
      </w:r>
      <w:r>
        <w:rPr>
          <w:rFonts w:hint="eastAsia" w:cs="Times New Roman"/>
          <w:b w:val="0"/>
          <w:bCs/>
          <w:sz w:val="24"/>
          <w:szCs w:val="24"/>
          <w:lang w:eastAsia="zh-Hans"/>
        </w:rPr>
        <w:t>）评分与基线相比的变化。</w:t>
      </w:r>
    </w:p>
    <w:p w14:paraId="5F4CDB51">
      <w:pPr>
        <w:pStyle w:val="114"/>
        <w:spacing w:before="0" w:after="0"/>
        <w:ind w:left="440" w:leftChars="200"/>
        <w:jc w:val="left"/>
        <w:outlineLvl w:val="9"/>
        <w:rPr>
          <w:rFonts w:cs="Times New Roman"/>
          <w:sz w:val="24"/>
          <w:szCs w:val="24"/>
        </w:rPr>
      </w:pPr>
      <w:r>
        <w:rPr>
          <w:rFonts w:hint="eastAsia" w:cs="Times New Roman"/>
          <w:sz w:val="24"/>
          <w:szCs w:val="24"/>
        </w:rPr>
        <w:t>安全性指标</w:t>
      </w:r>
    </w:p>
    <w:p w14:paraId="11F940EC">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不良事件、治疗期出现的不良事件和严重不良事件的发生率；</w:t>
      </w:r>
    </w:p>
    <w:p w14:paraId="556CD982">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常规安全性参数，包括实验室检查、生命体征测量、</w:t>
      </w:r>
      <w:r>
        <w:rPr>
          <w:rFonts w:cs="Times New Roman"/>
          <w:b w:val="0"/>
          <w:bCs/>
          <w:sz w:val="24"/>
          <w:szCs w:val="24"/>
        </w:rPr>
        <w:t>12</w:t>
      </w:r>
      <w:r>
        <w:rPr>
          <w:rFonts w:hint="eastAsia" w:cs="Times New Roman"/>
          <w:b w:val="0"/>
          <w:bCs/>
          <w:sz w:val="24"/>
          <w:szCs w:val="24"/>
        </w:rPr>
        <w:t>导联心电图（</w:t>
      </w:r>
      <w:r>
        <w:rPr>
          <w:rFonts w:cs="Times New Roman"/>
          <w:b w:val="0"/>
          <w:bCs/>
          <w:sz w:val="24"/>
          <w:szCs w:val="24"/>
        </w:rPr>
        <w:t>Electrocardiogram</w:t>
      </w:r>
      <w:r>
        <w:rPr>
          <w:rFonts w:hint="eastAsia" w:cs="Times New Roman"/>
          <w:b w:val="0"/>
          <w:bCs/>
          <w:sz w:val="24"/>
          <w:szCs w:val="24"/>
        </w:rPr>
        <w:t>，</w:t>
      </w:r>
      <w:r>
        <w:rPr>
          <w:rFonts w:cs="Times New Roman"/>
          <w:b w:val="0"/>
          <w:bCs/>
          <w:sz w:val="24"/>
          <w:szCs w:val="24"/>
        </w:rPr>
        <w:t>ECG</w:t>
      </w:r>
      <w:r>
        <w:rPr>
          <w:rFonts w:hint="eastAsia" w:cs="Times New Roman"/>
          <w:b w:val="0"/>
          <w:bCs/>
          <w:sz w:val="24"/>
          <w:szCs w:val="24"/>
        </w:rPr>
        <w:t>）和体格检查等。</w:t>
      </w:r>
    </w:p>
    <w:p w14:paraId="7A35CACE">
      <w:pPr>
        <w:pStyle w:val="114"/>
        <w:spacing w:before="0" w:after="0"/>
        <w:ind w:left="440" w:leftChars="200"/>
        <w:jc w:val="left"/>
        <w:outlineLvl w:val="9"/>
        <w:rPr>
          <w:rFonts w:cs="Times New Roman"/>
          <w:sz w:val="24"/>
          <w:szCs w:val="24"/>
        </w:rPr>
      </w:pPr>
      <w:r>
        <w:rPr>
          <w:rFonts w:hint="eastAsia" w:cs="Times New Roman"/>
          <w:sz w:val="24"/>
          <w:szCs w:val="24"/>
        </w:rPr>
        <w:t>药代动力学指标</w:t>
      </w:r>
    </w:p>
    <w:p w14:paraId="1F1CF005">
      <w:pPr>
        <w:pStyle w:val="114"/>
        <w:numPr>
          <w:ilvl w:val="0"/>
          <w:numId w:val="30"/>
        </w:numPr>
        <w:spacing w:before="0" w:after="0"/>
        <w:ind w:left="839"/>
        <w:outlineLvl w:val="9"/>
        <w:rPr>
          <w:rFonts w:cs="Times New Roman"/>
          <w:sz w:val="24"/>
          <w:szCs w:val="24"/>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及其主要代谢产物（如适用）在斑块状银屑病患者中的</w:t>
      </w:r>
      <w:r>
        <w:rPr>
          <w:rFonts w:cs="Times New Roman"/>
          <w:b w:val="0"/>
          <w:bCs/>
          <w:sz w:val="24"/>
          <w:szCs w:val="24"/>
          <w:lang w:eastAsia="zh-Hans"/>
        </w:rPr>
        <w:t>PK</w:t>
      </w:r>
      <w:r>
        <w:rPr>
          <w:rFonts w:hint="eastAsia" w:cs="Times New Roman"/>
          <w:b w:val="0"/>
          <w:bCs/>
          <w:sz w:val="24"/>
          <w:szCs w:val="24"/>
          <w:lang w:eastAsia="zh-Hans"/>
        </w:rPr>
        <w:t>特征</w:t>
      </w:r>
      <w:r>
        <w:rPr>
          <w:rFonts w:hint="eastAsia" w:cs="Times New Roman"/>
          <w:b w:val="0"/>
          <w:bCs/>
          <w:sz w:val="24"/>
          <w:szCs w:val="24"/>
        </w:rPr>
        <w:t>，计算以下参数：血浆谷浓度（</w:t>
      </w:r>
      <w:r>
        <w:rPr>
          <w:rFonts w:cs="Times New Roman"/>
          <w:b w:val="0"/>
          <w:bCs/>
          <w:sz w:val="24"/>
          <w:szCs w:val="24"/>
        </w:rPr>
        <w:t>C</w:t>
      </w:r>
      <w:r>
        <w:rPr>
          <w:rFonts w:cs="Times New Roman"/>
          <w:b w:val="0"/>
          <w:sz w:val="24"/>
          <w:szCs w:val="24"/>
          <w:vertAlign w:val="subscript"/>
        </w:rPr>
        <w:t>trough</w:t>
      </w:r>
      <w:r>
        <w:rPr>
          <w:rFonts w:hint="eastAsia" w:cs="Times New Roman"/>
          <w:b w:val="0"/>
          <w:bCs/>
          <w:sz w:val="24"/>
          <w:szCs w:val="24"/>
        </w:rPr>
        <w:t>）、峰浓度（</w:t>
      </w:r>
      <w:r>
        <w:rPr>
          <w:rFonts w:cs="Times New Roman"/>
          <w:b w:val="0"/>
          <w:bCs/>
          <w:sz w:val="24"/>
          <w:szCs w:val="24"/>
        </w:rPr>
        <w:t>C</w:t>
      </w:r>
      <w:r>
        <w:rPr>
          <w:rFonts w:cs="Times New Roman"/>
          <w:b w:val="0"/>
          <w:bCs/>
          <w:sz w:val="24"/>
          <w:szCs w:val="24"/>
          <w:vertAlign w:val="subscript"/>
        </w:rPr>
        <w:t>max</w:t>
      </w:r>
      <w:r>
        <w:rPr>
          <w:rFonts w:hint="eastAsia" w:cs="Times New Roman"/>
          <w:b w:val="0"/>
          <w:bCs/>
          <w:sz w:val="24"/>
          <w:szCs w:val="24"/>
        </w:rPr>
        <w:t>）；</w:t>
      </w:r>
    </w:p>
    <w:p w14:paraId="09D3C951">
      <w:pPr>
        <w:pStyle w:val="60"/>
        <w:numPr>
          <w:ilvl w:val="0"/>
          <w:numId w:val="30"/>
        </w:numPr>
        <w:ind w:firstLineChars="0"/>
        <w:rPr>
          <w:rFonts w:cs="Times New Roman"/>
          <w:bCs/>
          <w:sz w:val="24"/>
          <w:szCs w:val="24"/>
        </w:rPr>
      </w:pPr>
      <w:r>
        <w:rPr>
          <w:rFonts w:hint="eastAsia" w:cs="Times New Roman"/>
          <w:sz w:val="24"/>
          <w:szCs w:val="24"/>
          <w:lang w:eastAsia="zh-Hans"/>
        </w:rPr>
        <w:t>如数据允许，还将基于群体药代动力学（</w:t>
      </w:r>
      <w:r>
        <w:rPr>
          <w:rFonts w:cs="Times New Roman"/>
          <w:sz w:val="24"/>
          <w:szCs w:val="24"/>
          <w:lang w:eastAsia="zh-Hans"/>
        </w:rPr>
        <w:t>PopPK</w:t>
      </w:r>
      <w:r>
        <w:rPr>
          <w:rFonts w:hint="eastAsia" w:cs="Times New Roman"/>
          <w:sz w:val="24"/>
          <w:szCs w:val="24"/>
          <w:lang w:eastAsia="zh-Hans"/>
        </w:rPr>
        <w:t>）分析方法，探索</w:t>
      </w:r>
      <w:r>
        <w:rPr>
          <w:rStyle w:val="99"/>
          <w:rFonts w:cs="Times New Roman"/>
          <w:sz w:val="24"/>
          <w:szCs w:val="24"/>
          <w:lang w:val="zh-CN"/>
        </w:rPr>
        <w:t>CMS-D001</w:t>
      </w:r>
      <w:r>
        <w:rPr>
          <w:rStyle w:val="99"/>
          <w:rFonts w:hint="eastAsia" w:cs="Times New Roman"/>
          <w:sz w:val="24"/>
          <w:szCs w:val="24"/>
          <w:lang w:val="zh-CN" w:eastAsia="zh-Hans"/>
        </w:rPr>
        <w:t>及其主要代谢产物（如适用）</w:t>
      </w:r>
      <w:r>
        <w:rPr>
          <w:rFonts w:hint="eastAsia" w:cs="Times New Roman"/>
          <w:sz w:val="24"/>
          <w:szCs w:val="24"/>
          <w:lang w:eastAsia="zh-Hans"/>
        </w:rPr>
        <w:t>在斑块状银屑病患者中的</w:t>
      </w:r>
      <w:r>
        <w:rPr>
          <w:rFonts w:cs="Times New Roman"/>
          <w:sz w:val="24"/>
          <w:szCs w:val="24"/>
          <w:lang w:eastAsia="zh-Hans"/>
        </w:rPr>
        <w:t>PK</w:t>
      </w:r>
      <w:r>
        <w:rPr>
          <w:rFonts w:hint="eastAsia" w:cs="Times New Roman"/>
          <w:sz w:val="24"/>
          <w:szCs w:val="24"/>
          <w:lang w:eastAsia="zh-Hans"/>
        </w:rPr>
        <w:t>特征及暴露与疗效及不良事件之间的关系</w:t>
      </w:r>
      <w:r>
        <w:rPr>
          <w:rFonts w:hint="eastAsia" w:cs="Times New Roman"/>
          <w:bCs/>
          <w:sz w:val="24"/>
          <w:szCs w:val="24"/>
        </w:rPr>
        <w:t>。</w:t>
      </w:r>
    </w:p>
    <w:p w14:paraId="59A463E2">
      <w:pPr>
        <w:pStyle w:val="114"/>
        <w:spacing w:before="0" w:after="0"/>
        <w:ind w:left="440" w:leftChars="200"/>
        <w:jc w:val="left"/>
        <w:outlineLvl w:val="9"/>
        <w:rPr>
          <w:rFonts w:cs="Times New Roman"/>
          <w:sz w:val="24"/>
          <w:szCs w:val="24"/>
        </w:rPr>
      </w:pPr>
      <w:r>
        <w:rPr>
          <w:rFonts w:hint="eastAsia" w:cs="Times New Roman"/>
          <w:sz w:val="24"/>
          <w:szCs w:val="24"/>
        </w:rPr>
        <w:t>其他指标</w:t>
      </w:r>
    </w:p>
    <w:p w14:paraId="4F1AB4C7">
      <w:pPr>
        <w:pStyle w:val="60"/>
        <w:numPr>
          <w:ilvl w:val="0"/>
          <w:numId w:val="30"/>
        </w:numPr>
        <w:ind w:firstLineChars="0"/>
        <w:rPr>
          <w:rFonts w:cs="Times New Roman"/>
          <w:sz w:val="24"/>
          <w:szCs w:val="24"/>
          <w:lang w:eastAsia="zh-Hans"/>
        </w:rPr>
      </w:pPr>
      <w:r>
        <w:rPr>
          <w:rFonts w:hint="eastAsia" w:cs="Times New Roman"/>
          <w:sz w:val="24"/>
          <w:szCs w:val="24"/>
          <w:lang w:eastAsia="zh-Hans"/>
        </w:rPr>
        <w:t>第</w:t>
      </w:r>
      <w:r>
        <w:rPr>
          <w:rFonts w:cs="Times New Roman"/>
          <w:sz w:val="24"/>
          <w:szCs w:val="24"/>
          <w:lang w:eastAsia="zh-Hans"/>
        </w:rPr>
        <w:t>2</w:t>
      </w:r>
      <w:r>
        <w:rPr>
          <w:rFonts w:hint="eastAsia" w:cs="Times New Roman"/>
          <w:sz w:val="24"/>
          <w:szCs w:val="24"/>
          <w:lang w:eastAsia="zh-Hans"/>
        </w:rPr>
        <w:t>、</w:t>
      </w:r>
      <w:r>
        <w:rPr>
          <w:rFonts w:cs="Times New Roman"/>
          <w:sz w:val="24"/>
          <w:szCs w:val="24"/>
          <w:lang w:eastAsia="zh-Hans"/>
        </w:rPr>
        <w:t>4</w:t>
      </w:r>
      <w:r>
        <w:rPr>
          <w:rFonts w:hint="eastAsia" w:cs="Times New Roman"/>
          <w:sz w:val="24"/>
          <w:szCs w:val="24"/>
          <w:lang w:eastAsia="zh-Hans"/>
        </w:rPr>
        <w:t>、</w:t>
      </w:r>
      <w:r>
        <w:rPr>
          <w:rFonts w:cs="Times New Roman"/>
          <w:sz w:val="24"/>
          <w:szCs w:val="24"/>
          <w:lang w:eastAsia="zh-Hans"/>
        </w:rPr>
        <w:t>8</w:t>
      </w:r>
      <w:r>
        <w:rPr>
          <w:rFonts w:hint="eastAsia" w:cs="Times New Roman"/>
          <w:sz w:val="24"/>
          <w:szCs w:val="24"/>
          <w:lang w:eastAsia="zh-Hans"/>
        </w:rPr>
        <w:t>、</w:t>
      </w:r>
      <w:r>
        <w:rPr>
          <w:rFonts w:cs="Times New Roman"/>
          <w:sz w:val="24"/>
          <w:szCs w:val="24"/>
          <w:lang w:eastAsia="zh-Hans"/>
        </w:rPr>
        <w:t>12</w:t>
      </w:r>
      <w:r>
        <w:rPr>
          <w:rFonts w:hint="eastAsia" w:cs="Times New Roman"/>
          <w:sz w:val="24"/>
          <w:szCs w:val="24"/>
          <w:lang w:eastAsia="zh-Hans"/>
        </w:rPr>
        <w:t>、</w:t>
      </w:r>
      <w:r>
        <w:rPr>
          <w:rFonts w:cs="Times New Roman"/>
          <w:sz w:val="24"/>
          <w:szCs w:val="24"/>
          <w:lang w:eastAsia="zh-Hans"/>
        </w:rPr>
        <w:t>16</w:t>
      </w:r>
      <w:r>
        <w:rPr>
          <w:rFonts w:hint="eastAsia" w:cs="Times New Roman"/>
          <w:sz w:val="24"/>
          <w:szCs w:val="24"/>
          <w:lang w:eastAsia="zh-Hans"/>
        </w:rPr>
        <w:t>周，血清</w:t>
      </w:r>
      <w:r>
        <w:rPr>
          <w:rFonts w:cs="Times New Roman"/>
          <w:sz w:val="24"/>
          <w:szCs w:val="24"/>
          <w:lang w:eastAsia="zh-Hans"/>
        </w:rPr>
        <w:t>IL-17A</w:t>
      </w:r>
      <w:r>
        <w:rPr>
          <w:rFonts w:hint="eastAsia" w:cs="Times New Roman"/>
          <w:sz w:val="24"/>
          <w:szCs w:val="24"/>
          <w:lang w:eastAsia="zh-Hans"/>
        </w:rPr>
        <w:t>等生物标志物水平较基线的变化值和百分比</w:t>
      </w:r>
      <w:r>
        <w:rPr>
          <w:rFonts w:hint="eastAsia" w:cs="Times New Roman"/>
          <w:sz w:val="24"/>
          <w:szCs w:val="24"/>
        </w:rPr>
        <w:t>。</w:t>
      </w:r>
    </w:p>
    <w:p w14:paraId="53FF080D">
      <w:pPr>
        <w:pStyle w:val="116"/>
        <w:numPr>
          <w:ilvl w:val="2"/>
          <w:numId w:val="12"/>
        </w:numPr>
        <w:jc w:val="left"/>
        <w:outlineLvl w:val="2"/>
        <w:rPr>
          <w:rFonts w:cs="Times New Roman"/>
          <w:sz w:val="24"/>
          <w:szCs w:val="24"/>
        </w:rPr>
      </w:pPr>
      <w:bookmarkStart w:id="55" w:name="_Toc217032226"/>
      <w:r>
        <w:rPr>
          <w:rFonts w:hint="eastAsia" w:cs="Times New Roman"/>
          <w:sz w:val="24"/>
          <w:szCs w:val="24"/>
        </w:rPr>
        <w:t>Ⅲ期临床研究阶段</w:t>
      </w:r>
      <w:bookmarkEnd w:id="55"/>
    </w:p>
    <w:p w14:paraId="7A16439C">
      <w:pPr>
        <w:pStyle w:val="114"/>
        <w:spacing w:before="0" w:after="0"/>
        <w:ind w:left="440" w:leftChars="200"/>
        <w:jc w:val="left"/>
        <w:outlineLvl w:val="9"/>
        <w:rPr>
          <w:rFonts w:cs="Times New Roman"/>
          <w:sz w:val="24"/>
          <w:szCs w:val="24"/>
        </w:rPr>
      </w:pPr>
      <w:r>
        <w:rPr>
          <w:rFonts w:hint="eastAsia" w:cs="Times New Roman"/>
          <w:sz w:val="24"/>
          <w:szCs w:val="24"/>
        </w:rPr>
        <w:t>主要疗效指标</w:t>
      </w:r>
    </w:p>
    <w:p w14:paraId="4947309B">
      <w:pPr>
        <w:pStyle w:val="114"/>
        <w:numPr>
          <w:ilvl w:val="0"/>
          <w:numId w:val="30"/>
        </w:numPr>
        <w:spacing w:before="0" w:after="0"/>
        <w:ind w:left="839"/>
        <w:jc w:val="left"/>
        <w:outlineLvl w:val="9"/>
        <w:rPr>
          <w:rFonts w:cs="Times New Roman"/>
          <w:bCs/>
          <w:sz w:val="24"/>
          <w:szCs w:val="24"/>
        </w:rPr>
      </w:pPr>
      <w:r>
        <w:rPr>
          <w:rFonts w:hint="eastAsia" w:cs="Times New Roman"/>
          <w:b w:val="0"/>
          <w:bCs/>
          <w:sz w:val="24"/>
          <w:szCs w:val="24"/>
        </w:rPr>
        <w:t>第</w:t>
      </w:r>
      <w:r>
        <w:rPr>
          <w:rFonts w:cs="Times New Roman"/>
          <w:b w:val="0"/>
          <w:bCs/>
          <w:sz w:val="24"/>
          <w:szCs w:val="24"/>
        </w:rPr>
        <w:t>16</w:t>
      </w:r>
      <w:r>
        <w:rPr>
          <w:rFonts w:hint="eastAsia" w:cs="Times New Roman"/>
          <w:b w:val="0"/>
          <w:bCs/>
          <w:sz w:val="24"/>
          <w:szCs w:val="24"/>
        </w:rPr>
        <w:t>周，达到银屑病面积和严重程度指数较基线至少改善</w:t>
      </w:r>
      <w:r>
        <w:rPr>
          <w:rFonts w:cs="Times New Roman"/>
          <w:b w:val="0"/>
          <w:bCs/>
          <w:sz w:val="24"/>
          <w:szCs w:val="24"/>
        </w:rPr>
        <w:t>75%</w:t>
      </w:r>
      <w:r>
        <w:rPr>
          <w:rFonts w:hint="eastAsia" w:cs="Times New Roman"/>
          <w:b w:val="0"/>
          <w:bCs/>
          <w:sz w:val="24"/>
          <w:szCs w:val="24"/>
        </w:rPr>
        <w:t>的参与者比例（</w:t>
      </w:r>
      <w:r>
        <w:rPr>
          <w:rFonts w:cs="Times New Roman"/>
          <w:b w:val="0"/>
          <w:bCs/>
          <w:sz w:val="24"/>
          <w:szCs w:val="24"/>
        </w:rPr>
        <w:t>PASI75</w:t>
      </w:r>
      <w:r>
        <w:rPr>
          <w:rFonts w:hint="eastAsia" w:cs="Times New Roman"/>
          <w:b w:val="0"/>
          <w:bCs/>
          <w:sz w:val="24"/>
          <w:szCs w:val="24"/>
        </w:rPr>
        <w:t>应答）；</w:t>
      </w:r>
    </w:p>
    <w:p w14:paraId="3BFCE680">
      <w:pPr>
        <w:pStyle w:val="114"/>
        <w:numPr>
          <w:ilvl w:val="0"/>
          <w:numId w:val="30"/>
        </w:numPr>
        <w:spacing w:before="0" w:after="0"/>
        <w:ind w:left="839"/>
        <w:jc w:val="left"/>
        <w:outlineLvl w:val="9"/>
        <w:rPr>
          <w:rFonts w:cs="Times New Roman"/>
          <w:bCs/>
          <w:sz w:val="24"/>
          <w:szCs w:val="24"/>
        </w:rPr>
      </w:pPr>
      <w:r>
        <w:rPr>
          <w:rFonts w:hint="eastAsia" w:cs="Times New Roman"/>
          <w:b w:val="0"/>
          <w:bCs/>
          <w:sz w:val="24"/>
          <w:szCs w:val="24"/>
        </w:rPr>
        <w:t>第</w:t>
      </w:r>
      <w:r>
        <w:rPr>
          <w:rFonts w:cs="Times New Roman"/>
          <w:b w:val="0"/>
          <w:bCs/>
          <w:sz w:val="24"/>
          <w:szCs w:val="24"/>
        </w:rPr>
        <w:t>16</w:t>
      </w:r>
      <w:r>
        <w:rPr>
          <w:rFonts w:hint="eastAsia" w:cs="Times New Roman"/>
          <w:b w:val="0"/>
          <w:bCs/>
          <w:sz w:val="24"/>
          <w:szCs w:val="24"/>
        </w:rPr>
        <w:t>周，达到</w:t>
      </w:r>
      <w:r>
        <w:rPr>
          <w:rFonts w:cs="Times New Roman"/>
          <w:b w:val="0"/>
          <w:bCs/>
          <w:sz w:val="24"/>
          <w:szCs w:val="24"/>
        </w:rPr>
        <w:t>PGA</w:t>
      </w:r>
      <w:r>
        <w:rPr>
          <w:rFonts w:hint="eastAsia" w:cs="Times New Roman"/>
          <w:b w:val="0"/>
          <w:bCs/>
          <w:sz w:val="24"/>
          <w:szCs w:val="24"/>
        </w:rPr>
        <w:t>评分为</w:t>
      </w:r>
      <w:r>
        <w:rPr>
          <w:rFonts w:cs="Times New Roman"/>
          <w:b w:val="0"/>
          <w:bCs/>
          <w:sz w:val="24"/>
          <w:szCs w:val="24"/>
        </w:rPr>
        <w:t>0</w:t>
      </w:r>
      <w:r>
        <w:rPr>
          <w:rFonts w:hint="eastAsia" w:cs="Times New Roman"/>
          <w:b w:val="0"/>
          <w:bCs/>
          <w:sz w:val="24"/>
          <w:szCs w:val="24"/>
        </w:rPr>
        <w:t>或</w:t>
      </w:r>
      <w:r>
        <w:rPr>
          <w:rFonts w:cs="Times New Roman"/>
          <w:b w:val="0"/>
          <w:bCs/>
          <w:sz w:val="24"/>
          <w:szCs w:val="24"/>
        </w:rPr>
        <w:t>1</w:t>
      </w:r>
      <w:r>
        <w:rPr>
          <w:rFonts w:hint="eastAsia" w:cs="Times New Roman"/>
          <w:b w:val="0"/>
          <w:bCs/>
          <w:sz w:val="24"/>
          <w:szCs w:val="24"/>
        </w:rPr>
        <w:t>的参与者比例（</w:t>
      </w:r>
      <w:r>
        <w:rPr>
          <w:rFonts w:cs="Times New Roman"/>
          <w:b w:val="0"/>
          <w:bCs/>
          <w:sz w:val="24"/>
          <w:szCs w:val="24"/>
        </w:rPr>
        <w:t>PGA-TS</w:t>
      </w:r>
      <w:r>
        <w:rPr>
          <w:rFonts w:hint="eastAsia" w:cs="Times New Roman"/>
          <w:b w:val="0"/>
          <w:bCs/>
          <w:sz w:val="24"/>
          <w:szCs w:val="24"/>
        </w:rPr>
        <w:t>）。</w:t>
      </w:r>
    </w:p>
    <w:p w14:paraId="75B9DECD">
      <w:pPr>
        <w:pStyle w:val="114"/>
        <w:spacing w:before="0" w:after="0"/>
        <w:ind w:left="440" w:leftChars="200"/>
        <w:jc w:val="left"/>
        <w:outlineLvl w:val="9"/>
        <w:rPr>
          <w:rFonts w:cs="Times New Roman"/>
          <w:sz w:val="24"/>
          <w:szCs w:val="24"/>
        </w:rPr>
      </w:pPr>
      <w:r>
        <w:rPr>
          <w:rFonts w:hint="eastAsia" w:cs="Times New Roman"/>
          <w:sz w:val="24"/>
          <w:szCs w:val="24"/>
        </w:rPr>
        <w:t>次要疗效指标</w:t>
      </w:r>
    </w:p>
    <w:p w14:paraId="673E81AC">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周</w:t>
      </w:r>
      <w:r>
        <w:rPr>
          <w:rFonts w:hint="eastAsia" w:cs="Times New Roman"/>
          <w:b w:val="0"/>
          <w:bCs/>
          <w:sz w:val="24"/>
          <w:szCs w:val="24"/>
          <w:lang w:eastAsia="zh-Hans"/>
        </w:rPr>
        <w:t>及扩展期各访视点</w:t>
      </w:r>
      <w:r>
        <w:rPr>
          <w:rFonts w:hint="eastAsia" w:cs="Times New Roman"/>
          <w:b w:val="0"/>
          <w:bCs/>
          <w:sz w:val="24"/>
          <w:szCs w:val="24"/>
        </w:rPr>
        <w:t>，达到</w:t>
      </w:r>
      <w:r>
        <w:rPr>
          <w:rFonts w:cs="Times New Roman"/>
          <w:b w:val="0"/>
          <w:bCs/>
          <w:sz w:val="24"/>
          <w:szCs w:val="24"/>
        </w:rPr>
        <w:t>PASI 75</w:t>
      </w:r>
      <w:r>
        <w:rPr>
          <w:rFonts w:hint="eastAsia" w:cs="Times New Roman"/>
          <w:b w:val="0"/>
          <w:bCs/>
          <w:sz w:val="24"/>
          <w:szCs w:val="24"/>
        </w:rPr>
        <w:t>应答的参与者比例；</w:t>
      </w:r>
    </w:p>
    <w:p w14:paraId="7399D5B9">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w:t>
      </w:r>
      <w:r>
        <w:rPr>
          <w:rFonts w:cs="Times New Roman"/>
          <w:b w:val="0"/>
          <w:bCs/>
          <w:sz w:val="24"/>
          <w:szCs w:val="24"/>
        </w:rPr>
        <w:t>16</w:t>
      </w:r>
      <w:r>
        <w:rPr>
          <w:rFonts w:hint="eastAsia" w:cs="Times New Roman"/>
          <w:b w:val="0"/>
          <w:bCs/>
          <w:sz w:val="24"/>
          <w:szCs w:val="24"/>
        </w:rPr>
        <w:t>周</w:t>
      </w:r>
      <w:r>
        <w:rPr>
          <w:rFonts w:hint="eastAsia" w:cs="Times New Roman"/>
          <w:b w:val="0"/>
          <w:bCs/>
          <w:sz w:val="24"/>
          <w:szCs w:val="24"/>
          <w:lang w:eastAsia="zh-Hans"/>
        </w:rPr>
        <w:t>及扩展期各访视点</w:t>
      </w:r>
      <w:r>
        <w:rPr>
          <w:rFonts w:hint="eastAsia" w:cs="Times New Roman"/>
          <w:b w:val="0"/>
          <w:bCs/>
          <w:sz w:val="24"/>
          <w:szCs w:val="24"/>
        </w:rPr>
        <w:t>，达到</w:t>
      </w:r>
      <w:r>
        <w:rPr>
          <w:rFonts w:cs="Times New Roman"/>
          <w:b w:val="0"/>
          <w:bCs/>
          <w:sz w:val="24"/>
          <w:szCs w:val="24"/>
        </w:rPr>
        <w:t>PASI 90/100</w:t>
      </w:r>
      <w:r>
        <w:rPr>
          <w:rFonts w:hint="eastAsia" w:cs="Times New Roman"/>
          <w:b w:val="0"/>
          <w:bCs/>
          <w:sz w:val="24"/>
          <w:szCs w:val="24"/>
        </w:rPr>
        <w:t>应答的参与者比例；</w:t>
      </w:r>
    </w:p>
    <w:p w14:paraId="12BD7D99">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周</w:t>
      </w:r>
      <w:r>
        <w:rPr>
          <w:rFonts w:hint="eastAsia" w:cs="Times New Roman"/>
          <w:b w:val="0"/>
          <w:bCs/>
          <w:sz w:val="24"/>
          <w:szCs w:val="24"/>
          <w:lang w:eastAsia="zh-Hans"/>
        </w:rPr>
        <w:t>及扩展期各访视点</w:t>
      </w:r>
      <w:r>
        <w:rPr>
          <w:rFonts w:hint="eastAsia" w:cs="Times New Roman"/>
          <w:b w:val="0"/>
          <w:bCs/>
          <w:sz w:val="24"/>
          <w:szCs w:val="24"/>
        </w:rPr>
        <w:t>，</w:t>
      </w:r>
      <w:r>
        <w:rPr>
          <w:rFonts w:cs="Times New Roman"/>
          <w:b w:val="0"/>
          <w:bCs/>
          <w:sz w:val="24"/>
          <w:szCs w:val="24"/>
        </w:rPr>
        <w:t>PGA</w:t>
      </w:r>
      <w:r>
        <w:rPr>
          <w:rFonts w:hint="eastAsia" w:cs="Times New Roman"/>
          <w:b w:val="0"/>
          <w:bCs/>
          <w:sz w:val="24"/>
          <w:szCs w:val="24"/>
        </w:rPr>
        <w:t>评分为</w:t>
      </w:r>
      <w:r>
        <w:rPr>
          <w:rFonts w:cs="Times New Roman"/>
          <w:b w:val="0"/>
          <w:bCs/>
          <w:sz w:val="24"/>
          <w:szCs w:val="24"/>
        </w:rPr>
        <w:t>0</w:t>
      </w:r>
      <w:r>
        <w:rPr>
          <w:rFonts w:hint="eastAsia" w:cs="Times New Roman"/>
          <w:b w:val="0"/>
          <w:bCs/>
          <w:sz w:val="24"/>
          <w:szCs w:val="24"/>
        </w:rPr>
        <w:t>或</w:t>
      </w:r>
      <w:r>
        <w:rPr>
          <w:rFonts w:cs="Times New Roman"/>
          <w:b w:val="0"/>
          <w:bCs/>
          <w:sz w:val="24"/>
          <w:szCs w:val="24"/>
        </w:rPr>
        <w:t>1</w:t>
      </w:r>
      <w:r>
        <w:rPr>
          <w:rFonts w:hint="eastAsia" w:cs="Times New Roman"/>
          <w:b w:val="0"/>
          <w:bCs/>
          <w:sz w:val="24"/>
          <w:szCs w:val="24"/>
        </w:rPr>
        <w:t>的参与者比例；</w:t>
      </w:r>
    </w:p>
    <w:p w14:paraId="6D8AF40E">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w:t>
      </w:r>
      <w:r>
        <w:rPr>
          <w:rFonts w:cs="Times New Roman"/>
          <w:b w:val="0"/>
          <w:bCs/>
          <w:sz w:val="24"/>
          <w:szCs w:val="24"/>
        </w:rPr>
        <w:t>16</w:t>
      </w:r>
      <w:r>
        <w:rPr>
          <w:rFonts w:hint="eastAsia" w:cs="Times New Roman"/>
          <w:b w:val="0"/>
          <w:bCs/>
          <w:sz w:val="24"/>
          <w:szCs w:val="24"/>
        </w:rPr>
        <w:t>周</w:t>
      </w:r>
      <w:r>
        <w:rPr>
          <w:rFonts w:hint="eastAsia" w:cs="Times New Roman"/>
          <w:b w:val="0"/>
          <w:bCs/>
          <w:sz w:val="24"/>
          <w:szCs w:val="24"/>
          <w:lang w:eastAsia="zh-Hans"/>
        </w:rPr>
        <w:t>及扩展期各访视点</w:t>
      </w:r>
      <w:r>
        <w:rPr>
          <w:rFonts w:hint="eastAsia" w:cs="Times New Roman"/>
          <w:b w:val="0"/>
          <w:bCs/>
          <w:sz w:val="24"/>
          <w:szCs w:val="24"/>
        </w:rPr>
        <w:t>，</w:t>
      </w:r>
      <w:r>
        <w:rPr>
          <w:rFonts w:cs="Times New Roman"/>
          <w:b w:val="0"/>
          <w:bCs/>
          <w:sz w:val="24"/>
          <w:szCs w:val="24"/>
        </w:rPr>
        <w:t>PASI</w:t>
      </w:r>
      <w:r>
        <w:rPr>
          <w:rFonts w:hint="eastAsia" w:cs="Times New Roman"/>
          <w:b w:val="0"/>
          <w:bCs/>
          <w:sz w:val="24"/>
          <w:szCs w:val="24"/>
        </w:rPr>
        <w:t>评分相对于基线的变化和相对于基线的变化百分比；</w:t>
      </w:r>
    </w:p>
    <w:p w14:paraId="176AE3D8">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w:t>
      </w:r>
      <w:r>
        <w:rPr>
          <w:rFonts w:cs="Times New Roman"/>
          <w:b w:val="0"/>
          <w:bCs/>
          <w:sz w:val="24"/>
          <w:szCs w:val="24"/>
        </w:rPr>
        <w:t>16</w:t>
      </w:r>
      <w:r>
        <w:rPr>
          <w:rFonts w:hint="eastAsia" w:cs="Times New Roman"/>
          <w:b w:val="0"/>
          <w:bCs/>
          <w:sz w:val="24"/>
          <w:szCs w:val="24"/>
        </w:rPr>
        <w:t>周</w:t>
      </w:r>
      <w:r>
        <w:rPr>
          <w:rFonts w:hint="eastAsia" w:cs="Times New Roman"/>
          <w:b w:val="0"/>
          <w:bCs/>
          <w:sz w:val="24"/>
          <w:szCs w:val="24"/>
          <w:lang w:eastAsia="zh-Hans"/>
        </w:rPr>
        <w:t>及扩展期各访视点</w:t>
      </w:r>
      <w:r>
        <w:rPr>
          <w:rFonts w:hint="eastAsia" w:cs="Times New Roman"/>
          <w:b w:val="0"/>
          <w:bCs/>
          <w:sz w:val="24"/>
          <w:szCs w:val="24"/>
        </w:rPr>
        <w:t>，</w:t>
      </w:r>
      <w:r>
        <w:rPr>
          <w:rFonts w:cs="Times New Roman"/>
          <w:b w:val="0"/>
          <w:bCs/>
          <w:sz w:val="24"/>
          <w:szCs w:val="24"/>
        </w:rPr>
        <w:t>BSA</w:t>
      </w:r>
      <w:r>
        <w:rPr>
          <w:rFonts w:hint="eastAsia" w:cs="Times New Roman"/>
          <w:b w:val="0"/>
          <w:bCs/>
          <w:sz w:val="24"/>
          <w:szCs w:val="24"/>
        </w:rPr>
        <w:t>相对于基线的变化和相对于基线变化的百分比；</w:t>
      </w:r>
    </w:p>
    <w:p w14:paraId="4129B507">
      <w:pPr>
        <w:pStyle w:val="114"/>
        <w:numPr>
          <w:ilvl w:val="0"/>
          <w:numId w:val="30"/>
        </w:numPr>
        <w:spacing w:before="0" w:after="0"/>
        <w:ind w:left="839"/>
        <w:jc w:val="left"/>
        <w:outlineLvl w:val="9"/>
        <w:rPr>
          <w:rFonts w:cs="Times New Roman"/>
          <w:b w:val="0"/>
          <w:bCs/>
          <w:sz w:val="24"/>
          <w:szCs w:val="24"/>
        </w:rPr>
      </w:pPr>
      <w:r>
        <w:rPr>
          <w:rFonts w:hint="eastAsia" w:cs="Times New Roman"/>
          <w:b w:val="0"/>
          <w:bCs/>
          <w:sz w:val="24"/>
          <w:szCs w:val="24"/>
        </w:rPr>
        <w:t>第</w:t>
      </w:r>
      <w:r>
        <w:rPr>
          <w:rFonts w:cs="Times New Roman"/>
          <w:b w:val="0"/>
          <w:bCs/>
          <w:sz w:val="24"/>
          <w:szCs w:val="24"/>
        </w:rPr>
        <w:t>2</w:t>
      </w:r>
      <w:r>
        <w:rPr>
          <w:rFonts w:hint="eastAsia" w:cs="Times New Roman"/>
          <w:b w:val="0"/>
          <w:bCs/>
          <w:sz w:val="24"/>
          <w:szCs w:val="24"/>
        </w:rPr>
        <w:t>、</w:t>
      </w:r>
      <w:r>
        <w:rPr>
          <w:rFonts w:cs="Times New Roman"/>
          <w:b w:val="0"/>
          <w:bCs/>
          <w:sz w:val="24"/>
          <w:szCs w:val="24"/>
        </w:rPr>
        <w:t>4</w:t>
      </w:r>
      <w:r>
        <w:rPr>
          <w:rFonts w:hint="eastAsia" w:cs="Times New Roman"/>
          <w:b w:val="0"/>
          <w:bCs/>
          <w:sz w:val="24"/>
          <w:szCs w:val="24"/>
        </w:rPr>
        <w:t>、</w:t>
      </w:r>
      <w:r>
        <w:rPr>
          <w:rFonts w:cs="Times New Roman"/>
          <w:b w:val="0"/>
          <w:bCs/>
          <w:sz w:val="24"/>
          <w:szCs w:val="24"/>
        </w:rPr>
        <w:t>8</w:t>
      </w:r>
      <w:r>
        <w:rPr>
          <w:rFonts w:hint="eastAsia" w:cs="Times New Roman"/>
          <w:b w:val="0"/>
          <w:bCs/>
          <w:sz w:val="24"/>
          <w:szCs w:val="24"/>
        </w:rPr>
        <w:t>、</w:t>
      </w:r>
      <w:r>
        <w:rPr>
          <w:rFonts w:cs="Times New Roman"/>
          <w:b w:val="0"/>
          <w:bCs/>
          <w:sz w:val="24"/>
          <w:szCs w:val="24"/>
        </w:rPr>
        <w:t>12</w:t>
      </w:r>
      <w:r>
        <w:rPr>
          <w:rFonts w:hint="eastAsia" w:cs="Times New Roman"/>
          <w:b w:val="0"/>
          <w:bCs/>
          <w:sz w:val="24"/>
          <w:szCs w:val="24"/>
        </w:rPr>
        <w:t>、</w:t>
      </w:r>
      <w:r>
        <w:rPr>
          <w:rFonts w:cs="Times New Roman"/>
          <w:b w:val="0"/>
          <w:bCs/>
          <w:sz w:val="24"/>
          <w:szCs w:val="24"/>
        </w:rPr>
        <w:t>16</w:t>
      </w:r>
      <w:r>
        <w:rPr>
          <w:rFonts w:hint="eastAsia" w:cs="Times New Roman"/>
          <w:b w:val="0"/>
          <w:bCs/>
          <w:sz w:val="24"/>
          <w:szCs w:val="24"/>
        </w:rPr>
        <w:t>周</w:t>
      </w:r>
      <w:r>
        <w:rPr>
          <w:rFonts w:hint="eastAsia" w:cs="Times New Roman"/>
          <w:b w:val="0"/>
          <w:bCs/>
          <w:sz w:val="24"/>
          <w:szCs w:val="24"/>
          <w:lang w:eastAsia="zh-Hans"/>
        </w:rPr>
        <w:t>及扩展期各访视点</w:t>
      </w:r>
      <w:r>
        <w:rPr>
          <w:rFonts w:hint="eastAsia" w:cs="Times New Roman"/>
          <w:b w:val="0"/>
          <w:bCs/>
          <w:sz w:val="24"/>
          <w:szCs w:val="24"/>
        </w:rPr>
        <w:t>，</w:t>
      </w:r>
      <w:r>
        <w:rPr>
          <w:rFonts w:cs="Times New Roman"/>
          <w:b w:val="0"/>
          <w:bCs/>
          <w:sz w:val="24"/>
          <w:szCs w:val="24"/>
        </w:rPr>
        <w:t>DLQI</w:t>
      </w:r>
      <w:r>
        <w:rPr>
          <w:rFonts w:hint="eastAsia" w:cs="Times New Roman"/>
          <w:b w:val="0"/>
          <w:bCs/>
          <w:sz w:val="24"/>
          <w:szCs w:val="24"/>
        </w:rPr>
        <w:t>评分与基线相比的变化。</w:t>
      </w:r>
    </w:p>
    <w:p w14:paraId="7AA13D85">
      <w:pPr>
        <w:pStyle w:val="114"/>
        <w:spacing w:before="0" w:after="0"/>
        <w:ind w:left="440" w:leftChars="200"/>
        <w:outlineLvl w:val="9"/>
        <w:rPr>
          <w:rFonts w:cs="Times New Roman"/>
          <w:sz w:val="24"/>
          <w:szCs w:val="24"/>
          <w:lang w:eastAsia="zh-Hans"/>
        </w:rPr>
      </w:pPr>
      <w:r>
        <w:rPr>
          <w:rFonts w:hint="eastAsia" w:cs="Times New Roman"/>
          <w:sz w:val="24"/>
          <w:szCs w:val="24"/>
          <w:lang w:eastAsia="zh-Hans"/>
        </w:rPr>
        <w:t>安全性指标</w:t>
      </w:r>
    </w:p>
    <w:p w14:paraId="113710E1">
      <w:pPr>
        <w:pStyle w:val="114"/>
        <w:numPr>
          <w:ilvl w:val="0"/>
          <w:numId w:val="30"/>
        </w:numPr>
        <w:spacing w:before="0" w:after="0"/>
        <w:ind w:left="839"/>
        <w:outlineLvl w:val="9"/>
        <w:rPr>
          <w:rFonts w:cs="Times New Roman"/>
          <w:b w:val="0"/>
          <w:bCs/>
          <w:sz w:val="24"/>
          <w:szCs w:val="24"/>
          <w:lang w:eastAsia="zh-Hans"/>
        </w:rPr>
      </w:pPr>
      <w:r>
        <w:rPr>
          <w:rFonts w:hint="eastAsia" w:cs="Times New Roman"/>
          <w:b w:val="0"/>
          <w:bCs/>
          <w:sz w:val="24"/>
          <w:szCs w:val="24"/>
          <w:lang w:eastAsia="zh-Hans"/>
        </w:rPr>
        <w:t>不良事件、治疗期出现的不良事件和严重不良事件的发生率；</w:t>
      </w:r>
    </w:p>
    <w:p w14:paraId="0FA4284F">
      <w:pPr>
        <w:pStyle w:val="114"/>
        <w:numPr>
          <w:ilvl w:val="0"/>
          <w:numId w:val="30"/>
        </w:numPr>
        <w:spacing w:before="0" w:after="0"/>
        <w:ind w:left="839"/>
        <w:outlineLvl w:val="9"/>
        <w:rPr>
          <w:rFonts w:cs="Times New Roman"/>
          <w:b w:val="0"/>
          <w:bCs/>
          <w:sz w:val="24"/>
          <w:szCs w:val="24"/>
          <w:lang w:eastAsia="zh-Hans"/>
        </w:rPr>
      </w:pPr>
      <w:r>
        <w:rPr>
          <w:rFonts w:hint="eastAsia" w:cs="Times New Roman"/>
          <w:b w:val="0"/>
          <w:bCs/>
          <w:sz w:val="24"/>
          <w:szCs w:val="24"/>
          <w:lang w:eastAsia="zh-Hans"/>
        </w:rPr>
        <w:t>常规安全性参数，包括实验室检查、生命体征测量、</w:t>
      </w:r>
      <w:r>
        <w:rPr>
          <w:rFonts w:cs="Times New Roman"/>
          <w:b w:val="0"/>
          <w:bCs/>
          <w:sz w:val="24"/>
          <w:szCs w:val="24"/>
          <w:lang w:eastAsia="zh-Hans"/>
        </w:rPr>
        <w:t>12</w:t>
      </w:r>
      <w:r>
        <w:rPr>
          <w:rFonts w:hint="eastAsia" w:cs="Times New Roman"/>
          <w:b w:val="0"/>
          <w:bCs/>
          <w:sz w:val="24"/>
          <w:szCs w:val="24"/>
          <w:lang w:eastAsia="zh-Hans"/>
        </w:rPr>
        <w:t>导联心电图（</w:t>
      </w:r>
      <w:r>
        <w:rPr>
          <w:rFonts w:cs="Times New Roman"/>
          <w:b w:val="0"/>
          <w:bCs/>
          <w:sz w:val="24"/>
          <w:szCs w:val="24"/>
          <w:lang w:eastAsia="zh-Hans"/>
        </w:rPr>
        <w:t>ECG</w:t>
      </w:r>
      <w:r>
        <w:rPr>
          <w:rFonts w:hint="eastAsia" w:cs="Times New Roman"/>
          <w:b w:val="0"/>
          <w:bCs/>
          <w:sz w:val="24"/>
          <w:szCs w:val="24"/>
          <w:lang w:eastAsia="zh-Hans"/>
        </w:rPr>
        <w:t>）和体格检查等</w:t>
      </w:r>
      <w:r>
        <w:rPr>
          <w:rFonts w:hint="eastAsia" w:cs="Times New Roman"/>
          <w:b w:val="0"/>
          <w:bCs/>
          <w:sz w:val="24"/>
          <w:szCs w:val="24"/>
        </w:rPr>
        <w:t>。</w:t>
      </w:r>
    </w:p>
    <w:p w14:paraId="15CC20FA">
      <w:pPr>
        <w:pStyle w:val="114"/>
        <w:spacing w:before="0" w:after="0"/>
        <w:ind w:left="440" w:leftChars="200"/>
        <w:outlineLvl w:val="9"/>
        <w:rPr>
          <w:rFonts w:cs="Times New Roman"/>
          <w:sz w:val="24"/>
          <w:szCs w:val="24"/>
        </w:rPr>
      </w:pPr>
      <w:r>
        <w:rPr>
          <w:rFonts w:hint="eastAsia" w:cs="Times New Roman"/>
          <w:sz w:val="24"/>
          <w:szCs w:val="24"/>
        </w:rPr>
        <w:t>药代动力学指标</w:t>
      </w:r>
    </w:p>
    <w:p w14:paraId="7DA93430">
      <w:pPr>
        <w:pStyle w:val="114"/>
        <w:numPr>
          <w:ilvl w:val="0"/>
          <w:numId w:val="30"/>
        </w:numPr>
        <w:spacing w:before="0" w:after="0"/>
        <w:ind w:left="839"/>
        <w:outlineLvl w:val="9"/>
        <w:rPr>
          <w:rFonts w:cs="Times New Roman"/>
          <w:sz w:val="24"/>
          <w:szCs w:val="24"/>
        </w:rPr>
      </w:pPr>
      <w:r>
        <w:rPr>
          <w:rFonts w:hint="eastAsia" w:cs="Times New Roman"/>
          <w:b w:val="0"/>
          <w:bCs/>
          <w:sz w:val="24"/>
          <w:szCs w:val="24"/>
          <w:lang w:eastAsia="zh-Hans"/>
        </w:rPr>
        <w:t>评价</w:t>
      </w:r>
      <w:r>
        <w:rPr>
          <w:rFonts w:cs="Times New Roman"/>
          <w:b w:val="0"/>
          <w:bCs/>
          <w:sz w:val="24"/>
          <w:szCs w:val="24"/>
          <w:lang w:eastAsia="zh-Hans"/>
        </w:rPr>
        <w:t>CMS-D001</w:t>
      </w:r>
      <w:r>
        <w:rPr>
          <w:rFonts w:hint="eastAsia" w:cs="Times New Roman"/>
          <w:b w:val="0"/>
          <w:bCs/>
          <w:sz w:val="24"/>
          <w:szCs w:val="24"/>
          <w:lang w:eastAsia="zh-Hans"/>
        </w:rPr>
        <w:t>及其主要代谢产物（如适用）在斑块状银屑病患者中的</w:t>
      </w:r>
      <w:r>
        <w:rPr>
          <w:rFonts w:cs="Times New Roman"/>
          <w:b w:val="0"/>
          <w:bCs/>
          <w:sz w:val="24"/>
          <w:szCs w:val="24"/>
          <w:lang w:eastAsia="zh-Hans"/>
        </w:rPr>
        <w:t>PK</w:t>
      </w:r>
      <w:r>
        <w:rPr>
          <w:rFonts w:hint="eastAsia" w:cs="Times New Roman"/>
          <w:b w:val="0"/>
          <w:bCs/>
          <w:sz w:val="24"/>
          <w:szCs w:val="24"/>
          <w:lang w:eastAsia="zh-Hans"/>
        </w:rPr>
        <w:t>特征</w:t>
      </w:r>
      <w:r>
        <w:rPr>
          <w:rFonts w:hint="eastAsia" w:cs="Times New Roman"/>
          <w:b w:val="0"/>
          <w:bCs/>
          <w:sz w:val="24"/>
          <w:szCs w:val="24"/>
        </w:rPr>
        <w:t>，计算以下参数：</w:t>
      </w:r>
      <w:r>
        <w:rPr>
          <w:rFonts w:cs="Times New Roman"/>
          <w:b w:val="0"/>
          <w:bCs/>
          <w:sz w:val="24"/>
          <w:szCs w:val="24"/>
        </w:rPr>
        <w:t>C</w:t>
      </w:r>
      <w:r>
        <w:rPr>
          <w:rFonts w:cs="Times New Roman"/>
          <w:b w:val="0"/>
          <w:sz w:val="24"/>
          <w:szCs w:val="24"/>
          <w:vertAlign w:val="subscript"/>
        </w:rPr>
        <w:t>trough</w:t>
      </w:r>
      <w:r>
        <w:rPr>
          <w:rFonts w:hint="eastAsia" w:cs="Times New Roman"/>
          <w:b w:val="0"/>
          <w:bCs/>
          <w:sz w:val="24"/>
          <w:szCs w:val="24"/>
        </w:rPr>
        <w:t>；</w:t>
      </w:r>
    </w:p>
    <w:p w14:paraId="74F226CD">
      <w:pPr>
        <w:pStyle w:val="114"/>
        <w:numPr>
          <w:ilvl w:val="0"/>
          <w:numId w:val="30"/>
        </w:numPr>
        <w:spacing w:before="0" w:after="0"/>
        <w:ind w:left="839"/>
        <w:outlineLvl w:val="9"/>
        <w:rPr>
          <w:rFonts w:cs="Times New Roman"/>
          <w:b w:val="0"/>
          <w:bCs/>
          <w:sz w:val="24"/>
          <w:szCs w:val="24"/>
          <w:lang w:eastAsia="zh-Hans"/>
        </w:rPr>
      </w:pPr>
      <w:r>
        <w:rPr>
          <w:rFonts w:hint="eastAsia" w:cs="Times New Roman"/>
          <w:b w:val="0"/>
          <w:bCs/>
          <w:sz w:val="24"/>
          <w:szCs w:val="24"/>
          <w:lang w:eastAsia="zh-Hans"/>
        </w:rPr>
        <w:t>如数据允许，还将基于</w:t>
      </w:r>
      <w:r>
        <w:rPr>
          <w:rFonts w:cs="Times New Roman"/>
          <w:b w:val="0"/>
          <w:bCs/>
          <w:sz w:val="24"/>
          <w:szCs w:val="24"/>
          <w:lang w:eastAsia="zh-Hans"/>
        </w:rPr>
        <w:t>PopPK</w:t>
      </w:r>
      <w:r>
        <w:rPr>
          <w:rFonts w:hint="eastAsia" w:cs="Times New Roman"/>
          <w:b w:val="0"/>
          <w:bCs/>
          <w:sz w:val="24"/>
          <w:szCs w:val="24"/>
          <w:lang w:eastAsia="zh-Hans"/>
        </w:rPr>
        <w:t>分析方法，探索</w:t>
      </w:r>
      <w:r>
        <w:rPr>
          <w:rFonts w:cs="Times New Roman"/>
          <w:b w:val="0"/>
          <w:bCs/>
          <w:sz w:val="24"/>
          <w:szCs w:val="24"/>
          <w:lang w:eastAsia="zh-Hans"/>
        </w:rPr>
        <w:t>CMS-D001</w:t>
      </w:r>
      <w:r>
        <w:rPr>
          <w:rFonts w:hint="eastAsia" w:cs="Times New Roman"/>
          <w:b w:val="0"/>
          <w:bCs/>
          <w:sz w:val="24"/>
          <w:szCs w:val="24"/>
          <w:lang w:eastAsia="zh-Hans"/>
        </w:rPr>
        <w:t>及其主要代谢产物（如适用）在斑块状银屑病患者中的</w:t>
      </w:r>
      <w:r>
        <w:rPr>
          <w:rFonts w:cs="Times New Roman"/>
          <w:b w:val="0"/>
          <w:bCs/>
          <w:sz w:val="24"/>
          <w:szCs w:val="24"/>
          <w:lang w:eastAsia="zh-Hans"/>
        </w:rPr>
        <w:t>PK</w:t>
      </w:r>
      <w:r>
        <w:rPr>
          <w:rFonts w:hint="eastAsia" w:cs="Times New Roman"/>
          <w:b w:val="0"/>
          <w:bCs/>
          <w:sz w:val="24"/>
          <w:szCs w:val="24"/>
          <w:lang w:eastAsia="zh-Hans"/>
        </w:rPr>
        <w:t>特征及暴露与疗效及不良事件之间的关系。</w:t>
      </w:r>
    </w:p>
    <w:p w14:paraId="2F1F9D17">
      <w:pPr>
        <w:pStyle w:val="114"/>
        <w:spacing w:before="0" w:after="0"/>
        <w:ind w:left="440" w:leftChars="200"/>
        <w:outlineLvl w:val="9"/>
        <w:rPr>
          <w:rFonts w:cs="Times New Roman"/>
          <w:sz w:val="24"/>
          <w:szCs w:val="24"/>
        </w:rPr>
      </w:pPr>
      <w:r>
        <w:rPr>
          <w:rFonts w:hint="eastAsia" w:cs="Times New Roman"/>
          <w:sz w:val="24"/>
          <w:szCs w:val="24"/>
        </w:rPr>
        <w:t>其他指标</w:t>
      </w:r>
    </w:p>
    <w:p w14:paraId="1AC300E9">
      <w:pPr>
        <w:pStyle w:val="114"/>
        <w:numPr>
          <w:ilvl w:val="0"/>
          <w:numId w:val="30"/>
        </w:numPr>
        <w:spacing w:before="0" w:after="0"/>
        <w:ind w:left="839"/>
        <w:outlineLvl w:val="9"/>
        <w:rPr>
          <w:rFonts w:cs="Times New Roman"/>
          <w:b w:val="0"/>
          <w:bCs/>
          <w:sz w:val="24"/>
          <w:szCs w:val="24"/>
          <w:lang w:eastAsia="zh-Hans"/>
        </w:rPr>
      </w:pPr>
      <w:r>
        <w:rPr>
          <w:rFonts w:hint="eastAsia" w:cs="Times New Roman"/>
          <w:b w:val="0"/>
          <w:bCs/>
          <w:sz w:val="24"/>
          <w:szCs w:val="24"/>
          <w:lang w:eastAsia="zh-Hans"/>
        </w:rPr>
        <w:t>第</w:t>
      </w:r>
      <w:r>
        <w:rPr>
          <w:rFonts w:cs="Times New Roman"/>
          <w:b w:val="0"/>
          <w:bCs/>
          <w:sz w:val="24"/>
          <w:szCs w:val="24"/>
          <w:lang w:eastAsia="zh-Hans"/>
        </w:rPr>
        <w:t>2</w:t>
      </w:r>
      <w:r>
        <w:rPr>
          <w:rFonts w:hint="eastAsia" w:cs="Times New Roman"/>
          <w:b w:val="0"/>
          <w:bCs/>
          <w:sz w:val="24"/>
          <w:szCs w:val="24"/>
          <w:lang w:eastAsia="zh-Hans"/>
        </w:rPr>
        <w:t>、</w:t>
      </w:r>
      <w:r>
        <w:rPr>
          <w:rFonts w:cs="Times New Roman"/>
          <w:b w:val="0"/>
          <w:bCs/>
          <w:sz w:val="24"/>
          <w:szCs w:val="24"/>
          <w:lang w:eastAsia="zh-Hans"/>
        </w:rPr>
        <w:t>4</w:t>
      </w:r>
      <w:r>
        <w:rPr>
          <w:rFonts w:hint="eastAsia" w:cs="Times New Roman"/>
          <w:b w:val="0"/>
          <w:bCs/>
          <w:sz w:val="24"/>
          <w:szCs w:val="24"/>
          <w:lang w:eastAsia="zh-Hans"/>
        </w:rPr>
        <w:t>、</w:t>
      </w:r>
      <w:r>
        <w:rPr>
          <w:rFonts w:cs="Times New Roman"/>
          <w:b w:val="0"/>
          <w:bCs/>
          <w:sz w:val="24"/>
          <w:szCs w:val="24"/>
          <w:lang w:eastAsia="zh-Hans"/>
        </w:rPr>
        <w:t>8</w:t>
      </w:r>
      <w:r>
        <w:rPr>
          <w:rFonts w:hint="eastAsia" w:cs="Times New Roman"/>
          <w:b w:val="0"/>
          <w:bCs/>
          <w:sz w:val="24"/>
          <w:szCs w:val="24"/>
          <w:lang w:eastAsia="zh-Hans"/>
        </w:rPr>
        <w:t>、</w:t>
      </w:r>
      <w:r>
        <w:rPr>
          <w:rFonts w:cs="Times New Roman"/>
          <w:b w:val="0"/>
          <w:bCs/>
          <w:sz w:val="24"/>
          <w:szCs w:val="24"/>
          <w:lang w:eastAsia="zh-Hans"/>
        </w:rPr>
        <w:t>12</w:t>
      </w:r>
      <w:r>
        <w:rPr>
          <w:rFonts w:hint="eastAsia" w:cs="Times New Roman"/>
          <w:b w:val="0"/>
          <w:bCs/>
          <w:sz w:val="24"/>
          <w:szCs w:val="24"/>
          <w:lang w:eastAsia="zh-Hans"/>
        </w:rPr>
        <w:t>、</w:t>
      </w:r>
      <w:r>
        <w:rPr>
          <w:rFonts w:cs="Times New Roman"/>
          <w:b w:val="0"/>
          <w:bCs/>
          <w:sz w:val="24"/>
          <w:szCs w:val="24"/>
          <w:lang w:eastAsia="zh-Hans"/>
        </w:rPr>
        <w:t>16</w:t>
      </w:r>
      <w:r>
        <w:rPr>
          <w:rFonts w:hint="eastAsia" w:cs="Times New Roman"/>
          <w:b w:val="0"/>
          <w:bCs/>
          <w:sz w:val="24"/>
          <w:szCs w:val="24"/>
          <w:lang w:eastAsia="zh-Hans"/>
        </w:rPr>
        <w:t>、</w:t>
      </w:r>
      <w:r>
        <w:rPr>
          <w:rFonts w:cs="Times New Roman"/>
          <w:b w:val="0"/>
          <w:bCs/>
          <w:sz w:val="24"/>
          <w:szCs w:val="24"/>
          <w:lang w:eastAsia="zh-Hans"/>
        </w:rPr>
        <w:t>20</w:t>
      </w:r>
      <w:r>
        <w:rPr>
          <w:rFonts w:hint="eastAsia" w:cs="Times New Roman"/>
          <w:b w:val="0"/>
          <w:bCs/>
          <w:sz w:val="24"/>
          <w:szCs w:val="24"/>
          <w:lang w:eastAsia="zh-Hans"/>
        </w:rPr>
        <w:t>、</w:t>
      </w:r>
      <w:r>
        <w:rPr>
          <w:rFonts w:cs="Times New Roman"/>
          <w:b w:val="0"/>
          <w:bCs/>
          <w:sz w:val="24"/>
          <w:szCs w:val="24"/>
          <w:lang w:eastAsia="zh-Hans"/>
        </w:rPr>
        <w:t>28</w:t>
      </w:r>
      <w:r>
        <w:rPr>
          <w:rFonts w:hint="eastAsia" w:cs="Times New Roman"/>
          <w:b w:val="0"/>
          <w:bCs/>
          <w:sz w:val="24"/>
          <w:szCs w:val="24"/>
          <w:lang w:eastAsia="zh-Hans"/>
        </w:rPr>
        <w:t>、</w:t>
      </w:r>
      <w:r>
        <w:rPr>
          <w:rFonts w:cs="Times New Roman"/>
          <w:b w:val="0"/>
          <w:bCs/>
          <w:sz w:val="24"/>
          <w:szCs w:val="24"/>
          <w:lang w:eastAsia="zh-Hans"/>
        </w:rPr>
        <w:t>36</w:t>
      </w:r>
      <w:r>
        <w:rPr>
          <w:rFonts w:hint="eastAsia" w:cs="Times New Roman"/>
          <w:b w:val="0"/>
          <w:bCs/>
          <w:sz w:val="24"/>
          <w:szCs w:val="24"/>
          <w:lang w:eastAsia="zh-Hans"/>
        </w:rPr>
        <w:t>、</w:t>
      </w:r>
      <w:r>
        <w:rPr>
          <w:rFonts w:cs="Times New Roman"/>
          <w:b w:val="0"/>
          <w:bCs/>
          <w:sz w:val="24"/>
          <w:szCs w:val="24"/>
          <w:lang w:eastAsia="zh-Hans"/>
        </w:rPr>
        <w:t>44</w:t>
      </w:r>
      <w:r>
        <w:rPr>
          <w:rFonts w:hint="eastAsia" w:cs="Times New Roman"/>
          <w:b w:val="0"/>
          <w:bCs/>
          <w:sz w:val="24"/>
          <w:szCs w:val="24"/>
          <w:lang w:eastAsia="zh-Hans"/>
        </w:rPr>
        <w:t>、</w:t>
      </w:r>
      <w:r>
        <w:rPr>
          <w:rFonts w:cs="Times New Roman"/>
          <w:b w:val="0"/>
          <w:bCs/>
          <w:sz w:val="24"/>
          <w:szCs w:val="24"/>
          <w:lang w:eastAsia="zh-Hans"/>
        </w:rPr>
        <w:t>52</w:t>
      </w:r>
      <w:r>
        <w:rPr>
          <w:rFonts w:hint="eastAsia" w:cs="Times New Roman"/>
          <w:b w:val="0"/>
          <w:bCs/>
          <w:sz w:val="24"/>
          <w:szCs w:val="24"/>
          <w:lang w:eastAsia="zh-Hans"/>
        </w:rPr>
        <w:t>周，血清</w:t>
      </w:r>
      <w:r>
        <w:rPr>
          <w:rFonts w:cs="Times New Roman"/>
          <w:b w:val="0"/>
          <w:bCs/>
          <w:sz w:val="24"/>
          <w:szCs w:val="24"/>
          <w:lang w:eastAsia="zh-Hans"/>
        </w:rPr>
        <w:t>IL-17A</w:t>
      </w:r>
      <w:r>
        <w:rPr>
          <w:rFonts w:hint="eastAsia" w:cs="Times New Roman"/>
          <w:b w:val="0"/>
          <w:bCs/>
          <w:sz w:val="24"/>
          <w:szCs w:val="24"/>
          <w:lang w:eastAsia="zh-Hans"/>
        </w:rPr>
        <w:t>等生物标志物水平较基线的变化值和百分比。</w:t>
      </w:r>
    </w:p>
    <w:p w14:paraId="67E4B2E3">
      <w:pPr>
        <w:pStyle w:val="116"/>
        <w:numPr>
          <w:ilvl w:val="1"/>
          <w:numId w:val="12"/>
        </w:numPr>
        <w:jc w:val="left"/>
        <w:rPr>
          <w:rFonts w:cs="Times New Roman"/>
          <w:sz w:val="24"/>
          <w:szCs w:val="24"/>
        </w:rPr>
      </w:pPr>
      <w:bookmarkStart w:id="56" w:name="_Toc217032227"/>
      <w:r>
        <w:rPr>
          <w:rFonts w:hint="eastAsia" w:cs="Times New Roman"/>
          <w:sz w:val="24"/>
          <w:szCs w:val="24"/>
        </w:rPr>
        <w:t>Ⅲ期临床研究阶段主要估计目标</w:t>
      </w:r>
      <w:bookmarkEnd w:id="56"/>
    </w:p>
    <w:p w14:paraId="445ED2D4">
      <w:pPr>
        <w:pStyle w:val="114"/>
        <w:spacing w:before="0" w:after="0"/>
        <w:ind w:left="440" w:leftChars="200"/>
        <w:jc w:val="left"/>
        <w:outlineLvl w:val="9"/>
        <w:rPr>
          <w:rFonts w:cs="Times New Roman"/>
          <w:sz w:val="24"/>
          <w:szCs w:val="24"/>
        </w:rPr>
      </w:pPr>
      <w:r>
        <w:rPr>
          <w:rFonts w:hint="eastAsia" w:cs="Times New Roman"/>
          <w:sz w:val="24"/>
          <w:szCs w:val="24"/>
        </w:rPr>
        <w:t>主要估计目标</w:t>
      </w:r>
      <w:r>
        <w:rPr>
          <w:rFonts w:cs="Times New Roman"/>
          <w:sz w:val="24"/>
          <w:szCs w:val="24"/>
        </w:rPr>
        <w:t>1</w:t>
      </w:r>
      <w:r>
        <w:rPr>
          <w:rFonts w:hint="eastAsia" w:cs="Times New Roman"/>
          <w:sz w:val="24"/>
          <w:szCs w:val="24"/>
        </w:rPr>
        <w:t>：</w:t>
      </w:r>
    </w:p>
    <w:p w14:paraId="2C41F400">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目标人群：</w:t>
      </w:r>
      <w:r>
        <w:rPr>
          <w:rFonts w:hint="eastAsia" w:cs="Times New Roman"/>
          <w:b w:val="0"/>
          <w:bCs/>
          <w:sz w:val="24"/>
          <w:szCs w:val="24"/>
        </w:rPr>
        <w:t>满足所有入排标准并随机入组的中度至重度斑块状银屑病成人患者。</w:t>
      </w:r>
    </w:p>
    <w:p w14:paraId="41679F99">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治疗：</w:t>
      </w:r>
      <w:r>
        <w:rPr>
          <w:rFonts w:hint="eastAsia" w:cs="Times New Roman"/>
          <w:b w:val="0"/>
          <w:bCs/>
          <w:sz w:val="24"/>
          <w:szCs w:val="24"/>
        </w:rPr>
        <w:t>试验药物</w:t>
      </w:r>
      <w:r>
        <w:rPr>
          <w:rFonts w:cs="Times New Roman"/>
          <w:b w:val="0"/>
          <w:bCs/>
          <w:sz w:val="24"/>
          <w:szCs w:val="24"/>
        </w:rPr>
        <w:t>CMS-D001</w:t>
      </w:r>
      <w:r>
        <w:rPr>
          <w:rFonts w:hint="eastAsia" w:cs="Times New Roman"/>
          <w:b w:val="0"/>
          <w:bCs/>
          <w:sz w:val="24"/>
          <w:szCs w:val="24"/>
        </w:rPr>
        <w:t>片或安慰剂。</w:t>
      </w:r>
    </w:p>
    <w:p w14:paraId="514C1DED">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目标变量：</w:t>
      </w:r>
      <w:r>
        <w:rPr>
          <w:rFonts w:hint="eastAsia" w:cs="Times New Roman"/>
          <w:b w:val="0"/>
          <w:bCs/>
          <w:sz w:val="24"/>
          <w:szCs w:val="24"/>
        </w:rPr>
        <w:t>第</w:t>
      </w:r>
      <w:r>
        <w:rPr>
          <w:rFonts w:cs="Times New Roman"/>
          <w:b w:val="0"/>
          <w:bCs/>
          <w:sz w:val="24"/>
          <w:szCs w:val="24"/>
        </w:rPr>
        <w:t>16</w:t>
      </w:r>
      <w:r>
        <w:rPr>
          <w:rFonts w:hint="eastAsia" w:cs="Times New Roman"/>
          <w:b w:val="0"/>
          <w:bCs/>
          <w:sz w:val="24"/>
          <w:szCs w:val="24"/>
        </w:rPr>
        <w:t>周达到</w:t>
      </w:r>
      <w:r>
        <w:rPr>
          <w:rFonts w:cs="Times New Roman"/>
          <w:b w:val="0"/>
          <w:bCs/>
          <w:sz w:val="24"/>
          <w:szCs w:val="24"/>
        </w:rPr>
        <w:t>PASI75</w:t>
      </w:r>
      <w:r>
        <w:rPr>
          <w:rFonts w:hint="eastAsia" w:cs="Times New Roman"/>
          <w:b w:val="0"/>
          <w:bCs/>
          <w:sz w:val="24"/>
          <w:szCs w:val="24"/>
        </w:rPr>
        <w:t>应答的参与者比例。</w:t>
      </w:r>
    </w:p>
    <w:p w14:paraId="1FD256BF">
      <w:pPr>
        <w:pStyle w:val="114"/>
        <w:numPr>
          <w:ilvl w:val="0"/>
          <w:numId w:val="30"/>
        </w:numPr>
        <w:spacing w:before="0" w:after="0"/>
        <w:ind w:left="839"/>
        <w:jc w:val="left"/>
        <w:outlineLvl w:val="9"/>
        <w:rPr>
          <w:rFonts w:cs="Times New Roman"/>
          <w:bCs/>
          <w:sz w:val="24"/>
          <w:szCs w:val="24"/>
        </w:rPr>
      </w:pPr>
      <w:r>
        <w:rPr>
          <w:rFonts w:hint="eastAsia" w:cs="Times New Roman"/>
          <w:bCs/>
          <w:sz w:val="24"/>
          <w:szCs w:val="24"/>
        </w:rPr>
        <w:t>伴发事件及处理策略：</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9"/>
        <w:gridCol w:w="1624"/>
        <w:gridCol w:w="4179"/>
      </w:tblGrid>
      <w:tr w14:paraId="41DF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60" w:type="pct"/>
          </w:tcPr>
          <w:p w14:paraId="35B4FD5D">
            <w:pPr>
              <w:spacing w:before="60" w:line="360" w:lineRule="auto"/>
              <w:jc w:val="center"/>
              <w:rPr>
                <w:rFonts w:ascii="Times New Roman" w:hAnsi="Times New Roman" w:eastAsia="宋体" w:cs="Times New Roman"/>
                <w:b/>
                <w:bCs/>
                <w:kern w:val="2"/>
                <w:sz w:val="24"/>
                <w:szCs w:val="24"/>
                <w:lang w:eastAsia="en-US"/>
              </w:rPr>
            </w:pPr>
            <w:r>
              <w:rPr>
                <w:rFonts w:hint="eastAsia" w:ascii="Times New Roman" w:hAnsi="Times New Roman" w:eastAsia="宋体" w:cs="Times New Roman"/>
                <w:b/>
                <w:bCs/>
                <w:kern w:val="2"/>
                <w:sz w:val="24"/>
                <w:szCs w:val="24"/>
                <w:lang w:eastAsia="en-US"/>
              </w:rPr>
              <w:t>伴发事件</w:t>
            </w:r>
          </w:p>
        </w:tc>
        <w:tc>
          <w:tcPr>
            <w:tcW w:w="878" w:type="pct"/>
          </w:tcPr>
          <w:p w14:paraId="5CE335F0">
            <w:pPr>
              <w:spacing w:before="60" w:line="360" w:lineRule="auto"/>
              <w:jc w:val="center"/>
              <w:rPr>
                <w:rFonts w:ascii="Times New Roman" w:hAnsi="Times New Roman" w:eastAsia="宋体" w:cs="Times New Roman"/>
                <w:b/>
                <w:bCs/>
                <w:kern w:val="2"/>
                <w:sz w:val="24"/>
                <w:szCs w:val="24"/>
                <w:lang w:eastAsia="en-US"/>
              </w:rPr>
            </w:pPr>
            <w:r>
              <w:rPr>
                <w:rFonts w:hint="eastAsia" w:ascii="Times New Roman" w:hAnsi="Times New Roman" w:eastAsia="宋体" w:cs="Times New Roman"/>
                <w:b/>
                <w:bCs/>
                <w:kern w:val="2"/>
                <w:sz w:val="24"/>
                <w:szCs w:val="24"/>
                <w:lang w:eastAsia="en-US"/>
              </w:rPr>
              <w:t>处理策略</w:t>
            </w:r>
          </w:p>
        </w:tc>
        <w:tc>
          <w:tcPr>
            <w:tcW w:w="2260" w:type="pct"/>
          </w:tcPr>
          <w:p w14:paraId="7984EC26">
            <w:pPr>
              <w:spacing w:before="60" w:line="360" w:lineRule="auto"/>
              <w:jc w:val="center"/>
              <w:rPr>
                <w:rFonts w:ascii="Times New Roman" w:hAnsi="Times New Roman" w:eastAsia="宋体" w:cs="Times New Roman"/>
                <w:b/>
                <w:bCs/>
                <w:kern w:val="2"/>
                <w:sz w:val="24"/>
                <w:szCs w:val="24"/>
                <w:lang w:eastAsia="en-US"/>
              </w:rPr>
            </w:pPr>
            <w:r>
              <w:rPr>
                <w:rFonts w:hint="eastAsia" w:ascii="Times New Roman" w:hAnsi="Times New Roman" w:eastAsia="宋体" w:cs="Times New Roman"/>
                <w:b/>
                <w:bCs/>
                <w:kern w:val="2"/>
                <w:sz w:val="24"/>
                <w:szCs w:val="24"/>
                <w:lang w:eastAsia="en-US"/>
              </w:rPr>
              <w:t>备注</w:t>
            </w:r>
          </w:p>
        </w:tc>
      </w:tr>
      <w:tr w14:paraId="23CB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pct"/>
          </w:tcPr>
          <w:p w14:paraId="13E0ABD7">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在主要终点指标访视前，使用了影响疗效的禁止的合并用药与治疗或补救治疗</w:t>
            </w:r>
          </w:p>
        </w:tc>
        <w:tc>
          <w:tcPr>
            <w:tcW w:w="878" w:type="pct"/>
          </w:tcPr>
          <w:p w14:paraId="15AC0CDA">
            <w:pPr>
              <w:spacing w:line="360" w:lineRule="auto"/>
              <w:jc w:val="both"/>
              <w:rPr>
                <w:rFonts w:ascii="Times New Roman" w:hAnsi="Times New Roman" w:eastAsia="宋体" w:cs="Times New Roman"/>
                <w:kern w:val="2"/>
                <w:sz w:val="21"/>
                <w:szCs w:val="21"/>
                <w:lang w:eastAsia="en-US"/>
              </w:rPr>
            </w:pPr>
            <w:r>
              <w:rPr>
                <w:rFonts w:hint="eastAsia" w:ascii="Times New Roman" w:hAnsi="Times New Roman" w:eastAsia="宋体" w:cs="Times New Roman"/>
                <w:kern w:val="2"/>
                <w:sz w:val="21"/>
                <w:szCs w:val="21"/>
                <w:lang w:eastAsia="en-US"/>
              </w:rPr>
              <w:t>复合策略</w:t>
            </w:r>
          </w:p>
        </w:tc>
        <w:tc>
          <w:tcPr>
            <w:tcW w:w="2260" w:type="pct"/>
          </w:tcPr>
          <w:p w14:paraId="7D3C4504">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禁用药物影响研究药物真实疗效，第</w:t>
            </w:r>
            <w:r>
              <w:rPr>
                <w:rFonts w:ascii="Times New Roman" w:hAnsi="Times New Roman" w:eastAsia="宋体" w:cs="Times New Roman"/>
                <w:kern w:val="2"/>
                <w:sz w:val="21"/>
                <w:szCs w:val="21"/>
              </w:rPr>
              <w:t>16</w:t>
            </w:r>
            <w:r>
              <w:rPr>
                <w:rFonts w:hint="eastAsia" w:ascii="Times New Roman" w:hAnsi="Times New Roman" w:eastAsia="宋体" w:cs="Times New Roman"/>
                <w:kern w:val="2"/>
                <w:sz w:val="21"/>
                <w:szCs w:val="21"/>
              </w:rPr>
              <w:t>周</w:t>
            </w:r>
            <w:r>
              <w:rPr>
                <w:rFonts w:ascii="Times New Roman" w:hAnsi="Times New Roman" w:eastAsia="宋体" w:cs="Times New Roman"/>
                <w:kern w:val="2"/>
                <w:sz w:val="21"/>
                <w:szCs w:val="21"/>
              </w:rPr>
              <w:t>PASI75</w:t>
            </w:r>
            <w:r>
              <w:rPr>
                <w:rFonts w:hint="eastAsia" w:ascii="Times New Roman" w:hAnsi="Times New Roman" w:eastAsia="宋体" w:cs="Times New Roman"/>
                <w:kern w:val="2"/>
                <w:sz w:val="21"/>
                <w:szCs w:val="21"/>
              </w:rPr>
              <w:t>应答、</w:t>
            </w:r>
            <w:r>
              <w:rPr>
                <w:rFonts w:ascii="Times New Roman" w:hAnsi="Times New Roman" w:eastAsia="宋体" w:cs="Times New Roman"/>
                <w:kern w:val="2"/>
                <w:sz w:val="21"/>
                <w:szCs w:val="21"/>
              </w:rPr>
              <w:t>PGA</w:t>
            </w:r>
            <w:r>
              <w:rPr>
                <w:rFonts w:hint="eastAsia" w:ascii="Times New Roman" w:hAnsi="Times New Roman" w:eastAsia="宋体" w:cs="Times New Roman"/>
                <w:kern w:val="2"/>
                <w:sz w:val="21"/>
                <w:szCs w:val="21"/>
              </w:rPr>
              <w:t>评分为</w:t>
            </w:r>
            <w:r>
              <w:rPr>
                <w:rFonts w:ascii="Times New Roman" w:hAnsi="Times New Roman" w:eastAsia="宋体" w:cs="Times New Roman"/>
                <w:kern w:val="2"/>
                <w:sz w:val="21"/>
                <w:szCs w:val="21"/>
              </w:rPr>
              <w:t>0</w:t>
            </w:r>
            <w:r>
              <w:rPr>
                <w:rFonts w:hint="eastAsia" w:ascii="Times New Roman" w:hAnsi="Times New Roman" w:eastAsia="宋体" w:cs="Times New Roman"/>
                <w:kern w:val="2"/>
                <w:sz w:val="21"/>
                <w:szCs w:val="21"/>
              </w:rPr>
              <w:t>或</w:t>
            </w: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应答将视作“未应答”。</w:t>
            </w:r>
          </w:p>
        </w:tc>
      </w:tr>
      <w:tr w14:paraId="3350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pct"/>
          </w:tcPr>
          <w:p w14:paraId="0ED84264">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在主要终点指标访视前，使用了非影响疗效的禁止的合并用药与治疗或补救治疗</w:t>
            </w:r>
          </w:p>
        </w:tc>
        <w:tc>
          <w:tcPr>
            <w:tcW w:w="878" w:type="pct"/>
          </w:tcPr>
          <w:p w14:paraId="0E566979">
            <w:pPr>
              <w:spacing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疗法</w:t>
            </w:r>
            <w:r>
              <w:rPr>
                <w:rFonts w:hint="eastAsia" w:ascii="Times New Roman" w:hAnsi="Times New Roman" w:eastAsia="宋体" w:cs="Times New Roman"/>
                <w:kern w:val="2"/>
                <w:sz w:val="21"/>
                <w:szCs w:val="21"/>
                <w:lang w:eastAsia="en-US"/>
              </w:rPr>
              <w:t>策略</w:t>
            </w:r>
          </w:p>
        </w:tc>
        <w:tc>
          <w:tcPr>
            <w:tcW w:w="2260" w:type="pct"/>
          </w:tcPr>
          <w:p w14:paraId="0D866C45">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对于不影响疗效的伴发事件，之后的数据继续收集，并用于统计分析。</w:t>
            </w:r>
          </w:p>
        </w:tc>
      </w:tr>
      <w:tr w14:paraId="4DC0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pct"/>
          </w:tcPr>
          <w:p w14:paraId="38F66A05">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在主要终点指标访视前，因疗效不佳而提前终止治疗或提前退出试验</w:t>
            </w:r>
          </w:p>
        </w:tc>
        <w:tc>
          <w:tcPr>
            <w:tcW w:w="878" w:type="pct"/>
          </w:tcPr>
          <w:p w14:paraId="1E55DF58">
            <w:pPr>
              <w:spacing w:line="360" w:lineRule="auto"/>
              <w:jc w:val="both"/>
              <w:rPr>
                <w:rFonts w:ascii="Times New Roman" w:hAnsi="Times New Roman" w:eastAsia="宋体" w:cs="Times New Roman"/>
                <w:kern w:val="2"/>
                <w:sz w:val="21"/>
                <w:szCs w:val="21"/>
                <w:lang w:eastAsia="en-US"/>
              </w:rPr>
            </w:pPr>
            <w:r>
              <w:rPr>
                <w:rFonts w:hint="eastAsia" w:ascii="Times New Roman" w:hAnsi="Times New Roman" w:eastAsia="宋体" w:cs="Times New Roman"/>
                <w:kern w:val="2"/>
                <w:sz w:val="21"/>
                <w:szCs w:val="21"/>
                <w:lang w:eastAsia="en-US"/>
              </w:rPr>
              <w:t>复合策略</w:t>
            </w:r>
          </w:p>
        </w:tc>
        <w:tc>
          <w:tcPr>
            <w:tcW w:w="2260" w:type="pct"/>
          </w:tcPr>
          <w:p w14:paraId="42003B2E">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受试者因疗效不佳而提前终止治疗，认为药物没有疗效，第</w:t>
            </w:r>
            <w:r>
              <w:rPr>
                <w:rFonts w:ascii="Times New Roman" w:hAnsi="Times New Roman" w:eastAsia="宋体" w:cs="Times New Roman"/>
                <w:kern w:val="2"/>
                <w:sz w:val="21"/>
                <w:szCs w:val="21"/>
              </w:rPr>
              <w:t>16</w:t>
            </w:r>
            <w:r>
              <w:rPr>
                <w:rFonts w:hint="eastAsia" w:ascii="Times New Roman" w:hAnsi="Times New Roman" w:eastAsia="宋体" w:cs="Times New Roman"/>
                <w:kern w:val="2"/>
                <w:sz w:val="21"/>
                <w:szCs w:val="21"/>
              </w:rPr>
              <w:t>周</w:t>
            </w:r>
            <w:r>
              <w:rPr>
                <w:rFonts w:ascii="Times New Roman" w:hAnsi="Times New Roman" w:eastAsia="宋体" w:cs="Times New Roman"/>
                <w:kern w:val="2"/>
                <w:sz w:val="21"/>
                <w:szCs w:val="21"/>
              </w:rPr>
              <w:t>PASI75</w:t>
            </w:r>
            <w:r>
              <w:rPr>
                <w:rFonts w:hint="eastAsia" w:ascii="Times New Roman" w:hAnsi="Times New Roman" w:eastAsia="宋体" w:cs="Times New Roman"/>
                <w:kern w:val="2"/>
                <w:sz w:val="21"/>
                <w:szCs w:val="21"/>
              </w:rPr>
              <w:t>应答、</w:t>
            </w:r>
            <w:r>
              <w:rPr>
                <w:rFonts w:ascii="Times New Roman" w:hAnsi="Times New Roman" w:eastAsia="宋体" w:cs="Times New Roman"/>
                <w:kern w:val="2"/>
                <w:sz w:val="21"/>
                <w:szCs w:val="21"/>
              </w:rPr>
              <w:t>PGA</w:t>
            </w:r>
            <w:r>
              <w:rPr>
                <w:rFonts w:hint="eastAsia" w:ascii="Times New Roman" w:hAnsi="Times New Roman" w:eastAsia="宋体" w:cs="Times New Roman"/>
                <w:kern w:val="2"/>
                <w:sz w:val="21"/>
                <w:szCs w:val="21"/>
              </w:rPr>
              <w:t>评分为</w:t>
            </w:r>
            <w:r>
              <w:rPr>
                <w:rFonts w:ascii="Times New Roman" w:hAnsi="Times New Roman" w:eastAsia="宋体" w:cs="Times New Roman"/>
                <w:kern w:val="2"/>
                <w:sz w:val="21"/>
                <w:szCs w:val="21"/>
              </w:rPr>
              <w:t>0</w:t>
            </w:r>
            <w:r>
              <w:rPr>
                <w:rFonts w:hint="eastAsia" w:ascii="Times New Roman" w:hAnsi="Times New Roman" w:eastAsia="宋体" w:cs="Times New Roman"/>
                <w:kern w:val="2"/>
                <w:sz w:val="21"/>
                <w:szCs w:val="21"/>
              </w:rPr>
              <w:t>或</w:t>
            </w:r>
            <w:r>
              <w:rPr>
                <w:rFonts w:ascii="Times New Roman" w:hAnsi="Times New Roman" w:eastAsia="宋体" w:cs="Times New Roman"/>
                <w:kern w:val="2"/>
                <w:sz w:val="21"/>
                <w:szCs w:val="21"/>
              </w:rPr>
              <w:t>1</w:t>
            </w:r>
            <w:r>
              <w:rPr>
                <w:rFonts w:hint="eastAsia" w:ascii="Times New Roman" w:hAnsi="Times New Roman" w:eastAsia="宋体" w:cs="Times New Roman"/>
                <w:kern w:val="2"/>
                <w:sz w:val="21"/>
                <w:szCs w:val="21"/>
              </w:rPr>
              <w:t>应答将视作“未应答”。</w:t>
            </w:r>
          </w:p>
        </w:tc>
      </w:tr>
      <w:tr w14:paraId="1334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pct"/>
          </w:tcPr>
          <w:p w14:paraId="38F64945">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在主要终点指标访视前，因非疗效原因（如失访或撤回知情同意等）而提前终止治疗或提前退出试验</w:t>
            </w:r>
          </w:p>
        </w:tc>
        <w:tc>
          <w:tcPr>
            <w:tcW w:w="878" w:type="pct"/>
          </w:tcPr>
          <w:p w14:paraId="7CF10847">
            <w:pPr>
              <w:spacing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疗法</w:t>
            </w:r>
            <w:r>
              <w:rPr>
                <w:rFonts w:hint="eastAsia" w:ascii="Times New Roman" w:hAnsi="Times New Roman" w:eastAsia="宋体" w:cs="Times New Roman"/>
                <w:kern w:val="2"/>
                <w:sz w:val="21"/>
                <w:szCs w:val="21"/>
                <w:lang w:eastAsia="en-US"/>
              </w:rPr>
              <w:t>策略</w:t>
            </w:r>
          </w:p>
        </w:tc>
        <w:tc>
          <w:tcPr>
            <w:tcW w:w="2260" w:type="pct"/>
          </w:tcPr>
          <w:p w14:paraId="4B7203E9">
            <w:pPr>
              <w:spacing w:before="60" w:line="360"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伴发事件后的数据继续收集，并用于统计分析。</w:t>
            </w:r>
          </w:p>
        </w:tc>
      </w:tr>
    </w:tbl>
    <w:p w14:paraId="53BD0DC3">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群体层面汇总：</w:t>
      </w:r>
      <w:r>
        <w:rPr>
          <w:rFonts w:hint="eastAsia" w:cs="Times New Roman"/>
          <w:b w:val="0"/>
          <w:bCs/>
          <w:sz w:val="24"/>
          <w:szCs w:val="24"/>
        </w:rPr>
        <w:t>试验组和对照组第</w:t>
      </w:r>
      <w:r>
        <w:rPr>
          <w:rFonts w:cs="Times New Roman"/>
          <w:b w:val="0"/>
          <w:bCs/>
          <w:sz w:val="24"/>
          <w:szCs w:val="24"/>
        </w:rPr>
        <w:t>16</w:t>
      </w:r>
      <w:r>
        <w:rPr>
          <w:rFonts w:hint="eastAsia" w:cs="Times New Roman"/>
          <w:b w:val="0"/>
          <w:bCs/>
          <w:sz w:val="24"/>
          <w:szCs w:val="24"/>
        </w:rPr>
        <w:t>周达到</w:t>
      </w:r>
      <w:r>
        <w:rPr>
          <w:rFonts w:cs="Times New Roman"/>
          <w:b w:val="0"/>
          <w:bCs/>
          <w:sz w:val="24"/>
          <w:szCs w:val="24"/>
        </w:rPr>
        <w:t>PASI-75</w:t>
      </w:r>
      <w:r>
        <w:rPr>
          <w:rFonts w:hint="eastAsia" w:cs="Times New Roman"/>
          <w:b w:val="0"/>
          <w:bCs/>
          <w:sz w:val="24"/>
          <w:szCs w:val="24"/>
        </w:rPr>
        <w:t>应答的参与者比例的组间差值；</w:t>
      </w:r>
    </w:p>
    <w:p w14:paraId="6C0EC130">
      <w:pPr>
        <w:pStyle w:val="114"/>
        <w:spacing w:before="0" w:after="0"/>
        <w:ind w:left="440" w:leftChars="200"/>
        <w:jc w:val="left"/>
        <w:outlineLvl w:val="9"/>
        <w:rPr>
          <w:rFonts w:cs="Times New Roman"/>
          <w:sz w:val="24"/>
          <w:szCs w:val="24"/>
        </w:rPr>
      </w:pPr>
      <w:r>
        <w:rPr>
          <w:rFonts w:hint="eastAsia" w:cs="Times New Roman"/>
          <w:sz w:val="24"/>
          <w:szCs w:val="24"/>
        </w:rPr>
        <w:t>主要估计目标</w:t>
      </w:r>
      <w:r>
        <w:rPr>
          <w:rFonts w:cs="Times New Roman"/>
          <w:sz w:val="24"/>
          <w:szCs w:val="24"/>
        </w:rPr>
        <w:t>2</w:t>
      </w:r>
      <w:r>
        <w:rPr>
          <w:rFonts w:hint="eastAsia" w:cs="Times New Roman"/>
          <w:sz w:val="24"/>
          <w:szCs w:val="24"/>
        </w:rPr>
        <w:t>：</w:t>
      </w:r>
    </w:p>
    <w:p w14:paraId="1CB35DD0">
      <w:pPr>
        <w:pStyle w:val="114"/>
        <w:numPr>
          <w:ilvl w:val="0"/>
          <w:numId w:val="30"/>
        </w:numPr>
        <w:spacing w:before="0" w:after="0"/>
        <w:jc w:val="left"/>
        <w:outlineLvl w:val="9"/>
        <w:rPr>
          <w:rFonts w:cs="Times New Roman"/>
          <w:b w:val="0"/>
          <w:bCs/>
          <w:sz w:val="24"/>
          <w:szCs w:val="24"/>
        </w:rPr>
      </w:pPr>
      <w:r>
        <w:rPr>
          <w:rFonts w:hint="eastAsia" w:cs="Times New Roman"/>
          <w:bCs/>
          <w:sz w:val="24"/>
          <w:szCs w:val="24"/>
        </w:rPr>
        <w:t>目标人群：</w:t>
      </w:r>
      <w:r>
        <w:rPr>
          <w:rFonts w:hint="eastAsia" w:cs="Times New Roman"/>
          <w:b w:val="0"/>
          <w:bCs/>
          <w:sz w:val="24"/>
          <w:szCs w:val="24"/>
        </w:rPr>
        <w:t>同主要估计目标</w:t>
      </w:r>
      <w:r>
        <w:rPr>
          <w:rFonts w:cs="Times New Roman"/>
          <w:b w:val="0"/>
          <w:bCs/>
          <w:sz w:val="24"/>
          <w:szCs w:val="24"/>
        </w:rPr>
        <w:t>1</w:t>
      </w:r>
      <w:r>
        <w:rPr>
          <w:rFonts w:hint="eastAsia" w:cs="Times New Roman"/>
          <w:b w:val="0"/>
          <w:bCs/>
          <w:sz w:val="24"/>
          <w:szCs w:val="24"/>
        </w:rPr>
        <w:t>。</w:t>
      </w:r>
    </w:p>
    <w:p w14:paraId="7E94BDAD">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治疗：</w:t>
      </w:r>
      <w:r>
        <w:rPr>
          <w:rFonts w:hint="eastAsia" w:cs="Times New Roman"/>
          <w:b w:val="0"/>
          <w:bCs/>
          <w:sz w:val="24"/>
          <w:szCs w:val="24"/>
        </w:rPr>
        <w:t>同主要估计目标</w:t>
      </w:r>
      <w:r>
        <w:rPr>
          <w:rFonts w:cs="Times New Roman"/>
          <w:b w:val="0"/>
          <w:bCs/>
          <w:sz w:val="24"/>
          <w:szCs w:val="24"/>
        </w:rPr>
        <w:t>1</w:t>
      </w:r>
      <w:r>
        <w:rPr>
          <w:rFonts w:hint="eastAsia" w:cs="Times New Roman"/>
          <w:b w:val="0"/>
          <w:bCs/>
          <w:sz w:val="24"/>
          <w:szCs w:val="24"/>
        </w:rPr>
        <w:t>。</w:t>
      </w:r>
    </w:p>
    <w:p w14:paraId="5610A06F">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目标变量：</w:t>
      </w:r>
      <w:r>
        <w:rPr>
          <w:rFonts w:hint="eastAsia" w:cs="Times New Roman"/>
          <w:b w:val="0"/>
          <w:bCs/>
          <w:sz w:val="24"/>
          <w:szCs w:val="24"/>
        </w:rPr>
        <w:t>第</w:t>
      </w:r>
      <w:r>
        <w:rPr>
          <w:rFonts w:cs="Times New Roman"/>
          <w:b w:val="0"/>
          <w:bCs/>
          <w:sz w:val="24"/>
          <w:szCs w:val="24"/>
        </w:rPr>
        <w:t>16</w:t>
      </w:r>
      <w:r>
        <w:rPr>
          <w:rFonts w:hint="eastAsia" w:cs="Times New Roman"/>
          <w:b w:val="0"/>
          <w:bCs/>
          <w:sz w:val="24"/>
          <w:szCs w:val="24"/>
        </w:rPr>
        <w:t>周达到</w:t>
      </w:r>
      <w:r>
        <w:rPr>
          <w:rFonts w:cs="Times New Roman"/>
          <w:b w:val="0"/>
          <w:bCs/>
          <w:sz w:val="24"/>
          <w:szCs w:val="24"/>
        </w:rPr>
        <w:t>PGA</w:t>
      </w:r>
      <w:r>
        <w:rPr>
          <w:rFonts w:hint="eastAsia" w:cs="Times New Roman"/>
          <w:b w:val="0"/>
          <w:bCs/>
          <w:sz w:val="24"/>
          <w:szCs w:val="24"/>
        </w:rPr>
        <w:t>评分为</w:t>
      </w:r>
      <w:r>
        <w:rPr>
          <w:rFonts w:cs="Times New Roman"/>
          <w:b w:val="0"/>
          <w:bCs/>
          <w:sz w:val="24"/>
          <w:szCs w:val="24"/>
        </w:rPr>
        <w:t>0</w:t>
      </w:r>
      <w:r>
        <w:rPr>
          <w:rFonts w:hint="eastAsia" w:cs="Times New Roman"/>
          <w:b w:val="0"/>
          <w:bCs/>
          <w:sz w:val="24"/>
          <w:szCs w:val="24"/>
        </w:rPr>
        <w:t>或</w:t>
      </w:r>
      <w:r>
        <w:rPr>
          <w:rFonts w:cs="Times New Roman"/>
          <w:b w:val="0"/>
          <w:bCs/>
          <w:sz w:val="24"/>
          <w:szCs w:val="24"/>
        </w:rPr>
        <w:t>1</w:t>
      </w:r>
      <w:r>
        <w:rPr>
          <w:rFonts w:hint="eastAsia" w:cs="Times New Roman"/>
          <w:b w:val="0"/>
          <w:bCs/>
          <w:sz w:val="24"/>
          <w:szCs w:val="24"/>
        </w:rPr>
        <w:t>的参与者比例（</w:t>
      </w:r>
      <w:r>
        <w:rPr>
          <w:rFonts w:cs="Times New Roman"/>
          <w:b w:val="0"/>
          <w:bCs/>
          <w:sz w:val="24"/>
          <w:szCs w:val="24"/>
        </w:rPr>
        <w:t>PGA-TS</w:t>
      </w:r>
      <w:r>
        <w:rPr>
          <w:rFonts w:hint="eastAsia" w:cs="Times New Roman"/>
          <w:b w:val="0"/>
          <w:bCs/>
          <w:sz w:val="24"/>
          <w:szCs w:val="24"/>
        </w:rPr>
        <w:t>）。</w:t>
      </w:r>
    </w:p>
    <w:p w14:paraId="6DBB96CA">
      <w:pPr>
        <w:pStyle w:val="114"/>
        <w:numPr>
          <w:ilvl w:val="0"/>
          <w:numId w:val="30"/>
        </w:numPr>
        <w:spacing w:before="0" w:after="0"/>
        <w:ind w:left="839"/>
        <w:jc w:val="left"/>
        <w:outlineLvl w:val="9"/>
        <w:rPr>
          <w:rFonts w:cs="Times New Roman"/>
          <w:bCs/>
          <w:sz w:val="24"/>
          <w:szCs w:val="24"/>
        </w:rPr>
      </w:pPr>
      <w:r>
        <w:rPr>
          <w:rFonts w:hint="eastAsia" w:cs="Times New Roman"/>
          <w:bCs/>
          <w:sz w:val="24"/>
          <w:szCs w:val="24"/>
        </w:rPr>
        <w:t>伴发事件及处理策略：</w:t>
      </w:r>
      <w:r>
        <w:rPr>
          <w:rFonts w:hint="eastAsia" w:cs="Times New Roman"/>
          <w:b w:val="0"/>
          <w:bCs/>
          <w:sz w:val="24"/>
          <w:szCs w:val="24"/>
        </w:rPr>
        <w:t>同主要估计目标</w:t>
      </w:r>
      <w:r>
        <w:rPr>
          <w:rFonts w:cs="Times New Roman"/>
          <w:b w:val="0"/>
          <w:bCs/>
          <w:sz w:val="24"/>
          <w:szCs w:val="24"/>
        </w:rPr>
        <w:t>1</w:t>
      </w:r>
      <w:r>
        <w:rPr>
          <w:rFonts w:hint="eastAsia" w:cs="Times New Roman"/>
          <w:b w:val="0"/>
          <w:bCs/>
          <w:sz w:val="24"/>
          <w:szCs w:val="24"/>
        </w:rPr>
        <w:t>。</w:t>
      </w:r>
    </w:p>
    <w:p w14:paraId="382FDFAD">
      <w:pPr>
        <w:pStyle w:val="114"/>
        <w:numPr>
          <w:ilvl w:val="0"/>
          <w:numId w:val="30"/>
        </w:numPr>
        <w:spacing w:before="0" w:after="0"/>
        <w:ind w:left="839"/>
        <w:jc w:val="left"/>
        <w:outlineLvl w:val="9"/>
        <w:rPr>
          <w:rFonts w:cs="Times New Roman"/>
          <w:b w:val="0"/>
          <w:bCs/>
          <w:sz w:val="24"/>
          <w:szCs w:val="24"/>
        </w:rPr>
      </w:pPr>
      <w:r>
        <w:rPr>
          <w:rFonts w:hint="eastAsia" w:cs="Times New Roman"/>
          <w:bCs/>
          <w:sz w:val="24"/>
          <w:szCs w:val="24"/>
        </w:rPr>
        <w:t>群体层面汇总：</w:t>
      </w:r>
      <w:r>
        <w:rPr>
          <w:rFonts w:hint="eastAsia" w:cs="Times New Roman"/>
          <w:b w:val="0"/>
          <w:bCs/>
          <w:sz w:val="24"/>
          <w:szCs w:val="24"/>
        </w:rPr>
        <w:t>试验组和对照组第</w:t>
      </w:r>
      <w:r>
        <w:rPr>
          <w:rFonts w:cs="Times New Roman"/>
          <w:b w:val="0"/>
          <w:bCs/>
          <w:sz w:val="24"/>
          <w:szCs w:val="24"/>
        </w:rPr>
        <w:t>16</w:t>
      </w:r>
      <w:r>
        <w:rPr>
          <w:rFonts w:hint="eastAsia" w:cs="Times New Roman"/>
          <w:b w:val="0"/>
          <w:bCs/>
          <w:sz w:val="24"/>
          <w:szCs w:val="24"/>
        </w:rPr>
        <w:t>周达到</w:t>
      </w:r>
      <w:r>
        <w:rPr>
          <w:rFonts w:cs="Times New Roman"/>
          <w:b w:val="0"/>
          <w:bCs/>
          <w:sz w:val="24"/>
          <w:szCs w:val="24"/>
        </w:rPr>
        <w:t>PGA-TS</w:t>
      </w:r>
      <w:r>
        <w:rPr>
          <w:rFonts w:hint="eastAsia" w:cs="Times New Roman"/>
          <w:b w:val="0"/>
          <w:bCs/>
          <w:sz w:val="24"/>
          <w:szCs w:val="24"/>
        </w:rPr>
        <w:t>应答的参与者比例的组间差值。</w:t>
      </w:r>
    </w:p>
    <w:p w14:paraId="4A0ACE0C">
      <w:pPr>
        <w:pStyle w:val="114"/>
        <w:numPr>
          <w:ilvl w:val="0"/>
          <w:numId w:val="12"/>
        </w:numPr>
        <w:rPr>
          <w:rFonts w:cs="Times New Roman"/>
          <w:szCs w:val="28"/>
        </w:rPr>
      </w:pPr>
      <w:bookmarkStart w:id="57" w:name="_Toc217032228"/>
      <w:r>
        <w:rPr>
          <w:rFonts w:hint="eastAsia" w:cs="Times New Roman"/>
          <w:szCs w:val="28"/>
        </w:rPr>
        <w:t>研究设计</w:t>
      </w:r>
      <w:bookmarkEnd w:id="57"/>
    </w:p>
    <w:p w14:paraId="73C51E48">
      <w:pPr>
        <w:pStyle w:val="116"/>
        <w:numPr>
          <w:ilvl w:val="1"/>
          <w:numId w:val="12"/>
        </w:numPr>
        <w:jc w:val="left"/>
        <w:rPr>
          <w:rFonts w:cs="Times New Roman"/>
          <w:sz w:val="24"/>
          <w:szCs w:val="24"/>
        </w:rPr>
      </w:pPr>
      <w:bookmarkStart w:id="58" w:name="_Toc217032229"/>
      <w:r>
        <w:rPr>
          <w:rFonts w:hint="eastAsia" w:cs="Times New Roman"/>
          <w:sz w:val="24"/>
          <w:szCs w:val="24"/>
        </w:rPr>
        <w:t>总体设计</w:t>
      </w:r>
      <w:bookmarkEnd w:id="58"/>
    </w:p>
    <w:p w14:paraId="29D7EDDF">
      <w:pPr>
        <w:pStyle w:val="60"/>
        <w:ind w:firstLine="480"/>
        <w:rPr>
          <w:rStyle w:val="99"/>
          <w:rFonts w:cs="Times New Roman"/>
          <w:sz w:val="24"/>
          <w:szCs w:val="24"/>
        </w:rPr>
      </w:pPr>
      <w:r>
        <w:rPr>
          <w:rStyle w:val="99"/>
          <w:rFonts w:hint="eastAsia" w:cs="Times New Roman"/>
          <w:sz w:val="24"/>
          <w:szCs w:val="24"/>
        </w:rPr>
        <w:t>本研究采用多中心、随机、双盲、安慰剂对照的Ⅱ</w:t>
      </w:r>
      <w:r>
        <w:rPr>
          <w:rStyle w:val="99"/>
          <w:rFonts w:cs="Times New Roman"/>
          <w:sz w:val="24"/>
          <w:szCs w:val="24"/>
        </w:rPr>
        <w:t>/</w:t>
      </w:r>
      <w:r>
        <w:rPr>
          <w:rStyle w:val="99"/>
          <w:rFonts w:hint="eastAsia" w:cs="Times New Roman"/>
          <w:sz w:val="24"/>
          <w:szCs w:val="24"/>
        </w:rPr>
        <w:t>Ⅲ期操作无缝适应性设计，旨在评价</w:t>
      </w:r>
      <w:r>
        <w:rPr>
          <w:rStyle w:val="99"/>
          <w:rFonts w:cs="Times New Roman"/>
          <w:sz w:val="24"/>
          <w:szCs w:val="24"/>
        </w:rPr>
        <w:t>CMS-D001</w:t>
      </w:r>
      <w:r>
        <w:rPr>
          <w:rStyle w:val="99"/>
          <w:rFonts w:hint="eastAsia" w:cs="Times New Roman"/>
          <w:sz w:val="24"/>
          <w:szCs w:val="24"/>
        </w:rPr>
        <w:t>片治疗中度至重度斑块状银屑病患者的有效性、安全性和耐受性。试验由两个部分组成，包括Ⅱ期临床研究阶段和Ⅲ期临床研究阶段。</w:t>
      </w:r>
    </w:p>
    <w:p w14:paraId="57A68450">
      <w:pPr>
        <w:spacing w:line="360" w:lineRule="auto"/>
        <w:rPr>
          <w:rFonts w:ascii="Times New Roman" w:hAnsi="Times New Roman" w:eastAsia="宋体" w:cs="Times New Roman"/>
          <w:b/>
          <w:bCs/>
          <w:color w:val="000000"/>
          <w:sz w:val="24"/>
          <w:szCs w:val="24"/>
          <w:u w:val="thick"/>
        </w:rPr>
      </w:pPr>
      <w:r>
        <w:rPr>
          <w:rFonts w:hint="eastAsia" w:ascii="Times New Roman" w:hAnsi="Times New Roman" w:eastAsia="宋体" w:cs="Times New Roman"/>
          <w:b/>
          <w:bCs/>
          <w:color w:val="000000"/>
          <w:sz w:val="24"/>
          <w:szCs w:val="24"/>
          <w:u w:val="thick"/>
          <w:lang w:eastAsia="zh-Hans"/>
        </w:rPr>
        <w:t>Ⅱ期临床</w:t>
      </w:r>
      <w:r>
        <w:rPr>
          <w:rFonts w:hint="eastAsia" w:ascii="Times New Roman" w:hAnsi="Times New Roman" w:eastAsia="宋体" w:cs="Times New Roman"/>
          <w:b/>
          <w:bCs/>
          <w:color w:val="000000"/>
          <w:sz w:val="24"/>
          <w:szCs w:val="24"/>
          <w:u w:val="thick"/>
        </w:rPr>
        <w:t>研究阶段</w:t>
      </w:r>
    </w:p>
    <w:p w14:paraId="696A5F81">
      <w:pPr>
        <w:autoSpaceDE/>
        <w:autoSpaceDN/>
        <w:spacing w:line="360" w:lineRule="auto"/>
        <w:ind w:firstLine="480" w:firstLineChars="200"/>
        <w:jc w:val="both"/>
        <w:rPr>
          <w:rFonts w:ascii="Times New Roman" w:hAnsi="Times New Roman" w:eastAsia="宋体" w:cs="Times New Roman"/>
          <w:color w:val="000000"/>
          <w:kern w:val="2"/>
          <w:sz w:val="24"/>
          <w:szCs w:val="24"/>
        </w:rPr>
      </w:pPr>
      <w:r>
        <w:rPr>
          <w:rStyle w:val="99"/>
          <w:rFonts w:hint="eastAsia" w:ascii="Times New Roman" w:hAnsi="Times New Roman" w:eastAsia="宋体" w:cs="Times New Roman"/>
          <w:color w:val="000000" w:themeColor="text1"/>
          <w:sz w:val="24"/>
          <w:szCs w:val="24"/>
          <w14:textFill>
            <w14:solidFill>
              <w14:schemeClr w14:val="tx1"/>
            </w14:solidFill>
          </w14:textFill>
        </w:rPr>
        <w:t>Ⅱ期临床研究阶段，采用多中心、随机、双盲、安慰剂对照设计，</w:t>
      </w:r>
      <w:r>
        <w:rPr>
          <w:rFonts w:hint="eastAsia" w:ascii="Times New Roman" w:hAnsi="Times New Roman" w:eastAsia="宋体" w:cs="Times New Roman"/>
          <w:color w:val="000000"/>
          <w:kern w:val="2"/>
          <w:sz w:val="24"/>
          <w:szCs w:val="24"/>
        </w:rPr>
        <w:t>计划入组</w:t>
      </w:r>
      <w:r>
        <w:rPr>
          <w:rFonts w:ascii="Times New Roman" w:hAnsi="Times New Roman" w:eastAsia="宋体" w:cs="Times New Roman"/>
          <w:color w:val="000000"/>
          <w:kern w:val="2"/>
          <w:sz w:val="24"/>
          <w:szCs w:val="24"/>
        </w:rPr>
        <w:t>120</w:t>
      </w:r>
      <w:r>
        <w:rPr>
          <w:rFonts w:hint="eastAsia" w:ascii="Times New Roman" w:hAnsi="Times New Roman" w:eastAsia="宋体" w:cs="Times New Roman"/>
          <w:color w:val="000000"/>
          <w:kern w:val="2"/>
          <w:sz w:val="24"/>
          <w:szCs w:val="24"/>
        </w:rPr>
        <w:t>例参与者。在提供书面知情同意并完成所有筛选评估后，符合条件的参与者将以</w:t>
      </w:r>
      <w:r>
        <w:rPr>
          <w:rFonts w:ascii="Times New Roman" w:hAnsi="Times New Roman" w:eastAsia="宋体" w:cs="Times New Roman"/>
          <w:color w:val="000000"/>
          <w:kern w:val="2"/>
          <w:sz w:val="24"/>
          <w:szCs w:val="24"/>
        </w:rPr>
        <w:t>1:1:1</w:t>
      </w:r>
      <w:r>
        <w:rPr>
          <w:rFonts w:hint="eastAsia" w:ascii="Times New Roman" w:hAnsi="Times New Roman" w:eastAsia="宋体" w:cs="Times New Roman"/>
          <w:color w:val="000000"/>
          <w:kern w:val="2"/>
          <w:sz w:val="24"/>
          <w:szCs w:val="24"/>
        </w:rPr>
        <w:t>的比例随机分配至试验组</w:t>
      </w:r>
      <w:r>
        <w:rPr>
          <w:rFonts w:ascii="Times New Roman" w:hAnsi="Times New Roman" w:eastAsia="宋体" w:cs="Times New Roman"/>
          <w:color w:val="000000"/>
          <w:kern w:val="2"/>
          <w:sz w:val="24"/>
          <w:szCs w:val="24"/>
        </w:rPr>
        <w:t>1</w:t>
      </w:r>
      <w:r>
        <w:rPr>
          <w:rFonts w:hint="eastAsia" w:ascii="Times New Roman" w:hAnsi="Times New Roman" w:eastAsia="宋体" w:cs="Times New Roman"/>
          <w:color w:val="000000"/>
          <w:kern w:val="2"/>
          <w:sz w:val="24"/>
          <w:szCs w:val="24"/>
        </w:rPr>
        <w:t>、试验组</w:t>
      </w:r>
      <w:r>
        <w:rPr>
          <w:rFonts w:ascii="Times New Roman" w:hAnsi="Times New Roman" w:eastAsia="宋体" w:cs="Times New Roman"/>
          <w:color w:val="000000"/>
          <w:kern w:val="2"/>
          <w:sz w:val="24"/>
          <w:szCs w:val="24"/>
        </w:rPr>
        <w:t>2</w:t>
      </w:r>
      <w:r>
        <w:rPr>
          <w:rFonts w:hint="eastAsia" w:ascii="Times New Roman" w:hAnsi="Times New Roman" w:eastAsia="宋体" w:cs="Times New Roman"/>
          <w:color w:val="000000"/>
          <w:kern w:val="2"/>
          <w:sz w:val="24"/>
          <w:szCs w:val="24"/>
        </w:rPr>
        <w:t>和</w:t>
      </w:r>
      <w:r>
        <w:rPr>
          <w:rFonts w:hint="eastAsia" w:ascii="Times New Roman" w:hAnsi="Times New Roman" w:eastAsia="宋体" w:cs="Times New Roman"/>
          <w:color w:val="000000"/>
          <w:kern w:val="2"/>
          <w:sz w:val="24"/>
          <w:szCs w:val="24"/>
          <w:lang w:eastAsia="zh-Hans"/>
        </w:rPr>
        <w:t>安慰剂</w:t>
      </w:r>
      <w:r>
        <w:rPr>
          <w:rFonts w:hint="eastAsia" w:ascii="Times New Roman" w:hAnsi="Times New Roman" w:eastAsia="宋体" w:cs="Times New Roman"/>
          <w:color w:val="000000"/>
          <w:kern w:val="2"/>
          <w:sz w:val="24"/>
          <w:szCs w:val="24"/>
        </w:rPr>
        <w:t>组，每组</w:t>
      </w:r>
      <w:r>
        <w:rPr>
          <w:rFonts w:ascii="Times New Roman" w:hAnsi="Times New Roman" w:eastAsia="宋体" w:cs="Times New Roman"/>
          <w:color w:val="000000"/>
          <w:kern w:val="2"/>
          <w:sz w:val="24"/>
          <w:szCs w:val="24"/>
        </w:rPr>
        <w:t>40</w:t>
      </w:r>
      <w:r>
        <w:rPr>
          <w:rFonts w:hint="eastAsia" w:ascii="Times New Roman" w:hAnsi="Times New Roman" w:eastAsia="宋体" w:cs="Times New Roman"/>
          <w:color w:val="000000"/>
          <w:kern w:val="2"/>
          <w:sz w:val="24"/>
          <w:szCs w:val="24"/>
        </w:rPr>
        <w:t>例参与者。</w:t>
      </w:r>
    </w:p>
    <w:p w14:paraId="4C1D1527">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试验组</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lang w:eastAsia="zh-Hans"/>
        </w:rPr>
        <w:t>CMS-D001</w:t>
      </w:r>
      <w:r>
        <w:rPr>
          <w:rFonts w:hint="eastAsia" w:ascii="Times New Roman" w:hAnsi="Times New Roman" w:eastAsia="宋体" w:cs="Times New Roman"/>
          <w:kern w:val="2"/>
          <w:sz w:val="24"/>
          <w:szCs w:val="24"/>
          <w:lang w:eastAsia="zh-Hans"/>
        </w:rPr>
        <w:t>片</w:t>
      </w:r>
      <w:r>
        <w:rPr>
          <w:rFonts w:ascii="Times New Roman" w:hAnsi="Times New Roman" w:eastAsia="宋体" w:cs="Times New Roman"/>
          <w:kern w:val="2"/>
          <w:sz w:val="24"/>
          <w:szCs w:val="24"/>
          <w:lang w:eastAsia="zh-Hans"/>
        </w:rPr>
        <w:t xml:space="preserve"> </w:t>
      </w:r>
      <w:r>
        <w:rPr>
          <w:rFonts w:ascii="Times New Roman" w:hAnsi="Times New Roman" w:eastAsia="宋体" w:cs="Times New Roman"/>
          <w:kern w:val="2"/>
          <w:sz w:val="24"/>
          <w:szCs w:val="24"/>
        </w:rPr>
        <w:t>50 mg</w:t>
      </w:r>
      <w:r>
        <w:rPr>
          <w:rFonts w:hint="eastAsia" w:ascii="Times New Roman" w:hAnsi="Times New Roman" w:eastAsia="宋体" w:cs="Times New Roman"/>
          <w:kern w:val="2"/>
          <w:sz w:val="24"/>
          <w:szCs w:val="24"/>
          <w:lang w:eastAsia="zh-Hans"/>
        </w:rPr>
        <w:t>，</w:t>
      </w:r>
      <w:r>
        <w:rPr>
          <w:rFonts w:hint="eastAsia" w:ascii="Times New Roman" w:hAnsi="Times New Roman" w:eastAsia="宋体" w:cs="Times New Roman"/>
          <w:kern w:val="2"/>
          <w:sz w:val="24"/>
          <w:szCs w:val="24"/>
        </w:rPr>
        <w:t>每天一次（</w:t>
      </w:r>
      <w:r>
        <w:rPr>
          <w:rFonts w:ascii="Times New Roman" w:hAnsi="Times New Roman" w:eastAsia="宋体" w:cs="Times New Roman"/>
          <w:kern w:val="2"/>
          <w:sz w:val="24"/>
          <w:szCs w:val="24"/>
        </w:rPr>
        <w:t>Quaque Die</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QD</w:t>
      </w:r>
      <w:r>
        <w:rPr>
          <w:rFonts w:hint="eastAsia" w:ascii="Times New Roman" w:hAnsi="Times New Roman" w:eastAsia="宋体" w:cs="Times New Roman"/>
          <w:kern w:val="2"/>
          <w:sz w:val="24"/>
          <w:szCs w:val="24"/>
        </w:rPr>
        <w:t>）；</w:t>
      </w:r>
    </w:p>
    <w:p w14:paraId="39714F60">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试验组</w:t>
      </w:r>
      <w:r>
        <w:rPr>
          <w:rFonts w:ascii="Times New Roman" w:hAnsi="Times New Roman" w:eastAsia="宋体" w:cs="Times New Roman"/>
          <w:kern w:val="2"/>
          <w:sz w:val="24"/>
          <w:szCs w:val="24"/>
        </w:rPr>
        <w:t>2</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lang w:eastAsia="zh-Hans"/>
        </w:rPr>
        <w:t>CMS-D001</w:t>
      </w:r>
      <w:r>
        <w:rPr>
          <w:rFonts w:hint="eastAsia" w:ascii="Times New Roman" w:hAnsi="Times New Roman" w:eastAsia="宋体" w:cs="Times New Roman"/>
          <w:kern w:val="2"/>
          <w:sz w:val="24"/>
          <w:szCs w:val="24"/>
          <w:lang w:eastAsia="zh-Hans"/>
        </w:rPr>
        <w:t>片</w:t>
      </w:r>
      <w:r>
        <w:rPr>
          <w:rFonts w:ascii="Times New Roman" w:hAnsi="Times New Roman" w:eastAsia="宋体" w:cs="Times New Roman"/>
          <w:kern w:val="2"/>
          <w:sz w:val="24"/>
          <w:szCs w:val="24"/>
        </w:rPr>
        <w:t xml:space="preserve"> 100 mg</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lang w:eastAsia="zh-Hans"/>
        </w:rPr>
        <w:t>QD</w:t>
      </w:r>
      <w:r>
        <w:rPr>
          <w:rFonts w:hint="eastAsia" w:ascii="Times New Roman" w:hAnsi="Times New Roman" w:eastAsia="宋体" w:cs="Times New Roman"/>
          <w:kern w:val="2"/>
          <w:sz w:val="24"/>
          <w:szCs w:val="24"/>
        </w:rPr>
        <w:t>；</w:t>
      </w:r>
    </w:p>
    <w:p w14:paraId="10197E3C">
      <w:pPr>
        <w:autoSpaceDE/>
        <w:autoSpaceDN/>
        <w:spacing w:line="360" w:lineRule="auto"/>
        <w:ind w:firstLine="480" w:firstLineChars="200"/>
        <w:jc w:val="both"/>
        <w:rPr>
          <w:rFonts w:ascii="Times New Roman" w:hAnsi="Times New Roman" w:eastAsia="宋体" w:cs="Times New Roman"/>
          <w:kern w:val="2"/>
          <w:sz w:val="24"/>
          <w:szCs w:val="24"/>
          <w:lang w:eastAsia="zh-Hans"/>
        </w:rPr>
      </w:pPr>
      <w:r>
        <w:rPr>
          <w:rFonts w:hint="eastAsia" w:ascii="Times New Roman" w:hAnsi="Times New Roman" w:eastAsia="宋体" w:cs="Times New Roman"/>
          <w:kern w:val="2"/>
          <w:sz w:val="24"/>
          <w:szCs w:val="24"/>
        </w:rPr>
        <w:t>安慰剂组：</w:t>
      </w:r>
      <w:r>
        <w:rPr>
          <w:rFonts w:hint="eastAsia" w:ascii="Times New Roman" w:hAnsi="Times New Roman" w:eastAsia="宋体" w:cs="Times New Roman"/>
          <w:kern w:val="2"/>
          <w:sz w:val="24"/>
          <w:szCs w:val="24"/>
          <w:lang w:eastAsia="zh-Hans"/>
        </w:rPr>
        <w:t>安慰剂（不含</w:t>
      </w:r>
      <w:r>
        <w:rPr>
          <w:rFonts w:ascii="Times New Roman" w:hAnsi="Times New Roman" w:eastAsia="宋体" w:cs="Times New Roman"/>
          <w:kern w:val="2"/>
          <w:sz w:val="24"/>
          <w:szCs w:val="24"/>
          <w:lang w:eastAsia="zh-Hans"/>
        </w:rPr>
        <w:t>CMS-D001</w:t>
      </w:r>
      <w:r>
        <w:rPr>
          <w:rFonts w:hint="eastAsia" w:ascii="Times New Roman" w:hAnsi="Times New Roman" w:eastAsia="宋体" w:cs="Times New Roman"/>
          <w:kern w:val="2"/>
          <w:sz w:val="24"/>
          <w:szCs w:val="24"/>
          <w:lang w:eastAsia="zh-Hans"/>
        </w:rPr>
        <w:t>活性成</w:t>
      </w:r>
      <w:r>
        <w:rPr>
          <w:rFonts w:hint="eastAsia" w:ascii="Times New Roman" w:hAnsi="Times New Roman" w:eastAsia="宋体" w:cs="Times New Roman"/>
          <w:kern w:val="2"/>
          <w:sz w:val="24"/>
          <w:szCs w:val="24"/>
        </w:rPr>
        <w:t>份</w:t>
      </w:r>
      <w:r>
        <w:rPr>
          <w:rFonts w:hint="eastAsia" w:ascii="Times New Roman" w:hAnsi="Times New Roman" w:eastAsia="宋体" w:cs="Times New Roman"/>
          <w:kern w:val="2"/>
          <w:sz w:val="24"/>
          <w:szCs w:val="24"/>
          <w:lang w:eastAsia="zh-Hans"/>
        </w:rPr>
        <w:t>）；</w:t>
      </w:r>
    </w:p>
    <w:p w14:paraId="698B62B5">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所有随机后的参与者将进行为期</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周的双盲治疗，并继续随访至第</w:t>
      </w:r>
      <w:r>
        <w:rPr>
          <w:rFonts w:ascii="Times New Roman" w:hAnsi="Times New Roman" w:eastAsia="宋体" w:cs="Times New Roman"/>
          <w:kern w:val="2"/>
          <w:sz w:val="24"/>
          <w:szCs w:val="24"/>
        </w:rPr>
        <w:t>16</w:t>
      </w:r>
      <w:r>
        <w:rPr>
          <w:rFonts w:hint="eastAsia" w:ascii="Times New Roman" w:hAnsi="Times New Roman" w:eastAsia="宋体" w:cs="Times New Roman"/>
          <w:kern w:val="2"/>
          <w:sz w:val="24"/>
          <w:szCs w:val="24"/>
        </w:rPr>
        <w:t>周。</w:t>
      </w:r>
    </w:p>
    <w:p w14:paraId="638D6041">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研究共分为</w:t>
      </w:r>
      <w:r>
        <w:rPr>
          <w:rFonts w:ascii="Times New Roman" w:hAnsi="Times New Roman" w:eastAsia="宋体" w:cs="Times New Roman"/>
          <w:kern w:val="2"/>
          <w:sz w:val="24"/>
          <w:szCs w:val="24"/>
        </w:rPr>
        <w:t>3</w:t>
      </w:r>
      <w:r>
        <w:rPr>
          <w:rFonts w:hint="eastAsia" w:ascii="Times New Roman" w:hAnsi="Times New Roman" w:eastAsia="宋体" w:cs="Times New Roman"/>
          <w:kern w:val="2"/>
          <w:sz w:val="24"/>
          <w:szCs w:val="24"/>
        </w:rPr>
        <w:t>个阶段，即筛选期（最长</w:t>
      </w:r>
      <w:r>
        <w:rPr>
          <w:rFonts w:ascii="Times New Roman" w:hAnsi="Times New Roman" w:eastAsia="宋体" w:cs="Times New Roman"/>
          <w:kern w:val="2"/>
          <w:sz w:val="24"/>
          <w:szCs w:val="24"/>
        </w:rPr>
        <w:t>4</w:t>
      </w:r>
      <w:r>
        <w:rPr>
          <w:rFonts w:hint="eastAsia" w:ascii="Times New Roman" w:hAnsi="Times New Roman" w:eastAsia="宋体" w:cs="Times New Roman"/>
          <w:kern w:val="2"/>
          <w:sz w:val="24"/>
          <w:szCs w:val="24"/>
        </w:rPr>
        <w:t>周）、治疗期（</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周，共</w:t>
      </w:r>
      <w:r>
        <w:rPr>
          <w:rFonts w:ascii="Times New Roman" w:hAnsi="Times New Roman" w:eastAsia="宋体" w:cs="Times New Roman"/>
          <w:kern w:val="2"/>
          <w:sz w:val="24"/>
          <w:szCs w:val="24"/>
        </w:rPr>
        <w:t>85</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3</w:t>
      </w:r>
      <w:r>
        <w:rPr>
          <w:rFonts w:hint="eastAsia" w:ascii="Times New Roman" w:hAnsi="Times New Roman" w:eastAsia="宋体" w:cs="Times New Roman"/>
          <w:kern w:val="2"/>
          <w:sz w:val="24"/>
          <w:szCs w:val="24"/>
        </w:rPr>
        <w:t>天）、随访期（末次给药后</w:t>
      </w:r>
      <w:r>
        <w:rPr>
          <w:rFonts w:ascii="Times New Roman" w:hAnsi="Times New Roman" w:eastAsia="宋体" w:cs="Times New Roman"/>
          <w:kern w:val="2"/>
          <w:sz w:val="24"/>
          <w:szCs w:val="24"/>
        </w:rPr>
        <w:t>2</w:t>
      </w:r>
      <w:r>
        <w:rPr>
          <w:rFonts w:hint="eastAsia" w:ascii="Times New Roman" w:hAnsi="Times New Roman" w:eastAsia="宋体" w:cs="Times New Roman"/>
          <w:kern w:val="2"/>
          <w:sz w:val="24"/>
          <w:szCs w:val="24"/>
        </w:rPr>
        <w:t>周）。</w:t>
      </w:r>
    </w:p>
    <w:p w14:paraId="486A0853">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rPr>
        <w:t>筛选期：给药前</w:t>
      </w:r>
      <w:r>
        <w:rPr>
          <w:rFonts w:ascii="Times New Roman" w:hAnsi="Times New Roman" w:eastAsia="宋体" w:cs="Times New Roman"/>
          <w:b/>
          <w:bCs/>
          <w:kern w:val="2"/>
          <w:sz w:val="24"/>
          <w:szCs w:val="24"/>
          <w:u w:val="single"/>
        </w:rPr>
        <w:t>4</w:t>
      </w:r>
      <w:r>
        <w:rPr>
          <w:rFonts w:hint="eastAsia" w:ascii="Times New Roman" w:hAnsi="Times New Roman" w:eastAsia="宋体" w:cs="Times New Roman"/>
          <w:b/>
          <w:bCs/>
          <w:kern w:val="2"/>
          <w:sz w:val="24"/>
          <w:szCs w:val="24"/>
          <w:u w:val="single"/>
        </w:rPr>
        <w:t>周（</w:t>
      </w:r>
      <w:r>
        <w:rPr>
          <w:rFonts w:ascii="Times New Roman" w:hAnsi="Times New Roman" w:eastAsia="宋体" w:cs="Times New Roman"/>
          <w:b/>
          <w:bCs/>
          <w:kern w:val="2"/>
          <w:sz w:val="24"/>
          <w:szCs w:val="24"/>
          <w:u w:val="single"/>
        </w:rPr>
        <w:t>D-28~D-1</w:t>
      </w:r>
      <w:r>
        <w:rPr>
          <w:rFonts w:hint="eastAsia" w:ascii="Times New Roman" w:hAnsi="Times New Roman" w:eastAsia="宋体" w:cs="Times New Roman"/>
          <w:b/>
          <w:bCs/>
          <w:kern w:val="2"/>
          <w:sz w:val="24"/>
          <w:szCs w:val="24"/>
          <w:u w:val="single"/>
        </w:rPr>
        <w:t>）</w:t>
      </w:r>
    </w:p>
    <w:p w14:paraId="6F634F6B">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在签署知情同意书后，参与者将按筛选的先后次序分别获得筛选号。符合所有入选标准而不符合任何排除标准的参与者视为合格。</w:t>
      </w:r>
    </w:p>
    <w:p w14:paraId="507E08DE">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rPr>
        <w:t>治疗期：</w:t>
      </w:r>
      <w:r>
        <w:rPr>
          <w:rFonts w:ascii="Times New Roman" w:hAnsi="Times New Roman" w:eastAsia="宋体" w:cs="Times New Roman"/>
          <w:b/>
          <w:bCs/>
          <w:kern w:val="2"/>
          <w:sz w:val="24"/>
          <w:szCs w:val="24"/>
          <w:u w:val="single"/>
        </w:rPr>
        <w:t>W0~W12</w:t>
      </w:r>
      <w:r>
        <w:rPr>
          <w:rFonts w:hint="eastAsia" w:ascii="Times New Roman" w:hAnsi="Times New Roman" w:eastAsia="宋体" w:cs="Times New Roman"/>
          <w:b/>
          <w:bCs/>
          <w:kern w:val="2"/>
          <w:sz w:val="24"/>
          <w:szCs w:val="24"/>
          <w:u w:val="single"/>
        </w:rPr>
        <w:t>（</w:t>
      </w:r>
      <w:r>
        <w:rPr>
          <w:rFonts w:ascii="Times New Roman" w:hAnsi="Times New Roman" w:eastAsia="宋体" w:cs="Times New Roman"/>
          <w:b/>
          <w:bCs/>
          <w:kern w:val="2"/>
          <w:sz w:val="24"/>
          <w:szCs w:val="24"/>
          <w:u w:val="single"/>
        </w:rPr>
        <w:t>D1~D85</w:t>
      </w:r>
      <w:r>
        <w:rPr>
          <w:rFonts w:hint="eastAsia" w:ascii="Times New Roman" w:hAnsi="Times New Roman" w:eastAsia="宋体" w:cs="Times New Roman"/>
          <w:b/>
          <w:bCs/>
          <w:kern w:val="2"/>
          <w:sz w:val="24"/>
          <w:szCs w:val="24"/>
          <w:u w:val="single"/>
        </w:rPr>
        <w:t>）</w:t>
      </w:r>
    </w:p>
    <w:p w14:paraId="08AD0812">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对于筛选合格的参与者，在</w:t>
      </w:r>
      <w:r>
        <w:rPr>
          <w:rFonts w:ascii="Times New Roman" w:hAnsi="Times New Roman" w:eastAsia="宋体" w:cs="Times New Roman"/>
          <w:kern w:val="2"/>
          <w:sz w:val="24"/>
          <w:szCs w:val="24"/>
        </w:rPr>
        <w:t>D1</w:t>
      </w:r>
      <w:r>
        <w:rPr>
          <w:rFonts w:hint="eastAsia" w:ascii="Times New Roman" w:hAnsi="Times New Roman" w:eastAsia="宋体" w:cs="Times New Roman"/>
          <w:kern w:val="2"/>
          <w:sz w:val="24"/>
          <w:szCs w:val="24"/>
        </w:rPr>
        <w:t>给药前，需再次确认入组合格性，对合格的参与者完成随机，并以银屑病严重程度（</w:t>
      </w:r>
      <w:r>
        <w:rPr>
          <w:rFonts w:ascii="Times New Roman" w:hAnsi="Times New Roman" w:eastAsia="宋体" w:cs="Times New Roman"/>
          <w:kern w:val="2"/>
          <w:sz w:val="24"/>
          <w:szCs w:val="24"/>
        </w:rPr>
        <w:t>PGA</w:t>
      </w:r>
      <w:r>
        <w:rPr>
          <w:rFonts w:hint="eastAsia" w:ascii="Times New Roman" w:hAnsi="Times New Roman" w:eastAsia="宋体" w:cs="Times New Roman"/>
          <w:kern w:val="2"/>
          <w:sz w:val="24"/>
          <w:szCs w:val="24"/>
        </w:rPr>
        <w:t>评分</w:t>
      </w:r>
      <w:r>
        <w:rPr>
          <w:rFonts w:ascii="Times New Roman" w:hAnsi="Times New Roman" w:eastAsia="宋体" w:cs="Times New Roman"/>
          <w:kern w:val="2"/>
          <w:sz w:val="24"/>
          <w:szCs w:val="24"/>
        </w:rPr>
        <w:t>3/4</w:t>
      </w:r>
      <w:r>
        <w:rPr>
          <w:rFonts w:hint="eastAsia" w:ascii="Times New Roman" w:hAnsi="Times New Roman" w:eastAsia="宋体" w:cs="Times New Roman"/>
          <w:kern w:val="2"/>
          <w:sz w:val="24"/>
          <w:szCs w:val="24"/>
        </w:rPr>
        <w:t>）</w:t>
      </w:r>
      <w:r>
        <w:rPr>
          <w:rStyle w:val="99"/>
          <w:rFonts w:hint="eastAsia" w:ascii="Times New Roman" w:hAnsi="Times New Roman" w:eastAsia="宋体" w:cs="Times New Roman"/>
          <w:sz w:val="24"/>
          <w:szCs w:val="24"/>
        </w:rPr>
        <w:t>作</w:t>
      </w:r>
      <w:r>
        <w:rPr>
          <w:rStyle w:val="99"/>
          <w:rFonts w:hint="eastAsia" w:ascii="Times New Roman" w:hAnsi="Times New Roman" w:eastAsia="宋体" w:cs="Times New Roman"/>
          <w:sz w:val="24"/>
          <w:szCs w:val="24"/>
          <w:lang w:val="zh-CN"/>
        </w:rPr>
        <w:t>为</w:t>
      </w:r>
      <w:r>
        <w:rPr>
          <w:rStyle w:val="99"/>
          <w:rFonts w:hint="eastAsia" w:ascii="Times New Roman" w:hAnsi="Times New Roman" w:eastAsia="宋体" w:cs="Times New Roman"/>
          <w:sz w:val="24"/>
          <w:szCs w:val="24"/>
        </w:rPr>
        <w:t>分层</w:t>
      </w:r>
      <w:r>
        <w:rPr>
          <w:rStyle w:val="99"/>
          <w:rFonts w:hint="eastAsia" w:ascii="Times New Roman" w:hAnsi="Times New Roman" w:eastAsia="宋体" w:cs="Times New Roman"/>
          <w:sz w:val="24"/>
          <w:szCs w:val="24"/>
          <w:lang w:val="zh-CN"/>
        </w:rPr>
        <w:t>因素</w:t>
      </w:r>
      <w:r>
        <w:rPr>
          <w:rFonts w:hint="eastAsia" w:ascii="Times New Roman" w:hAnsi="Times New Roman" w:eastAsia="宋体" w:cs="Times New Roman"/>
          <w:kern w:val="2"/>
          <w:sz w:val="24"/>
          <w:szCs w:val="24"/>
        </w:rPr>
        <w:t>。每例参与者只允许接受一个剂量组的全程给药。研究人员根据中央随机系统（</w:t>
      </w:r>
      <w:r>
        <w:rPr>
          <w:rFonts w:ascii="Times New Roman" w:hAnsi="Times New Roman" w:eastAsia="宋体" w:cs="Times New Roman"/>
          <w:kern w:val="2"/>
          <w:sz w:val="24"/>
          <w:szCs w:val="24"/>
        </w:rPr>
        <w:t>Interactive Web Response System</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IWRS</w:t>
      </w:r>
      <w:r>
        <w:rPr>
          <w:rFonts w:hint="eastAsia" w:ascii="Times New Roman" w:hAnsi="Times New Roman" w:eastAsia="宋体" w:cs="Times New Roman"/>
          <w:kern w:val="2"/>
          <w:sz w:val="24"/>
          <w:szCs w:val="24"/>
        </w:rPr>
        <w:t>）给出的药物编号发放试验用药品。</w:t>
      </w:r>
    </w:p>
    <w:p w14:paraId="2B9DAE6D">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每例参与者将按照每天一次（</w:t>
      </w:r>
      <w:r>
        <w:rPr>
          <w:rFonts w:ascii="Times New Roman" w:hAnsi="Times New Roman" w:eastAsia="宋体" w:cs="Times New Roman"/>
          <w:kern w:val="2"/>
          <w:sz w:val="24"/>
          <w:szCs w:val="24"/>
        </w:rPr>
        <w:t>QD</w:t>
      </w:r>
      <w:r>
        <w:rPr>
          <w:rFonts w:hint="eastAsia" w:ascii="Times New Roman" w:hAnsi="Times New Roman" w:eastAsia="宋体" w:cs="Times New Roman"/>
          <w:kern w:val="2"/>
          <w:sz w:val="24"/>
          <w:szCs w:val="24"/>
        </w:rPr>
        <w:t>）的频率进行口服给药，总计接受</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周给药治疗，主要终点将在第</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周进行评估。在治疗期内，所有参与者将于</w:t>
      </w:r>
      <w:r>
        <w:rPr>
          <w:rFonts w:ascii="Times New Roman" w:hAnsi="Times New Roman" w:eastAsia="宋体" w:cs="Times New Roman"/>
          <w:kern w:val="2"/>
          <w:sz w:val="24"/>
          <w:szCs w:val="24"/>
        </w:rPr>
        <w:t>D1/W2/W4/W8/W12</w:t>
      </w:r>
      <w:r>
        <w:rPr>
          <w:rFonts w:hint="eastAsia" w:ascii="Times New Roman" w:hAnsi="Times New Roman" w:eastAsia="宋体" w:cs="Times New Roman"/>
          <w:kern w:val="2"/>
          <w:sz w:val="24"/>
          <w:szCs w:val="24"/>
        </w:rPr>
        <w:t>时间点进行中心访视，返院接受安全性检查、疗效评估和</w:t>
      </w:r>
      <w:r>
        <w:rPr>
          <w:rFonts w:ascii="Times New Roman" w:hAnsi="Times New Roman" w:eastAsia="宋体" w:cs="Times New Roman"/>
          <w:kern w:val="2"/>
          <w:sz w:val="24"/>
          <w:szCs w:val="24"/>
        </w:rPr>
        <w:t>PK</w:t>
      </w:r>
      <w:r>
        <w:rPr>
          <w:rFonts w:hint="eastAsia" w:ascii="Times New Roman" w:hAnsi="Times New Roman" w:eastAsia="宋体" w:cs="Times New Roman"/>
          <w:kern w:val="2"/>
          <w:sz w:val="24"/>
          <w:szCs w:val="24"/>
        </w:rPr>
        <w:t>血样采集。</w:t>
      </w:r>
    </w:p>
    <w:p w14:paraId="50B770D0">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疗效评估内容包括银屑病面积和严重程度指数（</w:t>
      </w:r>
      <w:r>
        <w:rPr>
          <w:rFonts w:ascii="Times New Roman" w:hAnsi="Times New Roman" w:eastAsia="宋体" w:cs="Times New Roman"/>
          <w:kern w:val="2"/>
          <w:sz w:val="24"/>
          <w:szCs w:val="24"/>
        </w:rPr>
        <w:t>PASI</w:t>
      </w:r>
      <w:r>
        <w:rPr>
          <w:rFonts w:hint="eastAsia" w:ascii="Times New Roman" w:hAnsi="Times New Roman" w:eastAsia="宋体" w:cs="Times New Roman"/>
          <w:kern w:val="2"/>
          <w:sz w:val="24"/>
          <w:szCs w:val="24"/>
        </w:rPr>
        <w:t>）评分、医生整体评估（</w:t>
      </w:r>
      <w:r>
        <w:rPr>
          <w:rFonts w:ascii="Times New Roman" w:hAnsi="Times New Roman" w:eastAsia="宋体" w:cs="Times New Roman"/>
          <w:kern w:val="2"/>
          <w:sz w:val="24"/>
          <w:szCs w:val="24"/>
        </w:rPr>
        <w:t>PGA</w:t>
      </w:r>
      <w:r>
        <w:rPr>
          <w:rFonts w:hint="eastAsia" w:ascii="Times New Roman" w:hAnsi="Times New Roman" w:eastAsia="宋体" w:cs="Times New Roman"/>
          <w:kern w:val="2"/>
          <w:sz w:val="24"/>
          <w:szCs w:val="24"/>
        </w:rPr>
        <w:t>）评分、受累的体表面积（</w:t>
      </w:r>
      <w:r>
        <w:rPr>
          <w:rFonts w:ascii="Times New Roman" w:hAnsi="Times New Roman" w:eastAsia="宋体" w:cs="Times New Roman"/>
          <w:kern w:val="2"/>
          <w:sz w:val="24"/>
          <w:szCs w:val="24"/>
        </w:rPr>
        <w:t>BSA</w:t>
      </w:r>
      <w:r>
        <w:rPr>
          <w:rFonts w:hint="eastAsia" w:ascii="Times New Roman" w:hAnsi="Times New Roman" w:eastAsia="宋体" w:cs="Times New Roman"/>
          <w:kern w:val="2"/>
          <w:sz w:val="24"/>
          <w:szCs w:val="24"/>
        </w:rPr>
        <w:t>）评分、皮肤病学生活质量指数（</w:t>
      </w:r>
      <w:r>
        <w:rPr>
          <w:rFonts w:ascii="Times New Roman" w:hAnsi="Times New Roman" w:eastAsia="宋体" w:cs="Times New Roman"/>
          <w:kern w:val="2"/>
          <w:sz w:val="24"/>
          <w:szCs w:val="24"/>
        </w:rPr>
        <w:t>DLQI</w:t>
      </w:r>
      <w:r>
        <w:rPr>
          <w:rFonts w:hint="eastAsia" w:ascii="Times New Roman" w:hAnsi="Times New Roman" w:eastAsia="宋体" w:cs="Times New Roman"/>
          <w:kern w:val="2"/>
          <w:sz w:val="24"/>
          <w:szCs w:val="24"/>
        </w:rPr>
        <w:t>）评分，并将在计划访视点尽量获取患者皮损照片。</w:t>
      </w:r>
    </w:p>
    <w:p w14:paraId="198BF901">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安全性评估内容包括收集不良事件、记录生命体征、进行体格检查和评估临床实验室检查和心电图检查结果。</w:t>
      </w:r>
    </w:p>
    <w:p w14:paraId="4E4487C8">
      <w:pPr>
        <w:autoSpaceDE/>
        <w:autoSpaceDN/>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kern w:val="2"/>
          <w:sz w:val="24"/>
          <w:szCs w:val="24"/>
        </w:rPr>
        <w:t>药代动力学（</w:t>
      </w:r>
      <w:r>
        <w:rPr>
          <w:rFonts w:ascii="Times New Roman" w:hAnsi="Times New Roman" w:eastAsia="宋体" w:cs="Times New Roman"/>
          <w:kern w:val="2"/>
          <w:sz w:val="24"/>
          <w:szCs w:val="24"/>
        </w:rPr>
        <w:t>Pharmacokinetics</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PK</w:t>
      </w:r>
      <w:r>
        <w:rPr>
          <w:rFonts w:hint="eastAsia" w:ascii="Times New Roman" w:hAnsi="Times New Roman" w:eastAsia="宋体" w:cs="Times New Roman"/>
          <w:kern w:val="2"/>
          <w:sz w:val="24"/>
          <w:szCs w:val="24"/>
        </w:rPr>
        <w:t>）血样采集时间点为：</w:t>
      </w:r>
      <w:r>
        <w:rPr>
          <w:rFonts w:ascii="Times New Roman" w:hAnsi="Times New Roman" w:eastAsia="宋体" w:cs="Times New Roman"/>
          <w:sz w:val="24"/>
          <w:szCs w:val="24"/>
        </w:rPr>
        <w:t>W2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w:t>
      </w:r>
      <w:r>
        <w:rPr>
          <w:rFonts w:hint="eastAsia" w:ascii="Times New Roman" w:hAnsi="Times New Roman" w:eastAsia="宋体" w:cs="Times New Roman"/>
          <w:sz w:val="24"/>
          <w:szCs w:val="24"/>
        </w:rPr>
        <w:t>在给药前</w:t>
      </w:r>
      <w:r>
        <w:rPr>
          <w:rFonts w:ascii="Times New Roman" w:hAnsi="Times New Roman" w:eastAsia="宋体" w:cs="Times New Roman"/>
          <w:sz w:val="24"/>
          <w:szCs w:val="24"/>
        </w:rPr>
        <w:t>1 h</w:t>
      </w:r>
      <w:r>
        <w:rPr>
          <w:rFonts w:hint="eastAsia" w:ascii="Times New Roman" w:hAnsi="Times New Roman" w:eastAsia="宋体" w:cs="Times New Roman"/>
          <w:sz w:val="24"/>
          <w:szCs w:val="24"/>
        </w:rPr>
        <w:t>内和给药后</w:t>
      </w:r>
      <w:r>
        <w:rPr>
          <w:rFonts w:ascii="Times New Roman" w:hAnsi="Times New Roman" w:eastAsia="宋体" w:cs="Times New Roman"/>
          <w:sz w:val="24"/>
          <w:szCs w:val="24"/>
        </w:rPr>
        <w:t>2 h</w:t>
      </w:r>
      <w:r>
        <w:rPr>
          <w:rFonts w:hint="eastAsia" w:ascii="Times New Roman" w:hAnsi="Times New Roman" w:eastAsia="宋体" w:cs="Times New Roman"/>
          <w:sz w:val="24"/>
          <w:szCs w:val="24"/>
        </w:rPr>
        <w:t>（±</w:t>
      </w:r>
      <w:r>
        <w:rPr>
          <w:rFonts w:ascii="Times New Roman" w:hAnsi="Times New Roman" w:eastAsia="宋体" w:cs="Times New Roman"/>
          <w:sz w:val="24"/>
          <w:szCs w:val="24"/>
        </w:rPr>
        <w:t>30 min</w:t>
      </w:r>
      <w:r>
        <w:rPr>
          <w:rFonts w:hint="eastAsia" w:ascii="Times New Roman" w:hAnsi="Times New Roman" w:eastAsia="宋体" w:cs="Times New Roman"/>
          <w:sz w:val="24"/>
          <w:szCs w:val="24"/>
        </w:rPr>
        <w:t>）进行</w:t>
      </w:r>
      <w:r>
        <w:rPr>
          <w:rFonts w:ascii="Times New Roman" w:hAnsi="Times New Roman" w:eastAsia="宋体" w:cs="Times New Roman"/>
          <w:sz w:val="24"/>
          <w:szCs w:val="24"/>
        </w:rPr>
        <w:t>PK</w:t>
      </w:r>
      <w:r>
        <w:rPr>
          <w:rFonts w:hint="eastAsia" w:ascii="Times New Roman" w:hAnsi="Times New Roman" w:eastAsia="宋体" w:cs="Times New Roman"/>
          <w:sz w:val="24"/>
          <w:szCs w:val="24"/>
        </w:rPr>
        <w:t>血样采集。</w:t>
      </w:r>
      <w:r>
        <w:rPr>
          <w:rFonts w:ascii="Times New Roman" w:hAnsi="Times New Roman" w:eastAsia="宋体" w:cs="Times New Roman"/>
          <w:sz w:val="24"/>
          <w:szCs w:val="24"/>
        </w:rPr>
        <w:t>W8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W12</w:t>
      </w:r>
      <w:r>
        <w:rPr>
          <w:rFonts w:hint="eastAsia" w:ascii="Times New Roman" w:hAnsi="Times New Roman" w:eastAsia="宋体" w:cs="Times New Roman"/>
          <w:sz w:val="24"/>
          <w:szCs w:val="24"/>
        </w:rPr>
        <w:t>在给药前</w:t>
      </w:r>
      <w:r>
        <w:rPr>
          <w:rFonts w:ascii="Times New Roman" w:hAnsi="Times New Roman" w:eastAsia="宋体" w:cs="Times New Roman"/>
          <w:sz w:val="24"/>
          <w:szCs w:val="24"/>
        </w:rPr>
        <w:t>1h</w:t>
      </w:r>
      <w:r>
        <w:rPr>
          <w:rFonts w:hint="eastAsia" w:ascii="Times New Roman" w:hAnsi="Times New Roman" w:eastAsia="宋体" w:cs="Times New Roman"/>
          <w:sz w:val="24"/>
          <w:szCs w:val="24"/>
        </w:rPr>
        <w:t>内进行</w:t>
      </w:r>
      <w:r>
        <w:rPr>
          <w:rFonts w:ascii="Times New Roman" w:hAnsi="Times New Roman" w:eastAsia="宋体" w:cs="Times New Roman"/>
          <w:sz w:val="24"/>
          <w:szCs w:val="24"/>
        </w:rPr>
        <w:t>PK</w:t>
      </w:r>
      <w:r>
        <w:rPr>
          <w:rFonts w:hint="eastAsia" w:ascii="Times New Roman" w:hAnsi="Times New Roman" w:eastAsia="宋体" w:cs="Times New Roman"/>
          <w:sz w:val="24"/>
          <w:szCs w:val="24"/>
        </w:rPr>
        <w:t>血样采集。</w:t>
      </w:r>
    </w:p>
    <w:p w14:paraId="638420FF">
      <w:pPr>
        <w:autoSpaceDE/>
        <w:autoSpaceDN/>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kern w:val="2"/>
          <w:sz w:val="24"/>
          <w:szCs w:val="24"/>
        </w:rPr>
        <w:t>IL-17A</w:t>
      </w:r>
      <w:r>
        <w:rPr>
          <w:rFonts w:hint="eastAsia" w:ascii="Times New Roman" w:hAnsi="Times New Roman" w:eastAsia="宋体" w:cs="Times New Roman"/>
          <w:kern w:val="2"/>
          <w:sz w:val="24"/>
          <w:szCs w:val="24"/>
        </w:rPr>
        <w:t>血样采集时间点为：W0、</w:t>
      </w:r>
      <w:r>
        <w:rPr>
          <w:rFonts w:ascii="Times New Roman" w:hAnsi="Times New Roman" w:eastAsia="宋体" w:cs="Times New Roman"/>
          <w:sz w:val="24"/>
          <w:szCs w:val="24"/>
        </w:rPr>
        <w:t>W2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w:t>
      </w:r>
      <w:r>
        <w:rPr>
          <w:rFonts w:hint="eastAsia" w:ascii="Times New Roman" w:hAnsi="Times New Roman" w:eastAsia="宋体" w:cs="Times New Roman"/>
          <w:sz w:val="24"/>
          <w:szCs w:val="24"/>
        </w:rPr>
        <w:t>、</w:t>
      </w:r>
      <w:r>
        <w:rPr>
          <w:rFonts w:ascii="Times New Roman" w:hAnsi="Times New Roman" w:eastAsia="宋体" w:cs="Times New Roman"/>
          <w:sz w:val="24"/>
          <w:szCs w:val="24"/>
        </w:rPr>
        <w:t>W8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W12</w:t>
      </w:r>
      <w:r>
        <w:rPr>
          <w:rFonts w:hint="eastAsia" w:ascii="Times New Roman" w:hAnsi="Times New Roman" w:eastAsia="宋体" w:cs="Times New Roman"/>
          <w:sz w:val="24"/>
          <w:szCs w:val="24"/>
        </w:rPr>
        <w:t>在给药前</w:t>
      </w:r>
      <w:r>
        <w:rPr>
          <w:rFonts w:ascii="Times New Roman" w:hAnsi="Times New Roman" w:eastAsia="宋体" w:cs="Times New Roman"/>
          <w:sz w:val="24"/>
          <w:szCs w:val="24"/>
        </w:rPr>
        <w:t>1 h</w:t>
      </w:r>
      <w:r>
        <w:rPr>
          <w:rFonts w:hint="eastAsia" w:ascii="Times New Roman" w:hAnsi="Times New Roman" w:eastAsia="宋体" w:cs="Times New Roman"/>
          <w:sz w:val="24"/>
          <w:szCs w:val="24"/>
        </w:rPr>
        <w:t>内进行</w:t>
      </w:r>
      <w:r>
        <w:rPr>
          <w:rFonts w:ascii="Times New Roman" w:hAnsi="Times New Roman" w:eastAsia="宋体" w:cs="Times New Roman"/>
          <w:kern w:val="2"/>
          <w:sz w:val="24"/>
          <w:szCs w:val="24"/>
        </w:rPr>
        <w:t>IL-17A</w:t>
      </w:r>
      <w:r>
        <w:rPr>
          <w:rFonts w:hint="eastAsia" w:ascii="Times New Roman" w:hAnsi="Times New Roman" w:eastAsia="宋体" w:cs="Times New Roman"/>
          <w:sz w:val="24"/>
          <w:szCs w:val="24"/>
        </w:rPr>
        <w:t>血样采集。</w:t>
      </w:r>
      <w:r>
        <w:rPr>
          <w:rFonts w:ascii="Times New Roman" w:hAnsi="Times New Roman" w:eastAsia="宋体" w:cs="Times New Roman"/>
          <w:sz w:val="24"/>
          <w:szCs w:val="24"/>
        </w:rPr>
        <w:t>W1</w:t>
      </w:r>
      <w:r>
        <w:rPr>
          <w:rFonts w:hint="eastAsia" w:ascii="Times New Roman" w:hAnsi="Times New Roman" w:eastAsia="宋体" w:cs="Times New Roman"/>
          <w:sz w:val="24"/>
          <w:szCs w:val="24"/>
        </w:rPr>
        <w:t>6在访视当天进行</w:t>
      </w:r>
      <w:r>
        <w:rPr>
          <w:rFonts w:ascii="Times New Roman" w:hAnsi="Times New Roman" w:eastAsia="宋体" w:cs="Times New Roman"/>
          <w:kern w:val="2"/>
          <w:sz w:val="24"/>
          <w:szCs w:val="24"/>
        </w:rPr>
        <w:t>IL-17A</w:t>
      </w:r>
      <w:r>
        <w:rPr>
          <w:rFonts w:hint="eastAsia" w:ascii="Times New Roman" w:hAnsi="Times New Roman" w:eastAsia="宋体" w:cs="Times New Roman"/>
          <w:sz w:val="24"/>
          <w:szCs w:val="24"/>
        </w:rPr>
        <w:t>血样采集。</w:t>
      </w:r>
    </w:p>
    <w:p w14:paraId="34367EA7">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rPr>
        <w:t>随访期：</w:t>
      </w:r>
      <w:r>
        <w:rPr>
          <w:rFonts w:ascii="Times New Roman" w:hAnsi="Times New Roman" w:eastAsia="宋体" w:cs="Times New Roman"/>
          <w:b/>
          <w:bCs/>
          <w:kern w:val="2"/>
          <w:sz w:val="24"/>
          <w:szCs w:val="24"/>
          <w:u w:val="single"/>
        </w:rPr>
        <w:t>W13~W16</w:t>
      </w:r>
      <w:r>
        <w:rPr>
          <w:rFonts w:hint="eastAsia" w:ascii="Times New Roman" w:hAnsi="Times New Roman" w:eastAsia="宋体" w:cs="Times New Roman"/>
          <w:b/>
          <w:bCs/>
          <w:kern w:val="2"/>
          <w:sz w:val="24"/>
          <w:szCs w:val="24"/>
          <w:u w:val="single"/>
        </w:rPr>
        <w:t>（</w:t>
      </w:r>
      <w:r>
        <w:rPr>
          <w:rFonts w:ascii="Times New Roman" w:hAnsi="Times New Roman" w:eastAsia="宋体" w:cs="Times New Roman"/>
          <w:b/>
          <w:bCs/>
          <w:kern w:val="2"/>
          <w:sz w:val="24"/>
          <w:szCs w:val="24"/>
          <w:u w:val="single"/>
        </w:rPr>
        <w:t>D86~D113</w:t>
      </w:r>
      <w:r>
        <w:rPr>
          <w:rFonts w:hint="eastAsia" w:ascii="Times New Roman" w:hAnsi="Times New Roman" w:eastAsia="宋体" w:cs="Times New Roman"/>
          <w:b/>
          <w:bCs/>
          <w:kern w:val="2"/>
          <w:sz w:val="24"/>
          <w:szCs w:val="24"/>
          <w:u w:val="single"/>
        </w:rPr>
        <w:t>）</w:t>
      </w:r>
    </w:p>
    <w:p w14:paraId="61E21A77">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sz w:val="24"/>
          <w:szCs w:val="24"/>
        </w:rPr>
        <w:t>在完成</w:t>
      </w:r>
      <w:r>
        <w:rPr>
          <w:rFonts w:ascii="Times New Roman" w:hAnsi="Times New Roman" w:eastAsia="宋体" w:cs="Times New Roman"/>
          <w:sz w:val="24"/>
          <w:szCs w:val="24"/>
        </w:rPr>
        <w:t>12</w:t>
      </w:r>
      <w:r>
        <w:rPr>
          <w:rFonts w:hint="eastAsia" w:ascii="Times New Roman" w:hAnsi="Times New Roman" w:eastAsia="宋体" w:cs="Times New Roman"/>
          <w:sz w:val="24"/>
          <w:szCs w:val="24"/>
        </w:rPr>
        <w:t>周的治疗期后，所有参与者将在末次给药后</w:t>
      </w:r>
      <w:r>
        <w:rPr>
          <w:rFonts w:ascii="Times New Roman" w:hAnsi="Times New Roman" w:eastAsia="宋体" w:cs="Times New Roman"/>
          <w:sz w:val="24"/>
          <w:szCs w:val="24"/>
        </w:rPr>
        <w:t>4</w:t>
      </w:r>
      <w:r>
        <w:rPr>
          <w:rFonts w:hint="eastAsia" w:ascii="Times New Roman" w:hAnsi="Times New Roman" w:eastAsia="宋体" w:cs="Times New Roman"/>
          <w:sz w:val="24"/>
          <w:szCs w:val="24"/>
        </w:rPr>
        <w:t>周进行</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次安全性随访。</w:t>
      </w:r>
    </w:p>
    <w:p w14:paraId="37130F71">
      <w:pPr>
        <w:spacing w:line="360" w:lineRule="auto"/>
        <w:rPr>
          <w:rFonts w:ascii="Times New Roman" w:hAnsi="Times New Roman" w:eastAsia="宋体" w:cs="Times New Roman"/>
          <w:b/>
          <w:bCs/>
          <w:color w:val="000000"/>
          <w:sz w:val="24"/>
          <w:szCs w:val="24"/>
          <w:u w:val="thick"/>
        </w:rPr>
      </w:pPr>
      <w:r>
        <w:rPr>
          <w:rFonts w:hint="eastAsia" w:ascii="Times New Roman" w:hAnsi="Times New Roman" w:eastAsia="宋体" w:cs="Times New Roman"/>
          <w:b/>
          <w:bCs/>
          <w:color w:val="000000"/>
          <w:sz w:val="24"/>
          <w:szCs w:val="24"/>
          <w:u w:val="thick"/>
        </w:rPr>
        <w:t>期中分析</w:t>
      </w:r>
    </w:p>
    <w:p w14:paraId="0274E945">
      <w:pPr>
        <w:spacing w:line="360"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期中分析将</w:t>
      </w:r>
      <w:r>
        <w:rPr>
          <w:rFonts w:hint="eastAsia" w:ascii="Times New Roman" w:hAnsi="Times New Roman" w:eastAsia="宋体" w:cs="Times New Roman"/>
          <w:sz w:val="24"/>
          <w:szCs w:val="24"/>
        </w:rPr>
        <w:t>在</w:t>
      </w:r>
      <w:r>
        <w:rPr>
          <w:rFonts w:hint="eastAsia" w:ascii="Times New Roman" w:hAnsi="Times New Roman" w:eastAsia="宋体" w:cs="Times New Roman"/>
          <w:color w:val="000000"/>
          <w:kern w:val="2"/>
          <w:sz w:val="24"/>
          <w:szCs w:val="24"/>
        </w:rPr>
        <w:t>Ⅱ</w:t>
      </w:r>
      <w:r>
        <w:rPr>
          <w:rFonts w:hint="eastAsia" w:ascii="Times New Roman" w:hAnsi="Times New Roman" w:eastAsia="宋体" w:cs="Times New Roman"/>
          <w:sz w:val="24"/>
          <w:szCs w:val="24"/>
        </w:rPr>
        <w:t>期约</w:t>
      </w:r>
      <w:r>
        <w:rPr>
          <w:rFonts w:ascii="Times New Roman" w:hAnsi="Times New Roman" w:eastAsia="宋体" w:cs="Times New Roman"/>
          <w:sz w:val="24"/>
          <w:szCs w:val="24"/>
        </w:rPr>
        <w:t>50%</w:t>
      </w:r>
      <w:r>
        <w:rPr>
          <w:rFonts w:hint="eastAsia" w:ascii="Times New Roman" w:hAnsi="Times New Roman" w:eastAsia="宋体" w:cs="Times New Roman"/>
          <w:sz w:val="24"/>
          <w:szCs w:val="24"/>
        </w:rPr>
        <w:t>参与者完成第</w:t>
      </w:r>
      <w:r>
        <w:rPr>
          <w:rFonts w:ascii="Times New Roman" w:hAnsi="Times New Roman" w:eastAsia="宋体" w:cs="Times New Roman"/>
          <w:sz w:val="24"/>
          <w:szCs w:val="24"/>
        </w:rPr>
        <w:t>12</w:t>
      </w:r>
      <w:r>
        <w:rPr>
          <w:rFonts w:hint="eastAsia" w:ascii="Times New Roman" w:hAnsi="Times New Roman" w:eastAsia="宋体" w:cs="Times New Roman"/>
          <w:sz w:val="24"/>
          <w:szCs w:val="24"/>
        </w:rPr>
        <w:t>周访视后进行，在</w:t>
      </w:r>
      <w:r>
        <w:rPr>
          <w:rFonts w:hint="eastAsia" w:ascii="Times New Roman" w:hAnsi="Times New Roman" w:eastAsia="宋体" w:cs="Times New Roman"/>
          <w:color w:val="000000"/>
          <w:sz w:val="24"/>
          <w:szCs w:val="24"/>
        </w:rPr>
        <w:t>有效性和安全性评估的基础上，对</w:t>
      </w:r>
      <w:r>
        <w:rPr>
          <w:rFonts w:hint="eastAsia" w:ascii="Times New Roman" w:hAnsi="Times New Roman" w:eastAsia="宋体" w:cs="Times New Roman"/>
          <w:color w:val="000000"/>
          <w:kern w:val="2"/>
          <w:sz w:val="24"/>
          <w:szCs w:val="24"/>
        </w:rPr>
        <w:t>Ⅱ</w:t>
      </w:r>
      <w:r>
        <w:rPr>
          <w:rFonts w:hint="eastAsia" w:ascii="Times New Roman" w:hAnsi="Times New Roman" w:eastAsia="宋体" w:cs="Times New Roman"/>
          <w:sz w:val="24"/>
          <w:szCs w:val="24"/>
        </w:rPr>
        <w:t>期研究数据进行评估。</w:t>
      </w:r>
      <w:r>
        <w:rPr>
          <w:rFonts w:hint="eastAsia" w:ascii="Times New Roman" w:hAnsi="Times New Roman" w:eastAsia="宋体" w:cs="Times New Roman"/>
          <w:color w:val="000000"/>
          <w:sz w:val="24"/>
          <w:szCs w:val="24"/>
        </w:rPr>
        <w:t>数据将由独立统计科学组（</w:t>
      </w:r>
      <w:r>
        <w:rPr>
          <w:rFonts w:ascii="Times New Roman" w:hAnsi="Times New Roman" w:eastAsia="宋体" w:cs="Times New Roman"/>
          <w:color w:val="000000"/>
          <w:sz w:val="24"/>
          <w:szCs w:val="24"/>
        </w:rPr>
        <w:t>Statistical Sciences Group</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SSG</w:t>
      </w:r>
      <w:r>
        <w:rPr>
          <w:rFonts w:hint="eastAsia" w:ascii="Times New Roman" w:hAnsi="Times New Roman" w:eastAsia="宋体" w:cs="Times New Roman"/>
          <w:color w:val="000000"/>
          <w:sz w:val="24"/>
          <w:szCs w:val="24"/>
        </w:rPr>
        <w:t>）分析。分析结果将由独立数据监查委员会（</w:t>
      </w:r>
      <w:r>
        <w:rPr>
          <w:rFonts w:ascii="Times New Roman" w:hAnsi="Times New Roman" w:eastAsia="宋体" w:cs="Times New Roman"/>
          <w:color w:val="000000"/>
          <w:sz w:val="24"/>
          <w:szCs w:val="24"/>
        </w:rPr>
        <w:t>Independent Data Monitoring Committee</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）进行审查。</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基于期中分析结果</w:t>
      </w:r>
      <w:r>
        <w:rPr>
          <w:rFonts w:hint="eastAsia" w:ascii="Times New Roman" w:hAnsi="Times New Roman" w:eastAsia="宋体" w:cs="Times New Roman"/>
          <w:sz w:val="24"/>
          <w:szCs w:val="24"/>
        </w:rPr>
        <w:t>（包括主要疗效终点、关键安全性事件等）</w:t>
      </w:r>
      <w:r>
        <w:rPr>
          <w:rFonts w:hint="eastAsia" w:ascii="Times New Roman" w:hAnsi="Times New Roman" w:eastAsia="宋体" w:cs="Times New Roman"/>
          <w:color w:val="000000"/>
          <w:sz w:val="24"/>
          <w:szCs w:val="24"/>
        </w:rPr>
        <w:t>，建议Ⅲ期研究的剂量；可能基于安全性和或有效性原因而建议某剂量组不再入选新的参与者。最终决定将取决于申办方。</w:t>
      </w:r>
    </w:p>
    <w:p w14:paraId="55B57A3D">
      <w:pPr>
        <w:spacing w:line="360" w:lineRule="auto"/>
        <w:ind w:firstLine="480" w:firstLineChars="200"/>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期中分析的结果将严格限制申办方或者研究管理相关人员获得，直到</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决策完成，更多细节将在</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章程中提供。</w:t>
      </w:r>
    </w:p>
    <w:p w14:paraId="66467CD0">
      <w:pPr>
        <w:spacing w:line="360"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期中分析将主要通过对</w:t>
      </w:r>
      <w:r>
        <w:rPr>
          <w:rFonts w:ascii="Times New Roman" w:hAnsi="Times New Roman" w:eastAsia="宋体" w:cs="Times New Roman"/>
          <w:sz w:val="24"/>
          <w:szCs w:val="24"/>
          <w:lang w:eastAsia="zh-Hans"/>
        </w:rPr>
        <w:t>CMS-D001</w:t>
      </w:r>
      <w:r>
        <w:rPr>
          <w:rFonts w:hint="eastAsia" w:ascii="Times New Roman" w:hAnsi="Times New Roman" w:eastAsia="宋体" w:cs="Times New Roman"/>
          <w:sz w:val="24"/>
          <w:szCs w:val="24"/>
          <w:lang w:eastAsia="zh-Hans"/>
        </w:rPr>
        <w:t>片</w:t>
      </w:r>
      <w:r>
        <w:rPr>
          <w:rFonts w:ascii="Times New Roman" w:hAnsi="Times New Roman" w:eastAsia="宋体" w:cs="Times New Roman"/>
          <w:sz w:val="24"/>
          <w:szCs w:val="24"/>
        </w:rPr>
        <w:t xml:space="preserve"> 50 mg QD</w:t>
      </w:r>
      <w:r>
        <w:rPr>
          <w:rFonts w:hint="eastAsia" w:ascii="Times New Roman" w:hAnsi="Times New Roman" w:eastAsia="宋体" w:cs="Times New Roman"/>
          <w:color w:val="000000"/>
          <w:sz w:val="24"/>
          <w:szCs w:val="24"/>
        </w:rPr>
        <w:t>、</w:t>
      </w:r>
      <w:r>
        <w:rPr>
          <w:rFonts w:ascii="Times New Roman" w:hAnsi="Times New Roman" w:eastAsia="宋体" w:cs="Times New Roman"/>
          <w:sz w:val="24"/>
          <w:szCs w:val="24"/>
        </w:rPr>
        <w:t>100 mg QD</w:t>
      </w:r>
      <w:r>
        <w:rPr>
          <w:rFonts w:hint="eastAsia" w:ascii="Times New Roman" w:hAnsi="Times New Roman" w:eastAsia="宋体" w:cs="Times New Roman"/>
          <w:color w:val="000000"/>
          <w:sz w:val="24"/>
          <w:szCs w:val="24"/>
        </w:rPr>
        <w:t>和安慰剂对照组之间包括但不限于以下指标的比较分析：</w:t>
      </w:r>
    </w:p>
    <w:p w14:paraId="4AE7DF73">
      <w:pPr>
        <w:numPr>
          <w:ilvl w:val="0"/>
          <w:numId w:val="31"/>
        </w:numPr>
        <w:spacing w:line="360" w:lineRule="auto"/>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有效性指标：</w:t>
      </w:r>
    </w:p>
    <w:p w14:paraId="101FD6B2">
      <w:pPr>
        <w:numPr>
          <w:ilvl w:val="0"/>
          <w:numId w:val="15"/>
        </w:numPr>
        <w:spacing w:line="360" w:lineRule="auto"/>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周达到银屑病面积和严重程度指数较基线至少改善</w:t>
      </w:r>
      <w:r>
        <w:rPr>
          <w:rFonts w:ascii="Times New Roman" w:hAnsi="Times New Roman" w:eastAsia="宋体" w:cs="Times New Roman"/>
          <w:color w:val="000000"/>
          <w:sz w:val="24"/>
          <w:szCs w:val="24"/>
          <w:lang w:eastAsia="zh-Hans"/>
        </w:rPr>
        <w:t>75%</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ascii="Times New Roman" w:hAnsi="Times New Roman" w:eastAsia="宋体" w:cs="Times New Roman"/>
          <w:color w:val="000000"/>
          <w:sz w:val="24"/>
          <w:szCs w:val="24"/>
          <w:lang w:eastAsia="zh-Hans"/>
        </w:rPr>
        <w:t>PASI</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lang w:eastAsia="zh-Hans"/>
        </w:rPr>
        <w:t>75</w:t>
      </w:r>
      <w:r>
        <w:rPr>
          <w:rFonts w:hint="eastAsia" w:ascii="Times New Roman" w:hAnsi="Times New Roman" w:eastAsia="宋体" w:cs="Times New Roman"/>
          <w:color w:val="000000"/>
          <w:sz w:val="24"/>
          <w:szCs w:val="24"/>
          <w:lang w:eastAsia="zh-Hans"/>
        </w:rPr>
        <w:t>应答）</w:t>
      </w:r>
      <w:r>
        <w:rPr>
          <w:rFonts w:hint="eastAsia" w:ascii="Times New Roman" w:hAnsi="Times New Roman" w:eastAsia="宋体" w:cs="Times New Roman"/>
          <w:color w:val="000000"/>
          <w:sz w:val="24"/>
          <w:szCs w:val="24"/>
        </w:rPr>
        <w:t>；</w:t>
      </w:r>
    </w:p>
    <w:p w14:paraId="6CE52542">
      <w:pPr>
        <w:numPr>
          <w:ilvl w:val="0"/>
          <w:numId w:val="15"/>
        </w:numPr>
        <w:spacing w:line="360" w:lineRule="auto"/>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周获得医师整体评估（</w:t>
      </w:r>
      <w:r>
        <w:rPr>
          <w:rFonts w:ascii="Times New Roman" w:hAnsi="Times New Roman" w:eastAsia="宋体" w:cs="Times New Roman"/>
          <w:color w:val="000000"/>
          <w:sz w:val="24"/>
          <w:szCs w:val="24"/>
          <w:lang w:eastAsia="zh-Hans"/>
        </w:rPr>
        <w:t>PGA</w:t>
      </w:r>
      <w:r>
        <w:rPr>
          <w:rFonts w:hint="eastAsia" w:ascii="Times New Roman" w:hAnsi="Times New Roman" w:eastAsia="宋体" w:cs="Times New Roman"/>
          <w:color w:val="000000"/>
          <w:sz w:val="24"/>
          <w:szCs w:val="24"/>
          <w:lang w:eastAsia="zh-Hans"/>
        </w:rPr>
        <w:t>）达到清除（</w:t>
      </w:r>
      <w:r>
        <w:rPr>
          <w:rFonts w:ascii="Times New Roman" w:hAnsi="Times New Roman" w:eastAsia="宋体" w:cs="Times New Roman"/>
          <w:color w:val="000000"/>
          <w:sz w:val="24"/>
          <w:szCs w:val="24"/>
          <w:lang w:eastAsia="zh-Hans"/>
        </w:rPr>
        <w:t>0</w:t>
      </w:r>
      <w:r>
        <w:rPr>
          <w:rFonts w:hint="eastAsia" w:ascii="Times New Roman" w:hAnsi="Times New Roman" w:eastAsia="宋体" w:cs="Times New Roman"/>
          <w:color w:val="000000"/>
          <w:sz w:val="24"/>
          <w:szCs w:val="24"/>
          <w:lang w:eastAsia="zh-Hans"/>
        </w:rPr>
        <w:t>）或几乎清除（</w:t>
      </w:r>
      <w:r>
        <w:rPr>
          <w:rFonts w:ascii="Times New Roman" w:hAnsi="Times New Roman" w:eastAsia="宋体" w:cs="Times New Roman"/>
          <w:color w:val="000000"/>
          <w:sz w:val="24"/>
          <w:szCs w:val="24"/>
          <w:lang w:eastAsia="zh-Hans"/>
        </w:rPr>
        <w:t>1</w:t>
      </w:r>
      <w:r>
        <w:rPr>
          <w:rFonts w:hint="eastAsia" w:ascii="Times New Roman" w:hAnsi="Times New Roman" w:eastAsia="宋体" w:cs="Times New Roman"/>
          <w:color w:val="000000"/>
          <w:sz w:val="24"/>
          <w:szCs w:val="24"/>
          <w:lang w:eastAsia="zh-Hans"/>
        </w:rPr>
        <w:t>）</w:t>
      </w:r>
      <w:r>
        <w:rPr>
          <w:rFonts w:hint="eastAsia" w:ascii="Times New Roman" w:hAnsi="Times New Roman" w:eastAsia="宋体" w:cs="Times New Roman"/>
          <w:color w:val="000000"/>
          <w:sz w:val="24"/>
          <w:szCs w:val="24"/>
        </w:rPr>
        <w:t>；</w:t>
      </w:r>
    </w:p>
    <w:p w14:paraId="4A83D463">
      <w:pPr>
        <w:numPr>
          <w:ilvl w:val="0"/>
          <w:numId w:val="15"/>
        </w:numPr>
        <w:spacing w:line="360" w:lineRule="auto"/>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周达到银屑病面积和严重程度指数较基线至少改善</w:t>
      </w:r>
      <w:r>
        <w:rPr>
          <w:rFonts w:ascii="Times New Roman" w:hAnsi="Times New Roman" w:eastAsia="宋体" w:cs="Times New Roman"/>
          <w:color w:val="000000"/>
          <w:sz w:val="24"/>
          <w:szCs w:val="24"/>
        </w:rPr>
        <w:t>50</w:t>
      </w:r>
      <w:r>
        <w:rPr>
          <w:rFonts w:ascii="Times New Roman" w:hAnsi="Times New Roman" w:eastAsia="宋体" w:cs="Times New Roman"/>
          <w:color w:val="000000"/>
          <w:sz w:val="24"/>
          <w:szCs w:val="24"/>
          <w:lang w:eastAsia="zh-Hans"/>
        </w:rPr>
        <w:t>%</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ascii="Times New Roman" w:hAnsi="Times New Roman" w:eastAsia="宋体" w:cs="Times New Roman"/>
          <w:color w:val="000000"/>
          <w:sz w:val="24"/>
          <w:szCs w:val="24"/>
          <w:lang w:eastAsia="zh-Hans"/>
        </w:rPr>
        <w:t>PASI</w:t>
      </w:r>
      <w:r>
        <w:rPr>
          <w:rFonts w:ascii="Times New Roman" w:hAnsi="Times New Roman" w:eastAsia="宋体" w:cs="Times New Roman"/>
          <w:color w:val="000000"/>
          <w:sz w:val="24"/>
          <w:szCs w:val="24"/>
        </w:rPr>
        <w:t xml:space="preserve"> 50</w:t>
      </w:r>
      <w:r>
        <w:rPr>
          <w:rFonts w:hint="eastAsia" w:ascii="Times New Roman" w:hAnsi="Times New Roman" w:eastAsia="宋体" w:cs="Times New Roman"/>
          <w:color w:val="000000"/>
          <w:sz w:val="24"/>
          <w:szCs w:val="24"/>
          <w:lang w:eastAsia="zh-Hans"/>
        </w:rPr>
        <w:t>应答）</w:t>
      </w:r>
      <w:r>
        <w:rPr>
          <w:rFonts w:hint="eastAsia" w:ascii="Times New Roman" w:hAnsi="Times New Roman" w:eastAsia="宋体" w:cs="Times New Roman"/>
          <w:color w:val="000000"/>
          <w:sz w:val="24"/>
          <w:szCs w:val="24"/>
        </w:rPr>
        <w:t>；</w:t>
      </w:r>
    </w:p>
    <w:p w14:paraId="0498495A">
      <w:pPr>
        <w:numPr>
          <w:ilvl w:val="0"/>
          <w:numId w:val="15"/>
        </w:numPr>
        <w:spacing w:line="360" w:lineRule="auto"/>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lang w:eastAsia="zh-Hans"/>
        </w:rPr>
        <w:t>周达到银屑病面积和严重程度指数较基线至少改善</w:t>
      </w:r>
      <w:r>
        <w:rPr>
          <w:rFonts w:ascii="Times New Roman" w:hAnsi="Times New Roman" w:eastAsia="宋体" w:cs="Times New Roman"/>
          <w:color w:val="000000"/>
          <w:sz w:val="24"/>
          <w:szCs w:val="24"/>
        </w:rPr>
        <w:t>90</w:t>
      </w:r>
      <w:r>
        <w:rPr>
          <w:rFonts w:ascii="Times New Roman" w:hAnsi="Times New Roman" w:eastAsia="宋体" w:cs="Times New Roman"/>
          <w:color w:val="000000"/>
          <w:sz w:val="24"/>
          <w:szCs w:val="24"/>
          <w:lang w:eastAsia="zh-Hans"/>
        </w:rPr>
        <w:t>%</w:t>
      </w:r>
      <w:r>
        <w:rPr>
          <w:rFonts w:hint="eastAsia" w:ascii="Times New Roman" w:hAnsi="Times New Roman" w:eastAsia="宋体" w:cs="Times New Roman"/>
          <w:color w:val="000000"/>
          <w:sz w:val="24"/>
          <w:szCs w:val="24"/>
          <w:lang w:eastAsia="zh-Hans"/>
        </w:rPr>
        <w:t>的</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比例（</w:t>
      </w:r>
      <w:r>
        <w:rPr>
          <w:rFonts w:ascii="Times New Roman" w:hAnsi="Times New Roman" w:eastAsia="宋体" w:cs="Times New Roman"/>
          <w:color w:val="000000"/>
          <w:sz w:val="24"/>
          <w:szCs w:val="24"/>
          <w:lang w:eastAsia="zh-Hans"/>
        </w:rPr>
        <w:t>PASI</w:t>
      </w:r>
      <w:r>
        <w:rPr>
          <w:rFonts w:ascii="Times New Roman" w:hAnsi="Times New Roman" w:eastAsia="宋体" w:cs="Times New Roman"/>
          <w:color w:val="000000"/>
          <w:sz w:val="24"/>
          <w:szCs w:val="24"/>
        </w:rPr>
        <w:t xml:space="preserve"> 90</w:t>
      </w:r>
      <w:r>
        <w:rPr>
          <w:rFonts w:hint="eastAsia" w:ascii="Times New Roman" w:hAnsi="Times New Roman" w:eastAsia="宋体" w:cs="Times New Roman"/>
          <w:color w:val="000000"/>
          <w:sz w:val="24"/>
          <w:szCs w:val="24"/>
          <w:lang w:eastAsia="zh-Hans"/>
        </w:rPr>
        <w:t>应答）</w:t>
      </w:r>
      <w:r>
        <w:rPr>
          <w:rFonts w:hint="eastAsia" w:ascii="Times New Roman" w:hAnsi="Times New Roman" w:eastAsia="宋体" w:cs="Times New Roman"/>
          <w:color w:val="000000"/>
          <w:sz w:val="24"/>
          <w:szCs w:val="24"/>
        </w:rPr>
        <w:t>；</w:t>
      </w:r>
    </w:p>
    <w:p w14:paraId="20AC4154">
      <w:pPr>
        <w:numPr>
          <w:ilvl w:val="0"/>
          <w:numId w:val="31"/>
        </w:numPr>
        <w:spacing w:line="360" w:lineRule="auto"/>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安全性指标：</w:t>
      </w:r>
    </w:p>
    <w:p w14:paraId="1B44910C">
      <w:pPr>
        <w:numPr>
          <w:ilvl w:val="0"/>
          <w:numId w:val="16"/>
        </w:numPr>
        <w:spacing w:line="360" w:lineRule="auto"/>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不良事件和严重不良事件</w:t>
      </w:r>
    </w:p>
    <w:p w14:paraId="21176F7E">
      <w:pPr>
        <w:spacing w:line="360" w:lineRule="auto"/>
        <w:rPr>
          <w:rFonts w:ascii="Times New Roman" w:hAnsi="Times New Roman" w:eastAsia="宋体" w:cs="Times New Roman"/>
          <w:b/>
          <w:bCs/>
          <w:color w:val="000000"/>
          <w:sz w:val="24"/>
          <w:szCs w:val="24"/>
          <w:u w:val="single"/>
        </w:rPr>
      </w:pPr>
      <w:r>
        <w:rPr>
          <w:rFonts w:hint="eastAsia" w:ascii="Times New Roman" w:hAnsi="Times New Roman" w:eastAsia="宋体" w:cs="Times New Roman"/>
          <w:b/>
          <w:bCs/>
          <w:color w:val="000000"/>
          <w:sz w:val="24"/>
          <w:szCs w:val="24"/>
          <w:u w:val="single"/>
          <w:lang w:eastAsia="zh-Hans"/>
        </w:rPr>
        <w:t>Ⅲ期临床</w:t>
      </w:r>
      <w:r>
        <w:rPr>
          <w:rFonts w:hint="eastAsia" w:ascii="Times New Roman" w:hAnsi="Times New Roman" w:eastAsia="宋体" w:cs="Times New Roman"/>
          <w:b/>
          <w:bCs/>
          <w:color w:val="000000"/>
          <w:sz w:val="24"/>
          <w:szCs w:val="24"/>
          <w:u w:val="single"/>
        </w:rPr>
        <w:t>研究阶段</w:t>
      </w:r>
    </w:p>
    <w:p w14:paraId="1875969F">
      <w:pPr>
        <w:spacing w:line="360" w:lineRule="auto"/>
        <w:ind w:firstLine="480" w:firstLineChars="200"/>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Ⅲ期临床</w:t>
      </w:r>
      <w:r>
        <w:rPr>
          <w:rFonts w:hint="eastAsia" w:ascii="Times New Roman" w:hAnsi="Times New Roman" w:eastAsia="宋体" w:cs="Times New Roman"/>
          <w:color w:val="000000"/>
          <w:sz w:val="24"/>
          <w:szCs w:val="24"/>
        </w:rPr>
        <w:t>研究阶段，</w:t>
      </w:r>
      <w:r>
        <w:rPr>
          <w:rStyle w:val="99"/>
          <w:rFonts w:hint="eastAsia" w:ascii="Times New Roman" w:hAnsi="Times New Roman" w:eastAsia="宋体" w:cs="Times New Roman"/>
          <w:color w:val="000000" w:themeColor="text1"/>
          <w:sz w:val="24"/>
          <w:szCs w:val="24"/>
          <w14:textFill>
            <w14:solidFill>
              <w14:schemeClr w14:val="tx1"/>
            </w14:solidFill>
          </w14:textFill>
        </w:rPr>
        <w:t>采用多中心、随机、双盲、安慰剂对照设计，</w:t>
      </w:r>
      <w:r>
        <w:rPr>
          <w:rFonts w:hint="eastAsia" w:ascii="Times New Roman" w:hAnsi="Times New Roman" w:eastAsia="宋体" w:cs="Times New Roman"/>
          <w:color w:val="000000"/>
          <w:sz w:val="24"/>
          <w:szCs w:val="24"/>
          <w:lang w:eastAsia="zh-Hans"/>
        </w:rPr>
        <w:t>计划</w:t>
      </w:r>
      <w:r>
        <w:rPr>
          <w:rFonts w:hint="eastAsia" w:ascii="Times New Roman" w:hAnsi="Times New Roman" w:eastAsia="宋体" w:cs="Times New Roman"/>
          <w:color w:val="000000"/>
          <w:sz w:val="24"/>
          <w:szCs w:val="24"/>
        </w:rPr>
        <w:t>在Ⅱ期临床试验完成入组后，按照Ⅱ期剂量组（或基于Ⅱ期研究结果确定的推荐剂量组）和安慰剂组继续纳入</w:t>
      </w:r>
      <w:r>
        <w:rPr>
          <w:rFonts w:hint="eastAsia" w:ascii="Times New Roman" w:hAnsi="Times New Roman" w:eastAsia="宋体" w:cs="Times New Roman"/>
          <w:color w:val="000000"/>
          <w:sz w:val="24"/>
          <w:szCs w:val="24"/>
          <w:lang w:eastAsia="zh-Hans"/>
        </w:rPr>
        <w:t>Ⅲ</w:t>
      </w:r>
      <w:r>
        <w:rPr>
          <w:rFonts w:hint="eastAsia" w:ascii="Times New Roman" w:hAnsi="Times New Roman" w:eastAsia="宋体" w:cs="Times New Roman"/>
          <w:color w:val="000000"/>
          <w:sz w:val="24"/>
          <w:szCs w:val="24"/>
        </w:rPr>
        <w:t>期参与者</w:t>
      </w:r>
      <w:r>
        <w:rPr>
          <w:rFonts w:hint="eastAsia" w:ascii="Times New Roman" w:hAnsi="Times New Roman" w:eastAsia="宋体" w:cs="Times New Roman"/>
          <w:color w:val="000000"/>
          <w:sz w:val="24"/>
          <w:szCs w:val="24"/>
          <w:lang w:eastAsia="zh-Hans"/>
        </w:rPr>
        <w:t>，</w:t>
      </w:r>
      <w:r>
        <w:rPr>
          <w:rStyle w:val="99"/>
          <w:rFonts w:hint="eastAsia" w:ascii="Times New Roman" w:hAnsi="Times New Roman" w:eastAsia="宋体" w:cs="Times New Roman"/>
          <w:color w:val="000000" w:themeColor="text1"/>
          <w:sz w:val="24"/>
          <w:szCs w:val="24"/>
          <w14:textFill>
            <w14:solidFill>
              <w14:schemeClr w14:val="tx1"/>
            </w14:solidFill>
          </w14:textFill>
        </w:rPr>
        <w:t>计划入组</w:t>
      </w:r>
      <w:r>
        <w:rPr>
          <w:rStyle w:val="99"/>
          <w:rFonts w:ascii="Times New Roman" w:hAnsi="Times New Roman" w:eastAsia="宋体" w:cs="Times New Roman"/>
          <w:color w:val="000000" w:themeColor="text1"/>
          <w:sz w:val="24"/>
          <w:szCs w:val="24"/>
          <w14:textFill>
            <w14:solidFill>
              <w14:schemeClr w14:val="tx1"/>
            </w14:solidFill>
          </w14:textFill>
        </w:rPr>
        <w:t>420</w:t>
      </w:r>
      <w:r>
        <w:rPr>
          <w:rStyle w:val="99"/>
          <w:rFonts w:hint="eastAsia" w:ascii="Times New Roman" w:hAnsi="Times New Roman" w:eastAsia="宋体" w:cs="Times New Roman"/>
          <w:color w:val="000000" w:themeColor="text1"/>
          <w:sz w:val="24"/>
          <w:szCs w:val="24"/>
          <w14:textFill>
            <w14:solidFill>
              <w14:schemeClr w14:val="tx1"/>
            </w14:solidFill>
          </w14:textFill>
        </w:rPr>
        <w:t>例参与者。</w:t>
      </w:r>
      <w:r>
        <w:rPr>
          <w:rFonts w:hint="eastAsia" w:ascii="Times New Roman" w:hAnsi="Times New Roman" w:eastAsia="宋体" w:cs="Times New Roman"/>
          <w:color w:val="000000"/>
          <w:sz w:val="24"/>
          <w:szCs w:val="24"/>
          <w:lang w:eastAsia="zh-Hans"/>
        </w:rPr>
        <w:t>在提供书面知情同意并完成所有筛选评估后，符合条件的参与者将以</w:t>
      </w:r>
      <w:r>
        <w:rPr>
          <w:rFonts w:ascii="Times New Roman" w:hAnsi="Times New Roman" w:eastAsia="宋体" w:cs="Times New Roman"/>
          <w:color w:val="000000"/>
          <w:sz w:val="24"/>
          <w:szCs w:val="24"/>
          <w:lang w:eastAsia="zh-Hans"/>
        </w:rPr>
        <w:t>2:2:1</w:t>
      </w:r>
      <w:r>
        <w:rPr>
          <w:rFonts w:hint="eastAsia" w:ascii="Times New Roman" w:hAnsi="Times New Roman" w:eastAsia="宋体" w:cs="Times New Roman"/>
          <w:color w:val="000000"/>
          <w:sz w:val="24"/>
          <w:szCs w:val="24"/>
          <w:lang w:eastAsia="zh-Hans"/>
        </w:rPr>
        <w:t>的比例随机分配至</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lang w:eastAsia="zh-Hans"/>
        </w:rPr>
        <w:t xml:space="preserve"> 50 mg QD</w:t>
      </w:r>
      <w:r>
        <w:rPr>
          <w:rFonts w:hint="eastAsia" w:ascii="Times New Roman" w:hAnsi="Times New Roman" w:eastAsia="宋体" w:cs="Times New Roman"/>
          <w:color w:val="000000"/>
          <w:sz w:val="24"/>
          <w:szCs w:val="24"/>
          <w:lang w:eastAsia="zh-Hans"/>
        </w:rPr>
        <w:t>，</w:t>
      </w:r>
      <w:r>
        <w:rPr>
          <w:rFonts w:ascii="Times New Roman" w:hAnsi="Times New Roman" w:eastAsia="宋体" w:cs="Times New Roman"/>
          <w:color w:val="000000"/>
          <w:sz w:val="24"/>
          <w:szCs w:val="24"/>
          <w:lang w:eastAsia="zh-Hans"/>
        </w:rPr>
        <w:t>100 mg QD</w:t>
      </w:r>
      <w:r>
        <w:rPr>
          <w:rFonts w:hint="eastAsia" w:ascii="Times New Roman" w:hAnsi="Times New Roman" w:eastAsia="宋体" w:cs="Times New Roman"/>
          <w:color w:val="000000"/>
          <w:sz w:val="24"/>
          <w:szCs w:val="24"/>
          <w:lang w:eastAsia="zh-Hans"/>
        </w:rPr>
        <w:t>和安慰剂对照组，试验组每组最多</w:t>
      </w:r>
      <w:r>
        <w:rPr>
          <w:rFonts w:ascii="Times New Roman" w:hAnsi="Times New Roman" w:eastAsia="宋体" w:cs="Times New Roman"/>
          <w:color w:val="000000"/>
          <w:sz w:val="24"/>
          <w:szCs w:val="24"/>
          <w:lang w:eastAsia="zh-Hans"/>
        </w:rPr>
        <w:t>168</w:t>
      </w:r>
      <w:r>
        <w:rPr>
          <w:rFonts w:hint="eastAsia" w:ascii="Times New Roman" w:hAnsi="Times New Roman" w:eastAsia="宋体" w:cs="Times New Roman"/>
          <w:color w:val="000000"/>
          <w:sz w:val="24"/>
          <w:szCs w:val="24"/>
          <w:lang w:eastAsia="zh-Hans"/>
        </w:rPr>
        <w:t>例参与者（不含安慰剂转组的参与者），安慰剂组最多</w:t>
      </w:r>
      <w:r>
        <w:rPr>
          <w:rFonts w:ascii="Times New Roman" w:hAnsi="Times New Roman" w:eastAsia="宋体" w:cs="Times New Roman"/>
          <w:color w:val="000000"/>
          <w:sz w:val="24"/>
          <w:szCs w:val="24"/>
          <w:lang w:eastAsia="zh-Hans"/>
        </w:rPr>
        <w:t>84</w:t>
      </w:r>
      <w:r>
        <w:rPr>
          <w:rFonts w:hint="eastAsia" w:ascii="Times New Roman" w:hAnsi="Times New Roman" w:eastAsia="宋体" w:cs="Times New Roman"/>
          <w:color w:val="000000"/>
          <w:sz w:val="24"/>
          <w:szCs w:val="24"/>
          <w:lang w:eastAsia="zh-Hans"/>
        </w:rPr>
        <w:t>例。</w:t>
      </w:r>
    </w:p>
    <w:p w14:paraId="191677FA">
      <w:pPr>
        <w:spacing w:line="360" w:lineRule="auto"/>
        <w:ind w:firstLine="480" w:firstLineChars="200"/>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试验组</w:t>
      </w:r>
      <w:r>
        <w:rPr>
          <w:rFonts w:ascii="Times New Roman" w:hAnsi="Times New Roman" w:eastAsia="宋体" w:cs="Times New Roman"/>
          <w:color w:val="000000"/>
          <w:sz w:val="24"/>
          <w:szCs w:val="24"/>
          <w:lang w:eastAsia="zh-Hans"/>
        </w:rPr>
        <w:t>1</w:t>
      </w:r>
      <w:r>
        <w:rPr>
          <w:rFonts w:hint="eastAsia" w:ascii="Times New Roman" w:hAnsi="Times New Roman" w:eastAsia="宋体" w:cs="Times New Roman"/>
          <w:color w:val="000000"/>
          <w:sz w:val="24"/>
          <w:szCs w:val="24"/>
          <w:lang w:eastAsia="zh-Hans"/>
        </w:rPr>
        <w:t>：</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lang w:eastAsia="zh-Hans"/>
        </w:rPr>
        <w:t xml:space="preserve"> 50 mg</w:t>
      </w:r>
      <w:r>
        <w:rPr>
          <w:rFonts w:hint="eastAsia" w:ascii="Times New Roman" w:hAnsi="Times New Roman" w:eastAsia="宋体" w:cs="Times New Roman"/>
          <w:color w:val="000000"/>
          <w:sz w:val="24"/>
          <w:szCs w:val="24"/>
          <w:lang w:eastAsia="zh-Hans"/>
        </w:rPr>
        <w:t>，</w:t>
      </w:r>
      <w:r>
        <w:rPr>
          <w:rFonts w:ascii="Times New Roman" w:hAnsi="Times New Roman" w:eastAsia="宋体" w:cs="Times New Roman"/>
          <w:color w:val="000000"/>
          <w:sz w:val="24"/>
          <w:szCs w:val="24"/>
          <w:lang w:eastAsia="zh-Hans"/>
        </w:rPr>
        <w:t xml:space="preserve">QD </w:t>
      </w:r>
      <w:r>
        <w:rPr>
          <w:rFonts w:hint="eastAsia" w:ascii="Times New Roman" w:hAnsi="Times New Roman" w:eastAsia="宋体" w:cs="Times New Roman"/>
          <w:color w:val="000000"/>
          <w:sz w:val="24"/>
          <w:szCs w:val="24"/>
          <w:lang w:eastAsia="zh-Hans"/>
        </w:rPr>
        <w:t>；</w:t>
      </w:r>
    </w:p>
    <w:p w14:paraId="322D6A2F">
      <w:pPr>
        <w:spacing w:line="360" w:lineRule="auto"/>
        <w:ind w:firstLine="480" w:firstLineChars="200"/>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试验组</w:t>
      </w:r>
      <w:r>
        <w:rPr>
          <w:rFonts w:ascii="Times New Roman" w:hAnsi="Times New Roman" w:eastAsia="宋体" w:cs="Times New Roman"/>
          <w:color w:val="000000"/>
          <w:sz w:val="24"/>
          <w:szCs w:val="24"/>
          <w:lang w:eastAsia="zh-Hans"/>
        </w:rPr>
        <w:t>2</w:t>
      </w:r>
      <w:r>
        <w:rPr>
          <w:rFonts w:hint="eastAsia" w:ascii="Times New Roman" w:hAnsi="Times New Roman" w:eastAsia="宋体" w:cs="Times New Roman"/>
          <w:color w:val="000000"/>
          <w:sz w:val="24"/>
          <w:szCs w:val="24"/>
          <w:lang w:eastAsia="zh-Hans"/>
        </w:rPr>
        <w:t>：</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lang w:eastAsia="zh-Hans"/>
        </w:rPr>
        <w:t xml:space="preserve"> 100 mg</w:t>
      </w:r>
      <w:r>
        <w:rPr>
          <w:rFonts w:hint="eastAsia" w:ascii="Times New Roman" w:hAnsi="Times New Roman" w:eastAsia="宋体" w:cs="Times New Roman"/>
          <w:color w:val="000000"/>
          <w:sz w:val="24"/>
          <w:szCs w:val="24"/>
          <w:lang w:eastAsia="zh-Hans"/>
        </w:rPr>
        <w:t>，</w:t>
      </w:r>
      <w:r>
        <w:rPr>
          <w:rFonts w:ascii="Times New Roman" w:hAnsi="Times New Roman" w:eastAsia="宋体" w:cs="Times New Roman"/>
          <w:color w:val="000000"/>
          <w:sz w:val="24"/>
          <w:szCs w:val="24"/>
          <w:lang w:eastAsia="zh-Hans"/>
        </w:rPr>
        <w:t>QD</w:t>
      </w:r>
      <w:r>
        <w:rPr>
          <w:rFonts w:hint="eastAsia" w:ascii="Times New Roman" w:hAnsi="Times New Roman" w:eastAsia="宋体" w:cs="Times New Roman"/>
          <w:color w:val="000000"/>
          <w:sz w:val="24"/>
          <w:szCs w:val="24"/>
          <w:lang w:eastAsia="zh-Hans"/>
        </w:rPr>
        <w:t>；</w:t>
      </w:r>
    </w:p>
    <w:p w14:paraId="1EB2DD22">
      <w:pPr>
        <w:spacing w:line="360" w:lineRule="auto"/>
        <w:ind w:firstLine="480" w:firstLineChars="200"/>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安慰剂组：安慰剂（不含</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活性成份）。</w:t>
      </w:r>
    </w:p>
    <w:p w14:paraId="3C3B1167">
      <w:pPr>
        <w:spacing w:line="360" w:lineRule="auto"/>
        <w:ind w:firstLine="480" w:firstLineChars="200"/>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rPr>
        <w:t>注：试验组剂量可能基于Ⅱ期研究结果进行调整。</w:t>
      </w:r>
    </w:p>
    <w:p w14:paraId="277FCA15">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研究共分为</w:t>
      </w:r>
      <w:r>
        <w:rPr>
          <w:rFonts w:ascii="Times New Roman" w:hAnsi="Times New Roman" w:eastAsia="宋体" w:cs="Times New Roman"/>
          <w:kern w:val="2"/>
          <w:sz w:val="24"/>
          <w:szCs w:val="24"/>
        </w:rPr>
        <w:t>4</w:t>
      </w:r>
      <w:r>
        <w:rPr>
          <w:rFonts w:hint="eastAsia" w:ascii="Times New Roman" w:hAnsi="Times New Roman" w:eastAsia="宋体" w:cs="Times New Roman"/>
          <w:kern w:val="2"/>
          <w:sz w:val="24"/>
          <w:szCs w:val="24"/>
        </w:rPr>
        <w:t>个阶段，即筛选期（最长</w:t>
      </w:r>
      <w:r>
        <w:rPr>
          <w:rFonts w:ascii="Times New Roman" w:hAnsi="Times New Roman" w:eastAsia="宋体" w:cs="Times New Roman"/>
          <w:kern w:val="2"/>
          <w:sz w:val="24"/>
          <w:szCs w:val="24"/>
        </w:rPr>
        <w:t>4</w:t>
      </w:r>
      <w:r>
        <w:rPr>
          <w:rFonts w:hint="eastAsia" w:ascii="Times New Roman" w:hAnsi="Times New Roman" w:eastAsia="宋体" w:cs="Times New Roman"/>
          <w:kern w:val="2"/>
          <w:sz w:val="24"/>
          <w:szCs w:val="24"/>
        </w:rPr>
        <w:t>周）、基础期（</w:t>
      </w:r>
      <w:r>
        <w:rPr>
          <w:rFonts w:ascii="Times New Roman" w:hAnsi="Times New Roman" w:eastAsia="宋体" w:cs="Times New Roman"/>
          <w:kern w:val="2"/>
          <w:sz w:val="24"/>
          <w:szCs w:val="24"/>
        </w:rPr>
        <w:t>16</w:t>
      </w:r>
      <w:r>
        <w:rPr>
          <w:rFonts w:hint="eastAsia" w:ascii="Times New Roman" w:hAnsi="Times New Roman" w:eastAsia="宋体" w:cs="Times New Roman"/>
          <w:kern w:val="2"/>
          <w:sz w:val="24"/>
          <w:szCs w:val="24"/>
        </w:rPr>
        <w:t>周）、扩展期（</w:t>
      </w:r>
      <w:r>
        <w:rPr>
          <w:rFonts w:ascii="Times New Roman" w:hAnsi="Times New Roman" w:eastAsia="宋体" w:cs="Times New Roman"/>
          <w:kern w:val="2"/>
          <w:sz w:val="24"/>
          <w:szCs w:val="24"/>
        </w:rPr>
        <w:t>36</w:t>
      </w:r>
      <w:r>
        <w:rPr>
          <w:rFonts w:hint="eastAsia" w:ascii="Times New Roman" w:hAnsi="Times New Roman" w:eastAsia="宋体" w:cs="Times New Roman"/>
          <w:kern w:val="2"/>
          <w:sz w:val="24"/>
          <w:szCs w:val="24"/>
        </w:rPr>
        <w:t>周）、随访期（末次给药后</w:t>
      </w:r>
      <w:r>
        <w:rPr>
          <w:rFonts w:ascii="Times New Roman" w:hAnsi="Times New Roman" w:eastAsia="宋体" w:cs="Times New Roman"/>
          <w:kern w:val="2"/>
          <w:sz w:val="24"/>
          <w:szCs w:val="24"/>
        </w:rPr>
        <w:t>4</w:t>
      </w:r>
      <w:r>
        <w:rPr>
          <w:rFonts w:hint="eastAsia" w:ascii="Times New Roman" w:hAnsi="Times New Roman" w:eastAsia="宋体" w:cs="Times New Roman"/>
          <w:kern w:val="2"/>
          <w:sz w:val="24"/>
          <w:szCs w:val="24"/>
        </w:rPr>
        <w:t>周）。</w:t>
      </w:r>
    </w:p>
    <w:p w14:paraId="6EAD219B">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rPr>
        <w:t>筛选期：给药前</w:t>
      </w:r>
      <w:r>
        <w:rPr>
          <w:rFonts w:ascii="Times New Roman" w:hAnsi="Times New Roman" w:eastAsia="宋体" w:cs="Times New Roman"/>
          <w:b/>
          <w:bCs/>
          <w:kern w:val="2"/>
          <w:sz w:val="24"/>
          <w:szCs w:val="24"/>
          <w:u w:val="single"/>
        </w:rPr>
        <w:t>4</w:t>
      </w:r>
      <w:r>
        <w:rPr>
          <w:rFonts w:hint="eastAsia" w:ascii="Times New Roman" w:hAnsi="Times New Roman" w:eastAsia="宋体" w:cs="Times New Roman"/>
          <w:b/>
          <w:bCs/>
          <w:kern w:val="2"/>
          <w:sz w:val="24"/>
          <w:szCs w:val="24"/>
          <w:u w:val="single"/>
        </w:rPr>
        <w:t>周（</w:t>
      </w:r>
      <w:r>
        <w:rPr>
          <w:rFonts w:ascii="Times New Roman" w:hAnsi="Times New Roman" w:eastAsia="宋体" w:cs="Times New Roman"/>
          <w:b/>
          <w:bCs/>
          <w:kern w:val="2"/>
          <w:sz w:val="24"/>
          <w:szCs w:val="24"/>
          <w:u w:val="single"/>
        </w:rPr>
        <w:t>D-28~D-1</w:t>
      </w:r>
      <w:r>
        <w:rPr>
          <w:rFonts w:hint="eastAsia" w:ascii="Times New Roman" w:hAnsi="Times New Roman" w:eastAsia="宋体" w:cs="Times New Roman"/>
          <w:b/>
          <w:bCs/>
          <w:kern w:val="2"/>
          <w:sz w:val="24"/>
          <w:szCs w:val="24"/>
          <w:u w:val="single"/>
        </w:rPr>
        <w:t>）</w:t>
      </w:r>
    </w:p>
    <w:p w14:paraId="4530D9A2">
      <w:pPr>
        <w:autoSpaceDE/>
        <w:autoSpaceDN/>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kern w:val="2"/>
          <w:sz w:val="24"/>
          <w:szCs w:val="24"/>
        </w:rPr>
        <w:t>在签署知情同意书后，参与者将按筛选的先后次序分别获得筛选号。符合所有入选标准而不符合任何排除标准的参与者视为合格。</w:t>
      </w:r>
    </w:p>
    <w:p w14:paraId="16AAF4E2">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lang w:eastAsia="zh-Hans"/>
        </w:rPr>
        <w:t>基础</w:t>
      </w:r>
      <w:r>
        <w:rPr>
          <w:rFonts w:hint="eastAsia" w:ascii="Times New Roman" w:hAnsi="Times New Roman" w:eastAsia="宋体" w:cs="Times New Roman"/>
          <w:b/>
          <w:bCs/>
          <w:kern w:val="2"/>
          <w:sz w:val="24"/>
          <w:szCs w:val="24"/>
          <w:u w:val="single"/>
        </w:rPr>
        <w:t>期：</w:t>
      </w:r>
      <w:r>
        <w:rPr>
          <w:rFonts w:ascii="Times New Roman" w:hAnsi="Times New Roman" w:eastAsia="宋体" w:cs="Times New Roman"/>
          <w:b/>
          <w:bCs/>
          <w:kern w:val="2"/>
          <w:sz w:val="24"/>
          <w:szCs w:val="24"/>
          <w:u w:val="single"/>
        </w:rPr>
        <w:t>W0~W16</w:t>
      </w:r>
      <w:r>
        <w:rPr>
          <w:rFonts w:hint="eastAsia" w:ascii="Times New Roman" w:hAnsi="Times New Roman" w:eastAsia="宋体" w:cs="Times New Roman"/>
          <w:b/>
          <w:bCs/>
          <w:kern w:val="2"/>
          <w:sz w:val="24"/>
          <w:szCs w:val="24"/>
          <w:u w:val="single"/>
        </w:rPr>
        <w:t>（</w:t>
      </w:r>
      <w:r>
        <w:rPr>
          <w:rFonts w:ascii="Times New Roman" w:hAnsi="Times New Roman" w:eastAsia="宋体" w:cs="Times New Roman"/>
          <w:b/>
          <w:bCs/>
          <w:kern w:val="2"/>
          <w:sz w:val="24"/>
          <w:szCs w:val="24"/>
          <w:u w:val="single"/>
        </w:rPr>
        <w:t>D1~D113</w:t>
      </w:r>
      <w:r>
        <w:rPr>
          <w:rFonts w:hint="eastAsia" w:ascii="Times New Roman" w:hAnsi="Times New Roman" w:eastAsia="宋体" w:cs="Times New Roman"/>
          <w:b/>
          <w:bCs/>
          <w:kern w:val="2"/>
          <w:sz w:val="24"/>
          <w:szCs w:val="24"/>
          <w:u w:val="single"/>
        </w:rPr>
        <w:t>）</w:t>
      </w:r>
    </w:p>
    <w:p w14:paraId="6E467A04">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对于筛选合格的参与者，在</w:t>
      </w:r>
      <w:r>
        <w:rPr>
          <w:rFonts w:ascii="Times New Roman" w:hAnsi="Times New Roman" w:eastAsia="宋体" w:cs="Times New Roman"/>
          <w:color w:val="000000"/>
          <w:sz w:val="24"/>
          <w:szCs w:val="24"/>
          <w:lang w:eastAsia="zh-Hans"/>
        </w:rPr>
        <w:t>D1</w:t>
      </w:r>
      <w:r>
        <w:rPr>
          <w:rFonts w:hint="eastAsia" w:ascii="Times New Roman" w:hAnsi="Times New Roman" w:eastAsia="宋体" w:cs="Times New Roman"/>
          <w:color w:val="000000"/>
          <w:sz w:val="24"/>
          <w:szCs w:val="24"/>
          <w:lang w:eastAsia="zh-Hans"/>
        </w:rPr>
        <w:t>给药前，需再次确认入组合格性，对合格的参与者完成随机，并以</w:t>
      </w:r>
      <w:r>
        <w:rPr>
          <w:rFonts w:hint="eastAsia" w:ascii="Times New Roman" w:hAnsi="Times New Roman" w:eastAsia="宋体" w:cs="Times New Roman"/>
          <w:color w:val="000000"/>
          <w:kern w:val="2"/>
          <w:sz w:val="24"/>
          <w:szCs w:val="24"/>
        </w:rPr>
        <w:t>银屑病严重程度（</w:t>
      </w:r>
      <w:r>
        <w:rPr>
          <w:rFonts w:ascii="Times New Roman" w:hAnsi="Times New Roman" w:eastAsia="宋体" w:cs="Times New Roman"/>
          <w:color w:val="000000"/>
          <w:kern w:val="2"/>
          <w:sz w:val="24"/>
          <w:szCs w:val="24"/>
        </w:rPr>
        <w:t>PGA</w:t>
      </w:r>
      <w:r>
        <w:rPr>
          <w:rFonts w:hint="eastAsia" w:ascii="Times New Roman" w:hAnsi="Times New Roman" w:eastAsia="宋体" w:cs="Times New Roman"/>
          <w:color w:val="000000"/>
          <w:kern w:val="2"/>
          <w:sz w:val="24"/>
          <w:szCs w:val="24"/>
        </w:rPr>
        <w:t>评分</w:t>
      </w:r>
      <w:r>
        <w:rPr>
          <w:rFonts w:ascii="Times New Roman" w:hAnsi="Times New Roman" w:eastAsia="宋体" w:cs="Times New Roman"/>
          <w:color w:val="000000"/>
          <w:kern w:val="2"/>
          <w:sz w:val="24"/>
          <w:szCs w:val="24"/>
        </w:rPr>
        <w:t>3/4</w:t>
      </w:r>
      <w:r>
        <w:rPr>
          <w:rFonts w:hint="eastAsia" w:ascii="Times New Roman" w:hAnsi="Times New Roman" w:eastAsia="宋体" w:cs="Times New Roman"/>
          <w:color w:val="000000"/>
          <w:kern w:val="2"/>
          <w:sz w:val="24"/>
          <w:szCs w:val="24"/>
        </w:rPr>
        <w:t>）</w:t>
      </w:r>
      <w:r>
        <w:rPr>
          <w:rFonts w:hint="eastAsia" w:ascii="Times New Roman" w:hAnsi="Times New Roman" w:eastAsia="宋体" w:cs="Times New Roman"/>
          <w:color w:val="000000"/>
          <w:sz w:val="24"/>
          <w:szCs w:val="24"/>
          <w:lang w:eastAsia="zh-Hans"/>
        </w:rPr>
        <w:t>作为分层因素。研究人员根据中央随机系统（</w:t>
      </w:r>
      <w:r>
        <w:rPr>
          <w:rFonts w:ascii="Times New Roman" w:hAnsi="Times New Roman" w:eastAsia="宋体" w:cs="Times New Roman"/>
          <w:color w:val="000000"/>
          <w:sz w:val="24"/>
          <w:szCs w:val="24"/>
          <w:lang w:eastAsia="zh-Hans"/>
        </w:rPr>
        <w:t>IWRS</w:t>
      </w:r>
      <w:r>
        <w:rPr>
          <w:rFonts w:hint="eastAsia" w:ascii="Times New Roman" w:hAnsi="Times New Roman" w:eastAsia="宋体" w:cs="Times New Roman"/>
          <w:color w:val="000000"/>
          <w:sz w:val="24"/>
          <w:szCs w:val="24"/>
          <w:lang w:eastAsia="zh-Hans"/>
        </w:rPr>
        <w:t>）给出的药物编号发放试验用药品。</w:t>
      </w:r>
    </w:p>
    <w:p w14:paraId="5905A228">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每例参与者将按照每日</w:t>
      </w:r>
      <w:r>
        <w:rPr>
          <w:rFonts w:ascii="Times New Roman" w:hAnsi="Times New Roman" w:eastAsia="宋体" w:cs="Times New Roman"/>
          <w:color w:val="000000"/>
          <w:sz w:val="24"/>
          <w:szCs w:val="24"/>
          <w:lang w:eastAsia="zh-Hans"/>
        </w:rPr>
        <w:t>1</w:t>
      </w:r>
      <w:r>
        <w:rPr>
          <w:rFonts w:hint="eastAsia" w:ascii="Times New Roman" w:hAnsi="Times New Roman" w:eastAsia="宋体" w:cs="Times New Roman"/>
          <w:color w:val="000000"/>
          <w:sz w:val="24"/>
          <w:szCs w:val="24"/>
          <w:lang w:eastAsia="zh-Hans"/>
        </w:rPr>
        <w:t>次（</w:t>
      </w:r>
      <w:r>
        <w:rPr>
          <w:rFonts w:ascii="Times New Roman" w:hAnsi="Times New Roman" w:eastAsia="宋体" w:cs="Times New Roman"/>
          <w:color w:val="000000"/>
          <w:sz w:val="24"/>
          <w:szCs w:val="24"/>
          <w:lang w:eastAsia="zh-Hans"/>
        </w:rPr>
        <w:t>QD</w:t>
      </w:r>
      <w:r>
        <w:rPr>
          <w:rFonts w:hint="eastAsia" w:ascii="Times New Roman" w:hAnsi="Times New Roman" w:eastAsia="宋体" w:cs="Times New Roman"/>
          <w:color w:val="000000"/>
          <w:sz w:val="24"/>
          <w:szCs w:val="24"/>
          <w:lang w:eastAsia="zh-Hans"/>
        </w:rPr>
        <w:t>）的频率进行口服给药，</w:t>
      </w:r>
      <w:r>
        <w:rPr>
          <w:rFonts w:hint="eastAsia" w:ascii="Times New Roman" w:hAnsi="Times New Roman" w:eastAsia="宋体" w:cs="Times New Roman"/>
          <w:color w:val="000000"/>
          <w:sz w:val="24"/>
          <w:szCs w:val="24"/>
        </w:rPr>
        <w:t>基础期</w:t>
      </w:r>
      <w:r>
        <w:rPr>
          <w:rFonts w:hint="eastAsia" w:ascii="Times New Roman" w:hAnsi="Times New Roman" w:eastAsia="宋体" w:cs="Times New Roman"/>
          <w:color w:val="000000"/>
          <w:sz w:val="24"/>
          <w:szCs w:val="24"/>
          <w:lang w:eastAsia="zh-Hans"/>
        </w:rPr>
        <w:t>总计接受</w:t>
      </w:r>
      <w:r>
        <w:rPr>
          <w:rFonts w:ascii="Times New Roman" w:hAnsi="Times New Roman" w:eastAsia="宋体" w:cs="Times New Roman"/>
          <w:color w:val="000000"/>
          <w:sz w:val="24"/>
          <w:szCs w:val="24"/>
        </w:rPr>
        <w:t>16</w:t>
      </w:r>
      <w:r>
        <w:rPr>
          <w:rFonts w:hint="eastAsia" w:ascii="Times New Roman" w:hAnsi="Times New Roman" w:eastAsia="宋体" w:cs="Times New Roman"/>
          <w:color w:val="000000"/>
          <w:sz w:val="24"/>
          <w:szCs w:val="24"/>
          <w:lang w:eastAsia="zh-Hans"/>
        </w:rPr>
        <w:t>周给药治疗，主要终点将在第</w:t>
      </w:r>
      <w:r>
        <w:rPr>
          <w:rFonts w:ascii="Times New Roman" w:hAnsi="Times New Roman" w:eastAsia="宋体" w:cs="Times New Roman"/>
          <w:color w:val="000000"/>
          <w:sz w:val="24"/>
          <w:szCs w:val="24"/>
          <w:lang w:eastAsia="zh-Hans"/>
        </w:rPr>
        <w:t>1</w:t>
      </w:r>
      <w:r>
        <w:rPr>
          <w:rFonts w:ascii="Times New Roman" w:hAnsi="Times New Roman" w:eastAsia="宋体" w:cs="Times New Roman"/>
          <w:color w:val="000000"/>
          <w:sz w:val="24"/>
          <w:szCs w:val="24"/>
        </w:rPr>
        <w:t>6</w:t>
      </w:r>
      <w:r>
        <w:rPr>
          <w:rFonts w:hint="eastAsia" w:ascii="Times New Roman" w:hAnsi="Times New Roman" w:eastAsia="宋体" w:cs="Times New Roman"/>
          <w:color w:val="000000"/>
          <w:sz w:val="24"/>
          <w:szCs w:val="24"/>
          <w:lang w:eastAsia="zh-Hans"/>
        </w:rPr>
        <w:t>周进行评估。在治疗期内，所有参与者将于</w:t>
      </w:r>
      <w:r>
        <w:rPr>
          <w:rFonts w:ascii="Times New Roman" w:hAnsi="Times New Roman" w:eastAsia="宋体" w:cs="Times New Roman"/>
          <w:color w:val="000000"/>
          <w:sz w:val="24"/>
          <w:szCs w:val="24"/>
          <w:lang w:eastAsia="zh-Hans"/>
        </w:rPr>
        <w:t>D1/W2/W4/W8/W12</w:t>
      </w:r>
      <w:r>
        <w:rPr>
          <w:rFonts w:ascii="Times New Roman" w:hAnsi="Times New Roman" w:eastAsia="宋体" w:cs="Times New Roman"/>
          <w:color w:val="000000"/>
          <w:sz w:val="24"/>
          <w:szCs w:val="24"/>
        </w:rPr>
        <w:t>/W16</w:t>
      </w:r>
      <w:r>
        <w:rPr>
          <w:rFonts w:hint="eastAsia" w:ascii="Times New Roman" w:hAnsi="Times New Roman" w:eastAsia="宋体" w:cs="Times New Roman"/>
          <w:color w:val="000000"/>
          <w:sz w:val="24"/>
          <w:szCs w:val="24"/>
          <w:lang w:eastAsia="zh-Hans"/>
        </w:rPr>
        <w:t>时间点进行中心访视，返院接受安全性检查、疗效评估和</w:t>
      </w:r>
      <w:r>
        <w:rPr>
          <w:rFonts w:ascii="Times New Roman" w:hAnsi="Times New Roman" w:eastAsia="宋体" w:cs="Times New Roman"/>
          <w:color w:val="000000"/>
          <w:sz w:val="24"/>
          <w:szCs w:val="24"/>
          <w:lang w:eastAsia="zh-Hans"/>
        </w:rPr>
        <w:t>PK</w:t>
      </w:r>
      <w:r>
        <w:rPr>
          <w:rFonts w:hint="eastAsia" w:ascii="Times New Roman" w:hAnsi="Times New Roman" w:eastAsia="宋体" w:cs="Times New Roman"/>
          <w:color w:val="000000"/>
          <w:sz w:val="24"/>
          <w:szCs w:val="24"/>
          <w:lang w:eastAsia="zh-Hans"/>
        </w:rPr>
        <w:t>血样采集。</w:t>
      </w:r>
    </w:p>
    <w:p w14:paraId="6B5E2B4A">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疗效评估内容包括银屑病面积和严重程度指数（</w:t>
      </w:r>
      <w:r>
        <w:rPr>
          <w:rFonts w:ascii="Times New Roman" w:hAnsi="Times New Roman" w:eastAsia="宋体" w:cs="Times New Roman"/>
          <w:color w:val="000000"/>
          <w:sz w:val="24"/>
          <w:szCs w:val="24"/>
          <w:lang w:eastAsia="zh-Hans"/>
        </w:rPr>
        <w:t>PASI</w:t>
      </w:r>
      <w:r>
        <w:rPr>
          <w:rFonts w:hint="eastAsia" w:ascii="Times New Roman" w:hAnsi="Times New Roman" w:eastAsia="宋体" w:cs="Times New Roman"/>
          <w:color w:val="000000"/>
          <w:sz w:val="24"/>
          <w:szCs w:val="24"/>
          <w:lang w:eastAsia="zh-Hans"/>
        </w:rPr>
        <w:t>）评分、医生整体评估（</w:t>
      </w:r>
      <w:r>
        <w:rPr>
          <w:rFonts w:ascii="Times New Roman" w:hAnsi="Times New Roman" w:eastAsia="宋体" w:cs="Times New Roman"/>
          <w:color w:val="000000"/>
          <w:sz w:val="24"/>
          <w:szCs w:val="24"/>
          <w:lang w:eastAsia="zh-Hans"/>
        </w:rPr>
        <w:t>PGA</w:t>
      </w:r>
      <w:r>
        <w:rPr>
          <w:rFonts w:hint="eastAsia" w:ascii="Times New Roman" w:hAnsi="Times New Roman" w:eastAsia="宋体" w:cs="Times New Roman"/>
          <w:color w:val="000000"/>
          <w:sz w:val="24"/>
          <w:szCs w:val="24"/>
          <w:lang w:eastAsia="zh-Hans"/>
        </w:rPr>
        <w:t>）评分、受累的体表面积（</w:t>
      </w:r>
      <w:r>
        <w:rPr>
          <w:rFonts w:ascii="Times New Roman" w:hAnsi="Times New Roman" w:eastAsia="宋体" w:cs="Times New Roman"/>
          <w:color w:val="000000"/>
          <w:sz w:val="24"/>
          <w:szCs w:val="24"/>
          <w:lang w:eastAsia="zh-Hans"/>
        </w:rPr>
        <w:t>BSA</w:t>
      </w:r>
      <w:r>
        <w:rPr>
          <w:rFonts w:hint="eastAsia" w:ascii="Times New Roman" w:hAnsi="Times New Roman" w:eastAsia="宋体" w:cs="Times New Roman"/>
          <w:color w:val="000000"/>
          <w:sz w:val="24"/>
          <w:szCs w:val="24"/>
          <w:lang w:eastAsia="zh-Hans"/>
        </w:rPr>
        <w:t>）评分、皮肤病学生活质量指数（</w:t>
      </w:r>
      <w:r>
        <w:rPr>
          <w:rFonts w:ascii="Times New Roman" w:hAnsi="Times New Roman" w:eastAsia="宋体" w:cs="Times New Roman"/>
          <w:color w:val="000000"/>
          <w:sz w:val="24"/>
          <w:szCs w:val="24"/>
          <w:lang w:eastAsia="zh-Hans"/>
        </w:rPr>
        <w:t>DLQI</w:t>
      </w:r>
      <w:r>
        <w:rPr>
          <w:rFonts w:hint="eastAsia" w:ascii="Times New Roman" w:hAnsi="Times New Roman" w:eastAsia="宋体" w:cs="Times New Roman"/>
          <w:color w:val="000000"/>
          <w:sz w:val="24"/>
          <w:szCs w:val="24"/>
          <w:lang w:eastAsia="zh-Hans"/>
        </w:rPr>
        <w:t>）评分，并将在计划访视点尽量获取患者皮损照片。</w:t>
      </w:r>
    </w:p>
    <w:p w14:paraId="7387EDA3">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安全性评估内容包括收集不良事件、记录生命体征、进行体格检查和评估临床实验室检查和心电图检查结果。</w:t>
      </w:r>
    </w:p>
    <w:p w14:paraId="03476A70">
      <w:pPr>
        <w:spacing w:line="360" w:lineRule="auto"/>
        <w:ind w:firstLine="480" w:firstLineChars="20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lang w:eastAsia="zh-Hans"/>
        </w:rPr>
        <w:t>PK</w:t>
      </w:r>
      <w:r>
        <w:rPr>
          <w:rFonts w:hint="eastAsia" w:ascii="Times New Roman" w:hAnsi="Times New Roman" w:eastAsia="宋体" w:cs="Times New Roman"/>
          <w:color w:val="000000"/>
          <w:sz w:val="24"/>
          <w:szCs w:val="24"/>
          <w:lang w:eastAsia="zh-Hans"/>
        </w:rPr>
        <w:t>血样采集时间点为：在</w:t>
      </w:r>
      <w:r>
        <w:rPr>
          <w:rFonts w:hint="eastAsia" w:ascii="Times New Roman" w:hAnsi="Times New Roman" w:eastAsia="宋体" w:cs="Times New Roman"/>
          <w:color w:val="000000"/>
          <w:sz w:val="24"/>
          <w:szCs w:val="24"/>
        </w:rPr>
        <w:t>每次中心访视</w:t>
      </w:r>
      <w:r>
        <w:rPr>
          <w:rFonts w:hint="eastAsia" w:ascii="Times New Roman" w:hAnsi="Times New Roman" w:eastAsia="宋体" w:cs="Times New Roman"/>
          <w:color w:val="000000"/>
          <w:sz w:val="24"/>
          <w:szCs w:val="24"/>
          <w:lang w:eastAsia="zh-Hans"/>
        </w:rPr>
        <w:t>给药前</w:t>
      </w:r>
      <w:r>
        <w:rPr>
          <w:rFonts w:ascii="Times New Roman" w:hAnsi="Times New Roman" w:eastAsia="宋体" w:cs="Times New Roman"/>
          <w:color w:val="000000"/>
          <w:sz w:val="24"/>
          <w:szCs w:val="24"/>
          <w:lang w:eastAsia="zh-Hans"/>
        </w:rPr>
        <w:t>1h</w:t>
      </w:r>
      <w:r>
        <w:rPr>
          <w:rFonts w:hint="eastAsia" w:ascii="Times New Roman" w:hAnsi="Times New Roman" w:eastAsia="宋体" w:cs="Times New Roman"/>
          <w:color w:val="000000"/>
          <w:sz w:val="24"/>
          <w:szCs w:val="24"/>
          <w:lang w:eastAsia="zh-Hans"/>
        </w:rPr>
        <w:t>内进行</w:t>
      </w:r>
      <w:r>
        <w:rPr>
          <w:rFonts w:ascii="Times New Roman" w:hAnsi="Times New Roman" w:eastAsia="宋体" w:cs="Times New Roman"/>
          <w:color w:val="000000"/>
          <w:sz w:val="24"/>
          <w:szCs w:val="24"/>
          <w:lang w:eastAsia="zh-Hans"/>
        </w:rPr>
        <w:t>PK</w:t>
      </w:r>
      <w:r>
        <w:rPr>
          <w:rFonts w:hint="eastAsia" w:ascii="Times New Roman" w:hAnsi="Times New Roman" w:eastAsia="宋体" w:cs="Times New Roman"/>
          <w:color w:val="000000"/>
          <w:sz w:val="24"/>
          <w:szCs w:val="24"/>
          <w:lang w:eastAsia="zh-Hans"/>
        </w:rPr>
        <w:t>血样采集。</w:t>
      </w:r>
    </w:p>
    <w:p w14:paraId="2139C8E8">
      <w:pPr>
        <w:spacing w:line="360" w:lineRule="auto"/>
        <w:ind w:firstLine="480" w:firstLineChars="200"/>
        <w:jc w:val="both"/>
        <w:rPr>
          <w:rFonts w:ascii="Times New Roman" w:hAnsi="Times New Roman" w:eastAsia="宋体" w:cs="Times New Roman"/>
          <w:color w:val="000000"/>
          <w:sz w:val="24"/>
          <w:szCs w:val="24"/>
        </w:rPr>
      </w:pPr>
      <w:r>
        <w:rPr>
          <w:rFonts w:ascii="Times New Roman" w:hAnsi="Times New Roman" w:eastAsia="宋体" w:cs="Times New Roman"/>
          <w:kern w:val="2"/>
          <w:sz w:val="24"/>
          <w:szCs w:val="24"/>
        </w:rPr>
        <w:t>IL-17A</w:t>
      </w:r>
      <w:r>
        <w:rPr>
          <w:rFonts w:hint="eastAsia" w:ascii="Times New Roman" w:hAnsi="Times New Roman" w:eastAsia="宋体" w:cs="Times New Roman"/>
          <w:kern w:val="2"/>
          <w:sz w:val="24"/>
          <w:szCs w:val="24"/>
        </w:rPr>
        <w:t>血样采集时间点为：D1、</w:t>
      </w:r>
      <w:r>
        <w:rPr>
          <w:rFonts w:ascii="Times New Roman" w:hAnsi="Times New Roman" w:eastAsia="宋体" w:cs="Times New Roman"/>
          <w:sz w:val="24"/>
          <w:szCs w:val="24"/>
        </w:rPr>
        <w:t>W2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w:t>
      </w:r>
      <w:r>
        <w:rPr>
          <w:rFonts w:hint="eastAsia" w:ascii="Times New Roman" w:hAnsi="Times New Roman" w:eastAsia="宋体" w:cs="Times New Roman"/>
          <w:sz w:val="24"/>
          <w:szCs w:val="24"/>
        </w:rPr>
        <w:t>、</w:t>
      </w:r>
      <w:r>
        <w:rPr>
          <w:rFonts w:ascii="Times New Roman" w:hAnsi="Times New Roman" w:eastAsia="宋体" w:cs="Times New Roman"/>
          <w:sz w:val="24"/>
          <w:szCs w:val="24"/>
        </w:rPr>
        <w:t>W8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w:t>
      </w:r>
      <w:r>
        <w:rPr>
          <w:rFonts w:hint="eastAsia" w:ascii="Times New Roman" w:hAnsi="Times New Roman" w:eastAsia="宋体" w:cs="Times New Roman"/>
          <w:sz w:val="24"/>
          <w:szCs w:val="24"/>
        </w:rPr>
        <w:t>6在给药前</w:t>
      </w:r>
      <w:r>
        <w:rPr>
          <w:rFonts w:ascii="Times New Roman" w:hAnsi="Times New Roman" w:eastAsia="宋体" w:cs="Times New Roman"/>
          <w:sz w:val="24"/>
          <w:szCs w:val="24"/>
        </w:rPr>
        <w:t>1 h</w:t>
      </w:r>
      <w:r>
        <w:rPr>
          <w:rFonts w:hint="eastAsia" w:ascii="Times New Roman" w:hAnsi="Times New Roman" w:eastAsia="宋体" w:cs="Times New Roman"/>
          <w:sz w:val="24"/>
          <w:szCs w:val="24"/>
        </w:rPr>
        <w:t>内进行</w:t>
      </w:r>
      <w:r>
        <w:rPr>
          <w:rFonts w:ascii="Times New Roman" w:hAnsi="Times New Roman" w:eastAsia="宋体" w:cs="Times New Roman"/>
          <w:kern w:val="2"/>
          <w:sz w:val="24"/>
          <w:szCs w:val="24"/>
        </w:rPr>
        <w:t>IL-17A</w:t>
      </w:r>
      <w:r>
        <w:rPr>
          <w:rFonts w:hint="eastAsia" w:ascii="Times New Roman" w:hAnsi="Times New Roman" w:eastAsia="宋体" w:cs="Times New Roman"/>
          <w:sz w:val="24"/>
          <w:szCs w:val="24"/>
        </w:rPr>
        <w:t>血样采集。</w:t>
      </w:r>
    </w:p>
    <w:p w14:paraId="63808190">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rPr>
        <w:t>扩展期：</w:t>
      </w:r>
      <w:r>
        <w:rPr>
          <w:rFonts w:ascii="Times New Roman" w:hAnsi="Times New Roman" w:eastAsia="宋体" w:cs="Times New Roman"/>
          <w:b/>
          <w:bCs/>
          <w:kern w:val="2"/>
          <w:sz w:val="24"/>
          <w:szCs w:val="24"/>
          <w:u w:val="single"/>
        </w:rPr>
        <w:t>W17~W52</w:t>
      </w:r>
      <w:r>
        <w:rPr>
          <w:rFonts w:hint="eastAsia" w:ascii="Times New Roman" w:hAnsi="Times New Roman" w:eastAsia="宋体" w:cs="Times New Roman"/>
          <w:b/>
          <w:bCs/>
          <w:kern w:val="2"/>
          <w:sz w:val="24"/>
          <w:szCs w:val="24"/>
          <w:u w:val="single"/>
        </w:rPr>
        <w:t>（</w:t>
      </w:r>
      <w:r>
        <w:rPr>
          <w:rFonts w:ascii="Times New Roman" w:hAnsi="Times New Roman" w:eastAsia="宋体" w:cs="Times New Roman"/>
          <w:b/>
          <w:bCs/>
          <w:kern w:val="2"/>
          <w:sz w:val="24"/>
          <w:szCs w:val="24"/>
          <w:u w:val="single"/>
        </w:rPr>
        <w:t>D114~D365</w:t>
      </w:r>
      <w:r>
        <w:rPr>
          <w:rFonts w:hint="eastAsia" w:ascii="Times New Roman" w:hAnsi="Times New Roman" w:eastAsia="宋体" w:cs="Times New Roman"/>
          <w:b/>
          <w:bCs/>
          <w:kern w:val="2"/>
          <w:sz w:val="24"/>
          <w:szCs w:val="24"/>
          <w:u w:val="single"/>
        </w:rPr>
        <w:t>）</w:t>
      </w:r>
    </w:p>
    <w:p w14:paraId="61AABE04">
      <w:pPr>
        <w:spacing w:line="360" w:lineRule="auto"/>
        <w:ind w:firstLine="42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在完成基础</w:t>
      </w:r>
      <w:r>
        <w:rPr>
          <w:rFonts w:hint="eastAsia" w:ascii="Times New Roman" w:hAnsi="Times New Roman" w:eastAsia="宋体" w:cs="Times New Roman"/>
          <w:color w:val="000000"/>
          <w:sz w:val="24"/>
          <w:szCs w:val="24"/>
        </w:rPr>
        <w:t>期</w:t>
      </w:r>
      <w:r>
        <w:rPr>
          <w:rFonts w:hint="eastAsia" w:ascii="Times New Roman" w:hAnsi="Times New Roman" w:eastAsia="宋体" w:cs="Times New Roman"/>
          <w:color w:val="000000"/>
          <w:sz w:val="24"/>
          <w:szCs w:val="24"/>
          <w:lang w:eastAsia="zh-Hans"/>
        </w:rPr>
        <w:t>研究后，</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将继续进行扩展</w:t>
      </w:r>
      <w:r>
        <w:rPr>
          <w:rFonts w:hint="eastAsia" w:ascii="Times New Roman" w:hAnsi="Times New Roman" w:eastAsia="宋体" w:cs="Times New Roman"/>
          <w:color w:val="000000"/>
          <w:sz w:val="24"/>
          <w:szCs w:val="24"/>
        </w:rPr>
        <w:t>期</w:t>
      </w:r>
      <w:r>
        <w:rPr>
          <w:rFonts w:hint="eastAsia" w:ascii="Times New Roman" w:hAnsi="Times New Roman" w:eastAsia="宋体" w:cs="Times New Roman"/>
          <w:color w:val="000000"/>
          <w:sz w:val="24"/>
          <w:szCs w:val="24"/>
          <w:lang w:eastAsia="zh-Hans"/>
        </w:rPr>
        <w:t>研究</w:t>
      </w:r>
      <w:r>
        <w:rPr>
          <w:rFonts w:hint="eastAsia"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Hans"/>
        </w:rPr>
        <w:t>试验组</w:t>
      </w:r>
      <w:r>
        <w:rPr>
          <w:rFonts w:hint="eastAsia" w:ascii="Times New Roman" w:hAnsi="Times New Roman" w:eastAsia="宋体" w:cs="Times New Roman"/>
          <w:color w:val="000000"/>
          <w:sz w:val="24"/>
          <w:szCs w:val="24"/>
        </w:rPr>
        <w:t>的参与者将继续接受原剂量组</w:t>
      </w:r>
      <w:r>
        <w:rPr>
          <w:rFonts w:ascii="Times New Roman" w:hAnsi="Times New Roman" w:eastAsia="宋体" w:cs="Times New Roman"/>
          <w:color w:val="000000"/>
          <w:sz w:val="24"/>
          <w:szCs w:val="24"/>
        </w:rPr>
        <w:t>QD</w:t>
      </w:r>
      <w:r>
        <w:rPr>
          <w:rFonts w:hint="eastAsia" w:ascii="Times New Roman" w:hAnsi="Times New Roman" w:eastAsia="宋体" w:cs="Times New Roman"/>
          <w:color w:val="000000"/>
          <w:sz w:val="24"/>
          <w:szCs w:val="24"/>
        </w:rPr>
        <w:t>给药</w:t>
      </w:r>
      <w:r>
        <w:rPr>
          <w:rFonts w:hint="eastAsia" w:ascii="Times New Roman" w:hAnsi="Times New Roman" w:eastAsia="宋体" w:cs="Times New Roman"/>
          <w:color w:val="000000"/>
          <w:sz w:val="24"/>
          <w:szCs w:val="24"/>
          <w:lang w:eastAsia="zh-Hans"/>
        </w:rPr>
        <w:t>，持续服用至</w:t>
      </w:r>
      <w:r>
        <w:rPr>
          <w:rFonts w:ascii="Times New Roman" w:hAnsi="Times New Roman" w:eastAsia="宋体" w:cs="Times New Roman"/>
          <w:color w:val="000000"/>
          <w:sz w:val="24"/>
          <w:szCs w:val="24"/>
          <w:lang w:eastAsia="zh-Hans"/>
        </w:rPr>
        <w:t>52</w:t>
      </w:r>
      <w:r>
        <w:rPr>
          <w:rFonts w:hint="eastAsia" w:ascii="Times New Roman" w:hAnsi="Times New Roman" w:eastAsia="宋体" w:cs="Times New Roman"/>
          <w:color w:val="000000"/>
          <w:sz w:val="24"/>
          <w:szCs w:val="24"/>
          <w:lang w:eastAsia="zh-Hans"/>
        </w:rPr>
        <w:t>周</w:t>
      </w:r>
      <w:r>
        <w:rPr>
          <w:rFonts w:hint="eastAsia" w:ascii="Times New Roman" w:hAnsi="Times New Roman" w:eastAsia="宋体" w:cs="Times New Roman"/>
          <w:color w:val="000000"/>
          <w:sz w:val="24"/>
          <w:szCs w:val="24"/>
        </w:rPr>
        <w:t>；安慰剂组的参与者将按照</w:t>
      </w:r>
      <w:r>
        <w:rPr>
          <w:rFonts w:ascii="Times New Roman" w:hAnsi="Times New Roman" w:eastAsia="宋体" w:cs="Times New Roman"/>
          <w:color w:val="000000"/>
          <w:sz w:val="24"/>
          <w:szCs w:val="24"/>
        </w:rPr>
        <w:t>1:1</w:t>
      </w:r>
      <w:r>
        <w:rPr>
          <w:rFonts w:hint="eastAsia" w:ascii="Times New Roman" w:hAnsi="Times New Roman" w:eastAsia="宋体" w:cs="Times New Roman"/>
          <w:color w:val="000000"/>
          <w:sz w:val="24"/>
          <w:szCs w:val="24"/>
        </w:rPr>
        <w:t>的比例分配至</w:t>
      </w:r>
      <w:r>
        <w:rPr>
          <w:rFonts w:ascii="Times New Roman" w:hAnsi="Times New Roman" w:eastAsia="宋体" w:cs="Times New Roman"/>
          <w:color w:val="000000"/>
          <w:sz w:val="24"/>
          <w:szCs w:val="24"/>
          <w:lang w:eastAsia="zh-Hans"/>
        </w:rPr>
        <w:t>CMS-D001</w:t>
      </w:r>
      <w:r>
        <w:rPr>
          <w:rFonts w:hint="eastAsia" w:ascii="Times New Roman" w:hAnsi="Times New Roman" w:eastAsia="宋体" w:cs="Times New Roman"/>
          <w:color w:val="000000"/>
          <w:sz w:val="24"/>
          <w:szCs w:val="24"/>
          <w:lang w:eastAsia="zh-Hans"/>
        </w:rPr>
        <w:t>片</w:t>
      </w:r>
      <w:r>
        <w:rPr>
          <w:rFonts w:ascii="Times New Roman" w:hAnsi="Times New Roman" w:eastAsia="宋体" w:cs="Times New Roman"/>
          <w:color w:val="000000"/>
          <w:sz w:val="24"/>
          <w:szCs w:val="24"/>
        </w:rPr>
        <w:t xml:space="preserve"> 50 mg</w:t>
      </w:r>
      <w:r>
        <w:rPr>
          <w:rFonts w:hint="eastAsia" w:ascii="Times New Roman" w:hAnsi="Times New Roman" w:eastAsia="宋体" w:cs="Times New Roman"/>
          <w:color w:val="000000"/>
          <w:sz w:val="24"/>
          <w:szCs w:val="24"/>
        </w:rPr>
        <w:t>或</w:t>
      </w:r>
      <w:r>
        <w:rPr>
          <w:rFonts w:ascii="Times New Roman" w:hAnsi="Times New Roman" w:eastAsia="宋体" w:cs="Times New Roman"/>
          <w:color w:val="000000"/>
          <w:sz w:val="24"/>
          <w:szCs w:val="24"/>
        </w:rPr>
        <w:t>100 mg</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QD</w:t>
      </w:r>
      <w:r>
        <w:rPr>
          <w:rFonts w:hint="eastAsia" w:ascii="Times New Roman" w:hAnsi="Times New Roman" w:eastAsia="宋体" w:cs="Times New Roman"/>
          <w:color w:val="000000"/>
          <w:sz w:val="24"/>
          <w:szCs w:val="24"/>
        </w:rPr>
        <w:t>给药，</w:t>
      </w:r>
      <w:r>
        <w:rPr>
          <w:rFonts w:hint="eastAsia" w:ascii="Times New Roman" w:hAnsi="Times New Roman" w:eastAsia="宋体" w:cs="Times New Roman"/>
          <w:color w:val="000000"/>
          <w:sz w:val="24"/>
          <w:szCs w:val="24"/>
          <w:lang w:eastAsia="zh-Hans"/>
        </w:rPr>
        <w:t>持续服用至</w:t>
      </w:r>
      <w:r>
        <w:rPr>
          <w:rFonts w:ascii="Times New Roman" w:hAnsi="Times New Roman" w:eastAsia="宋体" w:cs="Times New Roman"/>
          <w:color w:val="000000"/>
          <w:sz w:val="24"/>
          <w:szCs w:val="24"/>
          <w:lang w:eastAsia="zh-Hans"/>
        </w:rPr>
        <w:t>52</w:t>
      </w:r>
      <w:r>
        <w:rPr>
          <w:rFonts w:hint="eastAsia" w:ascii="Times New Roman" w:hAnsi="Times New Roman" w:eastAsia="宋体" w:cs="Times New Roman"/>
          <w:color w:val="000000"/>
          <w:sz w:val="24"/>
          <w:szCs w:val="24"/>
          <w:lang w:eastAsia="zh-Hans"/>
        </w:rPr>
        <w:t>周</w:t>
      </w:r>
      <w:r>
        <w:rPr>
          <w:rFonts w:hint="eastAsia" w:ascii="Times New Roman" w:hAnsi="Times New Roman" w:eastAsia="宋体" w:cs="Times New Roman"/>
          <w:color w:val="000000"/>
          <w:sz w:val="24"/>
          <w:szCs w:val="24"/>
        </w:rPr>
        <w:t>；或根据期中分析结果，安慰剂组仅转入推荐的Ⅲ期剂量组。</w:t>
      </w:r>
      <w:r>
        <w:rPr>
          <w:rFonts w:hint="eastAsia" w:ascii="Times New Roman" w:hAnsi="Times New Roman" w:eastAsia="宋体" w:cs="Times New Roman"/>
          <w:color w:val="000000"/>
          <w:sz w:val="24"/>
          <w:szCs w:val="24"/>
          <w:lang w:eastAsia="zh-Hans"/>
        </w:rPr>
        <w:t>在治疗期内，所有参与者将</w:t>
      </w:r>
      <w:r>
        <w:rPr>
          <w:rFonts w:hint="eastAsia" w:ascii="Times New Roman" w:hAnsi="Times New Roman" w:eastAsia="宋体" w:cs="Times New Roman"/>
          <w:color w:val="000000"/>
          <w:sz w:val="24"/>
          <w:szCs w:val="24"/>
        </w:rPr>
        <w:t>按照方案要求的</w:t>
      </w:r>
      <w:r>
        <w:rPr>
          <w:rFonts w:hint="eastAsia" w:ascii="Times New Roman" w:hAnsi="Times New Roman" w:eastAsia="宋体" w:cs="Times New Roman"/>
          <w:color w:val="000000"/>
          <w:sz w:val="24"/>
          <w:szCs w:val="24"/>
          <w:lang w:eastAsia="zh-Hans"/>
        </w:rPr>
        <w:t>时间点进行中心访视，返院接受安全性检查、疗效评估和</w:t>
      </w:r>
      <w:r>
        <w:rPr>
          <w:rFonts w:ascii="Times New Roman" w:hAnsi="Times New Roman" w:eastAsia="宋体" w:cs="Times New Roman"/>
          <w:color w:val="000000"/>
          <w:sz w:val="24"/>
          <w:szCs w:val="24"/>
          <w:lang w:eastAsia="zh-Hans"/>
        </w:rPr>
        <w:t>PK</w:t>
      </w:r>
      <w:r>
        <w:rPr>
          <w:rFonts w:hint="eastAsia" w:ascii="Times New Roman" w:hAnsi="Times New Roman" w:eastAsia="宋体" w:cs="Times New Roman"/>
          <w:color w:val="000000"/>
          <w:sz w:val="24"/>
          <w:szCs w:val="24"/>
        </w:rPr>
        <w:t>/</w:t>
      </w:r>
      <w:r>
        <w:rPr>
          <w:rFonts w:ascii="Times New Roman" w:hAnsi="Times New Roman" w:eastAsia="宋体" w:cs="Times New Roman"/>
          <w:kern w:val="2"/>
          <w:sz w:val="24"/>
          <w:szCs w:val="24"/>
        </w:rPr>
        <w:t>IL-17A</w:t>
      </w:r>
      <w:r>
        <w:rPr>
          <w:rFonts w:hint="eastAsia" w:ascii="Times New Roman" w:hAnsi="Times New Roman" w:eastAsia="宋体" w:cs="Times New Roman"/>
          <w:color w:val="000000"/>
          <w:sz w:val="24"/>
          <w:szCs w:val="24"/>
          <w:lang w:eastAsia="zh-Hans"/>
        </w:rPr>
        <w:t>血样采集（</w:t>
      </w:r>
      <w:r>
        <w:rPr>
          <w:rFonts w:ascii="Times New Roman" w:hAnsi="Times New Roman" w:eastAsia="宋体" w:cs="Times New Roman"/>
          <w:color w:val="000000"/>
          <w:sz w:val="24"/>
          <w:szCs w:val="24"/>
          <w:lang w:eastAsia="zh-Hans"/>
        </w:rPr>
        <w:t>PK</w:t>
      </w:r>
      <w:r>
        <w:rPr>
          <w:rFonts w:hint="eastAsia" w:ascii="Times New Roman" w:hAnsi="Times New Roman" w:eastAsia="宋体" w:cs="Times New Roman"/>
          <w:color w:val="000000"/>
          <w:sz w:val="24"/>
          <w:szCs w:val="24"/>
        </w:rPr>
        <w:t>/</w:t>
      </w:r>
      <w:r>
        <w:rPr>
          <w:rFonts w:ascii="Times New Roman" w:hAnsi="Times New Roman" w:eastAsia="宋体" w:cs="Times New Roman"/>
          <w:kern w:val="2"/>
          <w:sz w:val="24"/>
          <w:szCs w:val="24"/>
        </w:rPr>
        <w:t>IL-17A</w:t>
      </w:r>
      <w:r>
        <w:rPr>
          <w:rFonts w:hint="eastAsia" w:ascii="Times New Roman" w:hAnsi="Times New Roman" w:eastAsia="宋体" w:cs="Times New Roman"/>
          <w:color w:val="000000"/>
          <w:sz w:val="24"/>
          <w:szCs w:val="24"/>
          <w:lang w:eastAsia="zh-Hans"/>
        </w:rPr>
        <w:t>血样采集访视点：</w:t>
      </w:r>
      <w:r>
        <w:rPr>
          <w:rFonts w:hint="eastAsia" w:ascii="Times New Roman" w:hAnsi="Times New Roman" w:eastAsia="宋体" w:cs="Times New Roman"/>
          <w:color w:val="000000"/>
          <w:sz w:val="24"/>
          <w:szCs w:val="24"/>
        </w:rPr>
        <w:t>W20、W28、W36、W44、W52</w:t>
      </w:r>
      <w:r>
        <w:rPr>
          <w:rFonts w:hint="eastAsia" w:ascii="Times New Roman" w:hAnsi="Times New Roman" w:eastAsia="宋体" w:cs="Times New Roman"/>
          <w:color w:val="000000"/>
          <w:sz w:val="24"/>
          <w:szCs w:val="24"/>
          <w:lang w:eastAsia="zh-Hans"/>
        </w:rPr>
        <w:t>）。</w:t>
      </w:r>
    </w:p>
    <w:p w14:paraId="5FFB514E">
      <w:pPr>
        <w:autoSpaceDE/>
        <w:autoSpaceDN/>
        <w:spacing w:line="360" w:lineRule="auto"/>
        <w:ind w:firstLine="482" w:firstLineChars="200"/>
        <w:jc w:val="both"/>
        <w:rPr>
          <w:rFonts w:ascii="Times New Roman" w:hAnsi="Times New Roman" w:eastAsia="宋体" w:cs="Times New Roman"/>
          <w:b/>
          <w:bCs/>
          <w:kern w:val="2"/>
          <w:sz w:val="24"/>
          <w:szCs w:val="24"/>
          <w:u w:val="single"/>
        </w:rPr>
      </w:pPr>
      <w:r>
        <w:rPr>
          <w:rFonts w:hint="eastAsia" w:ascii="Times New Roman" w:hAnsi="Times New Roman" w:eastAsia="宋体" w:cs="Times New Roman"/>
          <w:b/>
          <w:bCs/>
          <w:kern w:val="2"/>
          <w:sz w:val="24"/>
          <w:szCs w:val="24"/>
          <w:u w:val="single"/>
        </w:rPr>
        <w:t>随访期：</w:t>
      </w:r>
      <w:r>
        <w:rPr>
          <w:rFonts w:ascii="Times New Roman" w:hAnsi="Times New Roman" w:eastAsia="宋体" w:cs="Times New Roman"/>
          <w:b/>
          <w:bCs/>
          <w:kern w:val="2"/>
          <w:sz w:val="24"/>
          <w:szCs w:val="24"/>
          <w:u w:val="single"/>
        </w:rPr>
        <w:t>W53~W56</w:t>
      </w:r>
      <w:r>
        <w:rPr>
          <w:rFonts w:hint="eastAsia" w:ascii="Times New Roman" w:hAnsi="Times New Roman" w:eastAsia="宋体" w:cs="Times New Roman"/>
          <w:b/>
          <w:bCs/>
          <w:kern w:val="2"/>
          <w:sz w:val="24"/>
          <w:szCs w:val="24"/>
          <w:u w:val="single"/>
        </w:rPr>
        <w:t>（</w:t>
      </w:r>
      <w:r>
        <w:rPr>
          <w:rFonts w:ascii="Times New Roman" w:hAnsi="Times New Roman" w:eastAsia="宋体" w:cs="Times New Roman"/>
          <w:b/>
          <w:bCs/>
          <w:kern w:val="2"/>
          <w:sz w:val="24"/>
          <w:szCs w:val="24"/>
          <w:u w:val="single"/>
        </w:rPr>
        <w:t>D366~D393</w:t>
      </w:r>
      <w:r>
        <w:rPr>
          <w:rFonts w:hint="eastAsia" w:ascii="Times New Roman" w:hAnsi="Times New Roman" w:eastAsia="宋体" w:cs="Times New Roman"/>
          <w:b/>
          <w:bCs/>
          <w:kern w:val="2"/>
          <w:sz w:val="24"/>
          <w:szCs w:val="24"/>
          <w:u w:val="single"/>
        </w:rPr>
        <w:t>）</w:t>
      </w:r>
    </w:p>
    <w:p w14:paraId="1F390113">
      <w:pPr>
        <w:spacing w:line="360" w:lineRule="auto"/>
        <w:ind w:firstLine="480" w:firstLineChars="200"/>
        <w:jc w:val="both"/>
        <w:rPr>
          <w:rFonts w:ascii="Times New Roman" w:hAnsi="Times New Roman" w:eastAsia="宋体" w:cs="Times New Roman"/>
          <w:color w:val="000000"/>
          <w:sz w:val="24"/>
          <w:szCs w:val="24"/>
          <w:lang w:eastAsia="zh-Hans"/>
        </w:rPr>
      </w:pPr>
      <w:r>
        <w:rPr>
          <w:rFonts w:hint="eastAsia" w:ascii="Times New Roman" w:hAnsi="Times New Roman" w:eastAsia="宋体" w:cs="Times New Roman"/>
          <w:color w:val="000000"/>
          <w:sz w:val="24"/>
          <w:szCs w:val="24"/>
          <w:lang w:eastAsia="zh-Hans"/>
        </w:rPr>
        <w:t>当</w:t>
      </w:r>
      <w:r>
        <w:rPr>
          <w:rFonts w:hint="eastAsia" w:ascii="Times New Roman" w:hAnsi="Times New Roman" w:eastAsia="宋体" w:cs="Times New Roman"/>
          <w:color w:val="000000"/>
          <w:sz w:val="24"/>
          <w:szCs w:val="24"/>
        </w:rPr>
        <w:t>参与者</w:t>
      </w:r>
      <w:r>
        <w:rPr>
          <w:rFonts w:hint="eastAsia" w:ascii="Times New Roman" w:hAnsi="Times New Roman" w:eastAsia="宋体" w:cs="Times New Roman"/>
          <w:color w:val="000000"/>
          <w:sz w:val="24"/>
          <w:szCs w:val="24"/>
          <w:lang w:eastAsia="zh-Hans"/>
        </w:rPr>
        <w:t>完成末次给药后</w:t>
      </w:r>
      <w:r>
        <w:rPr>
          <w:rFonts w:ascii="Times New Roman" w:hAnsi="Times New Roman" w:eastAsia="宋体" w:cs="Times New Roman"/>
          <w:color w:val="000000"/>
          <w:sz w:val="24"/>
          <w:szCs w:val="24"/>
        </w:rPr>
        <w:t>4</w:t>
      </w:r>
      <w:r>
        <w:rPr>
          <w:rFonts w:hint="eastAsia" w:ascii="Times New Roman" w:hAnsi="Times New Roman" w:eastAsia="宋体" w:cs="Times New Roman"/>
          <w:color w:val="000000"/>
          <w:sz w:val="24"/>
          <w:szCs w:val="24"/>
          <w:lang w:eastAsia="zh-Hans"/>
        </w:rPr>
        <w:t>周，将进行一次电话访视，以收集安全性信息，完成电话访视后研究结束。</w:t>
      </w:r>
    </w:p>
    <w:p w14:paraId="112377FC">
      <w:pPr>
        <w:pStyle w:val="116"/>
        <w:numPr>
          <w:ilvl w:val="1"/>
          <w:numId w:val="12"/>
        </w:numPr>
        <w:jc w:val="left"/>
        <w:rPr>
          <w:rFonts w:cs="Times New Roman"/>
          <w:sz w:val="24"/>
          <w:szCs w:val="24"/>
        </w:rPr>
      </w:pPr>
      <w:bookmarkStart w:id="59" w:name="_Toc217032230"/>
      <w:r>
        <w:rPr>
          <w:rFonts w:hint="eastAsia" w:cs="Times New Roman"/>
          <w:sz w:val="24"/>
          <w:szCs w:val="24"/>
        </w:rPr>
        <w:t>研究设计的科学依据</w:t>
      </w:r>
      <w:bookmarkEnd w:id="59"/>
    </w:p>
    <w:p w14:paraId="75ED4617">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本研究采用多中心、随机、双盲、安慰剂对照设计，针对</w:t>
      </w:r>
      <w:r>
        <w:rPr>
          <w:rFonts w:ascii="Times New Roman" w:hAnsi="Times New Roman" w:eastAsia="宋体" w:cs="Times New Roman"/>
          <w:color w:val="000000"/>
          <w:sz w:val="24"/>
          <w:szCs w:val="24"/>
        </w:rPr>
        <w:t>TYK2</w:t>
      </w:r>
      <w:r>
        <w:rPr>
          <w:rFonts w:hint="eastAsia" w:ascii="Times New Roman" w:hAnsi="Times New Roman" w:eastAsia="宋体" w:cs="Times New Roman"/>
          <w:color w:val="000000"/>
          <w:sz w:val="24"/>
          <w:szCs w:val="24"/>
        </w:rPr>
        <w:t>抑制剂</w:t>
      </w:r>
      <w:r>
        <w:rPr>
          <w:rFonts w:ascii="Times New Roman" w:hAnsi="Times New Roman" w:eastAsia="宋体" w:cs="Times New Roman"/>
          <w:color w:val="000000"/>
          <w:sz w:val="24"/>
          <w:szCs w:val="24"/>
        </w:rPr>
        <w:t>CMS-D001</w:t>
      </w:r>
      <w:r>
        <w:rPr>
          <w:rFonts w:hint="eastAsia" w:ascii="Times New Roman" w:hAnsi="Times New Roman" w:eastAsia="宋体" w:cs="Times New Roman"/>
          <w:color w:val="000000"/>
          <w:sz w:val="24"/>
          <w:szCs w:val="24"/>
        </w:rPr>
        <w:t>片在中度至重度斑块型银屑病患者中开展</w:t>
      </w:r>
      <w:r>
        <w:rPr>
          <w:rFonts w:hint="eastAsia" w:ascii="Times New Roman" w:hAnsi="Times New Roman" w:eastAsia="宋体" w:cs="Times New Roman"/>
          <w:color w:val="000000"/>
          <w:kern w:val="2"/>
          <w:sz w:val="24"/>
          <w:szCs w:val="24"/>
        </w:rPr>
        <w:t>Ⅱ</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Ⅲ期临床研究，其科学依据如下：</w:t>
      </w:r>
    </w:p>
    <w:p w14:paraId="540B2862">
      <w:pPr>
        <w:numPr>
          <w:ilvl w:val="0"/>
          <w:numId w:val="32"/>
        </w:num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多中心设计的依据：多中心研究可纳入不同地域、不同临床中心的参与者，样本来源更具多样性，能减少单一中心的地域偏差、医生诊疗习惯差异等因素对结果的影响，使研究结论更具代表性和外推性，更贴合真实临床环境中的应用场景。</w:t>
      </w:r>
    </w:p>
    <w:p w14:paraId="37E995FA">
      <w:pPr>
        <w:numPr>
          <w:ilvl w:val="0"/>
          <w:numId w:val="32"/>
        </w:num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随机化设计的依据：随机化可将参与者均等且无偏倚地分配至</w:t>
      </w:r>
      <w:r>
        <w:rPr>
          <w:rFonts w:ascii="Times New Roman" w:hAnsi="Times New Roman" w:eastAsia="宋体" w:cs="Times New Roman"/>
          <w:color w:val="000000"/>
          <w:sz w:val="24"/>
          <w:szCs w:val="24"/>
        </w:rPr>
        <w:t>CMS-D001</w:t>
      </w:r>
      <w:r>
        <w:rPr>
          <w:rFonts w:hint="eastAsia" w:ascii="Times New Roman" w:hAnsi="Times New Roman" w:eastAsia="宋体" w:cs="Times New Roman"/>
          <w:color w:val="000000"/>
          <w:sz w:val="24"/>
          <w:szCs w:val="24"/>
        </w:rPr>
        <w:t>片治疗组和安慰剂组，减少选择偏倚和混杂因素的干扰，为组间疗效和安全性的比较提供公平的基线基础。本研究中随机化将根据</w:t>
      </w:r>
      <w:r>
        <w:rPr>
          <w:rFonts w:hint="eastAsia" w:ascii="Times New Roman" w:hAnsi="Times New Roman" w:eastAsia="宋体" w:cs="Times New Roman"/>
          <w:color w:val="000000"/>
          <w:kern w:val="2"/>
          <w:sz w:val="24"/>
          <w:szCs w:val="24"/>
        </w:rPr>
        <w:t>银屑病严重程度（</w:t>
      </w:r>
      <w:r>
        <w:rPr>
          <w:rFonts w:ascii="Times New Roman" w:hAnsi="Times New Roman" w:eastAsia="宋体" w:cs="Times New Roman"/>
          <w:color w:val="000000"/>
          <w:kern w:val="2"/>
          <w:sz w:val="24"/>
          <w:szCs w:val="24"/>
        </w:rPr>
        <w:t>PGA</w:t>
      </w:r>
      <w:r>
        <w:rPr>
          <w:rFonts w:hint="eastAsia" w:ascii="Times New Roman" w:hAnsi="Times New Roman" w:eastAsia="宋体" w:cs="Times New Roman"/>
          <w:color w:val="000000"/>
          <w:kern w:val="2"/>
          <w:sz w:val="24"/>
          <w:szCs w:val="24"/>
        </w:rPr>
        <w:t>评分</w:t>
      </w:r>
      <w:r>
        <w:rPr>
          <w:rFonts w:ascii="Times New Roman" w:hAnsi="Times New Roman" w:eastAsia="宋体" w:cs="Times New Roman"/>
          <w:color w:val="000000"/>
          <w:kern w:val="2"/>
          <w:sz w:val="24"/>
          <w:szCs w:val="24"/>
        </w:rPr>
        <w:t>3/4</w:t>
      </w:r>
      <w:r>
        <w:rPr>
          <w:rFonts w:hint="eastAsia" w:ascii="Times New Roman" w:hAnsi="Times New Roman" w:eastAsia="宋体" w:cs="Times New Roman"/>
          <w:color w:val="000000"/>
          <w:kern w:val="2"/>
          <w:sz w:val="24"/>
          <w:szCs w:val="24"/>
        </w:rPr>
        <w:t>）</w:t>
      </w:r>
      <w:r>
        <w:rPr>
          <w:rFonts w:hint="eastAsia" w:ascii="Times New Roman" w:hAnsi="Times New Roman" w:eastAsia="宋体" w:cs="Times New Roman"/>
          <w:color w:val="000000"/>
          <w:sz w:val="24"/>
          <w:szCs w:val="24"/>
        </w:rPr>
        <w:t>进行分层。</w:t>
      </w:r>
    </w:p>
    <w:p w14:paraId="096DF971">
      <w:pPr>
        <w:numPr>
          <w:ilvl w:val="0"/>
          <w:numId w:val="32"/>
        </w:num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双盲设计的依据：双盲设计可避免因主观期望导致的偏倚，研究者不会因对药物的预期影响疗效评估（如</w:t>
      </w:r>
      <w:r>
        <w:rPr>
          <w:rFonts w:ascii="Times New Roman" w:hAnsi="Times New Roman" w:eastAsia="宋体" w:cs="Times New Roman"/>
          <w:color w:val="000000"/>
          <w:sz w:val="24"/>
          <w:szCs w:val="24"/>
        </w:rPr>
        <w:t>PASI</w:t>
      </w:r>
      <w:r>
        <w:rPr>
          <w:rFonts w:hint="eastAsia" w:ascii="Times New Roman" w:hAnsi="Times New Roman" w:eastAsia="宋体" w:cs="Times New Roman"/>
          <w:color w:val="000000"/>
          <w:sz w:val="24"/>
          <w:szCs w:val="24"/>
        </w:rPr>
        <w:t>评分），参与者也不会因心理暗示而影响疗效评估，从而保证疗效和安全性数据的客观性与真实性。</w:t>
      </w:r>
    </w:p>
    <w:p w14:paraId="73A9F07C">
      <w:pPr>
        <w:numPr>
          <w:ilvl w:val="0"/>
          <w:numId w:val="32"/>
        </w:num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安慰剂对照的依据：斑块型银屑病存在自然病程波动及安慰剂效应（部分患者可能因心理因素出现症状暂时改善），以安慰剂为对照可明确区分</w:t>
      </w:r>
      <w:r>
        <w:rPr>
          <w:rFonts w:ascii="Times New Roman" w:hAnsi="Times New Roman" w:eastAsia="宋体" w:cs="Times New Roman"/>
          <w:color w:val="000000"/>
          <w:sz w:val="24"/>
          <w:szCs w:val="24"/>
        </w:rPr>
        <w:t>CMS-D001</w:t>
      </w:r>
      <w:r>
        <w:rPr>
          <w:rFonts w:hint="eastAsia" w:ascii="Times New Roman" w:hAnsi="Times New Roman" w:eastAsia="宋体" w:cs="Times New Roman"/>
          <w:color w:val="000000"/>
          <w:sz w:val="24"/>
          <w:szCs w:val="24"/>
        </w:rPr>
        <w:t>片的药理作用与非特异性效应，准确评估药物的真实疗效。同时，安慰剂对照能为安全性评价提供基准，更清晰地识别药物相关不良事件。</w:t>
      </w:r>
    </w:p>
    <w:p w14:paraId="2CFBAB64">
      <w:pPr>
        <w:numPr>
          <w:ilvl w:val="0"/>
          <w:numId w:val="32"/>
        </w:numPr>
        <w:spacing w:line="360" w:lineRule="auto"/>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主要终点的依据：</w:t>
      </w:r>
      <w:r>
        <w:rPr>
          <w:rFonts w:ascii="Times New Roman" w:hAnsi="Times New Roman" w:eastAsia="宋体" w:cs="Times New Roman"/>
          <w:color w:val="000000"/>
          <w:sz w:val="24"/>
          <w:szCs w:val="24"/>
        </w:rPr>
        <w:t>PGA</w:t>
      </w:r>
      <w:r>
        <w:rPr>
          <w:rFonts w:hint="eastAsia" w:ascii="Times New Roman" w:hAnsi="Times New Roman" w:eastAsia="宋体" w:cs="Times New Roman"/>
          <w:color w:val="000000"/>
          <w:sz w:val="24"/>
          <w:szCs w:val="24"/>
        </w:rPr>
        <w:t>是一种医生根据红斑、鳞屑、浸润严重程度进行整体性评估的方法，而并非以个别症状和体征作为基础。</w:t>
      </w:r>
      <w:r>
        <w:rPr>
          <w:rFonts w:ascii="Times New Roman" w:hAnsi="Times New Roman" w:eastAsia="宋体" w:cs="Times New Roman"/>
          <w:color w:val="000000"/>
          <w:sz w:val="24"/>
          <w:szCs w:val="24"/>
        </w:rPr>
        <w:t>PGA</w:t>
      </w:r>
      <w:r>
        <w:rPr>
          <w:rFonts w:hint="eastAsia" w:ascii="Times New Roman" w:hAnsi="Times New Roman" w:eastAsia="宋体" w:cs="Times New Roman"/>
          <w:color w:val="000000"/>
          <w:sz w:val="24"/>
          <w:szCs w:val="24"/>
        </w:rPr>
        <w:t>法评价银屑病严重程度可表示某一特定时间点时疾病的状态，也可动态提示疾病的变化情况。该评估方法简便、易操作、整体性强。</w:t>
      </w:r>
      <w:r>
        <w:rPr>
          <w:rFonts w:ascii="Times New Roman" w:hAnsi="Times New Roman" w:eastAsia="宋体" w:cs="Times New Roman"/>
          <w:color w:val="000000"/>
          <w:sz w:val="24"/>
          <w:szCs w:val="24"/>
        </w:rPr>
        <w:t>PASI</w:t>
      </w:r>
      <w:r>
        <w:rPr>
          <w:rFonts w:hint="eastAsia" w:ascii="Times New Roman" w:hAnsi="Times New Roman" w:eastAsia="宋体" w:cs="Times New Roman"/>
          <w:color w:val="000000"/>
          <w:sz w:val="24"/>
          <w:szCs w:val="24"/>
        </w:rPr>
        <w:t>（银屑病面积和严重程度指数）评分系统采用头、上肢、躯干、下肢４个部位红斑、鳞屑、浸润、受累面积等指标的等级评分。该评估方法分值较细化、评分相对准确、全面。在确证性临床试验中，通常选择</w:t>
      </w:r>
      <w:r>
        <w:rPr>
          <w:rFonts w:ascii="Times New Roman" w:hAnsi="Times New Roman" w:eastAsia="宋体" w:cs="Times New Roman"/>
          <w:color w:val="000000"/>
          <w:sz w:val="24"/>
          <w:szCs w:val="24"/>
        </w:rPr>
        <w:t>PGA</w:t>
      </w:r>
      <w:r>
        <w:rPr>
          <w:rFonts w:hint="eastAsia" w:ascii="Times New Roman" w:hAnsi="Times New Roman" w:eastAsia="宋体" w:cs="Times New Roman"/>
          <w:color w:val="000000"/>
          <w:sz w:val="24"/>
          <w:szCs w:val="24"/>
        </w:rPr>
        <w:t>量表评分为</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分或</w:t>
      </w:r>
      <w:r>
        <w:rPr>
          <w:rFonts w:ascii="Times New Roman" w:hAnsi="Times New Roman" w:eastAsia="宋体" w:cs="Times New Roman"/>
          <w:color w:val="000000"/>
          <w:sz w:val="24"/>
          <w:szCs w:val="24"/>
        </w:rPr>
        <w:t>1</w:t>
      </w:r>
      <w:r>
        <w:rPr>
          <w:rFonts w:hint="eastAsia" w:ascii="Times New Roman" w:hAnsi="Times New Roman" w:eastAsia="宋体" w:cs="Times New Roman"/>
          <w:color w:val="000000"/>
          <w:sz w:val="24"/>
          <w:szCs w:val="24"/>
        </w:rPr>
        <w:t>分（即</w:t>
      </w:r>
      <w:r>
        <w:rPr>
          <w:rFonts w:ascii="Times New Roman" w:hAnsi="Times New Roman" w:eastAsia="宋体" w:cs="Times New Roman"/>
          <w:color w:val="000000"/>
          <w:sz w:val="24"/>
          <w:szCs w:val="24"/>
        </w:rPr>
        <w:t>PGA 0/1</w:t>
      </w:r>
      <w:r>
        <w:rPr>
          <w:rFonts w:hint="eastAsia" w:ascii="Times New Roman" w:hAnsi="Times New Roman" w:eastAsia="宋体" w:cs="Times New Roman"/>
          <w:color w:val="000000"/>
          <w:sz w:val="24"/>
          <w:szCs w:val="24"/>
        </w:rPr>
        <w:t>），及</w:t>
      </w:r>
      <w:r>
        <w:rPr>
          <w:rFonts w:ascii="Times New Roman" w:hAnsi="Times New Roman" w:eastAsia="宋体" w:cs="Times New Roman"/>
          <w:color w:val="000000"/>
          <w:sz w:val="24"/>
          <w:szCs w:val="24"/>
        </w:rPr>
        <w:t>PASI</w:t>
      </w:r>
      <w:r>
        <w:rPr>
          <w:rFonts w:hint="eastAsia" w:ascii="Times New Roman" w:hAnsi="Times New Roman" w:eastAsia="宋体" w:cs="Times New Roman"/>
          <w:color w:val="000000"/>
          <w:sz w:val="24"/>
          <w:szCs w:val="24"/>
        </w:rPr>
        <w:t>相对于基线改善≥</w:t>
      </w:r>
      <w:r>
        <w:rPr>
          <w:rFonts w:ascii="Times New Roman" w:hAnsi="Times New Roman" w:eastAsia="宋体" w:cs="Times New Roman"/>
          <w:color w:val="000000"/>
          <w:sz w:val="24"/>
          <w:szCs w:val="24"/>
        </w:rPr>
        <w:t>75%</w:t>
      </w:r>
      <w:r>
        <w:rPr>
          <w:rFonts w:hint="eastAsia" w:ascii="Times New Roman" w:hAnsi="Times New Roman" w:eastAsia="宋体" w:cs="Times New Roman"/>
          <w:color w:val="000000"/>
          <w:sz w:val="24"/>
          <w:szCs w:val="24"/>
        </w:rPr>
        <w:t>（即</w:t>
      </w:r>
      <w:r>
        <w:rPr>
          <w:rFonts w:ascii="Times New Roman" w:hAnsi="Times New Roman" w:eastAsia="宋体" w:cs="Times New Roman"/>
          <w:color w:val="000000"/>
          <w:sz w:val="24"/>
          <w:szCs w:val="24"/>
        </w:rPr>
        <w:t>PASI 75</w:t>
      </w:r>
      <w:r>
        <w:rPr>
          <w:rFonts w:hint="eastAsia" w:ascii="Times New Roman" w:hAnsi="Times New Roman" w:eastAsia="宋体" w:cs="Times New Roman"/>
          <w:color w:val="000000"/>
          <w:sz w:val="24"/>
          <w:szCs w:val="24"/>
        </w:rPr>
        <w:t>）作为共同主要终点。或试验主要疗效指标为单一终点，同时设置关键次要终点。上述指标可客观、量化地反映药物对皮损面积和严重程度的改善效果，具有较高的有效性和可靠性，便于与同类研究结果进行横向比较。</w:t>
      </w:r>
    </w:p>
    <w:p w14:paraId="4737AB08">
      <w:pPr>
        <w:spacing w:line="360" w:lineRule="auto"/>
        <w:ind w:firstLine="480" w:firstLineChars="200"/>
        <w:jc w:val="both"/>
        <w:rPr>
          <w:rStyle w:val="99"/>
          <w:rFonts w:ascii="Times New Roman" w:hAnsi="Times New Roman" w:cs="Times New Roman"/>
          <w:i/>
          <w:iCs/>
          <w:sz w:val="24"/>
          <w:szCs w:val="24"/>
        </w:rPr>
      </w:pPr>
      <w:r>
        <w:rPr>
          <w:rFonts w:hint="eastAsia" w:ascii="Times New Roman" w:hAnsi="Times New Roman" w:eastAsia="宋体" w:cs="Times New Roman"/>
          <w:color w:val="000000"/>
          <w:sz w:val="24"/>
          <w:szCs w:val="24"/>
        </w:rPr>
        <w:t>综上，本设计通过严格控制偏倚、保证组间可比性、采用公认的评估标准，可科学验证</w:t>
      </w:r>
      <w:r>
        <w:rPr>
          <w:rFonts w:ascii="Times New Roman" w:hAnsi="Times New Roman" w:eastAsia="宋体" w:cs="Times New Roman"/>
          <w:color w:val="000000"/>
          <w:sz w:val="24"/>
          <w:szCs w:val="24"/>
        </w:rPr>
        <w:t>CMS-D001</w:t>
      </w:r>
      <w:r>
        <w:rPr>
          <w:rFonts w:hint="eastAsia" w:ascii="Times New Roman" w:hAnsi="Times New Roman" w:eastAsia="宋体" w:cs="Times New Roman"/>
          <w:color w:val="000000"/>
          <w:sz w:val="24"/>
          <w:szCs w:val="24"/>
        </w:rPr>
        <w:t>片在中度至重度斑块型银屑病中的疗效、安全性和耐受性，为其临床价值提供可靠证据。</w:t>
      </w:r>
    </w:p>
    <w:p w14:paraId="5A563F92">
      <w:pPr>
        <w:pStyle w:val="116"/>
        <w:numPr>
          <w:ilvl w:val="1"/>
          <w:numId w:val="12"/>
        </w:numPr>
        <w:rPr>
          <w:rFonts w:cs="Times New Roman"/>
          <w:sz w:val="24"/>
          <w:szCs w:val="24"/>
        </w:rPr>
      </w:pPr>
      <w:bookmarkStart w:id="60" w:name="_Toc217032231"/>
      <w:r>
        <w:rPr>
          <w:rFonts w:hint="eastAsia" w:cs="Times New Roman"/>
          <w:sz w:val="24"/>
          <w:szCs w:val="24"/>
        </w:rPr>
        <w:t>剂量选择依据</w:t>
      </w:r>
      <w:bookmarkEnd w:id="60"/>
    </w:p>
    <w:p w14:paraId="29406795">
      <w:pPr>
        <w:pStyle w:val="60"/>
        <w:ind w:firstLine="480"/>
        <w:rPr>
          <w:rStyle w:val="99"/>
          <w:rFonts w:cs="Times New Roman"/>
          <w:sz w:val="24"/>
          <w:szCs w:val="24"/>
        </w:rPr>
      </w:pPr>
      <w:r>
        <w:rPr>
          <w:rStyle w:val="99"/>
          <w:rFonts w:hint="eastAsia" w:cs="Times New Roman"/>
          <w:sz w:val="24"/>
          <w:szCs w:val="24"/>
        </w:rPr>
        <w:t>基于</w:t>
      </w:r>
      <w:r>
        <w:rPr>
          <w:rStyle w:val="99"/>
          <w:rFonts w:cs="Times New Roman"/>
          <w:sz w:val="24"/>
          <w:szCs w:val="24"/>
        </w:rPr>
        <w:t>CMS-D001</w:t>
      </w:r>
      <w:r>
        <w:rPr>
          <w:rStyle w:val="99"/>
          <w:rFonts w:hint="eastAsia" w:cs="Times New Roman"/>
          <w:sz w:val="24"/>
          <w:szCs w:val="24"/>
        </w:rPr>
        <w:t>片的临床前研究结果和迄今的临床数据，综合疗效和安全性方面的考虑，选择</w:t>
      </w:r>
      <w:r>
        <w:rPr>
          <w:rStyle w:val="99"/>
          <w:rFonts w:cs="Times New Roman"/>
          <w:sz w:val="24"/>
          <w:szCs w:val="24"/>
        </w:rPr>
        <w:t>50 mg QD</w:t>
      </w:r>
      <w:r>
        <w:rPr>
          <w:rStyle w:val="99"/>
          <w:rFonts w:hint="eastAsia" w:cs="Times New Roman"/>
          <w:sz w:val="24"/>
          <w:szCs w:val="24"/>
        </w:rPr>
        <w:t>和</w:t>
      </w:r>
      <w:r>
        <w:rPr>
          <w:rStyle w:val="99"/>
          <w:rFonts w:cs="Times New Roman"/>
          <w:sz w:val="24"/>
          <w:szCs w:val="24"/>
        </w:rPr>
        <w:t>100 mg QD</w:t>
      </w:r>
      <w:r>
        <w:rPr>
          <w:rStyle w:val="99"/>
          <w:rFonts w:hint="eastAsia" w:cs="Times New Roman"/>
          <w:sz w:val="24"/>
          <w:szCs w:val="24"/>
        </w:rPr>
        <w:t>两个给药方案进行评估。</w:t>
      </w:r>
    </w:p>
    <w:p w14:paraId="746453BD">
      <w:pPr>
        <w:pStyle w:val="60"/>
        <w:ind w:firstLine="480"/>
        <w:rPr>
          <w:rStyle w:val="99"/>
          <w:rFonts w:cs="Times New Roman"/>
          <w:sz w:val="24"/>
          <w:szCs w:val="24"/>
        </w:rPr>
      </w:pPr>
      <w:r>
        <w:rPr>
          <w:rStyle w:val="99"/>
          <w:rFonts w:hint="eastAsia" w:cs="Times New Roman"/>
          <w:sz w:val="24"/>
          <w:szCs w:val="24"/>
        </w:rPr>
        <w:t>根据临床前体内药效学研究，</w:t>
      </w:r>
      <w:r>
        <w:rPr>
          <w:rStyle w:val="99"/>
          <w:rFonts w:cs="Times New Roman"/>
          <w:sz w:val="24"/>
          <w:szCs w:val="24"/>
        </w:rPr>
        <w:t>CMS-D001</w:t>
      </w:r>
      <w:r>
        <w:rPr>
          <w:rStyle w:val="99"/>
          <w:rFonts w:hint="eastAsia" w:cs="Times New Roman"/>
          <w:sz w:val="24"/>
          <w:szCs w:val="24"/>
        </w:rPr>
        <w:t>对</w:t>
      </w:r>
      <w:r>
        <w:rPr>
          <w:rStyle w:val="99"/>
          <w:rFonts w:cs="Times New Roman"/>
          <w:sz w:val="24"/>
          <w:szCs w:val="24"/>
        </w:rPr>
        <w:t>IL-23</w:t>
      </w:r>
      <w:r>
        <w:rPr>
          <w:rStyle w:val="99"/>
          <w:rFonts w:hint="eastAsia" w:cs="Times New Roman"/>
          <w:sz w:val="24"/>
          <w:szCs w:val="24"/>
        </w:rPr>
        <w:t>诱导的小鼠耳廓银屑病模型表现出显著的抗炎作用。</w:t>
      </w:r>
      <w:r>
        <w:rPr>
          <w:rStyle w:val="99"/>
          <w:rFonts w:cs="Times New Roman"/>
          <w:sz w:val="24"/>
          <w:szCs w:val="24"/>
        </w:rPr>
        <w:t>CMS-D001</w:t>
      </w:r>
      <w:r>
        <w:rPr>
          <w:rStyle w:val="99"/>
          <w:rFonts w:hint="eastAsia" w:cs="Times New Roman"/>
          <w:sz w:val="24"/>
          <w:szCs w:val="24"/>
        </w:rPr>
        <w:t>低剂量</w:t>
      </w:r>
      <w:r>
        <w:rPr>
          <w:rStyle w:val="99"/>
          <w:rFonts w:cs="Times New Roman"/>
          <w:sz w:val="24"/>
          <w:szCs w:val="24"/>
        </w:rPr>
        <w:t>-</w:t>
      </w:r>
      <w:r>
        <w:rPr>
          <w:rStyle w:val="99"/>
          <w:rFonts w:hint="eastAsia" w:cs="Times New Roman"/>
          <w:sz w:val="24"/>
          <w:szCs w:val="24"/>
        </w:rPr>
        <w:t>高剂量组（</w:t>
      </w:r>
      <w:r>
        <w:rPr>
          <w:rStyle w:val="99"/>
          <w:rFonts w:cs="Times New Roman"/>
          <w:sz w:val="24"/>
          <w:szCs w:val="24"/>
        </w:rPr>
        <w:t>2</w:t>
      </w:r>
      <w:r>
        <w:rPr>
          <w:rStyle w:val="99"/>
          <w:rFonts w:hint="eastAsia" w:cs="Times New Roman"/>
          <w:sz w:val="24"/>
          <w:szCs w:val="24"/>
        </w:rPr>
        <w:t>、</w:t>
      </w:r>
      <w:r>
        <w:rPr>
          <w:rStyle w:val="99"/>
          <w:rFonts w:cs="Times New Roman"/>
          <w:sz w:val="24"/>
          <w:szCs w:val="24"/>
        </w:rPr>
        <w:t>5</w:t>
      </w:r>
      <w:r>
        <w:rPr>
          <w:rStyle w:val="99"/>
          <w:rFonts w:hint="eastAsia" w:cs="Times New Roman"/>
          <w:sz w:val="24"/>
          <w:szCs w:val="24"/>
        </w:rPr>
        <w:t>、</w:t>
      </w:r>
      <w:r>
        <w:rPr>
          <w:rStyle w:val="99"/>
          <w:rFonts w:cs="Times New Roman"/>
          <w:sz w:val="24"/>
          <w:szCs w:val="24"/>
        </w:rPr>
        <w:t>10</w:t>
      </w:r>
      <w:r>
        <w:rPr>
          <w:rStyle w:val="99"/>
          <w:rFonts w:hint="eastAsia" w:cs="Times New Roman"/>
          <w:sz w:val="24"/>
          <w:szCs w:val="24"/>
        </w:rPr>
        <w:t>、</w:t>
      </w:r>
      <w:r>
        <w:rPr>
          <w:rStyle w:val="99"/>
          <w:rFonts w:cs="Times New Roman"/>
          <w:sz w:val="24"/>
          <w:szCs w:val="24"/>
        </w:rPr>
        <w:t>20 mg/kg</w:t>
      </w:r>
      <w:r>
        <w:rPr>
          <w:rStyle w:val="99"/>
          <w:rFonts w:hint="eastAsia" w:cs="Times New Roman"/>
          <w:sz w:val="24"/>
          <w:szCs w:val="24"/>
        </w:rPr>
        <w:t>）呈现良好量</w:t>
      </w:r>
      <w:r>
        <w:rPr>
          <w:rStyle w:val="99"/>
          <w:rFonts w:cs="Times New Roman"/>
          <w:sz w:val="24"/>
          <w:szCs w:val="24"/>
        </w:rPr>
        <w:t>-</w:t>
      </w:r>
      <w:r>
        <w:rPr>
          <w:rStyle w:val="99"/>
          <w:rFonts w:hint="eastAsia" w:cs="Times New Roman"/>
          <w:sz w:val="24"/>
          <w:szCs w:val="24"/>
        </w:rPr>
        <w:t>效关系，起效剂量为</w:t>
      </w:r>
      <w:r>
        <w:rPr>
          <w:rStyle w:val="99"/>
          <w:rFonts w:cs="Times New Roman"/>
          <w:sz w:val="24"/>
          <w:szCs w:val="24"/>
        </w:rPr>
        <w:t>2 mg/kg BID</w:t>
      </w:r>
      <w:r>
        <w:rPr>
          <w:rStyle w:val="99"/>
          <w:rFonts w:hint="eastAsia" w:cs="Times New Roman"/>
          <w:sz w:val="24"/>
          <w:szCs w:val="24"/>
        </w:rPr>
        <w:t>。在</w:t>
      </w:r>
      <w:r>
        <w:rPr>
          <w:rStyle w:val="99"/>
          <w:rFonts w:cs="Times New Roman"/>
          <w:sz w:val="24"/>
          <w:szCs w:val="24"/>
        </w:rPr>
        <w:t>CMS-D001 2 mg/kg BID</w:t>
      </w:r>
      <w:r>
        <w:rPr>
          <w:rStyle w:val="99"/>
          <w:rFonts w:hint="eastAsia" w:cs="Times New Roman"/>
          <w:sz w:val="24"/>
          <w:szCs w:val="24"/>
        </w:rPr>
        <w:t>灌胃给药后，小鼠体内的</w:t>
      </w:r>
      <w:r>
        <w:rPr>
          <w:rStyle w:val="99"/>
          <w:rFonts w:cs="Times New Roman"/>
          <w:sz w:val="24"/>
          <w:szCs w:val="24"/>
        </w:rPr>
        <w:t>C</w:t>
      </w:r>
      <w:r>
        <w:rPr>
          <w:rStyle w:val="99"/>
          <w:rFonts w:cs="Times New Roman"/>
          <w:sz w:val="24"/>
          <w:szCs w:val="24"/>
          <w:vertAlign w:val="subscript"/>
        </w:rPr>
        <w:t>max</w:t>
      </w:r>
      <w:r>
        <w:rPr>
          <w:rStyle w:val="99"/>
          <w:rFonts w:hint="eastAsia" w:cs="Times New Roman"/>
          <w:sz w:val="24"/>
          <w:szCs w:val="24"/>
        </w:rPr>
        <w:t>为</w:t>
      </w:r>
      <w:r>
        <w:rPr>
          <w:rStyle w:val="99"/>
          <w:rFonts w:cs="Times New Roman"/>
          <w:sz w:val="24"/>
          <w:szCs w:val="24"/>
        </w:rPr>
        <w:t>914.72 ng/mL</w:t>
      </w:r>
      <w:r>
        <w:rPr>
          <w:rStyle w:val="99"/>
          <w:rFonts w:hint="eastAsia" w:cs="Times New Roman"/>
          <w:sz w:val="24"/>
          <w:szCs w:val="24"/>
        </w:rPr>
        <w:t>，</w:t>
      </w:r>
      <w:r>
        <w:rPr>
          <w:rStyle w:val="99"/>
          <w:rFonts w:cs="Times New Roman"/>
          <w:sz w:val="24"/>
          <w:szCs w:val="24"/>
        </w:rPr>
        <w:t>AUC</w:t>
      </w:r>
      <w:r>
        <w:rPr>
          <w:rStyle w:val="99"/>
          <w:rFonts w:cs="Times New Roman"/>
          <w:sz w:val="24"/>
          <w:szCs w:val="24"/>
          <w:vertAlign w:val="subscript"/>
        </w:rPr>
        <w:t>0-t</w:t>
      </w:r>
      <w:r>
        <w:rPr>
          <w:rStyle w:val="99"/>
          <w:rFonts w:cs="Times New Roman"/>
          <w:sz w:val="24"/>
          <w:szCs w:val="24"/>
        </w:rPr>
        <w:t>(AUC</w:t>
      </w:r>
      <w:r>
        <w:rPr>
          <w:rStyle w:val="99"/>
          <w:rFonts w:cs="Times New Roman"/>
          <w:sz w:val="24"/>
          <w:szCs w:val="24"/>
          <w:vertAlign w:val="subscript"/>
        </w:rPr>
        <w:t>0-6 h</w:t>
      </w:r>
      <w:r>
        <w:rPr>
          <w:rStyle w:val="99"/>
          <w:rFonts w:cs="Times New Roman"/>
          <w:sz w:val="24"/>
          <w:szCs w:val="24"/>
        </w:rPr>
        <w:t>)</w:t>
      </w:r>
      <w:r>
        <w:rPr>
          <w:rStyle w:val="99"/>
          <w:rFonts w:hint="eastAsia" w:cs="Times New Roman"/>
          <w:sz w:val="24"/>
          <w:szCs w:val="24"/>
        </w:rPr>
        <w:t>为</w:t>
      </w:r>
      <w:r>
        <w:rPr>
          <w:rStyle w:val="99"/>
          <w:rFonts w:cs="Times New Roman"/>
          <w:sz w:val="24"/>
          <w:szCs w:val="24"/>
        </w:rPr>
        <w:t>1630.4 ng*h/mL</w:t>
      </w:r>
      <w:r>
        <w:rPr>
          <w:rStyle w:val="99"/>
          <w:rFonts w:hint="eastAsia" w:cs="Times New Roman"/>
          <w:sz w:val="24"/>
          <w:szCs w:val="24"/>
        </w:rPr>
        <w:t>，结合人体</w:t>
      </w:r>
      <w:r>
        <w:rPr>
          <w:rStyle w:val="99"/>
          <w:rFonts w:cs="Times New Roman"/>
          <w:sz w:val="24"/>
          <w:szCs w:val="24"/>
        </w:rPr>
        <w:t>CL/F</w:t>
      </w:r>
      <w:r>
        <w:rPr>
          <w:rStyle w:val="99"/>
          <w:rFonts w:hint="eastAsia" w:cs="Times New Roman"/>
          <w:sz w:val="24"/>
          <w:szCs w:val="24"/>
        </w:rPr>
        <w:t>在</w:t>
      </w:r>
      <w:r>
        <w:rPr>
          <w:rStyle w:val="99"/>
          <w:rFonts w:cs="Times New Roman"/>
          <w:sz w:val="24"/>
          <w:szCs w:val="24"/>
        </w:rPr>
        <w:t>13.4-19.8 L/h</w:t>
      </w:r>
      <w:r>
        <w:rPr>
          <w:rStyle w:val="99"/>
          <w:rFonts w:hint="eastAsia" w:cs="Times New Roman"/>
          <w:sz w:val="24"/>
          <w:szCs w:val="24"/>
        </w:rPr>
        <w:t>，推算人体起效剂量为</w:t>
      </w:r>
      <w:r>
        <w:rPr>
          <w:rStyle w:val="99"/>
          <w:rFonts w:cs="Times New Roman"/>
          <w:sz w:val="24"/>
          <w:szCs w:val="24"/>
        </w:rPr>
        <w:t>40-60 mg QD</w:t>
      </w:r>
      <w:r>
        <w:rPr>
          <w:rStyle w:val="99"/>
          <w:rFonts w:hint="eastAsia" w:cs="Times New Roman"/>
          <w:sz w:val="24"/>
          <w:szCs w:val="24"/>
        </w:rPr>
        <w:t>。根据目前临床数据（已完成</w:t>
      </w:r>
      <w:r>
        <w:rPr>
          <w:rStyle w:val="99"/>
          <w:rFonts w:cs="Times New Roman"/>
          <w:sz w:val="24"/>
          <w:szCs w:val="24"/>
        </w:rPr>
        <w:t>SAD 200 mg</w:t>
      </w:r>
      <w:r>
        <w:rPr>
          <w:rStyle w:val="99"/>
          <w:rFonts w:hint="eastAsia" w:cs="Times New Roman"/>
          <w:sz w:val="24"/>
          <w:szCs w:val="24"/>
        </w:rPr>
        <w:t>、</w:t>
      </w:r>
      <w:r>
        <w:rPr>
          <w:rStyle w:val="99"/>
          <w:rFonts w:cs="Times New Roman"/>
          <w:sz w:val="24"/>
          <w:szCs w:val="24"/>
        </w:rPr>
        <w:t>MAD 200 mg</w:t>
      </w:r>
      <w:r>
        <w:rPr>
          <w:rStyle w:val="99"/>
          <w:rFonts w:hint="eastAsia" w:cs="Times New Roman"/>
          <w:sz w:val="24"/>
          <w:szCs w:val="24"/>
        </w:rPr>
        <w:t>）提示，参与者给药后总体安全耐受性良好，因此选择</w:t>
      </w:r>
      <w:r>
        <w:rPr>
          <w:rStyle w:val="99"/>
          <w:rFonts w:cs="Times New Roman"/>
          <w:sz w:val="24"/>
          <w:szCs w:val="24"/>
        </w:rPr>
        <w:t>50 mg QD</w:t>
      </w:r>
      <w:r>
        <w:rPr>
          <w:rStyle w:val="99"/>
          <w:rFonts w:hint="eastAsia" w:cs="Times New Roman"/>
          <w:sz w:val="24"/>
          <w:szCs w:val="24"/>
        </w:rPr>
        <w:t>和更高剂量</w:t>
      </w:r>
      <w:r>
        <w:rPr>
          <w:rStyle w:val="99"/>
          <w:rFonts w:cs="Times New Roman"/>
          <w:sz w:val="24"/>
          <w:szCs w:val="24"/>
        </w:rPr>
        <w:t>100 mg QD</w:t>
      </w:r>
      <w:r>
        <w:rPr>
          <w:rStyle w:val="99"/>
          <w:rFonts w:hint="eastAsia" w:cs="Times New Roman"/>
          <w:sz w:val="24"/>
          <w:szCs w:val="24"/>
        </w:rPr>
        <w:t>给药，以探索不同剂量给药的疗效。</w:t>
      </w:r>
    </w:p>
    <w:p w14:paraId="1B52D6FF">
      <w:pPr>
        <w:pStyle w:val="60"/>
        <w:ind w:firstLine="480"/>
        <w:rPr>
          <w:rStyle w:val="99"/>
          <w:rFonts w:cs="Times New Roman"/>
          <w:sz w:val="24"/>
          <w:szCs w:val="24"/>
        </w:rPr>
      </w:pPr>
      <w:r>
        <w:rPr>
          <w:rStyle w:val="99"/>
          <w:rFonts w:hint="eastAsia" w:cs="Times New Roman"/>
          <w:sz w:val="24"/>
          <w:szCs w:val="24"/>
        </w:rPr>
        <w:t>结合同靶点同适应症上市药物临床试验的</w:t>
      </w:r>
      <w:r>
        <w:rPr>
          <w:rStyle w:val="99"/>
          <w:rFonts w:cs="Times New Roman"/>
          <w:sz w:val="24"/>
          <w:szCs w:val="24"/>
        </w:rPr>
        <w:t>E-R</w:t>
      </w:r>
      <w:r>
        <w:rPr>
          <w:rStyle w:val="99"/>
          <w:rFonts w:hint="eastAsia" w:cs="Times New Roman"/>
          <w:sz w:val="24"/>
          <w:szCs w:val="24"/>
        </w:rPr>
        <w:t>分析发现，该类药物的药效与稳态下的平均血药浓度（</w:t>
      </w:r>
      <w:r>
        <w:rPr>
          <w:rStyle w:val="99"/>
          <w:rFonts w:cs="Times New Roman"/>
          <w:sz w:val="24"/>
          <w:szCs w:val="24"/>
        </w:rPr>
        <w:t>C</w:t>
      </w:r>
      <w:r>
        <w:rPr>
          <w:rStyle w:val="99"/>
          <w:rFonts w:cs="Times New Roman"/>
          <w:sz w:val="24"/>
          <w:szCs w:val="24"/>
          <w:vertAlign w:val="subscript"/>
        </w:rPr>
        <w:t>avg,ss</w:t>
      </w:r>
      <w:r>
        <w:rPr>
          <w:rStyle w:val="99"/>
          <w:rFonts w:hint="eastAsia" w:cs="Times New Roman"/>
          <w:sz w:val="24"/>
          <w:szCs w:val="24"/>
        </w:rPr>
        <w:t>）亦即药</w:t>
      </w:r>
      <w:r>
        <w:rPr>
          <w:rStyle w:val="99"/>
          <w:rFonts w:cs="Times New Roman"/>
          <w:sz w:val="24"/>
          <w:szCs w:val="24"/>
        </w:rPr>
        <w:t>-</w:t>
      </w:r>
      <w:r>
        <w:rPr>
          <w:rStyle w:val="99"/>
          <w:rFonts w:hint="eastAsia" w:cs="Times New Roman"/>
          <w:sz w:val="24"/>
          <w:szCs w:val="24"/>
        </w:rPr>
        <w:t>时曲线下面积（</w:t>
      </w:r>
      <w:r>
        <w:rPr>
          <w:rStyle w:val="99"/>
          <w:rFonts w:cs="Times New Roman"/>
          <w:sz w:val="24"/>
          <w:szCs w:val="24"/>
        </w:rPr>
        <w:t>AUC</w:t>
      </w:r>
      <w:r>
        <w:rPr>
          <w:rStyle w:val="99"/>
          <w:rFonts w:hint="eastAsia" w:cs="Times New Roman"/>
          <w:sz w:val="24"/>
          <w:szCs w:val="24"/>
        </w:rPr>
        <w:t>）相关性更高，而安全性风险与稳态下谷浓度（</w:t>
      </w:r>
      <w:r>
        <w:rPr>
          <w:rStyle w:val="99"/>
          <w:rFonts w:cs="Times New Roman"/>
          <w:sz w:val="24"/>
          <w:szCs w:val="24"/>
        </w:rPr>
        <w:t>C</w:t>
      </w:r>
      <w:r>
        <w:rPr>
          <w:rStyle w:val="99"/>
          <w:rFonts w:cs="Times New Roman"/>
          <w:sz w:val="24"/>
          <w:szCs w:val="24"/>
          <w:vertAlign w:val="subscript"/>
        </w:rPr>
        <w:t>min,ss</w:t>
      </w:r>
      <w:r>
        <w:rPr>
          <w:rStyle w:val="99"/>
          <w:rFonts w:hint="eastAsia" w:cs="Times New Roman"/>
          <w:sz w:val="24"/>
          <w:szCs w:val="24"/>
        </w:rPr>
        <w:t>）相关性更高，故本研究以探索</w:t>
      </w:r>
      <w:r>
        <w:rPr>
          <w:rStyle w:val="99"/>
          <w:rFonts w:cs="Times New Roman"/>
          <w:sz w:val="24"/>
          <w:szCs w:val="24"/>
        </w:rPr>
        <w:t>QD</w:t>
      </w:r>
      <w:r>
        <w:rPr>
          <w:rStyle w:val="99"/>
          <w:rFonts w:hint="eastAsia" w:cs="Times New Roman"/>
          <w:sz w:val="24"/>
          <w:szCs w:val="24"/>
        </w:rPr>
        <w:t>给药频率。</w:t>
      </w:r>
    </w:p>
    <w:p w14:paraId="3E517D5A">
      <w:pPr>
        <w:pStyle w:val="60"/>
        <w:ind w:firstLine="480"/>
        <w:rPr>
          <w:rStyle w:val="99"/>
          <w:rFonts w:cs="Times New Roman"/>
          <w:sz w:val="24"/>
          <w:szCs w:val="24"/>
        </w:rPr>
      </w:pPr>
      <w:r>
        <w:rPr>
          <w:rStyle w:val="99"/>
          <w:rFonts w:hint="eastAsia" w:cs="Times New Roman"/>
          <w:sz w:val="24"/>
          <w:szCs w:val="24"/>
        </w:rPr>
        <w:t>本研究评估剂量均未超过Ⅰ期研究（研究编号：</w:t>
      </w:r>
      <w:r>
        <w:rPr>
          <w:rStyle w:val="99"/>
          <w:rFonts w:cs="Times New Roman"/>
          <w:sz w:val="24"/>
          <w:szCs w:val="24"/>
        </w:rPr>
        <w:t>D001-01-001</w:t>
      </w:r>
      <w:r>
        <w:rPr>
          <w:rStyle w:val="99"/>
          <w:rFonts w:hint="eastAsia" w:cs="Times New Roman"/>
          <w:sz w:val="24"/>
          <w:szCs w:val="24"/>
        </w:rPr>
        <w:t>，</w:t>
      </w:r>
      <w:r>
        <w:rPr>
          <w:rStyle w:val="99"/>
          <w:rFonts w:cs="Times New Roman"/>
          <w:sz w:val="24"/>
          <w:szCs w:val="24"/>
        </w:rPr>
        <w:t>CTR20243429</w:t>
      </w:r>
      <w:r>
        <w:rPr>
          <w:rStyle w:val="99"/>
          <w:rFonts w:hint="eastAsia" w:cs="Times New Roman"/>
          <w:sz w:val="24"/>
          <w:szCs w:val="24"/>
        </w:rPr>
        <w:t>）中单次给药递增研究（</w:t>
      </w:r>
      <w:r>
        <w:rPr>
          <w:rStyle w:val="99"/>
          <w:rFonts w:cs="Times New Roman"/>
          <w:sz w:val="24"/>
          <w:szCs w:val="24"/>
        </w:rPr>
        <w:t>SAD</w:t>
      </w:r>
      <w:r>
        <w:rPr>
          <w:rStyle w:val="99"/>
          <w:rFonts w:hint="eastAsia" w:cs="Times New Roman"/>
          <w:sz w:val="24"/>
          <w:szCs w:val="24"/>
        </w:rPr>
        <w:t>）最大爬坡剂量</w:t>
      </w:r>
      <w:r>
        <w:rPr>
          <w:rStyle w:val="99"/>
          <w:rFonts w:cs="Times New Roman"/>
          <w:sz w:val="24"/>
          <w:szCs w:val="24"/>
        </w:rPr>
        <w:t>200 mg</w:t>
      </w:r>
      <w:r>
        <w:rPr>
          <w:rStyle w:val="99"/>
          <w:rFonts w:hint="eastAsia" w:cs="Times New Roman"/>
          <w:sz w:val="24"/>
          <w:szCs w:val="24"/>
        </w:rPr>
        <w:t>和多次给药递增研究（</w:t>
      </w:r>
      <w:r>
        <w:rPr>
          <w:rStyle w:val="99"/>
          <w:rFonts w:cs="Times New Roman"/>
          <w:sz w:val="24"/>
          <w:szCs w:val="24"/>
        </w:rPr>
        <w:t>MAD</w:t>
      </w:r>
      <w:r>
        <w:rPr>
          <w:rStyle w:val="99"/>
          <w:rFonts w:hint="eastAsia" w:cs="Times New Roman"/>
          <w:sz w:val="24"/>
          <w:szCs w:val="24"/>
        </w:rPr>
        <w:t>）最大爬坡剂量</w:t>
      </w:r>
      <w:r>
        <w:rPr>
          <w:rStyle w:val="99"/>
          <w:rFonts w:cs="Times New Roman"/>
          <w:sz w:val="24"/>
          <w:szCs w:val="24"/>
        </w:rPr>
        <w:t>200 mg QD</w:t>
      </w:r>
      <w:r>
        <w:rPr>
          <w:rStyle w:val="99"/>
          <w:rFonts w:hint="eastAsia" w:cs="Times New Roman"/>
          <w:sz w:val="24"/>
          <w:szCs w:val="24"/>
        </w:rPr>
        <w:t>。</w:t>
      </w:r>
      <w:r>
        <w:rPr>
          <w:rStyle w:val="99"/>
          <w:rFonts w:cs="Times New Roman"/>
          <w:sz w:val="24"/>
          <w:szCs w:val="24"/>
        </w:rPr>
        <w:t>D001-01-001</w:t>
      </w:r>
      <w:r>
        <w:rPr>
          <w:rStyle w:val="99"/>
          <w:rFonts w:hint="eastAsia" w:cs="Times New Roman"/>
          <w:sz w:val="24"/>
          <w:szCs w:val="24"/>
        </w:rPr>
        <w:t>研究的安全性数据已在</w:t>
      </w:r>
      <w:r>
        <w:rPr>
          <w:rStyle w:val="99"/>
          <w:rFonts w:cs="Times New Roman"/>
          <w:sz w:val="24"/>
          <w:szCs w:val="24"/>
        </w:rPr>
        <w:t>2.2.2.2.1</w:t>
      </w:r>
      <w:r>
        <w:rPr>
          <w:rStyle w:val="99"/>
          <w:rFonts w:hint="eastAsia" w:cs="Times New Roman"/>
          <w:sz w:val="24"/>
          <w:szCs w:val="24"/>
        </w:rPr>
        <w:t>节进行详细阐述，总体安全耐受性良好，也为上述剂量选择提供了较大的安全范围。</w:t>
      </w:r>
    </w:p>
    <w:p w14:paraId="77FA772C">
      <w:pPr>
        <w:pStyle w:val="60"/>
        <w:ind w:firstLine="480"/>
        <w:rPr>
          <w:rStyle w:val="99"/>
          <w:rFonts w:cs="Times New Roman"/>
          <w:sz w:val="24"/>
          <w:szCs w:val="24"/>
        </w:rPr>
      </w:pPr>
      <w:r>
        <w:rPr>
          <w:rStyle w:val="99"/>
          <w:rFonts w:hint="eastAsia" w:cs="Times New Roman"/>
          <w:sz w:val="24"/>
          <w:szCs w:val="24"/>
        </w:rPr>
        <w:t>综上，平衡获益</w:t>
      </w:r>
      <w:r>
        <w:rPr>
          <w:rStyle w:val="99"/>
          <w:rFonts w:cs="Times New Roman"/>
          <w:sz w:val="24"/>
          <w:szCs w:val="24"/>
        </w:rPr>
        <w:t>/</w:t>
      </w:r>
      <w:r>
        <w:rPr>
          <w:rStyle w:val="99"/>
          <w:rFonts w:hint="eastAsia" w:cs="Times New Roman"/>
          <w:sz w:val="24"/>
          <w:szCs w:val="24"/>
        </w:rPr>
        <w:t>风险比，即最大限度地降低患者暴露无效剂量的潜在风险，同时使安全性风险最小化，本研究将选择</w:t>
      </w:r>
      <w:r>
        <w:rPr>
          <w:rStyle w:val="99"/>
          <w:rFonts w:cs="Times New Roman"/>
          <w:sz w:val="24"/>
          <w:szCs w:val="24"/>
        </w:rPr>
        <w:t>50 mg QD</w:t>
      </w:r>
      <w:r>
        <w:rPr>
          <w:rStyle w:val="99"/>
          <w:rFonts w:hint="eastAsia" w:cs="Times New Roman"/>
          <w:sz w:val="24"/>
          <w:szCs w:val="24"/>
        </w:rPr>
        <w:t>和</w:t>
      </w:r>
      <w:r>
        <w:rPr>
          <w:rStyle w:val="99"/>
          <w:rFonts w:cs="Times New Roman"/>
          <w:sz w:val="24"/>
          <w:szCs w:val="24"/>
        </w:rPr>
        <w:t>100 mg QD</w:t>
      </w:r>
      <w:r>
        <w:rPr>
          <w:rStyle w:val="99"/>
          <w:rFonts w:hint="eastAsia" w:cs="Times New Roman"/>
          <w:sz w:val="24"/>
          <w:szCs w:val="24"/>
        </w:rPr>
        <w:t>两个给药方案进行评估。</w:t>
      </w:r>
    </w:p>
    <w:p w14:paraId="2480538A">
      <w:pPr>
        <w:pStyle w:val="116"/>
        <w:numPr>
          <w:ilvl w:val="1"/>
          <w:numId w:val="12"/>
        </w:numPr>
        <w:rPr>
          <w:rFonts w:cs="Times New Roman"/>
          <w:sz w:val="24"/>
          <w:szCs w:val="24"/>
        </w:rPr>
      </w:pPr>
      <w:bookmarkStart w:id="61" w:name="_Toc217032232"/>
      <w:r>
        <w:rPr>
          <w:rFonts w:hint="eastAsia" w:cs="Times New Roman"/>
          <w:sz w:val="24"/>
          <w:szCs w:val="24"/>
        </w:rPr>
        <w:t>研究结束的定义</w:t>
      </w:r>
      <w:bookmarkEnd w:id="61"/>
    </w:p>
    <w:p w14:paraId="579234F2">
      <w:pPr>
        <w:pStyle w:val="60"/>
        <w:ind w:firstLine="480"/>
        <w:rPr>
          <w:rFonts w:cs="Times New Roman"/>
          <w:sz w:val="24"/>
          <w:szCs w:val="24"/>
        </w:rPr>
      </w:pPr>
      <w:r>
        <w:rPr>
          <w:rStyle w:val="99"/>
          <w:rFonts w:hint="eastAsia" w:cs="Times New Roman"/>
          <w:sz w:val="24"/>
          <w:szCs w:val="24"/>
        </w:rPr>
        <w:t>参与者完成研究定义为完成最后一次访视以及第</w:t>
      </w:r>
      <w:r>
        <w:rPr>
          <w:rStyle w:val="99"/>
          <w:rFonts w:cs="Times New Roman"/>
          <w:sz w:val="24"/>
          <w:szCs w:val="24"/>
        </w:rPr>
        <w:t>1.3</w:t>
      </w:r>
      <w:r>
        <w:rPr>
          <w:rStyle w:val="99"/>
          <w:rFonts w:hint="eastAsia" w:cs="Times New Roman"/>
          <w:sz w:val="24"/>
          <w:szCs w:val="24"/>
        </w:rPr>
        <w:t>节研究流程表（</w:t>
      </w:r>
      <w:r>
        <w:rPr>
          <w:rStyle w:val="99"/>
          <w:rFonts w:cs="Times New Roman"/>
          <w:sz w:val="24"/>
          <w:szCs w:val="24"/>
        </w:rPr>
        <w:t>Schedule of activities</w:t>
      </w:r>
      <w:r>
        <w:rPr>
          <w:rStyle w:val="99"/>
          <w:rFonts w:hint="eastAsia" w:cs="Times New Roman"/>
          <w:sz w:val="24"/>
          <w:szCs w:val="24"/>
        </w:rPr>
        <w:t>，</w:t>
      </w:r>
      <w:r>
        <w:rPr>
          <w:rStyle w:val="99"/>
          <w:rFonts w:cs="Times New Roman"/>
          <w:sz w:val="24"/>
          <w:szCs w:val="24"/>
        </w:rPr>
        <w:t>SoA</w:t>
      </w:r>
      <w:r>
        <w:rPr>
          <w:rStyle w:val="99"/>
          <w:rFonts w:hint="eastAsia" w:cs="Times New Roman"/>
          <w:sz w:val="24"/>
          <w:szCs w:val="24"/>
        </w:rPr>
        <w:t>）中规定的所有评价流程。研究结束定义为研究中最后一位参与者完成最后一次访视。</w:t>
      </w:r>
    </w:p>
    <w:p w14:paraId="5153272B">
      <w:pPr>
        <w:pStyle w:val="116"/>
        <w:numPr>
          <w:ilvl w:val="1"/>
          <w:numId w:val="12"/>
        </w:numPr>
        <w:rPr>
          <w:rFonts w:cs="Times New Roman"/>
          <w:sz w:val="24"/>
          <w:szCs w:val="24"/>
        </w:rPr>
      </w:pPr>
      <w:bookmarkStart w:id="62" w:name="_Toc217032233"/>
      <w:r>
        <w:rPr>
          <w:rFonts w:hint="eastAsia" w:cs="Times New Roman"/>
          <w:sz w:val="24"/>
          <w:szCs w:val="24"/>
        </w:rPr>
        <w:t>研究终止或参与者退出</w:t>
      </w:r>
      <w:r>
        <w:rPr>
          <w:rFonts w:cs="Times New Roman"/>
          <w:sz w:val="24"/>
          <w:szCs w:val="24"/>
        </w:rPr>
        <w:t>/</w:t>
      </w:r>
      <w:r>
        <w:rPr>
          <w:rFonts w:hint="eastAsia" w:cs="Times New Roman"/>
          <w:sz w:val="24"/>
          <w:szCs w:val="24"/>
        </w:rPr>
        <w:t>终止研究</w:t>
      </w:r>
      <w:bookmarkEnd w:id="62"/>
    </w:p>
    <w:p w14:paraId="66FEA1BB">
      <w:pPr>
        <w:pStyle w:val="116"/>
        <w:numPr>
          <w:ilvl w:val="2"/>
          <w:numId w:val="12"/>
        </w:numPr>
        <w:outlineLvl w:val="2"/>
        <w:rPr>
          <w:rFonts w:cs="Times New Roman"/>
          <w:sz w:val="24"/>
          <w:szCs w:val="24"/>
        </w:rPr>
      </w:pPr>
      <w:bookmarkStart w:id="63" w:name="_Toc217032234"/>
      <w:r>
        <w:rPr>
          <w:rFonts w:hint="eastAsia" w:cs="Times New Roman"/>
          <w:sz w:val="24"/>
          <w:szCs w:val="24"/>
        </w:rPr>
        <w:t>研究终止标准</w:t>
      </w:r>
      <w:bookmarkEnd w:id="63"/>
    </w:p>
    <w:p w14:paraId="1EB8F0D6">
      <w:pPr>
        <w:spacing w:line="360" w:lineRule="auto"/>
        <w:ind w:firstLine="480" w:firstLineChars="200"/>
        <w:jc w:val="both"/>
        <w:rPr>
          <w:rStyle w:val="99"/>
          <w:rFonts w:ascii="Times New Roman" w:hAnsi="Times New Roman" w:eastAsia="宋体" w:cs="Times New Roman"/>
          <w:b/>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本试验暂停或终止标准包括但不限于以下：</w:t>
      </w:r>
    </w:p>
    <w:p w14:paraId="71549200">
      <w:pPr>
        <w:numPr>
          <w:ilvl w:val="0"/>
          <w:numId w:val="33"/>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基于医学或伦理方面的考量，申办者和</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或研究者认为不适合继续进行该试验；</w:t>
      </w:r>
    </w:p>
    <w:p w14:paraId="47FD78B8">
      <w:pPr>
        <w:numPr>
          <w:ilvl w:val="0"/>
          <w:numId w:val="34"/>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参与者正在或者将会面临与试验相关的、获益</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风险不合理的、较大的身体伤害的风险；</w:t>
      </w:r>
    </w:p>
    <w:p w14:paraId="4F5702C4">
      <w:pPr>
        <w:numPr>
          <w:ilvl w:val="0"/>
          <w:numId w:val="34"/>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出现大范围、非预期严重不良反应；</w:t>
      </w:r>
    </w:p>
    <w:p w14:paraId="1CE92AC0">
      <w:pPr>
        <w:numPr>
          <w:ilvl w:val="0"/>
          <w:numId w:val="34"/>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试验用药品出现影响参与者安全的质量问题；</w:t>
      </w:r>
    </w:p>
    <w:p w14:paraId="3C73A666">
      <w:pPr>
        <w:numPr>
          <w:ilvl w:val="0"/>
          <w:numId w:val="34"/>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其他原因：出现其它可导致参与者面临较大安全性问题或者风险隐患的情况；药品监督管理部门认为继续临床试验可能对参与者健康造成重大危害或者不符合公众利益；</w:t>
      </w:r>
    </w:p>
    <w:p w14:paraId="18A477E9">
      <w:pPr>
        <w:numPr>
          <w:ilvl w:val="0"/>
          <w:numId w:val="33"/>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基于科学原因或试验实施的真实、准确或规范性的考量，申办者和</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或研究者认为不适合继续进行该试验。如：在试验中发现试验方案有重大失误（包括评价标准、操作、分析方法等），难以评价药物效应；或者在实施中发生了重要偏差（包括重要数据不完整或无法评估），再继续下去，难以评价药物效应；</w:t>
      </w:r>
    </w:p>
    <w:p w14:paraId="1BD3F028">
      <w:pPr>
        <w:numPr>
          <w:ilvl w:val="0"/>
          <w:numId w:val="33"/>
        </w:numPr>
        <w:spacing w:line="360" w:lineRule="auto"/>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因各种原因（如经费原因、管理原因或医药开发政策变化原因等），在充分保障参与者安全和权益前提下，申办者决定暂停或终止试验；</w:t>
      </w:r>
    </w:p>
    <w:p w14:paraId="212862A2">
      <w:pPr>
        <w:numPr>
          <w:ilvl w:val="0"/>
          <w:numId w:val="33"/>
        </w:numPr>
        <w:spacing w:line="360" w:lineRule="auto"/>
        <w:jc w:val="both"/>
        <w:rPr>
          <w:rFonts w:ascii="Times New Roman" w:hAnsi="Times New Roman" w:cs="Times New Roman"/>
          <w:sz w:val="24"/>
          <w:szCs w:val="24"/>
        </w:rPr>
      </w:pPr>
      <w:r>
        <w:rPr>
          <w:rStyle w:val="99"/>
          <w:rFonts w:hint="eastAsia" w:ascii="Times New Roman" w:hAnsi="Times New Roman" w:eastAsia="宋体" w:cs="Times New Roman"/>
          <w:color w:val="000000" w:themeColor="text1"/>
          <w:sz w:val="24"/>
          <w:szCs w:val="24"/>
          <w14:textFill>
            <w14:solidFill>
              <w14:schemeClr w14:val="tx1"/>
            </w14:solidFill>
          </w14:textFill>
        </w:rPr>
        <w:t>根据药物临床试验质量管理规范（</w:t>
      </w:r>
      <w:r>
        <w:rPr>
          <w:rStyle w:val="99"/>
          <w:rFonts w:ascii="Times New Roman" w:hAnsi="Times New Roman" w:eastAsia="宋体" w:cs="Times New Roman"/>
          <w:color w:val="000000" w:themeColor="text1"/>
          <w:sz w:val="24"/>
          <w:szCs w:val="24"/>
          <w14:textFill>
            <w14:solidFill>
              <w14:schemeClr w14:val="tx1"/>
            </w14:solidFill>
          </w14:textFill>
        </w:rPr>
        <w:t>Good Clinical Practice</w:t>
      </w:r>
      <w:r>
        <w:rPr>
          <w:rStyle w:val="99"/>
          <w:rFonts w:hint="eastAsia" w:ascii="Times New Roman" w:hAnsi="Times New Roman" w:eastAsia="宋体" w:cs="Times New Roman"/>
          <w:color w:val="000000" w:themeColor="text1"/>
          <w:sz w:val="24"/>
          <w:szCs w:val="24"/>
          <w14:textFill>
            <w14:solidFill>
              <w14:schemeClr w14:val="tx1"/>
            </w14:solidFill>
          </w14:textFill>
        </w:rPr>
        <w:t>，</w:t>
      </w:r>
      <w:r>
        <w:rPr>
          <w:rStyle w:val="99"/>
          <w:rFonts w:ascii="Times New Roman" w:hAnsi="Times New Roman" w:eastAsia="宋体" w:cs="Times New Roman"/>
          <w:color w:val="000000" w:themeColor="text1"/>
          <w:sz w:val="24"/>
          <w:szCs w:val="24"/>
          <w14:textFill>
            <w14:solidFill>
              <w14:schemeClr w14:val="tx1"/>
            </w14:solidFill>
          </w14:textFill>
        </w:rPr>
        <w:t>GCP</w:t>
      </w:r>
      <w:r>
        <w:rPr>
          <w:rStyle w:val="99"/>
          <w:rFonts w:hint="eastAsia" w:ascii="Times New Roman" w:hAnsi="Times New Roman" w:eastAsia="宋体" w:cs="Times New Roman"/>
          <w:color w:val="000000" w:themeColor="text1"/>
          <w:sz w:val="24"/>
          <w:szCs w:val="24"/>
          <w14:textFill>
            <w14:solidFill>
              <w14:schemeClr w14:val="tx1"/>
            </w14:solidFill>
          </w14:textFill>
        </w:rPr>
        <w:t>）指导方针和当地的法律法规，国家药品监督管理局、伦理委员会、研究者或申办者，可以考虑到参与者权益、安全和健康，停止试验或停止参与者参与试验。</w:t>
      </w:r>
    </w:p>
    <w:p w14:paraId="3C44ACCC">
      <w:pPr>
        <w:pStyle w:val="116"/>
        <w:numPr>
          <w:ilvl w:val="2"/>
          <w:numId w:val="12"/>
        </w:numPr>
        <w:outlineLvl w:val="2"/>
        <w:rPr>
          <w:rFonts w:cs="Times New Roman"/>
          <w:sz w:val="24"/>
          <w:szCs w:val="24"/>
        </w:rPr>
      </w:pPr>
      <w:bookmarkStart w:id="64" w:name="_Toc217032235"/>
      <w:r>
        <w:rPr>
          <w:rFonts w:hint="eastAsia" w:cs="Times New Roman"/>
          <w:sz w:val="24"/>
          <w:szCs w:val="24"/>
        </w:rPr>
        <w:t>参与者中止</w:t>
      </w:r>
      <w:r>
        <w:rPr>
          <w:rFonts w:cs="Times New Roman"/>
          <w:sz w:val="24"/>
          <w:szCs w:val="24"/>
        </w:rPr>
        <w:t>/</w:t>
      </w:r>
      <w:r>
        <w:rPr>
          <w:rFonts w:hint="eastAsia" w:cs="Times New Roman"/>
          <w:sz w:val="24"/>
          <w:szCs w:val="24"/>
        </w:rPr>
        <w:t>退出研究</w:t>
      </w:r>
      <w:bookmarkEnd w:id="64"/>
    </w:p>
    <w:p w14:paraId="14DE922D">
      <w:pPr>
        <w:pStyle w:val="60"/>
        <w:ind w:firstLine="480"/>
        <w:rPr>
          <w:rStyle w:val="99"/>
          <w:rFonts w:cs="Times New Roman"/>
          <w:sz w:val="24"/>
          <w:szCs w:val="24"/>
        </w:rPr>
      </w:pPr>
      <w:r>
        <w:rPr>
          <w:rStyle w:val="99"/>
          <w:rFonts w:hint="eastAsia" w:cs="Times New Roman"/>
          <w:sz w:val="24"/>
          <w:szCs w:val="24"/>
        </w:rPr>
        <w:t>参与者有权利在试验的任何阶段随时退出试验，而不会受到歧视或报复，其医疗待遇不会受到任何影响。如出现下列事件（包括但不限于），则参与者停止试验用药品使用，提前退出试验：</w:t>
      </w:r>
    </w:p>
    <w:p w14:paraId="6397836A">
      <w:pPr>
        <w:numPr>
          <w:ilvl w:val="0"/>
          <w:numId w:val="35"/>
        </w:numPr>
        <w:spacing w:line="360" w:lineRule="auto"/>
        <w:jc w:val="both"/>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研究者决定的退出</w:t>
      </w:r>
    </w:p>
    <w:p w14:paraId="40F03DE1">
      <w:pPr>
        <w:pStyle w:val="60"/>
        <w:numPr>
          <w:ilvl w:val="0"/>
          <w:numId w:val="36"/>
        </w:numPr>
        <w:ind w:firstLineChars="0"/>
        <w:rPr>
          <w:rFonts w:cs="Times New Roman" w:eastAsiaTheme="minorEastAsia"/>
          <w:b/>
          <w:bCs/>
          <w:sz w:val="24"/>
          <w:szCs w:val="24"/>
        </w:rPr>
      </w:pPr>
      <w:r>
        <w:rPr>
          <w:rStyle w:val="99"/>
          <w:rFonts w:hint="eastAsia" w:cs="Times New Roman"/>
          <w:sz w:val="24"/>
          <w:szCs w:val="24"/>
        </w:rPr>
        <w:t>研究者从医学伦理学角度考虑参与者有必要停止继续参与试验；</w:t>
      </w:r>
    </w:p>
    <w:p w14:paraId="5038339D">
      <w:pPr>
        <w:pStyle w:val="60"/>
        <w:numPr>
          <w:ilvl w:val="0"/>
          <w:numId w:val="36"/>
        </w:numPr>
        <w:ind w:firstLineChars="0"/>
        <w:rPr>
          <w:rFonts w:cs="Times New Roman" w:eastAsiaTheme="minorEastAsia"/>
          <w:b/>
          <w:bCs/>
          <w:sz w:val="24"/>
          <w:szCs w:val="24"/>
        </w:rPr>
      </w:pPr>
      <w:r>
        <w:rPr>
          <w:rStyle w:val="99"/>
          <w:rFonts w:hint="eastAsia" w:cs="Times New Roman"/>
          <w:sz w:val="24"/>
          <w:szCs w:val="24"/>
        </w:rPr>
        <w:t>发生不良事件（</w:t>
      </w:r>
      <w:r>
        <w:rPr>
          <w:rStyle w:val="99"/>
          <w:rFonts w:cs="Times New Roman"/>
          <w:sz w:val="24"/>
          <w:szCs w:val="24"/>
        </w:rPr>
        <w:t>AE</w:t>
      </w:r>
      <w:r>
        <w:rPr>
          <w:rStyle w:val="99"/>
          <w:rFonts w:hint="eastAsia" w:cs="Times New Roman"/>
          <w:sz w:val="24"/>
          <w:szCs w:val="24"/>
        </w:rPr>
        <w:t>）或严重不良事件（</w:t>
      </w:r>
      <w:r>
        <w:rPr>
          <w:rStyle w:val="99"/>
          <w:rFonts w:cs="Times New Roman"/>
          <w:sz w:val="24"/>
          <w:szCs w:val="24"/>
        </w:rPr>
        <w:t>SAE</w:t>
      </w:r>
      <w:r>
        <w:rPr>
          <w:rStyle w:val="99"/>
          <w:rFonts w:hint="eastAsia" w:cs="Times New Roman"/>
          <w:sz w:val="24"/>
          <w:szCs w:val="24"/>
        </w:rPr>
        <w:t>）后，研究者认为参与者不宜继续接受试验用药品，例如出现严重感染，需要肠外抗感染治疗或住院治疗；</w:t>
      </w:r>
    </w:p>
    <w:p w14:paraId="1E90CC5A">
      <w:pPr>
        <w:pStyle w:val="60"/>
        <w:numPr>
          <w:ilvl w:val="0"/>
          <w:numId w:val="36"/>
        </w:numPr>
        <w:ind w:firstLineChars="0"/>
        <w:rPr>
          <w:rFonts w:cs="Times New Roman" w:eastAsiaTheme="minorEastAsia"/>
          <w:b/>
          <w:bCs/>
          <w:sz w:val="24"/>
          <w:szCs w:val="24"/>
        </w:rPr>
      </w:pPr>
      <w:r>
        <w:rPr>
          <w:rFonts w:hint="eastAsia" w:cs="Times New Roman" w:eastAsiaTheme="minorEastAsia"/>
          <w:sz w:val="24"/>
          <w:szCs w:val="24"/>
        </w:rPr>
        <w:t>参与者依从性差，包括以下情况：</w:t>
      </w:r>
    </w:p>
    <w:p w14:paraId="3879A6A6">
      <w:pPr>
        <w:pStyle w:val="60"/>
        <w:numPr>
          <w:ilvl w:val="0"/>
          <w:numId w:val="37"/>
        </w:numPr>
        <w:ind w:firstLineChars="0"/>
        <w:rPr>
          <w:rFonts w:cs="Times New Roman" w:eastAsiaTheme="minorEastAsia"/>
          <w:sz w:val="24"/>
          <w:szCs w:val="24"/>
        </w:rPr>
      </w:pPr>
      <w:r>
        <w:rPr>
          <w:rFonts w:hint="eastAsia" w:cs="Times New Roman" w:eastAsiaTheme="minorEastAsia"/>
          <w:sz w:val="24"/>
          <w:szCs w:val="24"/>
        </w:rPr>
        <w:t>参与者不按方案规定用药和/或填写日记卡和/或接受临床安全性评价，且研究者认为有必要终止其继续参加试验；</w:t>
      </w:r>
    </w:p>
    <w:p w14:paraId="5346D3E7">
      <w:pPr>
        <w:pStyle w:val="60"/>
        <w:numPr>
          <w:ilvl w:val="0"/>
          <w:numId w:val="37"/>
        </w:numPr>
        <w:ind w:firstLineChars="0"/>
        <w:rPr>
          <w:rFonts w:cs="Times New Roman" w:eastAsiaTheme="minorEastAsia"/>
          <w:sz w:val="24"/>
          <w:szCs w:val="24"/>
        </w:rPr>
      </w:pPr>
      <w:r>
        <w:rPr>
          <w:rFonts w:hint="eastAsia" w:cs="Times New Roman" w:eastAsiaTheme="minorEastAsia"/>
          <w:sz w:val="24"/>
          <w:szCs w:val="24"/>
        </w:rPr>
        <w:t>参与者使用了其他影响疗效、安全性评价的治疗，且研究者认为有必要终止其继续参加试验；</w:t>
      </w:r>
    </w:p>
    <w:p w14:paraId="00290D91">
      <w:pPr>
        <w:pStyle w:val="60"/>
        <w:numPr>
          <w:ilvl w:val="0"/>
          <w:numId w:val="37"/>
        </w:numPr>
        <w:ind w:firstLineChars="0"/>
        <w:rPr>
          <w:rFonts w:cs="Times New Roman" w:eastAsiaTheme="minorEastAsia"/>
          <w:sz w:val="24"/>
          <w:szCs w:val="24"/>
        </w:rPr>
      </w:pPr>
      <w:r>
        <w:rPr>
          <w:rFonts w:hint="eastAsia" w:cs="Times New Roman" w:eastAsiaTheme="minorEastAsia"/>
          <w:sz w:val="24"/>
          <w:szCs w:val="24"/>
        </w:rPr>
        <w:t>参与者有其他影响试验结果的行为。</w:t>
      </w:r>
    </w:p>
    <w:p w14:paraId="5877C90E">
      <w:pPr>
        <w:pStyle w:val="60"/>
        <w:numPr>
          <w:ilvl w:val="0"/>
          <w:numId w:val="36"/>
        </w:numPr>
        <w:ind w:firstLineChars="0"/>
        <w:rPr>
          <w:rFonts w:cs="Times New Roman" w:eastAsiaTheme="minorEastAsia"/>
          <w:sz w:val="24"/>
          <w:szCs w:val="24"/>
        </w:rPr>
      </w:pPr>
      <w:r>
        <w:rPr>
          <w:rFonts w:hint="eastAsia" w:cs="Times New Roman" w:eastAsiaTheme="minorEastAsia"/>
          <w:sz w:val="24"/>
          <w:szCs w:val="24"/>
        </w:rPr>
        <w:t>失访或死亡；</w:t>
      </w:r>
    </w:p>
    <w:p w14:paraId="671B1F88">
      <w:pPr>
        <w:pStyle w:val="60"/>
        <w:numPr>
          <w:ilvl w:val="0"/>
          <w:numId w:val="36"/>
        </w:numPr>
        <w:ind w:firstLineChars="0"/>
        <w:rPr>
          <w:rFonts w:cs="Times New Roman" w:eastAsiaTheme="minorEastAsia"/>
          <w:sz w:val="24"/>
          <w:szCs w:val="24"/>
        </w:rPr>
      </w:pPr>
      <w:r>
        <w:rPr>
          <w:rFonts w:hint="eastAsia" w:cs="Times New Roman" w:eastAsiaTheme="minorEastAsia"/>
          <w:sz w:val="24"/>
          <w:szCs w:val="24"/>
        </w:rPr>
        <w:t>女性参与者妊娠；</w:t>
      </w:r>
    </w:p>
    <w:p w14:paraId="16D6D5C7">
      <w:pPr>
        <w:pStyle w:val="60"/>
        <w:numPr>
          <w:ilvl w:val="0"/>
          <w:numId w:val="36"/>
        </w:numPr>
        <w:ind w:firstLineChars="0"/>
        <w:rPr>
          <w:rFonts w:cs="Times New Roman" w:eastAsiaTheme="minorEastAsia"/>
          <w:sz w:val="24"/>
          <w:szCs w:val="24"/>
        </w:rPr>
      </w:pPr>
      <w:r>
        <w:rPr>
          <w:rFonts w:hint="eastAsia" w:cs="Times New Roman" w:eastAsiaTheme="minorEastAsia"/>
          <w:sz w:val="24"/>
          <w:szCs w:val="24"/>
        </w:rPr>
        <w:t>如果参与者给药后出现</w:t>
      </w:r>
      <w:r>
        <w:rPr>
          <w:rFonts w:cs="Times New Roman" w:eastAsiaTheme="minorEastAsia"/>
          <w:sz w:val="24"/>
          <w:szCs w:val="24"/>
        </w:rPr>
        <w:t>CTCAE</w:t>
      </w:r>
      <w:r>
        <w:rPr>
          <w:rFonts w:hint="eastAsia" w:cs="Times New Roman" w:eastAsiaTheme="minorEastAsia"/>
          <w:sz w:val="24"/>
          <w:szCs w:val="24"/>
        </w:rPr>
        <w:t>分级为</w:t>
      </w:r>
      <w:r>
        <w:rPr>
          <w:rFonts w:cs="Times New Roman" w:eastAsiaTheme="minorEastAsia"/>
          <w:sz w:val="24"/>
          <w:szCs w:val="24"/>
        </w:rPr>
        <w:t>3</w:t>
      </w:r>
      <w:r>
        <w:rPr>
          <w:rFonts w:hint="eastAsia" w:cs="Times New Roman" w:eastAsiaTheme="minorEastAsia"/>
          <w:sz w:val="24"/>
          <w:szCs w:val="24"/>
        </w:rPr>
        <w:t>级的血细胞减少（贫血、白细胞减少、中性粒细胞减少、淋巴细胞减少、血小板减少），并经复测确认后，应暂停治疗。予以定期随访，直至实验室检查值恢复至基线水平后，由研究者评估是否恢复给药。如果恢复给药后，参与者再次出现</w:t>
      </w:r>
      <w:r>
        <w:rPr>
          <w:rFonts w:cs="Times New Roman" w:eastAsiaTheme="minorEastAsia"/>
          <w:sz w:val="24"/>
          <w:szCs w:val="24"/>
        </w:rPr>
        <w:t>3</w:t>
      </w:r>
      <w:r>
        <w:rPr>
          <w:rFonts w:hint="eastAsia" w:cs="Times New Roman" w:eastAsiaTheme="minorEastAsia"/>
          <w:sz w:val="24"/>
          <w:szCs w:val="24"/>
        </w:rPr>
        <w:t>级血细胞减少并经复测确认，则应终止治疗并退出试验。</w:t>
      </w:r>
    </w:p>
    <w:p w14:paraId="4D76828B">
      <w:pPr>
        <w:pStyle w:val="60"/>
        <w:numPr>
          <w:ilvl w:val="0"/>
          <w:numId w:val="36"/>
        </w:numPr>
        <w:ind w:firstLineChars="0"/>
        <w:rPr>
          <w:rFonts w:cs="Times New Roman" w:eastAsiaTheme="minorEastAsia"/>
          <w:sz w:val="24"/>
          <w:szCs w:val="24"/>
        </w:rPr>
      </w:pPr>
      <w:r>
        <w:rPr>
          <w:rFonts w:hint="eastAsia" w:cs="Times New Roman" w:eastAsiaTheme="minorEastAsia"/>
          <w:sz w:val="24"/>
          <w:szCs w:val="24"/>
        </w:rPr>
        <w:t>研究者认为参与者不再获益或其他风险考虑。</w:t>
      </w:r>
    </w:p>
    <w:p w14:paraId="25DA7F62">
      <w:pPr>
        <w:numPr>
          <w:ilvl w:val="0"/>
          <w:numId w:val="35"/>
        </w:numPr>
        <w:spacing w:line="360" w:lineRule="auto"/>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参与者决定的退出</w:t>
      </w:r>
    </w:p>
    <w:p w14:paraId="5161EC3C">
      <w:pPr>
        <w:pStyle w:val="60"/>
        <w:numPr>
          <w:ilvl w:val="0"/>
          <w:numId w:val="38"/>
        </w:numPr>
        <w:ind w:firstLineChars="0"/>
        <w:rPr>
          <w:rFonts w:cs="Times New Roman" w:eastAsiaTheme="minorEastAsia"/>
          <w:sz w:val="24"/>
          <w:szCs w:val="24"/>
        </w:rPr>
      </w:pPr>
      <w:r>
        <w:rPr>
          <w:rFonts w:hint="eastAsia" w:cs="Times New Roman" w:eastAsiaTheme="minorEastAsia"/>
          <w:sz w:val="24"/>
          <w:szCs w:val="24"/>
        </w:rPr>
        <w:t>撤回知情同意（即参与者不愿意继续参加试验）；</w:t>
      </w:r>
    </w:p>
    <w:p w14:paraId="12788544">
      <w:pPr>
        <w:pStyle w:val="60"/>
        <w:numPr>
          <w:ilvl w:val="0"/>
          <w:numId w:val="38"/>
        </w:numPr>
        <w:ind w:firstLineChars="0"/>
        <w:rPr>
          <w:rFonts w:cs="Times New Roman" w:eastAsiaTheme="minorEastAsia"/>
          <w:sz w:val="24"/>
          <w:szCs w:val="24"/>
        </w:rPr>
      </w:pPr>
      <w:r>
        <w:rPr>
          <w:rFonts w:hint="eastAsia" w:cs="Times New Roman" w:eastAsiaTheme="minorEastAsia"/>
          <w:sz w:val="24"/>
          <w:szCs w:val="24"/>
        </w:rPr>
        <w:t>因其他不可抗力或特殊原因要求退出试验。</w:t>
      </w:r>
    </w:p>
    <w:p w14:paraId="5C5E5BAC">
      <w:pPr>
        <w:pStyle w:val="60"/>
        <w:ind w:left="420" w:firstLine="0" w:firstLineChars="0"/>
        <w:rPr>
          <w:rFonts w:cs="Times New Roman" w:eastAsiaTheme="minorEastAsia"/>
          <w:sz w:val="24"/>
          <w:szCs w:val="24"/>
        </w:rPr>
      </w:pPr>
      <w:r>
        <w:rPr>
          <w:rFonts w:hint="eastAsia" w:cs="Times New Roman" w:eastAsiaTheme="minorEastAsia"/>
          <w:sz w:val="24"/>
          <w:szCs w:val="24"/>
        </w:rPr>
        <w:t>以上适用于个体参与者层面的终止/退出规定。</w:t>
      </w:r>
    </w:p>
    <w:p w14:paraId="71BF1BA6">
      <w:pPr>
        <w:numPr>
          <w:ilvl w:val="0"/>
          <w:numId w:val="35"/>
        </w:numPr>
        <w:spacing w:line="360" w:lineRule="auto"/>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参与者停止研究时，至少收集以下信息：</w:t>
      </w:r>
    </w:p>
    <w:p w14:paraId="2970E38E">
      <w:pPr>
        <w:pStyle w:val="60"/>
        <w:numPr>
          <w:ilvl w:val="0"/>
          <w:numId w:val="39"/>
        </w:numPr>
        <w:ind w:firstLineChars="0"/>
        <w:rPr>
          <w:rFonts w:cs="Times New Roman"/>
          <w:sz w:val="24"/>
          <w:szCs w:val="24"/>
        </w:rPr>
      </w:pPr>
      <w:r>
        <w:rPr>
          <w:rFonts w:hint="eastAsia" w:cs="Times New Roman" w:eastAsiaTheme="minorEastAsia"/>
          <w:sz w:val="24"/>
          <w:szCs w:val="24"/>
        </w:rPr>
        <w:t>参与者终止研究的原因；</w:t>
      </w:r>
    </w:p>
    <w:p w14:paraId="0FCEB945">
      <w:pPr>
        <w:pStyle w:val="60"/>
        <w:numPr>
          <w:ilvl w:val="0"/>
          <w:numId w:val="39"/>
        </w:numPr>
        <w:ind w:firstLineChars="0"/>
        <w:rPr>
          <w:rFonts w:cs="Times New Roman"/>
          <w:sz w:val="24"/>
          <w:szCs w:val="24"/>
        </w:rPr>
      </w:pPr>
      <w:r>
        <w:rPr>
          <w:rFonts w:hint="eastAsia" w:cs="Times New Roman"/>
          <w:sz w:val="24"/>
          <w:szCs w:val="24"/>
        </w:rPr>
        <w:t>试验药物末次给药日期；</w:t>
      </w:r>
    </w:p>
    <w:p w14:paraId="161D4E93">
      <w:pPr>
        <w:pStyle w:val="60"/>
        <w:numPr>
          <w:ilvl w:val="0"/>
          <w:numId w:val="39"/>
        </w:numPr>
        <w:ind w:firstLineChars="0"/>
        <w:rPr>
          <w:rFonts w:cs="Times New Roman"/>
          <w:sz w:val="24"/>
          <w:szCs w:val="24"/>
        </w:rPr>
      </w:pPr>
      <w:r>
        <w:rPr>
          <w:rFonts w:hint="eastAsia" w:cs="Times New Roman"/>
          <w:sz w:val="24"/>
          <w:szCs w:val="24"/>
        </w:rPr>
        <w:t>最后一次评估和或联系日期；</w:t>
      </w:r>
    </w:p>
    <w:p w14:paraId="35357574">
      <w:pPr>
        <w:pStyle w:val="60"/>
        <w:numPr>
          <w:ilvl w:val="0"/>
          <w:numId w:val="39"/>
        </w:numPr>
        <w:ind w:firstLineChars="0"/>
        <w:rPr>
          <w:rFonts w:cs="Times New Roman"/>
          <w:sz w:val="24"/>
          <w:szCs w:val="24"/>
        </w:rPr>
      </w:pPr>
      <w:r>
        <w:rPr>
          <w:rFonts w:hint="eastAsia" w:cs="Times New Roman"/>
          <w:sz w:val="24"/>
          <w:szCs w:val="24"/>
        </w:rPr>
        <w:t>（严重）不良事件；</w:t>
      </w:r>
    </w:p>
    <w:p w14:paraId="7DAE6DB3">
      <w:pPr>
        <w:pStyle w:val="60"/>
        <w:numPr>
          <w:ilvl w:val="0"/>
          <w:numId w:val="39"/>
        </w:numPr>
        <w:ind w:firstLineChars="0"/>
        <w:rPr>
          <w:rFonts w:cs="Times New Roman"/>
          <w:sz w:val="24"/>
          <w:szCs w:val="24"/>
        </w:rPr>
      </w:pPr>
      <w:r>
        <w:rPr>
          <w:rFonts w:hint="eastAsia" w:cs="Times New Roman"/>
          <w:sz w:val="24"/>
          <w:szCs w:val="24"/>
        </w:rPr>
        <w:t>退出访视：应尽一切努力确保进行最终试验访视计划的所有程序和评价。</w:t>
      </w:r>
    </w:p>
    <w:p w14:paraId="18467401">
      <w:pPr>
        <w:spacing w:line="360" w:lineRule="auto"/>
        <w:ind w:firstLine="480" w:firstLineChars="200"/>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如果参与者撤回知情同意，申办者可保留并继续使用在撤回同意之前收集的任何数据，不再收集撤回知情同意之后的数据。参与者可以选择撤回接受研究治疗的同意但继续参与安全性随访以进行安全性</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有效性评估。</w:t>
      </w:r>
    </w:p>
    <w:p w14:paraId="36D3162F">
      <w:pPr>
        <w:pStyle w:val="116"/>
        <w:numPr>
          <w:ilvl w:val="2"/>
          <w:numId w:val="12"/>
        </w:numPr>
        <w:outlineLvl w:val="2"/>
        <w:rPr>
          <w:rFonts w:cs="Times New Roman"/>
          <w:sz w:val="24"/>
          <w:szCs w:val="24"/>
        </w:rPr>
      </w:pPr>
      <w:bookmarkStart w:id="65" w:name="_Toc217032236"/>
      <w:r>
        <w:rPr>
          <w:rFonts w:hint="eastAsia" w:cs="Times New Roman"/>
          <w:sz w:val="24"/>
          <w:szCs w:val="24"/>
        </w:rPr>
        <w:t>失访</w:t>
      </w:r>
      <w:bookmarkEnd w:id="65"/>
    </w:p>
    <w:p w14:paraId="63BD0643">
      <w:pPr>
        <w:pStyle w:val="60"/>
        <w:ind w:firstLine="480"/>
        <w:rPr>
          <w:rStyle w:val="99"/>
          <w:rFonts w:cs="Times New Roman"/>
          <w:sz w:val="24"/>
          <w:szCs w:val="24"/>
        </w:rPr>
      </w:pPr>
      <w:r>
        <w:rPr>
          <w:rStyle w:val="99"/>
          <w:rFonts w:hint="eastAsia" w:cs="Times New Roman"/>
          <w:sz w:val="24"/>
          <w:szCs w:val="24"/>
        </w:rPr>
        <w:t>如果参与者多次未能按计划的访视返回研究中心或者研究中心无法联系到他</w:t>
      </w:r>
      <w:r>
        <w:rPr>
          <w:rStyle w:val="99"/>
          <w:rFonts w:cs="Times New Roman"/>
          <w:sz w:val="24"/>
          <w:szCs w:val="24"/>
        </w:rPr>
        <w:t>/</w:t>
      </w:r>
      <w:r>
        <w:rPr>
          <w:rStyle w:val="99"/>
          <w:rFonts w:hint="eastAsia" w:cs="Times New Roman"/>
          <w:sz w:val="24"/>
          <w:szCs w:val="24"/>
        </w:rPr>
        <w:t>她，则认为其失访。如果参与者未能返回医院进行所需的研究访视，则必须采取以下措施：</w:t>
      </w:r>
    </w:p>
    <w:p w14:paraId="60D8EA05">
      <w:pPr>
        <w:pStyle w:val="60"/>
        <w:numPr>
          <w:ilvl w:val="0"/>
          <w:numId w:val="40"/>
        </w:numPr>
        <w:ind w:left="748" w:leftChars="194" w:hanging="321" w:hangingChars="134"/>
        <w:rPr>
          <w:rStyle w:val="99"/>
          <w:rFonts w:cs="Times New Roman"/>
          <w:sz w:val="24"/>
          <w:szCs w:val="24"/>
        </w:rPr>
      </w:pPr>
      <w:r>
        <w:rPr>
          <w:rStyle w:val="99"/>
          <w:rFonts w:hint="eastAsia" w:cs="Times New Roman"/>
          <w:sz w:val="24"/>
          <w:szCs w:val="24"/>
        </w:rPr>
        <w:t>研究中心必须尝试联系参与者，并尽快重新安排错过的访视。</w:t>
      </w:r>
    </w:p>
    <w:p w14:paraId="5F1E3C10">
      <w:pPr>
        <w:pStyle w:val="60"/>
        <w:numPr>
          <w:ilvl w:val="0"/>
          <w:numId w:val="40"/>
        </w:numPr>
        <w:ind w:left="748" w:leftChars="194" w:hanging="321" w:hangingChars="134"/>
        <w:rPr>
          <w:rStyle w:val="99"/>
          <w:rFonts w:cs="Times New Roman"/>
          <w:sz w:val="24"/>
          <w:szCs w:val="24"/>
        </w:rPr>
      </w:pPr>
      <w:r>
        <w:rPr>
          <w:rStyle w:val="99"/>
          <w:rFonts w:hint="eastAsia" w:cs="Times New Roman"/>
          <w:sz w:val="24"/>
          <w:szCs w:val="24"/>
        </w:rPr>
        <w:t>在参与者被视为失访之前，研究者或指定人员必须尽一切努力与参与者重新取得联系（如可能，</w:t>
      </w:r>
      <w:r>
        <w:rPr>
          <w:rStyle w:val="99"/>
          <w:rFonts w:cs="Times New Roman"/>
          <w:sz w:val="24"/>
          <w:szCs w:val="24"/>
        </w:rPr>
        <w:t>3</w:t>
      </w:r>
      <w:r>
        <w:rPr>
          <w:rStyle w:val="99"/>
          <w:rFonts w:hint="eastAsia" w:cs="Times New Roman"/>
          <w:sz w:val="24"/>
          <w:szCs w:val="24"/>
        </w:rPr>
        <w:t>次电话联系）。这些联系的尝试应记录在参与者的病历中。</w:t>
      </w:r>
    </w:p>
    <w:p w14:paraId="7AC1632D">
      <w:pPr>
        <w:pStyle w:val="60"/>
        <w:numPr>
          <w:ilvl w:val="0"/>
          <w:numId w:val="40"/>
        </w:numPr>
        <w:ind w:left="748" w:leftChars="194" w:hanging="321" w:hangingChars="134"/>
        <w:rPr>
          <w:rStyle w:val="99"/>
          <w:rFonts w:cs="Times New Roman"/>
          <w:sz w:val="24"/>
          <w:szCs w:val="24"/>
        </w:rPr>
      </w:pPr>
      <w:r>
        <w:rPr>
          <w:rStyle w:val="99"/>
          <w:rFonts w:hint="eastAsia" w:cs="Times New Roman"/>
          <w:sz w:val="24"/>
          <w:szCs w:val="24"/>
        </w:rPr>
        <w:t>如果仍然无法联系到参与者，他</w:t>
      </w:r>
      <w:r>
        <w:rPr>
          <w:rStyle w:val="99"/>
          <w:rFonts w:cs="Times New Roman"/>
          <w:sz w:val="24"/>
          <w:szCs w:val="24"/>
        </w:rPr>
        <w:t>/</w:t>
      </w:r>
      <w:r>
        <w:rPr>
          <w:rStyle w:val="99"/>
          <w:rFonts w:hint="eastAsia" w:cs="Times New Roman"/>
          <w:sz w:val="24"/>
          <w:szCs w:val="24"/>
        </w:rPr>
        <w:t>她将被视为退出研究，主要原因是失访。</w:t>
      </w:r>
    </w:p>
    <w:p w14:paraId="008DED89">
      <w:pPr>
        <w:pStyle w:val="116"/>
        <w:numPr>
          <w:ilvl w:val="1"/>
          <w:numId w:val="12"/>
        </w:numPr>
        <w:rPr>
          <w:rFonts w:cs="Times New Roman"/>
          <w:sz w:val="24"/>
          <w:szCs w:val="24"/>
        </w:rPr>
      </w:pPr>
      <w:bookmarkStart w:id="66" w:name="_Toc217032237"/>
      <w:r>
        <w:rPr>
          <w:rFonts w:hint="eastAsia" w:cs="Times New Roman"/>
          <w:sz w:val="24"/>
          <w:szCs w:val="24"/>
        </w:rPr>
        <w:t>独立数据监查委员会（</w:t>
      </w:r>
      <w:r>
        <w:rPr>
          <w:rFonts w:cs="Times New Roman"/>
          <w:sz w:val="24"/>
          <w:szCs w:val="24"/>
        </w:rPr>
        <w:t>Independent Data Monitoring Committee</w:t>
      </w:r>
      <w:r>
        <w:rPr>
          <w:rFonts w:hint="eastAsia" w:cs="Times New Roman"/>
          <w:sz w:val="24"/>
          <w:szCs w:val="24"/>
        </w:rPr>
        <w:t>，</w:t>
      </w:r>
      <w:r>
        <w:rPr>
          <w:rFonts w:cs="Times New Roman"/>
          <w:sz w:val="24"/>
          <w:szCs w:val="24"/>
        </w:rPr>
        <w:t>IDMC</w:t>
      </w:r>
      <w:r>
        <w:rPr>
          <w:rFonts w:hint="eastAsia" w:cs="Times New Roman"/>
          <w:sz w:val="24"/>
          <w:szCs w:val="24"/>
        </w:rPr>
        <w:t>）</w:t>
      </w:r>
      <w:bookmarkEnd w:id="66"/>
    </w:p>
    <w:p w14:paraId="203981AE">
      <w:pPr>
        <w:spacing w:line="360" w:lineRule="auto"/>
        <w:ind w:firstLine="480" w:firstLineChars="200"/>
        <w:jc w:val="both"/>
        <w:rPr>
          <w:rStyle w:val="99"/>
          <w:rFonts w:ascii="Times New Roman" w:hAnsi="Times New Roman" w:eastAsia="宋体" w:cs="Times New Roman"/>
          <w:b/>
          <w:color w:val="000000" w:themeColor="text1"/>
          <w:sz w:val="24"/>
          <w:szCs w:val="24"/>
          <w14:textFill>
            <w14:solidFill>
              <w14:schemeClr w14:val="tx1"/>
            </w14:solidFill>
          </w14:textFill>
        </w:rPr>
      </w:pPr>
      <w:r>
        <w:rPr>
          <w:rFonts w:hint="eastAsia" w:ascii="Times New Roman" w:hAnsi="Times New Roman" w:eastAsia="宋体" w:cs="Times New Roman"/>
          <w:color w:val="000000"/>
          <w:sz w:val="24"/>
          <w:szCs w:val="24"/>
        </w:rPr>
        <w:t>本研究将在</w:t>
      </w:r>
      <w:r>
        <w:rPr>
          <w:rFonts w:hint="eastAsia" w:ascii="Times New Roman" w:hAnsi="Times New Roman" w:eastAsia="宋体" w:cs="Times New Roman"/>
          <w:color w:val="000000"/>
          <w:kern w:val="2"/>
          <w:sz w:val="24"/>
          <w:szCs w:val="24"/>
        </w:rPr>
        <w:t>Ⅱ</w:t>
      </w:r>
      <w:r>
        <w:rPr>
          <w:rFonts w:hint="eastAsia" w:ascii="Times New Roman" w:hAnsi="Times New Roman" w:eastAsia="宋体" w:cs="Times New Roman"/>
          <w:sz w:val="24"/>
          <w:szCs w:val="24"/>
        </w:rPr>
        <w:t>期约</w:t>
      </w:r>
      <w:r>
        <w:rPr>
          <w:rFonts w:ascii="Times New Roman" w:hAnsi="Times New Roman" w:eastAsia="宋体" w:cs="Times New Roman"/>
          <w:sz w:val="24"/>
          <w:szCs w:val="24"/>
        </w:rPr>
        <w:t>50%</w:t>
      </w:r>
      <w:r>
        <w:rPr>
          <w:rFonts w:hint="eastAsia" w:ascii="Times New Roman" w:hAnsi="Times New Roman" w:eastAsia="宋体" w:cs="Times New Roman"/>
          <w:sz w:val="24"/>
          <w:szCs w:val="24"/>
        </w:rPr>
        <w:t>参与者完成第</w:t>
      </w:r>
      <w:r>
        <w:rPr>
          <w:rFonts w:ascii="Times New Roman" w:hAnsi="Times New Roman" w:eastAsia="宋体" w:cs="Times New Roman"/>
          <w:sz w:val="24"/>
          <w:szCs w:val="24"/>
        </w:rPr>
        <w:t>12</w:t>
      </w:r>
      <w:r>
        <w:rPr>
          <w:rFonts w:hint="eastAsia" w:ascii="Times New Roman" w:hAnsi="Times New Roman" w:eastAsia="宋体" w:cs="Times New Roman"/>
          <w:sz w:val="24"/>
          <w:szCs w:val="24"/>
        </w:rPr>
        <w:t>周访视后进行期中分析，</w:t>
      </w:r>
      <w:r>
        <w:rPr>
          <w:rFonts w:ascii="Times New Roman" w:hAnsi="Times New Roman" w:eastAsia="宋体" w:cs="Times New Roman"/>
          <w:sz w:val="24"/>
          <w:szCs w:val="24"/>
        </w:rPr>
        <w:t>IDMC</w:t>
      </w:r>
      <w:r>
        <w:rPr>
          <w:rFonts w:hint="eastAsia" w:ascii="Times New Roman" w:hAnsi="Times New Roman" w:eastAsia="宋体" w:cs="Times New Roman"/>
          <w:sz w:val="24"/>
          <w:szCs w:val="24"/>
        </w:rPr>
        <w:t>将</w:t>
      </w:r>
      <w:r>
        <w:rPr>
          <w:rFonts w:hint="eastAsia" w:ascii="Times New Roman" w:hAnsi="Times New Roman" w:eastAsia="宋体" w:cs="Times New Roman"/>
          <w:color w:val="000000"/>
          <w:sz w:val="24"/>
          <w:szCs w:val="24"/>
        </w:rPr>
        <w:t>对</w:t>
      </w:r>
      <w:r>
        <w:rPr>
          <w:rFonts w:hint="eastAsia" w:ascii="Times New Roman" w:hAnsi="Times New Roman" w:eastAsia="宋体" w:cs="Times New Roman"/>
          <w:color w:val="000000"/>
          <w:kern w:val="2"/>
          <w:sz w:val="24"/>
          <w:szCs w:val="24"/>
        </w:rPr>
        <w:t>Ⅱ</w:t>
      </w:r>
      <w:r>
        <w:rPr>
          <w:rFonts w:hint="eastAsia" w:ascii="Times New Roman" w:hAnsi="Times New Roman" w:eastAsia="宋体" w:cs="Times New Roman"/>
          <w:sz w:val="24"/>
          <w:szCs w:val="24"/>
        </w:rPr>
        <w:t>期研究数据进行审核。</w:t>
      </w:r>
      <w:r>
        <w:rPr>
          <w:rStyle w:val="99"/>
          <w:rFonts w:hint="eastAsia" w:ascii="Times New Roman" w:hAnsi="Times New Roman" w:eastAsia="宋体" w:cs="Times New Roman"/>
          <w:color w:val="000000" w:themeColor="text1"/>
          <w:sz w:val="24"/>
          <w:szCs w:val="24"/>
          <w14:textFill>
            <w14:solidFill>
              <w14:schemeClr w14:val="tx1"/>
            </w14:solidFill>
          </w14:textFill>
        </w:rPr>
        <w:t>该委员会的成员独立于申办方和研究者，且不会以任何其他方式参与研究（例如，他们不会作为本研究的研究者），并且不会存在可能影响其在研究中角色的利益冲突。</w:t>
      </w:r>
    </w:p>
    <w:p w14:paraId="0FFFC1A0">
      <w:pPr>
        <w:spacing w:line="360" w:lineRule="auto"/>
        <w:ind w:firstLine="480" w:firstLineChars="20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将向申办方提出建议，以确保参与者的安全，并且基于已经积累的有效性和安全性数据，对Ⅲ期研究提供建议，包括能否继续进行Ⅲ期临床研究，推荐Ⅲ期研究的剂量，可能基于安全性和或有效性原因而建议某剂量组不再入选新的参与者等。申办方将对</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的建议进行审议并作出决定是否接受建议。</w:t>
      </w:r>
    </w:p>
    <w:p w14:paraId="775A052F">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关于</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的组成、职责和管理的具体细节，包括临床研究团队各成员的角色和职责，以及</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报告、会议记录和建议的适当文件要求，将在单独的</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章程文件中描述，该章程将由所有</w:t>
      </w:r>
      <w:r>
        <w:rPr>
          <w:rFonts w:ascii="Times New Roman" w:hAnsi="Times New Roman" w:eastAsia="宋体" w:cs="Times New Roman"/>
          <w:color w:val="000000"/>
          <w:sz w:val="24"/>
          <w:szCs w:val="24"/>
        </w:rPr>
        <w:t>IDMC</w:t>
      </w:r>
      <w:r>
        <w:rPr>
          <w:rFonts w:hint="eastAsia" w:ascii="Times New Roman" w:hAnsi="Times New Roman" w:eastAsia="宋体" w:cs="Times New Roman"/>
          <w:color w:val="000000"/>
          <w:sz w:val="24"/>
          <w:szCs w:val="24"/>
        </w:rPr>
        <w:t>成员审查和批准。</w:t>
      </w:r>
    </w:p>
    <w:p w14:paraId="73B701A4">
      <w:pPr>
        <w:pStyle w:val="114"/>
        <w:numPr>
          <w:ilvl w:val="0"/>
          <w:numId w:val="12"/>
        </w:numPr>
        <w:rPr>
          <w:rFonts w:cs="Times New Roman"/>
          <w:szCs w:val="28"/>
        </w:rPr>
      </w:pPr>
      <w:bookmarkStart w:id="67" w:name="_Toc217032238"/>
      <w:r>
        <w:rPr>
          <w:rFonts w:hint="eastAsia" w:cs="Times New Roman"/>
          <w:szCs w:val="28"/>
        </w:rPr>
        <w:t>研究人群</w:t>
      </w:r>
      <w:bookmarkEnd w:id="67"/>
    </w:p>
    <w:p w14:paraId="12A27190">
      <w:pPr>
        <w:pStyle w:val="116"/>
        <w:numPr>
          <w:ilvl w:val="1"/>
          <w:numId w:val="12"/>
        </w:numPr>
        <w:jc w:val="left"/>
        <w:rPr>
          <w:rFonts w:cs="Times New Roman"/>
          <w:sz w:val="24"/>
          <w:szCs w:val="24"/>
        </w:rPr>
      </w:pPr>
      <w:bookmarkStart w:id="68" w:name="_Toc217032239"/>
      <w:r>
        <w:rPr>
          <w:rFonts w:hint="eastAsia" w:cs="Times New Roman"/>
          <w:sz w:val="24"/>
          <w:szCs w:val="24"/>
        </w:rPr>
        <w:t>入选标准</w:t>
      </w:r>
      <w:bookmarkEnd w:id="68"/>
    </w:p>
    <w:p w14:paraId="21F937EA">
      <w:pPr>
        <w:pStyle w:val="60"/>
        <w:ind w:firstLine="480"/>
        <w:rPr>
          <w:rStyle w:val="99"/>
          <w:rFonts w:cs="Times New Roman"/>
          <w:sz w:val="24"/>
          <w:szCs w:val="24"/>
        </w:rPr>
      </w:pPr>
      <w:r>
        <w:rPr>
          <w:rStyle w:val="99"/>
          <w:rFonts w:hint="eastAsia" w:cs="Times New Roman"/>
          <w:sz w:val="24"/>
          <w:szCs w:val="24"/>
        </w:rPr>
        <w:t>为了有资格参加本研究，参与者必须符合以下所有标准：</w:t>
      </w:r>
    </w:p>
    <w:p w14:paraId="46F241DE">
      <w:pPr>
        <w:numPr>
          <w:ilvl w:val="0"/>
          <w:numId w:val="41"/>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自愿签署知情同意书（</w:t>
      </w:r>
      <w:r>
        <w:rPr>
          <w:rFonts w:ascii="Times New Roman" w:hAnsi="Times New Roman" w:eastAsia="宋体" w:cs="Times New Roman"/>
          <w:bCs/>
          <w:sz w:val="24"/>
          <w:szCs w:val="24"/>
        </w:rPr>
        <w:t>Informed Consent Form</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ICF</w:t>
      </w:r>
      <w:r>
        <w:rPr>
          <w:rFonts w:hint="eastAsia" w:ascii="Times New Roman" w:hAnsi="Times New Roman" w:eastAsia="宋体" w:cs="Times New Roman"/>
          <w:bCs/>
          <w:sz w:val="24"/>
          <w:szCs w:val="24"/>
        </w:rPr>
        <w:t>），能够和研究者进行良好的沟通，并且理解和遵守本研究的各项要求和限制条件；</w:t>
      </w:r>
    </w:p>
    <w:p w14:paraId="4B172B5D">
      <w:pPr>
        <w:numPr>
          <w:ilvl w:val="0"/>
          <w:numId w:val="41"/>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签署</w:t>
      </w:r>
      <w:r>
        <w:rPr>
          <w:rFonts w:ascii="Times New Roman" w:hAnsi="Times New Roman" w:eastAsia="宋体" w:cs="Times New Roman"/>
          <w:bCs/>
          <w:sz w:val="24"/>
          <w:szCs w:val="24"/>
        </w:rPr>
        <w:t>ICF</w:t>
      </w:r>
      <w:r>
        <w:rPr>
          <w:rFonts w:hint="eastAsia" w:ascii="Times New Roman" w:hAnsi="Times New Roman" w:eastAsia="宋体" w:cs="Times New Roman"/>
          <w:bCs/>
          <w:sz w:val="24"/>
          <w:szCs w:val="24"/>
        </w:rPr>
        <w:t>时年龄≥</w:t>
      </w:r>
      <w:r>
        <w:rPr>
          <w:rFonts w:ascii="Times New Roman" w:hAnsi="Times New Roman" w:eastAsia="宋体" w:cs="Times New Roman"/>
          <w:bCs/>
          <w:sz w:val="24"/>
          <w:szCs w:val="24"/>
        </w:rPr>
        <w:t>18</w:t>
      </w:r>
      <w:r>
        <w:rPr>
          <w:rFonts w:hint="eastAsia" w:ascii="Times New Roman" w:hAnsi="Times New Roman" w:eastAsia="宋体" w:cs="Times New Roman"/>
          <w:bCs/>
          <w:sz w:val="24"/>
          <w:szCs w:val="24"/>
        </w:rPr>
        <w:t>周岁且≤</w:t>
      </w:r>
      <w:r>
        <w:rPr>
          <w:rFonts w:ascii="Times New Roman" w:hAnsi="Times New Roman" w:eastAsia="宋体" w:cs="Times New Roman"/>
          <w:bCs/>
          <w:sz w:val="24"/>
          <w:szCs w:val="24"/>
        </w:rPr>
        <w:t>75</w:t>
      </w:r>
      <w:r>
        <w:rPr>
          <w:rFonts w:hint="eastAsia" w:ascii="Times New Roman" w:hAnsi="Times New Roman" w:eastAsia="宋体" w:cs="Times New Roman"/>
          <w:bCs/>
          <w:sz w:val="24"/>
          <w:szCs w:val="24"/>
        </w:rPr>
        <w:t>周岁，性别不限；</w:t>
      </w:r>
    </w:p>
    <w:p w14:paraId="6479D94C">
      <w:pPr>
        <w:numPr>
          <w:ilvl w:val="0"/>
          <w:numId w:val="41"/>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筛选时，由研究者评估患有斑块状银屑病，病史≥</w:t>
      </w:r>
      <w:r>
        <w:rPr>
          <w:rFonts w:ascii="Times New Roman" w:hAnsi="Times New Roman" w:eastAsia="宋体" w:cs="Times New Roman"/>
          <w:bCs/>
          <w:sz w:val="24"/>
          <w:szCs w:val="24"/>
        </w:rPr>
        <w:t>6</w:t>
      </w:r>
      <w:r>
        <w:rPr>
          <w:rFonts w:hint="eastAsia" w:ascii="Times New Roman" w:hAnsi="Times New Roman" w:eastAsia="宋体" w:cs="Times New Roman"/>
          <w:bCs/>
          <w:sz w:val="24"/>
          <w:szCs w:val="24"/>
        </w:rPr>
        <w:t>个月，且处于稳定期；</w:t>
      </w:r>
    </w:p>
    <w:p w14:paraId="07DA733D">
      <w:pPr>
        <w:numPr>
          <w:ilvl w:val="0"/>
          <w:numId w:val="41"/>
        </w:numPr>
        <w:spacing w:line="360" w:lineRule="auto"/>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筛选和基线时研究者评估斑块状银屑病病情满足以下要求：</w:t>
      </w:r>
    </w:p>
    <w:p w14:paraId="4559225C">
      <w:pPr>
        <w:spacing w:line="360" w:lineRule="auto"/>
        <w:ind w:left="440" w:leftChars="200"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银屑病面积与严重程度指数（</w:t>
      </w:r>
      <w:r>
        <w:rPr>
          <w:rFonts w:ascii="Times New Roman" w:hAnsi="Times New Roman" w:eastAsia="宋体" w:cs="Times New Roman"/>
          <w:bCs/>
          <w:sz w:val="24"/>
          <w:szCs w:val="24"/>
        </w:rPr>
        <w:t>PASI</w:t>
      </w:r>
      <w:r>
        <w:rPr>
          <w:rFonts w:hint="eastAsia" w:ascii="Times New Roman" w:hAnsi="Times New Roman" w:eastAsia="宋体" w:cs="Times New Roman"/>
          <w:bCs/>
          <w:sz w:val="24"/>
          <w:szCs w:val="24"/>
        </w:rPr>
        <w:t>）评分≥</w:t>
      </w:r>
      <w:r>
        <w:rPr>
          <w:rFonts w:ascii="Times New Roman" w:hAnsi="Times New Roman" w:eastAsia="宋体" w:cs="Times New Roman"/>
          <w:bCs/>
          <w:sz w:val="24"/>
          <w:szCs w:val="24"/>
        </w:rPr>
        <w:t>12</w:t>
      </w:r>
      <w:r>
        <w:rPr>
          <w:rFonts w:hint="eastAsia" w:ascii="Times New Roman" w:hAnsi="Times New Roman" w:eastAsia="宋体" w:cs="Times New Roman"/>
          <w:bCs/>
          <w:sz w:val="24"/>
          <w:szCs w:val="24"/>
        </w:rPr>
        <w:t>分；</w:t>
      </w:r>
    </w:p>
    <w:p w14:paraId="7B03C94B">
      <w:pPr>
        <w:spacing w:line="360" w:lineRule="auto"/>
        <w:ind w:left="440" w:leftChars="200"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医生整体评价（</w:t>
      </w:r>
      <w:r>
        <w:rPr>
          <w:rFonts w:ascii="Times New Roman" w:hAnsi="Times New Roman" w:eastAsia="宋体" w:cs="Times New Roman"/>
          <w:bCs/>
          <w:sz w:val="24"/>
          <w:szCs w:val="24"/>
        </w:rPr>
        <w:t>PGA</w:t>
      </w:r>
      <w:r>
        <w:rPr>
          <w:rFonts w:hint="eastAsia" w:ascii="Times New Roman" w:hAnsi="Times New Roman" w:eastAsia="宋体" w:cs="Times New Roman"/>
          <w:bCs/>
          <w:sz w:val="24"/>
          <w:szCs w:val="24"/>
        </w:rPr>
        <w:t>）评分≥</w:t>
      </w: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分；</w:t>
      </w:r>
    </w:p>
    <w:p w14:paraId="1B2D614C">
      <w:pPr>
        <w:spacing w:line="360" w:lineRule="auto"/>
        <w:ind w:left="440" w:leftChars="200"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受累的体表面积（</w:t>
      </w:r>
      <w:r>
        <w:rPr>
          <w:rFonts w:ascii="Times New Roman" w:hAnsi="Times New Roman" w:eastAsia="宋体" w:cs="Times New Roman"/>
          <w:bCs/>
          <w:sz w:val="24"/>
          <w:szCs w:val="24"/>
        </w:rPr>
        <w:t>BSA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10%</w:t>
      </w:r>
      <w:r>
        <w:rPr>
          <w:rFonts w:hint="eastAsia" w:ascii="Times New Roman" w:hAnsi="Times New Roman" w:eastAsia="宋体" w:cs="Times New Roman"/>
          <w:bCs/>
          <w:sz w:val="24"/>
          <w:szCs w:val="24"/>
        </w:rPr>
        <w:t>；</w:t>
      </w:r>
    </w:p>
    <w:p w14:paraId="3344A816">
      <w:pPr>
        <w:numPr>
          <w:ilvl w:val="0"/>
          <w:numId w:val="41"/>
        </w:numPr>
        <w:spacing w:line="360" w:lineRule="auto"/>
        <w:jc w:val="both"/>
        <w:rPr>
          <w:rStyle w:val="99"/>
          <w:rFonts w:ascii="Times New Roman" w:hAnsi="Times New Roman" w:cs="Times New Roman"/>
          <w:b/>
          <w:bCs/>
          <w:sz w:val="24"/>
          <w:szCs w:val="24"/>
        </w:rPr>
      </w:pPr>
      <w:r>
        <w:rPr>
          <w:rFonts w:hint="eastAsia" w:ascii="Times New Roman" w:hAnsi="Times New Roman" w:eastAsia="宋体" w:cs="Times New Roman"/>
          <w:bCs/>
          <w:sz w:val="24"/>
          <w:szCs w:val="24"/>
        </w:rPr>
        <w:t>研究者判断符合光疗或系统性治疗条件；</w:t>
      </w:r>
    </w:p>
    <w:p w14:paraId="59ACE1A5">
      <w:pPr>
        <w:numPr>
          <w:ilvl w:val="0"/>
          <w:numId w:val="41"/>
        </w:numPr>
        <w:spacing w:line="360" w:lineRule="auto"/>
        <w:jc w:val="both"/>
        <w:rPr>
          <w:rStyle w:val="99"/>
          <w:rFonts w:ascii="Times New Roman" w:hAnsi="Times New Roman" w:cs="Times New Roman"/>
          <w:b/>
          <w:bCs/>
          <w:sz w:val="24"/>
          <w:szCs w:val="24"/>
        </w:rPr>
      </w:pPr>
      <w:r>
        <w:rPr>
          <w:rFonts w:hint="eastAsia" w:ascii="Times New Roman" w:hAnsi="Times New Roman" w:eastAsia="宋体" w:cs="Times New Roman"/>
          <w:bCs/>
          <w:sz w:val="24"/>
          <w:szCs w:val="24"/>
        </w:rPr>
        <w:t>有生育能力的参与者自签署知情同意书至研究末次给药后至少</w:t>
      </w: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个月无怀孕或捐精计划，必须遵守避孕的相关规定，采取高效或可接受的避孕方法避孕（见附录</w:t>
      </w:r>
      <w:r>
        <w:rPr>
          <w:rFonts w:ascii="Times New Roman" w:hAnsi="Times New Roman" w:eastAsia="宋体" w:cs="Times New Roman"/>
          <w:bCs/>
          <w:sz w:val="24"/>
          <w:szCs w:val="24"/>
        </w:rPr>
        <w:t>1</w:t>
      </w:r>
      <w:r>
        <w:rPr>
          <w:rFonts w:hint="eastAsia" w:ascii="Times New Roman" w:hAnsi="Times New Roman" w:eastAsia="宋体" w:cs="Times New Roman"/>
          <w:bCs/>
          <w:sz w:val="24"/>
          <w:szCs w:val="24"/>
        </w:rPr>
        <w:t>）。</w:t>
      </w:r>
    </w:p>
    <w:p w14:paraId="2CC56CE6">
      <w:pPr>
        <w:pStyle w:val="116"/>
        <w:numPr>
          <w:ilvl w:val="1"/>
          <w:numId w:val="12"/>
        </w:numPr>
        <w:jc w:val="left"/>
        <w:rPr>
          <w:rFonts w:cs="Times New Roman"/>
          <w:sz w:val="24"/>
          <w:szCs w:val="24"/>
        </w:rPr>
      </w:pPr>
      <w:bookmarkStart w:id="69" w:name="_Toc217032240"/>
      <w:bookmarkStart w:id="435" w:name="_GoBack"/>
      <w:bookmarkEnd w:id="435"/>
      <w:r>
        <w:rPr>
          <w:rFonts w:hint="eastAsia" w:cs="Times New Roman"/>
          <w:sz w:val="24"/>
          <w:szCs w:val="24"/>
        </w:rPr>
        <w:t>排除标准</w:t>
      </w:r>
      <w:bookmarkEnd w:id="69"/>
    </w:p>
    <w:p w14:paraId="02888281">
      <w:pPr>
        <w:pStyle w:val="60"/>
        <w:ind w:firstLine="480"/>
        <w:rPr>
          <w:rFonts w:cs="Times New Roman"/>
          <w:sz w:val="24"/>
          <w:szCs w:val="24"/>
        </w:rPr>
      </w:pPr>
      <w:r>
        <w:rPr>
          <w:rStyle w:val="99"/>
          <w:rFonts w:hint="eastAsia" w:cs="Times New Roman"/>
          <w:sz w:val="24"/>
          <w:szCs w:val="24"/>
        </w:rPr>
        <w:t>必须排除符合下列任一排除标准的参与者：</w:t>
      </w:r>
    </w:p>
    <w:p w14:paraId="483AFC55">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基线前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个月内存在非斑块状银屑病（如点滴型、脓疱型、红皮病型或反向型银屑病）；</w:t>
      </w:r>
    </w:p>
    <w:p w14:paraId="74EEA4D8">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筛选或基线时，存在其它皮肤病病史或当前状态（如湿疹），经研究者判断可能影响研究评估；</w:t>
      </w:r>
    </w:p>
    <w:p w14:paraId="45B5B29F">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有药物（如</w:t>
      </w:r>
      <w:r>
        <w:rPr>
          <w:rFonts w:ascii="Times New Roman" w:hAnsi="Times New Roman" w:eastAsia="宋体" w:cs="Times New Roman"/>
          <w:bCs/>
          <w:color w:val="000000"/>
          <w:kern w:val="2"/>
          <w:sz w:val="24"/>
          <w:szCs w:val="24"/>
        </w:rPr>
        <w:t>β-</w:t>
      </w:r>
      <w:r>
        <w:rPr>
          <w:rFonts w:hint="eastAsia" w:ascii="Times New Roman" w:hAnsi="Times New Roman" w:eastAsia="宋体" w:cs="Times New Roman"/>
          <w:bCs/>
          <w:color w:val="000000"/>
          <w:kern w:val="2"/>
          <w:sz w:val="24"/>
          <w:szCs w:val="24"/>
        </w:rPr>
        <w:t>受体阻滞剂、钙离子通道阻滞剂、抗疟药物或锂剂）诱发或加重的银屑病既往病史或现病史；</w:t>
      </w:r>
    </w:p>
    <w:p w14:paraId="17D90B81">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有严重带状疱疹或严重单纯疱疹既往史（包括但不限于播散型带状疱疹、泛发型带状疱疹、中枢神经系统带状疱疹、眼带状疱疹、复发性带状疱疹（</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年内发生</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次或以上））或有单纯疱疹、带状疱疹感染现病史；</w:t>
      </w:r>
    </w:p>
    <w:p w14:paraId="195E2308">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个月内存在需住院或静脉抗感染治疗的严重细菌、真菌或病毒感染史；</w:t>
      </w:r>
    </w:p>
    <w:p w14:paraId="27326658">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周内存在需口服抗感染治疗的细菌、真菌或病毒感染史；</w:t>
      </w:r>
    </w:p>
    <w:p w14:paraId="2E93F9ED">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7</w:t>
      </w:r>
      <w:r>
        <w:rPr>
          <w:rFonts w:hint="eastAsia" w:ascii="Times New Roman" w:hAnsi="Times New Roman" w:eastAsia="宋体" w:cs="Times New Roman"/>
          <w:bCs/>
          <w:color w:val="000000"/>
          <w:kern w:val="2"/>
          <w:sz w:val="24"/>
          <w:szCs w:val="24"/>
        </w:rPr>
        <w:t>天内，存在活动性感染或急性疾病状态（如发热、恶心、呕吐或腹泻）；</w:t>
      </w:r>
    </w:p>
    <w:p w14:paraId="1C7C21CF">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或基线时，存在慢性或复发性感染性疾病者，包括但不限于慢性肾脏感染、复发性尿路感染、慢性胸部感染、真菌感染（指甲浅表真菌感染除外）或感染性的皮肤伤口或溃疡，经研究者评估可能增加参与者安全性风险；</w:t>
      </w:r>
    </w:p>
    <w:p w14:paraId="6FFE2B57">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符合以下任一项结核筛查标准：</w:t>
      </w:r>
    </w:p>
    <w:p w14:paraId="230DB080">
      <w:pPr>
        <w:numPr>
          <w:ilvl w:val="0"/>
          <w:numId w:val="43"/>
        </w:numPr>
        <w:tabs>
          <w:tab w:val="left" w:pos="420"/>
          <w:tab w:val="clear" w:pos="840"/>
        </w:tabs>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有活动性结核感染的现病史或既往病史；</w:t>
      </w:r>
    </w:p>
    <w:p w14:paraId="2EB459DC">
      <w:pPr>
        <w:numPr>
          <w:ilvl w:val="0"/>
          <w:numId w:val="43"/>
        </w:numPr>
        <w:tabs>
          <w:tab w:val="left" w:pos="420"/>
          <w:tab w:val="clear" w:pos="840"/>
        </w:tabs>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在筛选期间，研究者判断存在活动性结核病的体征或症状；</w:t>
      </w:r>
    </w:p>
    <w:p w14:paraId="375B5E47">
      <w:pPr>
        <w:numPr>
          <w:ilvl w:val="0"/>
          <w:numId w:val="43"/>
        </w:numPr>
        <w:tabs>
          <w:tab w:val="left" w:pos="420"/>
          <w:tab w:val="clear" w:pos="840"/>
        </w:tabs>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胸部</w:t>
      </w:r>
      <w:r>
        <w:rPr>
          <w:rFonts w:ascii="Times New Roman" w:hAnsi="Times New Roman" w:eastAsia="宋体" w:cs="Times New Roman"/>
          <w:bCs/>
          <w:color w:val="000000"/>
          <w:kern w:val="2"/>
          <w:sz w:val="24"/>
          <w:szCs w:val="24"/>
        </w:rPr>
        <w:t>CT</w:t>
      </w:r>
      <w:r>
        <w:rPr>
          <w:rFonts w:hint="eastAsia" w:ascii="Times New Roman" w:hAnsi="Times New Roman" w:eastAsia="宋体" w:cs="Times New Roman"/>
          <w:bCs/>
          <w:color w:val="000000"/>
          <w:kern w:val="2"/>
          <w:sz w:val="24"/>
          <w:szCs w:val="24"/>
        </w:rPr>
        <w:t>提示当前或既往活动性结核感染；</w:t>
      </w:r>
    </w:p>
    <w:p w14:paraId="76D053F4">
      <w:pPr>
        <w:numPr>
          <w:ilvl w:val="0"/>
          <w:numId w:val="43"/>
        </w:numPr>
        <w:tabs>
          <w:tab w:val="left" w:pos="420"/>
          <w:tab w:val="clear" w:pos="840"/>
        </w:tabs>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γ-</w:t>
      </w:r>
      <w:r>
        <w:rPr>
          <w:rFonts w:hint="eastAsia" w:ascii="Times New Roman" w:hAnsi="Times New Roman" w:eastAsia="宋体" w:cs="Times New Roman"/>
          <w:bCs/>
          <w:color w:val="000000"/>
          <w:kern w:val="2"/>
          <w:sz w:val="24"/>
          <w:szCs w:val="24"/>
        </w:rPr>
        <w:t>干扰素释放试验结果显示潜伏性结核感染证据，定义为：筛选时</w:t>
      </w:r>
      <w:r>
        <w:rPr>
          <w:rFonts w:ascii="Times New Roman" w:hAnsi="Times New Roman" w:eastAsia="宋体" w:cs="Times New Roman"/>
          <w:bCs/>
          <w:color w:val="000000"/>
          <w:kern w:val="2"/>
          <w:sz w:val="24"/>
          <w:szCs w:val="24"/>
        </w:rPr>
        <w:t>γ-</w:t>
      </w:r>
      <w:r>
        <w:rPr>
          <w:rFonts w:hint="eastAsia" w:ascii="Times New Roman" w:hAnsi="Times New Roman" w:eastAsia="宋体" w:cs="Times New Roman"/>
          <w:bCs/>
          <w:color w:val="000000"/>
          <w:kern w:val="2"/>
          <w:sz w:val="24"/>
          <w:szCs w:val="24"/>
        </w:rPr>
        <w:t>干扰素释放试验检测呈阳性或连续两次</w:t>
      </w:r>
      <w:r>
        <w:rPr>
          <w:rFonts w:ascii="Times New Roman" w:hAnsi="Times New Roman" w:eastAsia="宋体" w:cs="Times New Roman"/>
          <w:bCs/>
          <w:color w:val="000000"/>
          <w:kern w:val="2"/>
          <w:sz w:val="24"/>
          <w:szCs w:val="24"/>
        </w:rPr>
        <w:t>γ-</w:t>
      </w:r>
      <w:r>
        <w:rPr>
          <w:rFonts w:hint="eastAsia" w:ascii="Times New Roman" w:hAnsi="Times New Roman" w:eastAsia="宋体" w:cs="Times New Roman"/>
          <w:bCs/>
          <w:color w:val="000000"/>
          <w:kern w:val="2"/>
          <w:sz w:val="24"/>
          <w:szCs w:val="24"/>
        </w:rPr>
        <w:t>干扰素释放试验结果不确定，且无临床症状。除非有记录表明参与者已经完成充分的结核潜伏感染的治疗，或者在首次给药前至少</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周开始预防性治疗，并且同意完成后续预防性治疗疗程，预防措施的整个疗程不必在首次给药前完成。</w:t>
      </w:r>
    </w:p>
    <w:p w14:paraId="6890773A">
      <w:pPr>
        <w:spacing w:line="360" w:lineRule="auto"/>
        <w:ind w:left="1320" w:leftChars="6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注：</w:t>
      </w:r>
    </w:p>
    <w:p w14:paraId="1BF0248B">
      <w:pPr>
        <w:numPr>
          <w:ilvl w:val="0"/>
          <w:numId w:val="44"/>
        </w:numPr>
        <w:spacing w:line="360" w:lineRule="auto"/>
        <w:ind w:firstLine="480" w:firstLineChars="2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不允许使用利福平或利福喷丁进行结核预防。</w:t>
      </w:r>
    </w:p>
    <w:p w14:paraId="4D3B7A38">
      <w:pPr>
        <w:numPr>
          <w:ilvl w:val="0"/>
          <w:numId w:val="44"/>
        </w:numPr>
        <w:spacing w:line="360" w:lineRule="auto"/>
        <w:ind w:firstLine="480" w:firstLineChars="2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如结核检测结果为不确定者，可进行</w:t>
      </w:r>
      <w:r>
        <w:rPr>
          <w:rFonts w:ascii="Times New Roman" w:hAnsi="Times New Roman" w:eastAsia="宋体" w:cs="Times New Roman"/>
          <w:bCs/>
          <w:color w:val="000000"/>
          <w:kern w:val="2"/>
          <w:sz w:val="24"/>
          <w:szCs w:val="24"/>
        </w:rPr>
        <w:t>1</w:t>
      </w:r>
      <w:r>
        <w:rPr>
          <w:rFonts w:hint="eastAsia" w:ascii="Times New Roman" w:hAnsi="Times New Roman" w:eastAsia="宋体" w:cs="Times New Roman"/>
          <w:bCs/>
          <w:color w:val="000000"/>
          <w:kern w:val="2"/>
          <w:sz w:val="24"/>
          <w:szCs w:val="24"/>
        </w:rPr>
        <w:t>次复测</w:t>
      </w:r>
      <w:r>
        <w:rPr>
          <w:rFonts w:hint="eastAsia" w:ascii="Times New Roman" w:hAnsi="Times New Roman" w:cs="Times New Roman"/>
          <w:sz w:val="24"/>
          <w:szCs w:val="24"/>
        </w:rPr>
        <w:t>。</w:t>
      </w:r>
    </w:p>
    <w:p w14:paraId="370AA1E1">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周内接种减毒活疫苗，或计划在治疗期间的任何时间或研究完成后</w:t>
      </w:r>
      <w:r>
        <w:rPr>
          <w:rFonts w:ascii="Times New Roman" w:hAnsi="Times New Roman" w:eastAsia="宋体" w:cs="Times New Roman"/>
          <w:bCs/>
          <w:color w:val="000000"/>
          <w:kern w:val="2"/>
          <w:sz w:val="24"/>
          <w:szCs w:val="24"/>
        </w:rPr>
        <w:t>8</w:t>
      </w:r>
      <w:r>
        <w:rPr>
          <w:rFonts w:hint="eastAsia" w:ascii="Times New Roman" w:hAnsi="Times New Roman" w:eastAsia="宋体" w:cs="Times New Roman"/>
          <w:bCs/>
          <w:color w:val="000000"/>
          <w:kern w:val="2"/>
          <w:sz w:val="24"/>
          <w:szCs w:val="24"/>
        </w:rPr>
        <w:t>周内接种减毒活疫苗者；</w:t>
      </w:r>
    </w:p>
    <w:p w14:paraId="12569C10">
      <w:pPr>
        <w:numPr>
          <w:ilvl w:val="0"/>
          <w:numId w:val="42"/>
        </w:numPr>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6</w:t>
      </w:r>
      <w:r>
        <w:rPr>
          <w:rFonts w:hint="eastAsia" w:ascii="Times New Roman" w:hAnsi="Times New Roman" w:eastAsia="宋体" w:cs="Times New Roman"/>
          <w:bCs/>
          <w:color w:val="000000"/>
          <w:kern w:val="2"/>
          <w:sz w:val="24"/>
          <w:szCs w:val="24"/>
        </w:rPr>
        <w:t>个月内存在重大或不稳定的消化</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肝胆、肾脏</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泌尿、心血管、呼吸、内分泌、血液、免疫、中枢神经系统疾病者，根据研究者判断不具备临床研究条件者，例如但不限于胰腺炎、不稳定型心绞痛、心肌梗死、症状性充血性心力衰竭（纽约心脏病协会</w:t>
      </w:r>
      <w:r>
        <w:rPr>
          <w:rFonts w:ascii="Times New Roman" w:hAnsi="Times New Roman" w:eastAsia="宋体" w:cs="Times New Roman"/>
          <w:bCs/>
          <w:color w:val="000000"/>
          <w:kern w:val="2"/>
          <w:sz w:val="24"/>
          <w:szCs w:val="24"/>
        </w:rPr>
        <w:t>III</w:t>
      </w:r>
      <w:r>
        <w:rPr>
          <w:rFonts w:hint="eastAsia" w:ascii="Times New Roman" w:hAnsi="Times New Roman" w:eastAsia="宋体" w:cs="Times New Roman"/>
          <w:bCs/>
          <w:color w:val="000000"/>
          <w:kern w:val="2"/>
          <w:sz w:val="24"/>
          <w:szCs w:val="24"/>
        </w:rPr>
        <w:t>级或</w:t>
      </w:r>
      <w:r>
        <w:rPr>
          <w:rFonts w:ascii="Times New Roman" w:hAnsi="Times New Roman" w:eastAsia="宋体" w:cs="Times New Roman"/>
          <w:bCs/>
          <w:color w:val="000000"/>
          <w:kern w:val="2"/>
          <w:sz w:val="24"/>
          <w:szCs w:val="24"/>
        </w:rPr>
        <w:t>IV</w:t>
      </w:r>
      <w:r>
        <w:rPr>
          <w:rFonts w:hint="eastAsia" w:ascii="Times New Roman" w:hAnsi="Times New Roman" w:eastAsia="宋体" w:cs="Times New Roman"/>
          <w:bCs/>
          <w:color w:val="000000"/>
          <w:kern w:val="2"/>
          <w:sz w:val="24"/>
          <w:szCs w:val="24"/>
        </w:rPr>
        <w:t>级）、需要治疗的心律失常、肺动脉高压、呼吸衰竭、脑卒中（包含短暂性脑缺血发作）、肝硬化、静脉血栓栓塞症等；</w:t>
      </w:r>
    </w:p>
    <w:p w14:paraId="46C897A5">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年内患有恶性肿瘤（经过彻底治疗且没有任何复发迹象的皮肤原位鳞癌、基底细胞癌和原位宫颈癌除外）或淋巴组织增生性疾病；</w:t>
      </w:r>
    </w:p>
    <w:p w14:paraId="29E88C1F">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目前患有其它自身免疫性疾病（如类风湿性关节炎、系统性红斑狼疮、炎症性肠病等）；</w:t>
      </w:r>
    </w:p>
    <w:p w14:paraId="1084E5C8">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患有或疑似先天性或获得性免疫缺陷病史者，或研究者认为会损害参与者免疫状态的情况（如脾切除术史、原发性免疫缺陷）；</w:t>
      </w:r>
    </w:p>
    <w:p w14:paraId="4A88952F">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患有精神相关疾病或病史（如抑郁症），影响用药依从性或研究者从临床上判断有自杀风险者；</w:t>
      </w:r>
    </w:p>
    <w:p w14:paraId="4708B32E">
      <w:pPr>
        <w:numPr>
          <w:ilvl w:val="0"/>
          <w:numId w:val="42"/>
        </w:numPr>
        <w:spacing w:line="360" w:lineRule="auto"/>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既往使用过</w:t>
      </w:r>
      <w:r>
        <w:rPr>
          <w:rFonts w:ascii="Times New Roman" w:hAnsi="Times New Roman" w:eastAsia="宋体" w:cs="Times New Roman"/>
          <w:bCs/>
          <w:color w:val="000000"/>
          <w:kern w:val="2"/>
          <w:sz w:val="24"/>
          <w:szCs w:val="24"/>
        </w:rPr>
        <w:t>IL-12</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IL-17</w:t>
      </w:r>
      <w:r>
        <w:rPr>
          <w:rFonts w:hint="eastAsia" w:ascii="Times New Roman" w:hAnsi="Times New Roman" w:eastAsia="宋体" w:cs="Times New Roman"/>
          <w:bCs/>
          <w:color w:val="000000"/>
          <w:kern w:val="2"/>
          <w:sz w:val="24"/>
          <w:szCs w:val="24"/>
        </w:rPr>
        <w:t>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w:t>
      </w:r>
      <w:r>
        <w:rPr>
          <w:rFonts w:ascii="Times New Roman" w:hAnsi="Times New Roman" w:eastAsia="宋体" w:cs="Times New Roman"/>
          <w:bCs/>
          <w:color w:val="000000"/>
          <w:kern w:val="2"/>
          <w:sz w:val="24"/>
          <w:szCs w:val="24"/>
        </w:rPr>
        <w:t>IL-23</w:t>
      </w:r>
      <w:r>
        <w:rPr>
          <w:rFonts w:hint="eastAsia" w:ascii="Times New Roman" w:hAnsi="Times New Roman" w:eastAsia="宋体" w:cs="Times New Roman"/>
          <w:bCs/>
          <w:color w:val="000000"/>
          <w:kern w:val="2"/>
          <w:sz w:val="24"/>
          <w:szCs w:val="24"/>
        </w:rPr>
        <w:t>靶向药物且经研究者评估疗效不佳者，包括但不限于：</w:t>
      </w:r>
      <w:r>
        <w:rPr>
          <w:rFonts w:ascii="Times New Roman" w:hAnsi="Times New Roman" w:eastAsia="宋体" w:cs="Times New Roman"/>
          <w:bCs/>
          <w:color w:val="000000"/>
          <w:kern w:val="2"/>
          <w:sz w:val="24"/>
          <w:szCs w:val="24"/>
        </w:rPr>
        <w:t>Tildrakizumab</w:t>
      </w:r>
      <w:r>
        <w:rPr>
          <w:rFonts w:hint="eastAsia" w:ascii="Times New Roman" w:hAnsi="Times New Roman" w:eastAsia="宋体" w:cs="Times New Roman"/>
          <w:bCs/>
          <w:color w:val="000000"/>
          <w:kern w:val="2"/>
          <w:sz w:val="24"/>
          <w:szCs w:val="24"/>
        </w:rPr>
        <w:t>（替瑞奇珠单抗）、</w:t>
      </w:r>
      <w:r>
        <w:rPr>
          <w:rFonts w:ascii="Times New Roman" w:hAnsi="Times New Roman" w:eastAsia="宋体" w:cs="Times New Roman"/>
          <w:bCs/>
          <w:color w:val="000000"/>
          <w:kern w:val="2"/>
          <w:sz w:val="24"/>
          <w:szCs w:val="24"/>
        </w:rPr>
        <w:t>Guselkumab</w:t>
      </w:r>
      <w:r>
        <w:rPr>
          <w:rFonts w:hint="eastAsia" w:ascii="Times New Roman" w:hAnsi="Times New Roman" w:eastAsia="宋体" w:cs="Times New Roman"/>
          <w:bCs/>
          <w:color w:val="000000"/>
          <w:kern w:val="2"/>
          <w:sz w:val="24"/>
          <w:szCs w:val="24"/>
        </w:rPr>
        <w:t>（古塞奇尤单抗）、</w:t>
      </w:r>
      <w:r>
        <w:rPr>
          <w:rFonts w:ascii="Times New Roman" w:hAnsi="Times New Roman" w:eastAsia="宋体" w:cs="Times New Roman"/>
          <w:bCs/>
          <w:color w:val="000000"/>
          <w:kern w:val="2"/>
          <w:sz w:val="24"/>
          <w:szCs w:val="24"/>
        </w:rPr>
        <w:t>Ustekinumab</w:t>
      </w:r>
      <w:r>
        <w:rPr>
          <w:rFonts w:hint="eastAsia" w:ascii="Times New Roman" w:hAnsi="Times New Roman" w:eastAsia="宋体" w:cs="Times New Roman"/>
          <w:bCs/>
          <w:color w:val="000000"/>
          <w:kern w:val="2"/>
          <w:sz w:val="24"/>
          <w:szCs w:val="24"/>
        </w:rPr>
        <w:t>（乌司奴单抗）、</w:t>
      </w:r>
      <w:r>
        <w:rPr>
          <w:rFonts w:ascii="Times New Roman" w:hAnsi="Times New Roman" w:eastAsia="宋体" w:cs="Times New Roman"/>
          <w:bCs/>
          <w:color w:val="000000"/>
          <w:kern w:val="2"/>
          <w:sz w:val="24"/>
          <w:szCs w:val="24"/>
        </w:rPr>
        <w:t>Secukinumab</w:t>
      </w:r>
      <w:r>
        <w:rPr>
          <w:rFonts w:hint="eastAsia" w:ascii="Times New Roman" w:hAnsi="Times New Roman" w:eastAsia="宋体" w:cs="Times New Roman"/>
          <w:bCs/>
          <w:color w:val="000000"/>
          <w:kern w:val="2"/>
          <w:sz w:val="24"/>
          <w:szCs w:val="24"/>
        </w:rPr>
        <w:t>（司库奇尤单抗）、</w:t>
      </w:r>
      <w:r>
        <w:rPr>
          <w:rFonts w:ascii="Times New Roman" w:hAnsi="Times New Roman" w:eastAsia="宋体" w:cs="Times New Roman"/>
          <w:bCs/>
          <w:color w:val="000000"/>
          <w:kern w:val="2"/>
          <w:sz w:val="24"/>
          <w:szCs w:val="24"/>
        </w:rPr>
        <w:t>Ixekizumab</w:t>
      </w:r>
      <w:r>
        <w:rPr>
          <w:rFonts w:hint="eastAsia" w:ascii="Times New Roman" w:hAnsi="Times New Roman" w:eastAsia="宋体" w:cs="Times New Roman"/>
          <w:bCs/>
          <w:color w:val="000000"/>
          <w:kern w:val="2"/>
          <w:sz w:val="24"/>
          <w:szCs w:val="24"/>
        </w:rPr>
        <w:t>（依奇珠单抗）、</w:t>
      </w:r>
      <w:r>
        <w:rPr>
          <w:rFonts w:ascii="Times New Roman" w:hAnsi="Times New Roman" w:eastAsia="宋体" w:cs="Times New Roman"/>
          <w:bCs/>
          <w:color w:val="000000"/>
          <w:kern w:val="2"/>
          <w:sz w:val="24"/>
          <w:szCs w:val="24"/>
        </w:rPr>
        <w:t>Brodalumab</w:t>
      </w:r>
      <w:r>
        <w:rPr>
          <w:rFonts w:hint="eastAsia" w:ascii="Times New Roman" w:hAnsi="Times New Roman" w:eastAsia="宋体" w:cs="Times New Roman"/>
          <w:bCs/>
          <w:color w:val="000000"/>
          <w:kern w:val="2"/>
          <w:sz w:val="24"/>
          <w:szCs w:val="24"/>
        </w:rPr>
        <w:t>（布罗利尤单抗）等；</w:t>
      </w:r>
    </w:p>
    <w:p w14:paraId="542A2C3A">
      <w:pPr>
        <w:numPr>
          <w:ilvl w:val="0"/>
          <w:numId w:val="42"/>
        </w:numPr>
        <w:spacing w:line="360" w:lineRule="auto"/>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既往使用过</w:t>
      </w:r>
      <w:r>
        <w:rPr>
          <w:rFonts w:ascii="Times New Roman" w:hAnsi="Times New Roman" w:eastAsia="宋体" w:cs="Times New Roman"/>
          <w:bCs/>
          <w:color w:val="000000"/>
          <w:kern w:val="2"/>
          <w:sz w:val="24"/>
          <w:szCs w:val="24"/>
        </w:rPr>
        <w:t>TYK2</w:t>
      </w:r>
      <w:r>
        <w:rPr>
          <w:rFonts w:hint="eastAsia" w:ascii="Times New Roman" w:hAnsi="Times New Roman" w:eastAsia="宋体" w:cs="Times New Roman"/>
          <w:bCs/>
          <w:color w:val="000000"/>
          <w:kern w:val="2"/>
          <w:sz w:val="24"/>
          <w:szCs w:val="24"/>
        </w:rPr>
        <w:t>抑制剂治疗者，或既往接受过系统性</w:t>
      </w:r>
      <w:r>
        <w:rPr>
          <w:rFonts w:ascii="Times New Roman" w:hAnsi="Times New Roman" w:eastAsia="宋体" w:cs="Times New Roman"/>
          <w:bCs/>
          <w:color w:val="000000"/>
          <w:kern w:val="2"/>
          <w:sz w:val="24"/>
          <w:szCs w:val="24"/>
        </w:rPr>
        <w:t>JAK1/2/3</w:t>
      </w:r>
      <w:r>
        <w:rPr>
          <w:rFonts w:hint="eastAsia" w:ascii="Times New Roman" w:hAnsi="Times New Roman" w:eastAsia="宋体" w:cs="Times New Roman"/>
          <w:bCs/>
          <w:color w:val="000000"/>
          <w:kern w:val="2"/>
          <w:sz w:val="24"/>
          <w:szCs w:val="24"/>
        </w:rPr>
        <w:t>抑制剂治疗且疗效不佳或因安全性原因停药的参与者；</w:t>
      </w:r>
    </w:p>
    <w:p w14:paraId="2CBD3AE7">
      <w:pPr>
        <w:numPr>
          <w:ilvl w:val="0"/>
          <w:numId w:val="42"/>
        </w:numPr>
        <w:spacing w:line="360" w:lineRule="auto"/>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首次给药前，规定的时间内接受了以下任何一种治疗者：</w:t>
      </w:r>
    </w:p>
    <w:p w14:paraId="1847859D">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周内使用可能影响银屑病病情的局部用药</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治疗（包括但不限于：糖皮质激素、维</w:t>
      </w:r>
      <w:r>
        <w:rPr>
          <w:rFonts w:ascii="Times New Roman" w:hAnsi="Times New Roman" w:eastAsia="宋体" w:cs="Times New Roman"/>
          <w:bCs/>
          <w:color w:val="000000"/>
          <w:kern w:val="2"/>
          <w:sz w:val="24"/>
          <w:szCs w:val="24"/>
        </w:rPr>
        <w:t>A</w:t>
      </w:r>
      <w:r>
        <w:rPr>
          <w:rFonts w:hint="eastAsia" w:ascii="Times New Roman" w:hAnsi="Times New Roman" w:eastAsia="宋体" w:cs="Times New Roman"/>
          <w:bCs/>
          <w:color w:val="000000"/>
          <w:kern w:val="2"/>
          <w:sz w:val="24"/>
          <w:szCs w:val="24"/>
        </w:rPr>
        <w:t>酸类、维生素</w:t>
      </w:r>
      <w:r>
        <w:rPr>
          <w:rFonts w:ascii="Times New Roman" w:hAnsi="Times New Roman" w:eastAsia="宋体" w:cs="Times New Roman"/>
          <w:bCs/>
          <w:color w:val="000000"/>
          <w:kern w:val="2"/>
          <w:sz w:val="24"/>
          <w:szCs w:val="24"/>
        </w:rPr>
        <w:t>D3</w:t>
      </w:r>
      <w:r>
        <w:rPr>
          <w:rFonts w:hint="eastAsia" w:ascii="Times New Roman" w:hAnsi="Times New Roman" w:eastAsia="宋体" w:cs="Times New Roman"/>
          <w:bCs/>
          <w:color w:val="000000"/>
          <w:kern w:val="2"/>
          <w:sz w:val="24"/>
          <w:szCs w:val="24"/>
        </w:rPr>
        <w:t>衍生物、钙调磷酸酶抑制剂、本维莫德、抗人</w:t>
      </w:r>
      <w:r>
        <w:rPr>
          <w:rFonts w:ascii="Times New Roman" w:hAnsi="Times New Roman" w:eastAsia="宋体" w:cs="Times New Roman"/>
          <w:bCs/>
          <w:color w:val="000000"/>
          <w:kern w:val="2"/>
          <w:sz w:val="24"/>
          <w:szCs w:val="24"/>
        </w:rPr>
        <w:t>IL-8</w:t>
      </w:r>
      <w:r>
        <w:rPr>
          <w:rFonts w:hint="eastAsia" w:ascii="Times New Roman" w:hAnsi="Times New Roman" w:eastAsia="宋体" w:cs="Times New Roman"/>
          <w:bCs/>
          <w:color w:val="000000"/>
          <w:kern w:val="2"/>
          <w:sz w:val="24"/>
          <w:szCs w:val="24"/>
        </w:rPr>
        <w:t>单克隆抗体乳膏、焦油、水杨酸、地蒽酚等）或含有上述成分的洗浴产品，或可能影响银屑病病情的中成药外用剂、中医非药物疗法；</w:t>
      </w:r>
    </w:p>
    <w:p w14:paraId="34D0416D">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周内使用可能影响银屑病病情的非生物制剂系统治疗，包括但不限于</w:t>
      </w:r>
      <w:r>
        <w:rPr>
          <w:rFonts w:ascii="Times New Roman" w:hAnsi="Times New Roman" w:eastAsia="宋体" w:cs="Times New Roman"/>
          <w:bCs/>
          <w:color w:val="000000"/>
          <w:kern w:val="2"/>
          <w:sz w:val="24"/>
          <w:szCs w:val="24"/>
        </w:rPr>
        <w:t>JAKs</w:t>
      </w:r>
      <w:r>
        <w:rPr>
          <w:rFonts w:hint="eastAsia" w:ascii="Times New Roman" w:hAnsi="Times New Roman" w:eastAsia="宋体" w:cs="Times New Roman"/>
          <w:bCs/>
          <w:color w:val="000000"/>
          <w:kern w:val="2"/>
          <w:sz w:val="24"/>
          <w:szCs w:val="24"/>
        </w:rPr>
        <w:t>抑制剂、糖皮质激素、维</w:t>
      </w:r>
      <w:r>
        <w:rPr>
          <w:rFonts w:ascii="Times New Roman" w:hAnsi="Times New Roman" w:eastAsia="宋体" w:cs="Times New Roman"/>
          <w:bCs/>
          <w:color w:val="000000"/>
          <w:kern w:val="2"/>
          <w:sz w:val="24"/>
          <w:szCs w:val="24"/>
        </w:rPr>
        <w:t>A</w:t>
      </w:r>
      <w:r>
        <w:rPr>
          <w:rFonts w:hint="eastAsia" w:ascii="Times New Roman" w:hAnsi="Times New Roman" w:eastAsia="宋体" w:cs="Times New Roman"/>
          <w:bCs/>
          <w:color w:val="000000"/>
          <w:kern w:val="2"/>
          <w:sz w:val="24"/>
          <w:szCs w:val="24"/>
        </w:rPr>
        <w:t>酸类、环孢素、甲氨蝶呤、</w:t>
      </w:r>
      <w:r>
        <w:rPr>
          <w:rFonts w:ascii="宋体" w:hAnsi="宋体" w:eastAsia="宋体" w:cs="宋体"/>
          <w:sz w:val="24"/>
          <w:szCs w:val="24"/>
        </w:rPr>
        <w:t>黄芪、</w:t>
      </w:r>
      <w:r>
        <w:rPr>
          <w:rFonts w:hint="eastAsia" w:ascii="Times New Roman" w:hAnsi="Times New Roman" w:eastAsia="宋体" w:cs="Times New Roman"/>
          <w:bCs/>
          <w:color w:val="000000"/>
          <w:kern w:val="2"/>
          <w:sz w:val="24"/>
          <w:szCs w:val="24"/>
        </w:rPr>
        <w:t>雷公藤</w:t>
      </w:r>
      <w:r>
        <w:rPr>
          <w:rFonts w:ascii="宋体" w:hAnsi="宋体" w:eastAsia="宋体" w:cs="宋体"/>
          <w:sz w:val="24"/>
          <w:szCs w:val="24"/>
        </w:rPr>
        <w:t>、苦参</w:t>
      </w:r>
      <w:r>
        <w:rPr>
          <w:rFonts w:hint="eastAsia" w:ascii="宋体" w:hAnsi="宋体" w:eastAsia="宋体" w:cs="宋体"/>
          <w:sz w:val="24"/>
          <w:szCs w:val="24"/>
        </w:rPr>
        <w:t>、复方甘草酸铵</w:t>
      </w:r>
      <w:r>
        <w:rPr>
          <w:rFonts w:hint="eastAsia" w:ascii="Times New Roman" w:hAnsi="Times New Roman" w:eastAsia="宋体" w:cs="Times New Roman"/>
          <w:bCs/>
          <w:color w:val="000000"/>
          <w:kern w:val="2"/>
          <w:sz w:val="24"/>
          <w:szCs w:val="24"/>
        </w:rPr>
        <w:t>、硫唑嘌呤、吗替麦考酚酯、中成药及传统中草药（对于无明确临床证据可能改善银屑病病情的中成药或传统中草药，可缩短为给药前</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周内）、抗疟药、干扰素或锂制剂等；</w:t>
      </w:r>
    </w:p>
    <w:p w14:paraId="181838C6">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sz w:val="24"/>
          <w:szCs w:val="24"/>
        </w:rPr>
        <w:t>4</w:t>
      </w:r>
      <w:r>
        <w:rPr>
          <w:rFonts w:ascii="宋体" w:hAnsi="宋体" w:eastAsia="宋体" w:cs="宋体"/>
          <w:sz w:val="24"/>
          <w:szCs w:val="24"/>
        </w:rPr>
        <w:t>周内接受过肝药酶调节相关的中药治疗（如甘草、五味子等）</w:t>
      </w:r>
      <w:r>
        <w:rPr>
          <w:rFonts w:hint="eastAsia" w:ascii="宋体" w:hAnsi="宋体" w:eastAsia="宋体" w:cs="宋体"/>
          <w:sz w:val="24"/>
          <w:szCs w:val="24"/>
        </w:rPr>
        <w:t>；</w:t>
      </w:r>
    </w:p>
    <w:p w14:paraId="5B42804F">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周内进行物理治疗，包括但不限于：紫外线疗法、光化学疗法、采用日光浴床自我治疗等；</w:t>
      </w:r>
    </w:p>
    <w:p w14:paraId="54990716">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个月或</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个半衰期内（以时间较长者为准）接受除靶向</w:t>
      </w:r>
      <w:r>
        <w:rPr>
          <w:rFonts w:ascii="Times New Roman" w:hAnsi="Times New Roman" w:eastAsia="宋体" w:cs="Times New Roman"/>
          <w:bCs/>
          <w:color w:val="000000"/>
          <w:kern w:val="2"/>
          <w:sz w:val="24"/>
          <w:szCs w:val="24"/>
        </w:rPr>
        <w:t>IL-12</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IL-17</w:t>
      </w:r>
      <w:r>
        <w:rPr>
          <w:rFonts w:hint="eastAsia" w:ascii="Times New Roman" w:hAnsi="Times New Roman" w:eastAsia="宋体" w:cs="Times New Roman"/>
          <w:bCs/>
          <w:color w:val="000000"/>
          <w:kern w:val="2"/>
          <w:sz w:val="24"/>
          <w:szCs w:val="24"/>
        </w:rPr>
        <w:t>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w:t>
      </w:r>
      <w:r>
        <w:rPr>
          <w:rFonts w:ascii="Times New Roman" w:hAnsi="Times New Roman" w:eastAsia="宋体" w:cs="Times New Roman"/>
          <w:bCs/>
          <w:color w:val="000000"/>
          <w:kern w:val="2"/>
          <w:sz w:val="24"/>
          <w:szCs w:val="24"/>
        </w:rPr>
        <w:t>IL-23</w:t>
      </w:r>
      <w:r>
        <w:rPr>
          <w:rFonts w:hint="eastAsia" w:ascii="Times New Roman" w:hAnsi="Times New Roman" w:eastAsia="宋体" w:cs="Times New Roman"/>
          <w:bCs/>
          <w:color w:val="000000"/>
          <w:kern w:val="2"/>
          <w:sz w:val="24"/>
          <w:szCs w:val="24"/>
        </w:rPr>
        <w:t>外的其他生物制剂治疗；</w:t>
      </w:r>
    </w:p>
    <w:p w14:paraId="3A45CB4D">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6</w:t>
      </w:r>
      <w:r>
        <w:rPr>
          <w:rFonts w:hint="eastAsia" w:ascii="Times New Roman" w:hAnsi="Times New Roman" w:eastAsia="宋体" w:cs="Times New Roman"/>
          <w:bCs/>
          <w:color w:val="000000"/>
          <w:kern w:val="2"/>
          <w:sz w:val="24"/>
          <w:szCs w:val="24"/>
        </w:rPr>
        <w:t>个月内接受靶向</w:t>
      </w:r>
      <w:r>
        <w:rPr>
          <w:rFonts w:ascii="Times New Roman" w:hAnsi="Times New Roman" w:eastAsia="宋体" w:cs="Times New Roman"/>
          <w:bCs/>
          <w:color w:val="000000"/>
          <w:kern w:val="2"/>
          <w:sz w:val="24"/>
          <w:szCs w:val="24"/>
        </w:rPr>
        <w:t>IL-12</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IL-17</w:t>
      </w:r>
      <w:r>
        <w:rPr>
          <w:rFonts w:hint="eastAsia" w:ascii="Times New Roman" w:hAnsi="Times New Roman" w:eastAsia="宋体" w:cs="Times New Roman"/>
          <w:bCs/>
          <w:color w:val="000000"/>
          <w:kern w:val="2"/>
          <w:sz w:val="24"/>
          <w:szCs w:val="24"/>
        </w:rPr>
        <w:t>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w:t>
      </w:r>
      <w:r>
        <w:rPr>
          <w:rFonts w:ascii="Times New Roman" w:hAnsi="Times New Roman" w:eastAsia="宋体" w:cs="Times New Roman"/>
          <w:bCs/>
          <w:color w:val="000000"/>
          <w:kern w:val="2"/>
          <w:sz w:val="24"/>
          <w:szCs w:val="24"/>
        </w:rPr>
        <w:t>IL-23</w:t>
      </w:r>
      <w:r>
        <w:rPr>
          <w:rFonts w:hint="eastAsia" w:ascii="Times New Roman" w:hAnsi="Times New Roman" w:eastAsia="宋体" w:cs="Times New Roman"/>
          <w:bCs/>
          <w:color w:val="000000"/>
          <w:kern w:val="2"/>
          <w:sz w:val="24"/>
          <w:szCs w:val="24"/>
        </w:rPr>
        <w:t>的生物制剂治疗；</w:t>
      </w:r>
    </w:p>
    <w:p w14:paraId="429855AA">
      <w:pPr>
        <w:numPr>
          <w:ilvl w:val="0"/>
          <w:numId w:val="45"/>
        </w:numPr>
        <w:spacing w:line="360" w:lineRule="auto"/>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6</w:t>
      </w:r>
      <w:r>
        <w:rPr>
          <w:rFonts w:hint="eastAsia" w:ascii="Times New Roman" w:hAnsi="Times New Roman" w:eastAsia="宋体" w:cs="Times New Roman"/>
          <w:bCs/>
          <w:color w:val="000000"/>
          <w:kern w:val="2"/>
          <w:sz w:val="24"/>
          <w:szCs w:val="24"/>
        </w:rPr>
        <w:t>个月内接受过利妥昔单抗或其他免疫细胞耗竭治疗；</w:t>
      </w:r>
    </w:p>
    <w:p w14:paraId="251EB35C">
      <w:pPr>
        <w:pStyle w:val="97"/>
        <w:numPr>
          <w:ilvl w:val="0"/>
          <w:numId w:val="45"/>
        </w:numPr>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24</w:t>
      </w:r>
      <w:r>
        <w:rPr>
          <w:rFonts w:hint="eastAsia" w:ascii="Times New Roman" w:hAnsi="Times New Roman" w:eastAsia="宋体" w:cs="Times New Roman"/>
          <w:bCs/>
          <w:color w:val="000000"/>
          <w:kern w:val="2"/>
          <w:sz w:val="24"/>
          <w:szCs w:val="24"/>
        </w:rPr>
        <w:t>个月内接受过来氟米特（经来氟米特药物清除剂进行洗脱者可缩短至</w:t>
      </w:r>
      <w:r>
        <w:rPr>
          <w:rFonts w:ascii="Times New Roman" w:hAnsi="Times New Roman" w:eastAsia="宋体" w:cs="Times New Roman"/>
          <w:bCs/>
          <w:color w:val="000000"/>
          <w:kern w:val="2"/>
          <w:sz w:val="24"/>
          <w:szCs w:val="24"/>
        </w:rPr>
        <w:t>6</w:t>
      </w:r>
      <w:r>
        <w:rPr>
          <w:rFonts w:hint="eastAsia" w:ascii="Times New Roman" w:hAnsi="Times New Roman" w:eastAsia="宋体" w:cs="Times New Roman"/>
          <w:bCs/>
          <w:color w:val="000000"/>
          <w:kern w:val="2"/>
          <w:sz w:val="24"/>
          <w:szCs w:val="24"/>
        </w:rPr>
        <w:t>个月）；</w:t>
      </w:r>
    </w:p>
    <w:p w14:paraId="14E5480C">
      <w:pPr>
        <w:numPr>
          <w:ilvl w:val="0"/>
          <w:numId w:val="42"/>
        </w:numPr>
        <w:spacing w:line="360" w:lineRule="auto"/>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个月或</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个半衰期内（以时间较长者为准）使用其他临床试验药物或目前正在参加其他临床研究者；</w:t>
      </w:r>
    </w:p>
    <w:p w14:paraId="549A515E">
      <w:pPr>
        <w:numPr>
          <w:ilvl w:val="0"/>
          <w:numId w:val="42"/>
        </w:numPr>
        <w:spacing w:line="360" w:lineRule="auto"/>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筛选或基线时，存在以下任何一种实验室检查异常：</w:t>
      </w:r>
    </w:p>
    <w:p w14:paraId="2E5C5E74">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外周血白细胞计数＜</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p>
    <w:p w14:paraId="14CDACC3">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淋巴细胞计数＜</w:t>
      </w:r>
      <w:r>
        <w:rPr>
          <w:rFonts w:ascii="Times New Roman" w:hAnsi="Times New Roman" w:eastAsia="宋体" w:cs="Times New Roman"/>
          <w:bCs/>
          <w:color w:val="000000"/>
          <w:kern w:val="2"/>
          <w:sz w:val="24"/>
          <w:szCs w:val="24"/>
        </w:rPr>
        <w:t>0.5</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p>
    <w:p w14:paraId="7AA33565">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中性粒细胞计数＜</w:t>
      </w:r>
      <w:r>
        <w:rPr>
          <w:rFonts w:ascii="Times New Roman" w:hAnsi="Times New Roman" w:eastAsia="宋体" w:cs="Times New Roman"/>
          <w:bCs/>
          <w:color w:val="000000"/>
          <w:kern w:val="2"/>
          <w:sz w:val="24"/>
          <w:szCs w:val="24"/>
        </w:rPr>
        <w:t>1.5</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p>
    <w:p w14:paraId="24F6D53B">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血小板＜</w:t>
      </w:r>
      <w:r>
        <w:rPr>
          <w:rFonts w:ascii="Times New Roman" w:hAnsi="Times New Roman" w:eastAsia="宋体" w:cs="Times New Roman"/>
          <w:bCs/>
          <w:color w:val="000000"/>
          <w:kern w:val="2"/>
          <w:sz w:val="24"/>
          <w:szCs w:val="24"/>
        </w:rPr>
        <w:t>100</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10</w:t>
      </w:r>
      <w:r>
        <w:rPr>
          <w:rFonts w:ascii="Times New Roman" w:hAnsi="Times New Roman" w:eastAsia="宋体" w:cs="Times New Roman"/>
          <w:bCs/>
          <w:color w:val="000000"/>
          <w:kern w:val="2"/>
          <w:sz w:val="24"/>
          <w:szCs w:val="24"/>
          <w:vertAlign w:val="superscript"/>
        </w:rPr>
        <w:t>9</w:t>
      </w:r>
      <w:r>
        <w:rPr>
          <w:rFonts w:ascii="Times New Roman" w:hAnsi="Times New Roman" w:eastAsia="宋体" w:cs="Times New Roman"/>
          <w:bCs/>
          <w:color w:val="000000"/>
          <w:kern w:val="2"/>
          <w:sz w:val="24"/>
          <w:szCs w:val="24"/>
        </w:rPr>
        <w:t>/L</w:t>
      </w:r>
    </w:p>
    <w:p w14:paraId="3E98E199">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血红蛋白＜</w:t>
      </w:r>
      <w:r>
        <w:rPr>
          <w:rFonts w:ascii="Times New Roman" w:hAnsi="Times New Roman" w:eastAsia="宋体" w:cs="Times New Roman"/>
          <w:bCs/>
          <w:color w:val="000000"/>
          <w:kern w:val="2"/>
          <w:sz w:val="24"/>
          <w:szCs w:val="24"/>
        </w:rPr>
        <w:t xml:space="preserve">100 g/L </w:t>
      </w:r>
      <w:r>
        <w:rPr>
          <w:rFonts w:hint="eastAsia" w:ascii="Times New Roman" w:hAnsi="Times New Roman" w:eastAsia="宋体" w:cs="Times New Roman"/>
          <w:bCs/>
          <w:color w:val="000000"/>
          <w:kern w:val="2"/>
          <w:sz w:val="24"/>
          <w:szCs w:val="24"/>
        </w:rPr>
        <w:t>；</w:t>
      </w:r>
    </w:p>
    <w:p w14:paraId="515EF894">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估算的肾小球滤过率（</w:t>
      </w:r>
      <w:r>
        <w:rPr>
          <w:rFonts w:ascii="Times New Roman" w:hAnsi="Times New Roman" w:eastAsia="宋体" w:cs="Times New Roman"/>
          <w:bCs/>
          <w:color w:val="000000"/>
          <w:kern w:val="2"/>
          <w:sz w:val="24"/>
          <w:szCs w:val="24"/>
        </w:rPr>
        <w:t>estimated Glomerular filtration rate</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eGFR</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60mL/min/1.73 m</w:t>
      </w:r>
      <w:r>
        <w:rPr>
          <w:rFonts w:ascii="Times New Roman" w:hAnsi="Times New Roman" w:eastAsia="宋体" w:cs="Times New Roman"/>
          <w:bCs/>
          <w:color w:val="000000"/>
          <w:kern w:val="2"/>
          <w:sz w:val="24"/>
          <w:szCs w:val="24"/>
          <w:vertAlign w:val="superscript"/>
        </w:rPr>
        <w:t>2</w:t>
      </w:r>
      <w:r>
        <w:rPr>
          <w:rFonts w:hint="eastAsia" w:ascii="Times New Roman" w:hAnsi="Times New Roman" w:eastAsia="宋体" w:cs="Times New Roman"/>
          <w:bCs/>
          <w:color w:val="000000"/>
          <w:kern w:val="2"/>
          <w:sz w:val="24"/>
          <w:szCs w:val="24"/>
        </w:rPr>
        <w:t>（使用慢性肾脏病流行病学协作方程，</w:t>
      </w:r>
      <w:r>
        <w:rPr>
          <w:rFonts w:ascii="Times New Roman" w:hAnsi="Times New Roman" w:eastAsia="宋体" w:cs="Times New Roman"/>
          <w:bCs/>
          <w:color w:val="000000"/>
          <w:kern w:val="2"/>
          <w:sz w:val="24"/>
          <w:szCs w:val="24"/>
        </w:rPr>
        <w:t>Chronic Kidney Disease Epidemiology Collaboration equation</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CKD-EPI</w:t>
      </w:r>
      <w:r>
        <w:rPr>
          <w:rFonts w:hint="eastAsia" w:ascii="Times New Roman" w:hAnsi="Times New Roman" w:eastAsia="宋体" w:cs="Times New Roman"/>
          <w:bCs/>
          <w:color w:val="000000"/>
          <w:kern w:val="2"/>
          <w:sz w:val="24"/>
          <w:szCs w:val="24"/>
        </w:rPr>
        <w:t>，详见附录</w:t>
      </w:r>
      <w:r>
        <w:rPr>
          <w:rFonts w:ascii="Times New Roman" w:hAnsi="Times New Roman" w:eastAsia="宋体" w:cs="Times New Roman"/>
          <w:bCs/>
          <w:color w:val="000000"/>
          <w:kern w:val="2"/>
          <w:sz w:val="24"/>
          <w:szCs w:val="24"/>
        </w:rPr>
        <w:t>2</w:t>
      </w:r>
      <w:r>
        <w:rPr>
          <w:rFonts w:hint="eastAsia" w:ascii="Times New Roman" w:hAnsi="Times New Roman" w:eastAsia="宋体" w:cs="Times New Roman"/>
          <w:bCs/>
          <w:color w:val="000000"/>
          <w:kern w:val="2"/>
          <w:sz w:val="24"/>
          <w:szCs w:val="24"/>
        </w:rPr>
        <w:t>）；</w:t>
      </w:r>
    </w:p>
    <w:p w14:paraId="51F789A6">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丙氨酸转氨酶（</w:t>
      </w:r>
      <w:r>
        <w:rPr>
          <w:rFonts w:ascii="Times New Roman" w:hAnsi="Times New Roman" w:eastAsia="宋体" w:cs="Times New Roman"/>
          <w:bCs/>
          <w:color w:val="000000"/>
          <w:kern w:val="2"/>
          <w:sz w:val="24"/>
          <w:szCs w:val="24"/>
        </w:rPr>
        <w:t>ALT</w:t>
      </w:r>
      <w:r>
        <w:rPr>
          <w:rFonts w:hint="eastAsia" w:ascii="Times New Roman" w:hAnsi="Times New Roman" w:eastAsia="宋体" w:cs="Times New Roman"/>
          <w:bCs/>
          <w:color w:val="000000"/>
          <w:kern w:val="2"/>
          <w:sz w:val="24"/>
          <w:szCs w:val="24"/>
        </w:rPr>
        <w:t>）或天冬氨酸转氨酶（</w:t>
      </w:r>
      <w:r>
        <w:rPr>
          <w:rFonts w:ascii="Times New Roman" w:hAnsi="Times New Roman" w:eastAsia="宋体" w:cs="Times New Roman"/>
          <w:bCs/>
          <w:color w:val="000000"/>
          <w:kern w:val="2"/>
          <w:sz w:val="24"/>
          <w:szCs w:val="24"/>
        </w:rPr>
        <w:t>AST</w:t>
      </w:r>
      <w:r>
        <w:rPr>
          <w:rFonts w:hint="eastAsia" w:ascii="Times New Roman" w:hAnsi="Times New Roman" w:eastAsia="宋体" w:cs="Times New Roman"/>
          <w:bCs/>
          <w:color w:val="000000"/>
          <w:kern w:val="2"/>
          <w:sz w:val="24"/>
          <w:szCs w:val="24"/>
        </w:rPr>
        <w:t>）或总胆红素≥</w:t>
      </w:r>
      <w:r>
        <w:rPr>
          <w:rFonts w:ascii="Times New Roman" w:hAnsi="Times New Roman" w:eastAsia="宋体" w:cs="Times New Roman"/>
          <w:bCs/>
          <w:color w:val="000000"/>
          <w:kern w:val="2"/>
          <w:sz w:val="24"/>
          <w:szCs w:val="24"/>
        </w:rPr>
        <w:t>1.5</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ULN</w:t>
      </w:r>
      <w:r>
        <w:rPr>
          <w:rFonts w:hint="eastAsia" w:ascii="Times New Roman" w:hAnsi="Times New Roman" w:eastAsia="宋体" w:cs="Times New Roman"/>
          <w:bCs/>
          <w:color w:val="000000"/>
          <w:kern w:val="2"/>
          <w:sz w:val="24"/>
          <w:szCs w:val="24"/>
        </w:rPr>
        <w:t>；</w:t>
      </w:r>
    </w:p>
    <w:p w14:paraId="0F029FDF">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任何其它实验室检查结果异常且有临床意义，经研究者评估如果参与研究将可能对参与者构成不可接受的风险；</w:t>
      </w:r>
    </w:p>
    <w:p w14:paraId="4FC119C1">
      <w:pPr>
        <w:numPr>
          <w:ilvl w:val="0"/>
          <w:numId w:val="42"/>
        </w:numPr>
        <w:spacing w:line="360" w:lineRule="auto"/>
        <w:jc w:val="both"/>
        <w:rPr>
          <w:rFonts w:ascii="Times New Roman" w:hAnsi="Times New Roman" w:eastAsia="宋体" w:cs="Times New Roman"/>
          <w:b/>
          <w:color w:val="000000"/>
          <w:kern w:val="2"/>
          <w:sz w:val="24"/>
          <w:szCs w:val="24"/>
        </w:rPr>
      </w:pPr>
      <w:r>
        <w:rPr>
          <w:rFonts w:hint="eastAsia" w:ascii="Times New Roman" w:hAnsi="Times New Roman" w:eastAsia="宋体" w:cs="Times New Roman"/>
          <w:bCs/>
          <w:color w:val="000000"/>
          <w:kern w:val="2"/>
          <w:sz w:val="24"/>
          <w:szCs w:val="24"/>
        </w:rPr>
        <w:t>筛选或基线时，生命体征、体格检查、</w:t>
      </w:r>
      <w:r>
        <w:rPr>
          <w:rFonts w:ascii="Times New Roman" w:hAnsi="Times New Roman" w:eastAsia="宋体" w:cs="Times New Roman"/>
          <w:bCs/>
          <w:color w:val="000000"/>
          <w:kern w:val="2"/>
          <w:sz w:val="24"/>
          <w:szCs w:val="24"/>
        </w:rPr>
        <w:t>12-</w:t>
      </w:r>
      <w:r>
        <w:rPr>
          <w:rFonts w:hint="eastAsia" w:ascii="Times New Roman" w:hAnsi="Times New Roman" w:eastAsia="宋体" w:cs="Times New Roman"/>
          <w:bCs/>
          <w:color w:val="000000"/>
          <w:kern w:val="2"/>
          <w:sz w:val="24"/>
          <w:szCs w:val="24"/>
        </w:rPr>
        <w:t>导联心电图、胸部</w:t>
      </w:r>
      <w:r>
        <w:rPr>
          <w:rFonts w:ascii="Times New Roman" w:hAnsi="Times New Roman" w:eastAsia="宋体" w:cs="Times New Roman"/>
          <w:bCs/>
          <w:color w:val="000000"/>
          <w:kern w:val="2"/>
          <w:sz w:val="24"/>
          <w:szCs w:val="24"/>
        </w:rPr>
        <w:t>CT</w:t>
      </w:r>
      <w:r>
        <w:rPr>
          <w:rFonts w:hint="eastAsia" w:ascii="Times New Roman" w:hAnsi="Times New Roman" w:eastAsia="宋体" w:cs="Times New Roman"/>
          <w:bCs/>
          <w:color w:val="000000"/>
          <w:kern w:val="2"/>
          <w:sz w:val="24"/>
          <w:szCs w:val="24"/>
        </w:rPr>
        <w:t>（可接受</w:t>
      </w:r>
      <w:r>
        <w:rPr>
          <w:rFonts w:ascii="Times New Roman" w:hAnsi="Times New Roman" w:eastAsia="宋体" w:cs="Times New Roman"/>
          <w:bCs/>
          <w:color w:val="000000"/>
          <w:kern w:val="2"/>
          <w:sz w:val="24"/>
          <w:szCs w:val="24"/>
        </w:rPr>
        <w:t>1</w:t>
      </w:r>
      <w:r>
        <w:rPr>
          <w:rFonts w:hint="eastAsia" w:ascii="Times New Roman" w:hAnsi="Times New Roman" w:eastAsia="宋体" w:cs="Times New Roman"/>
          <w:bCs/>
          <w:color w:val="000000"/>
          <w:kern w:val="2"/>
          <w:sz w:val="24"/>
          <w:szCs w:val="24"/>
        </w:rPr>
        <w:t>个月内的</w:t>
      </w:r>
      <w:r>
        <w:rPr>
          <w:rFonts w:ascii="Times New Roman" w:hAnsi="Times New Roman" w:eastAsia="宋体" w:cs="Times New Roman"/>
          <w:bCs/>
          <w:color w:val="000000"/>
          <w:kern w:val="2"/>
          <w:sz w:val="24"/>
          <w:szCs w:val="24"/>
        </w:rPr>
        <w:t>CT</w:t>
      </w:r>
      <w:r>
        <w:rPr>
          <w:rFonts w:hint="eastAsia" w:ascii="Times New Roman" w:hAnsi="Times New Roman" w:eastAsia="宋体" w:cs="Times New Roman"/>
          <w:bCs/>
          <w:color w:val="000000"/>
          <w:kern w:val="2"/>
          <w:sz w:val="24"/>
          <w:szCs w:val="24"/>
        </w:rPr>
        <w:t>检查结果）异常且有临床意义，经研究者评估如果参与研究将可能对参与者构成不可接受的风险；</w:t>
      </w:r>
    </w:p>
    <w:p w14:paraId="39A1138D">
      <w:pPr>
        <w:numPr>
          <w:ilvl w:val="0"/>
          <w:numId w:val="42"/>
        </w:numPr>
        <w:spacing w:line="360" w:lineRule="auto"/>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筛选访视时存在下列任一感染者：</w:t>
      </w:r>
    </w:p>
    <w:p w14:paraId="0E3C865D">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乙型肝炎：表面抗原（</w:t>
      </w:r>
      <w:r>
        <w:rPr>
          <w:rFonts w:ascii="Times New Roman" w:hAnsi="Times New Roman" w:eastAsia="宋体" w:cs="Times New Roman"/>
          <w:color w:val="000000" w:themeColor="text1"/>
          <w:sz w:val="24"/>
          <w:szCs w:val="24"/>
          <w:lang w:bidi="ar"/>
          <w14:textFill>
            <w14:solidFill>
              <w14:schemeClr w14:val="tx1"/>
            </w14:solidFill>
          </w14:textFill>
        </w:rPr>
        <w:t>Hepatitis B surface antigen</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HBsAg</w:t>
      </w:r>
      <w:r>
        <w:rPr>
          <w:rFonts w:hint="eastAsia" w:ascii="Times New Roman" w:hAnsi="Times New Roman" w:eastAsia="宋体" w:cs="Times New Roman"/>
          <w:bCs/>
          <w:color w:val="000000"/>
          <w:kern w:val="2"/>
          <w:sz w:val="24"/>
          <w:szCs w:val="24"/>
        </w:rPr>
        <w:t>）阳性，或核心抗体（</w:t>
      </w:r>
      <w:r>
        <w:rPr>
          <w:rFonts w:ascii="Times New Roman" w:hAnsi="Times New Roman" w:eastAsia="宋体" w:cs="Times New Roman"/>
          <w:color w:val="000000" w:themeColor="text1"/>
          <w:sz w:val="24"/>
          <w:szCs w:val="24"/>
          <w:lang w:bidi="ar"/>
          <w14:textFill>
            <w14:solidFill>
              <w14:schemeClr w14:val="tx1"/>
            </w14:solidFill>
          </w14:textFill>
        </w:rPr>
        <w:t>Hepatitis B surface antibody</w:t>
      </w:r>
      <w:r>
        <w:rPr>
          <w:rFonts w:hint="eastAsia" w:ascii="Times New Roman" w:hAnsi="Times New Roman" w:eastAsia="宋体" w:cs="Times New Roman"/>
          <w:color w:val="000000" w:themeColor="text1"/>
          <w:sz w:val="24"/>
          <w:szCs w:val="24"/>
          <w:lang w:bidi="ar"/>
          <w14:textFill>
            <w14:solidFill>
              <w14:schemeClr w14:val="tx1"/>
            </w14:solidFill>
          </w14:textFill>
        </w:rPr>
        <w:t>，</w:t>
      </w:r>
      <w:r>
        <w:rPr>
          <w:rFonts w:ascii="Times New Roman" w:hAnsi="Times New Roman" w:eastAsia="宋体" w:cs="Times New Roman"/>
          <w:bCs/>
          <w:color w:val="000000"/>
          <w:kern w:val="2"/>
          <w:sz w:val="24"/>
          <w:szCs w:val="24"/>
        </w:rPr>
        <w:t>HBcAb</w:t>
      </w:r>
      <w:r>
        <w:rPr>
          <w:rFonts w:hint="eastAsia" w:ascii="Times New Roman" w:hAnsi="Times New Roman" w:eastAsia="宋体" w:cs="Times New Roman"/>
          <w:bCs/>
          <w:color w:val="000000"/>
          <w:kern w:val="2"/>
          <w:sz w:val="24"/>
          <w:szCs w:val="24"/>
        </w:rPr>
        <w:t>）阳性且乙型肝炎病毒脱氧核糖核酸（</w:t>
      </w:r>
      <w:r>
        <w:rPr>
          <w:rFonts w:ascii="Times New Roman" w:hAnsi="Times New Roman" w:cs="Times New Roman"/>
          <w:sz w:val="24"/>
          <w:szCs w:val="24"/>
        </w:rPr>
        <w:t>Hepatitis B virus Deoxyribonucleic acid</w:t>
      </w:r>
      <w:r>
        <w:rPr>
          <w:rFonts w:hint="eastAsia" w:ascii="Times New Roman" w:hAnsi="Times New Roman" w:cs="Times New Roman"/>
          <w:sz w:val="24"/>
          <w:szCs w:val="24"/>
        </w:rPr>
        <w:t>，</w:t>
      </w:r>
      <w:r>
        <w:rPr>
          <w:rFonts w:ascii="Times New Roman" w:hAnsi="Times New Roman" w:eastAsia="宋体" w:cs="Times New Roman"/>
          <w:bCs/>
          <w:color w:val="000000"/>
          <w:kern w:val="2"/>
          <w:sz w:val="24"/>
          <w:szCs w:val="24"/>
        </w:rPr>
        <w:t>HBV-DNA</w:t>
      </w:r>
      <w:r>
        <w:rPr>
          <w:rFonts w:hint="eastAsia" w:ascii="Times New Roman" w:hAnsi="Times New Roman" w:eastAsia="宋体" w:cs="Times New Roman"/>
          <w:bCs/>
          <w:color w:val="000000"/>
          <w:kern w:val="2"/>
          <w:sz w:val="24"/>
          <w:szCs w:val="24"/>
        </w:rPr>
        <w:t>）拷贝数阳性（定义为超过研究中心检测值正常范围上限）；</w:t>
      </w:r>
    </w:p>
    <w:p w14:paraId="15D4B3A3">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丙型肝炎（</w:t>
      </w:r>
      <w:r>
        <w:rPr>
          <w:rFonts w:ascii="Times New Roman" w:hAnsi="Times New Roman" w:eastAsia="宋体" w:cs="Times New Roman"/>
          <w:bCs/>
          <w:color w:val="000000"/>
          <w:kern w:val="2"/>
          <w:sz w:val="24"/>
          <w:szCs w:val="24"/>
        </w:rPr>
        <w:t>Hepatitis C Virus</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HCV</w:t>
      </w:r>
      <w:r>
        <w:rPr>
          <w:rFonts w:hint="eastAsia" w:ascii="Times New Roman" w:hAnsi="Times New Roman" w:eastAsia="宋体" w:cs="Times New Roman"/>
          <w:bCs/>
          <w:color w:val="000000"/>
          <w:kern w:val="2"/>
          <w:sz w:val="24"/>
          <w:szCs w:val="24"/>
        </w:rPr>
        <w:t>）抗体阳性，且</w:t>
      </w:r>
      <w:r>
        <w:rPr>
          <w:rFonts w:ascii="Times New Roman" w:hAnsi="Times New Roman" w:eastAsia="宋体" w:cs="Times New Roman"/>
          <w:bCs/>
          <w:color w:val="000000"/>
          <w:kern w:val="2"/>
          <w:sz w:val="24"/>
          <w:szCs w:val="24"/>
        </w:rPr>
        <w:t>HCV-RNA</w:t>
      </w:r>
      <w:r>
        <w:rPr>
          <w:rFonts w:hint="eastAsia" w:ascii="Times New Roman" w:hAnsi="Times New Roman" w:eastAsia="宋体" w:cs="Times New Roman"/>
          <w:bCs/>
          <w:color w:val="000000"/>
          <w:kern w:val="2"/>
          <w:sz w:val="24"/>
          <w:szCs w:val="24"/>
        </w:rPr>
        <w:t>拷贝数阳性（定义为超过研究中心检测值正常范围上限）；</w:t>
      </w:r>
    </w:p>
    <w:p w14:paraId="540D506C">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人类免疫缺陷病毒抗体（</w:t>
      </w:r>
      <w:r>
        <w:rPr>
          <w:rFonts w:ascii="Times New Roman" w:hAnsi="Times New Roman" w:eastAsia="宋体" w:cs="Times New Roman"/>
          <w:bCs/>
          <w:color w:val="000000"/>
          <w:kern w:val="2"/>
          <w:sz w:val="24"/>
          <w:szCs w:val="24"/>
        </w:rPr>
        <w:t>Hepatitis C Virus Ribonucleic Acid</w:t>
      </w:r>
      <w:r>
        <w:rPr>
          <w:rFonts w:hint="eastAsia" w:ascii="Times New Roman" w:hAnsi="Times New Roman" w:eastAsia="宋体" w:cs="Times New Roman"/>
          <w:bCs/>
          <w:color w:val="000000"/>
          <w:kern w:val="2"/>
          <w:sz w:val="24"/>
          <w:szCs w:val="24"/>
        </w:rPr>
        <w:t>，</w:t>
      </w:r>
      <w:r>
        <w:rPr>
          <w:rFonts w:ascii="Times New Roman" w:hAnsi="Times New Roman" w:eastAsia="宋体" w:cs="Times New Roman"/>
          <w:bCs/>
          <w:color w:val="000000"/>
          <w:kern w:val="2"/>
          <w:sz w:val="24"/>
          <w:szCs w:val="24"/>
        </w:rPr>
        <w:t>HIV Ab</w:t>
      </w:r>
      <w:r>
        <w:rPr>
          <w:rFonts w:hint="eastAsia" w:ascii="Times New Roman" w:hAnsi="Times New Roman" w:eastAsia="宋体" w:cs="Times New Roman"/>
          <w:bCs/>
          <w:color w:val="000000"/>
          <w:kern w:val="2"/>
          <w:sz w:val="24"/>
          <w:szCs w:val="24"/>
        </w:rPr>
        <w:t>）阳性；</w:t>
      </w:r>
    </w:p>
    <w:p w14:paraId="3BC5B838">
      <w:pPr>
        <w:numPr>
          <w:ilvl w:val="0"/>
          <w:numId w:val="45"/>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梅毒特异性抗体试验阳性（梅毒非特异性抗体结果为阴性，并经研究者判断为过去曾感染梅毒但已治愈的参与者除外）；</w:t>
      </w:r>
    </w:p>
    <w:p w14:paraId="1EC8FC0F">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个月内有酗酒史和</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或药物滥用史；</w:t>
      </w:r>
    </w:p>
    <w:p w14:paraId="00578D0C">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存在任何可能影响药物吸收的情况者，包括但不限于：吸收不良综合征、乳糜泻、胃切除术、肠切除术（阑尾切除术除外）；</w:t>
      </w:r>
    </w:p>
    <w:p w14:paraId="20283168">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周或</w:t>
      </w:r>
      <w:r>
        <w:rPr>
          <w:rFonts w:ascii="Times New Roman" w:hAnsi="Times New Roman" w:eastAsia="宋体" w:cs="Times New Roman"/>
          <w:bCs/>
          <w:color w:val="000000"/>
          <w:kern w:val="2"/>
          <w:sz w:val="24"/>
          <w:szCs w:val="24"/>
        </w:rPr>
        <w:t>5</w:t>
      </w:r>
      <w:r>
        <w:rPr>
          <w:rFonts w:hint="eastAsia" w:ascii="Times New Roman" w:hAnsi="Times New Roman" w:eastAsia="宋体" w:cs="Times New Roman"/>
          <w:bCs/>
          <w:color w:val="000000"/>
          <w:kern w:val="2"/>
          <w:sz w:val="24"/>
          <w:szCs w:val="24"/>
        </w:rPr>
        <w:t>个半衰期（以时间较长者为准）内使用过或在研究期间不能避免使用</w:t>
      </w:r>
      <w:r>
        <w:rPr>
          <w:rFonts w:ascii="Times New Roman" w:hAnsi="Times New Roman" w:eastAsia="宋体" w:cs="Times New Roman"/>
          <w:bCs/>
          <w:color w:val="000000"/>
          <w:kern w:val="2"/>
          <w:sz w:val="24"/>
          <w:szCs w:val="24"/>
        </w:rPr>
        <w:t>CYP3A</w:t>
      </w:r>
      <w:r>
        <w:rPr>
          <w:rFonts w:hint="eastAsia" w:ascii="Times New Roman" w:hAnsi="Times New Roman" w:eastAsia="宋体" w:cs="Times New Roman"/>
          <w:bCs/>
          <w:color w:val="000000"/>
          <w:kern w:val="2"/>
          <w:sz w:val="24"/>
          <w:szCs w:val="24"/>
        </w:rPr>
        <w:t>强诱导剂或抑制剂的药物（见附录</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）者；</w:t>
      </w:r>
    </w:p>
    <w:p w14:paraId="1467F82A">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首次给药前</w:t>
      </w:r>
      <w:r>
        <w:rPr>
          <w:rFonts w:ascii="Times New Roman" w:hAnsi="Times New Roman" w:eastAsia="宋体" w:cs="Times New Roman"/>
          <w:bCs/>
          <w:color w:val="000000"/>
          <w:kern w:val="2"/>
          <w:sz w:val="24"/>
          <w:szCs w:val="24"/>
        </w:rPr>
        <w:t>7</w:t>
      </w:r>
      <w:r>
        <w:rPr>
          <w:rFonts w:hint="eastAsia" w:ascii="Times New Roman" w:hAnsi="Times New Roman" w:eastAsia="宋体" w:cs="Times New Roman"/>
          <w:bCs/>
          <w:color w:val="000000"/>
          <w:kern w:val="2"/>
          <w:sz w:val="24"/>
          <w:szCs w:val="24"/>
        </w:rPr>
        <w:t>天内食用了圣</w:t>
      </w: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约翰草（贯叶连翘）制品、葡萄柚，或拒绝在整个研究期间（包括随访期）避免食用此类物质者；</w:t>
      </w:r>
    </w:p>
    <w:p w14:paraId="7983E543">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筛选前</w:t>
      </w:r>
      <w:r>
        <w:rPr>
          <w:rFonts w:ascii="Times New Roman" w:hAnsi="Times New Roman" w:eastAsia="宋体" w:cs="Times New Roman"/>
          <w:bCs/>
          <w:color w:val="000000"/>
          <w:kern w:val="2"/>
          <w:sz w:val="24"/>
          <w:szCs w:val="24"/>
        </w:rPr>
        <w:t>3</w:t>
      </w:r>
      <w:r>
        <w:rPr>
          <w:rFonts w:hint="eastAsia" w:ascii="Times New Roman" w:hAnsi="Times New Roman" w:eastAsia="宋体" w:cs="Times New Roman"/>
          <w:bCs/>
          <w:color w:val="000000"/>
          <w:kern w:val="2"/>
          <w:sz w:val="24"/>
          <w:szCs w:val="24"/>
        </w:rPr>
        <w:t>个月内献血或失血≥</w:t>
      </w:r>
      <w:r>
        <w:rPr>
          <w:rFonts w:ascii="Times New Roman" w:hAnsi="Times New Roman" w:eastAsia="宋体" w:cs="Times New Roman"/>
          <w:bCs/>
          <w:color w:val="000000"/>
          <w:kern w:val="2"/>
          <w:sz w:val="24"/>
          <w:szCs w:val="24"/>
        </w:rPr>
        <w:t xml:space="preserve"> 400 mL</w:t>
      </w:r>
      <w:r>
        <w:rPr>
          <w:rFonts w:hint="eastAsia" w:ascii="Times New Roman" w:hAnsi="Times New Roman" w:eastAsia="宋体" w:cs="Times New Roman"/>
          <w:bCs/>
          <w:color w:val="000000"/>
          <w:kern w:val="2"/>
          <w:sz w:val="24"/>
          <w:szCs w:val="24"/>
        </w:rPr>
        <w:t>或计划在研究期间献血者；</w:t>
      </w:r>
    </w:p>
    <w:p w14:paraId="755DD417">
      <w:pPr>
        <w:numPr>
          <w:ilvl w:val="0"/>
          <w:numId w:val="42"/>
        </w:numPr>
        <w:spacing w:line="360" w:lineRule="auto"/>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已知或怀疑对试验药物中任何一种成分过敏者，或任何其他显著的药物过敏（如过敏性休克或肝毒性）；</w:t>
      </w:r>
    </w:p>
    <w:p w14:paraId="6F60E08F">
      <w:pPr>
        <w:numPr>
          <w:ilvl w:val="0"/>
          <w:numId w:val="42"/>
        </w:numPr>
        <w:spacing w:line="360" w:lineRule="auto"/>
        <w:jc w:val="both"/>
        <w:rPr>
          <w:rFonts w:ascii="Times New Roman" w:hAnsi="Times New Roman" w:cs="Times New Roman"/>
          <w:b/>
          <w:bCs/>
          <w:sz w:val="24"/>
          <w:szCs w:val="24"/>
        </w:rPr>
      </w:pPr>
      <w:r>
        <w:rPr>
          <w:rFonts w:hint="eastAsia" w:ascii="Times New Roman" w:hAnsi="Times New Roman" w:eastAsia="宋体" w:cs="Times New Roman"/>
          <w:bCs/>
          <w:color w:val="000000"/>
          <w:kern w:val="2"/>
          <w:sz w:val="24"/>
          <w:szCs w:val="24"/>
        </w:rPr>
        <w:t>妊娠或哺乳期女性；</w:t>
      </w:r>
    </w:p>
    <w:p w14:paraId="23E87ABE">
      <w:pPr>
        <w:numPr>
          <w:ilvl w:val="0"/>
          <w:numId w:val="42"/>
        </w:numPr>
        <w:spacing w:line="360" w:lineRule="auto"/>
        <w:rPr>
          <w:rStyle w:val="99"/>
          <w:rFonts w:ascii="Times New Roman" w:hAnsi="Times New Roman" w:cs="Times New Roman"/>
          <w:sz w:val="24"/>
          <w:szCs w:val="24"/>
        </w:rPr>
      </w:pPr>
      <w:r>
        <w:rPr>
          <w:rFonts w:hint="eastAsia" w:ascii="Times New Roman" w:hAnsi="Times New Roman" w:eastAsia="宋体" w:cs="Times New Roman"/>
          <w:bCs/>
          <w:color w:val="000000"/>
          <w:kern w:val="2"/>
          <w:sz w:val="24"/>
          <w:szCs w:val="24"/>
        </w:rPr>
        <w:t>研究者认为不合适参加本研究的其他原因。</w:t>
      </w:r>
    </w:p>
    <w:p w14:paraId="660D7B25">
      <w:pPr>
        <w:pStyle w:val="116"/>
        <w:numPr>
          <w:ilvl w:val="1"/>
          <w:numId w:val="12"/>
        </w:numPr>
        <w:jc w:val="left"/>
        <w:rPr>
          <w:rFonts w:cs="Times New Roman"/>
          <w:sz w:val="24"/>
          <w:szCs w:val="24"/>
        </w:rPr>
      </w:pPr>
      <w:bookmarkStart w:id="70" w:name="_Toc217032241"/>
      <w:r>
        <w:rPr>
          <w:rFonts w:hint="eastAsia" w:cs="Times New Roman"/>
          <w:sz w:val="24"/>
          <w:szCs w:val="24"/>
        </w:rPr>
        <w:t>生活方式考虑</w:t>
      </w:r>
      <w:bookmarkEnd w:id="70"/>
    </w:p>
    <w:p w14:paraId="3B3684D9">
      <w:pPr>
        <w:pStyle w:val="60"/>
        <w:ind w:firstLine="480"/>
        <w:rPr>
          <w:rFonts w:cs="Times New Roman"/>
          <w:sz w:val="24"/>
          <w:szCs w:val="24"/>
        </w:rPr>
      </w:pPr>
      <w:r>
        <w:rPr>
          <w:rStyle w:val="99"/>
          <w:rFonts w:hint="eastAsia" w:cs="Times New Roman"/>
          <w:sz w:val="24"/>
          <w:szCs w:val="24"/>
        </w:rPr>
        <w:t>在本研究期间，要求参与者：</w:t>
      </w:r>
    </w:p>
    <w:p w14:paraId="1B93089A">
      <w:pPr>
        <w:pStyle w:val="60"/>
        <w:numPr>
          <w:ilvl w:val="0"/>
          <w:numId w:val="46"/>
        </w:numPr>
        <w:ind w:left="0" w:firstLine="480"/>
        <w:rPr>
          <w:rFonts w:cs="Times New Roman"/>
          <w:sz w:val="24"/>
          <w:szCs w:val="24"/>
        </w:rPr>
      </w:pPr>
      <w:r>
        <w:rPr>
          <w:rStyle w:val="99"/>
          <w:rFonts w:hint="eastAsia" w:cs="Times New Roman"/>
          <w:sz w:val="24"/>
          <w:szCs w:val="24"/>
        </w:rPr>
        <w:t>首次给药前</w:t>
      </w:r>
      <w:r>
        <w:rPr>
          <w:rStyle w:val="99"/>
          <w:rFonts w:cs="Times New Roman"/>
          <w:sz w:val="24"/>
          <w:szCs w:val="24"/>
        </w:rPr>
        <w:t>7</w:t>
      </w:r>
      <w:r>
        <w:rPr>
          <w:rStyle w:val="99"/>
          <w:rFonts w:hint="eastAsia" w:cs="Times New Roman"/>
          <w:sz w:val="24"/>
          <w:szCs w:val="24"/>
        </w:rPr>
        <w:t>天至整个研究期间（包括随访期）不得食用圣·约翰草（贯叶连翘）制品、葡萄柚或葡萄柚汁。</w:t>
      </w:r>
    </w:p>
    <w:p w14:paraId="2621EB84">
      <w:pPr>
        <w:pStyle w:val="116"/>
        <w:numPr>
          <w:ilvl w:val="1"/>
          <w:numId w:val="12"/>
        </w:numPr>
        <w:jc w:val="left"/>
        <w:rPr>
          <w:rFonts w:cs="Times New Roman"/>
          <w:sz w:val="24"/>
          <w:szCs w:val="24"/>
        </w:rPr>
      </w:pPr>
      <w:bookmarkStart w:id="71" w:name="_Toc217032242"/>
      <w:r>
        <w:rPr>
          <w:rFonts w:hint="eastAsia" w:cs="Times New Roman"/>
          <w:sz w:val="24"/>
          <w:szCs w:val="24"/>
        </w:rPr>
        <w:t>筛选失败</w:t>
      </w:r>
      <w:bookmarkEnd w:id="71"/>
    </w:p>
    <w:p w14:paraId="042DB97C">
      <w:pPr>
        <w:pStyle w:val="60"/>
        <w:ind w:firstLine="480"/>
        <w:rPr>
          <w:rStyle w:val="99"/>
          <w:rFonts w:cs="Times New Roman"/>
          <w:sz w:val="24"/>
          <w:szCs w:val="24"/>
        </w:rPr>
      </w:pPr>
      <w:r>
        <w:rPr>
          <w:rStyle w:val="99"/>
          <w:rFonts w:hint="eastAsia" w:cs="Times New Roman"/>
          <w:sz w:val="24"/>
          <w:szCs w:val="24"/>
        </w:rPr>
        <w:t>筛选失败定义为同意参加临床研究但未被分配至研究治疗中的参与者。筛选失败的参与者应填写原始文件，并记录在</w:t>
      </w:r>
      <w:r>
        <w:rPr>
          <w:rStyle w:val="99"/>
          <w:rFonts w:cs="Times New Roman"/>
          <w:sz w:val="24"/>
          <w:szCs w:val="24"/>
        </w:rPr>
        <w:t>eCRF</w:t>
      </w:r>
      <w:r>
        <w:rPr>
          <w:rStyle w:val="99"/>
          <w:rFonts w:hint="eastAsia" w:cs="Times New Roman"/>
          <w:sz w:val="24"/>
          <w:szCs w:val="24"/>
        </w:rPr>
        <w:t>中，不需要进行进一步的随访。</w:t>
      </w:r>
    </w:p>
    <w:p w14:paraId="292F7E80">
      <w:pPr>
        <w:pStyle w:val="60"/>
        <w:ind w:firstLine="480"/>
        <w:rPr>
          <w:rStyle w:val="99"/>
          <w:rFonts w:cs="Times New Roman"/>
          <w:sz w:val="24"/>
          <w:szCs w:val="24"/>
        </w:rPr>
      </w:pPr>
      <w:r>
        <w:rPr>
          <w:rStyle w:val="99"/>
          <w:rFonts w:hint="eastAsia" w:cs="Times New Roman"/>
          <w:sz w:val="24"/>
          <w:szCs w:val="24"/>
        </w:rPr>
        <w:t>在筛选期间，不符合入排标准的检查，如果研究者认为参与者在重新检查后可能符合要求，则在筛选期间可以重复检查一次。此外，经研究者评估，允许初筛失败的参与者有一次重新筛选的机会，但需要重新签署知情同意书、分配新的筛选号。</w:t>
      </w:r>
    </w:p>
    <w:p w14:paraId="589FB921">
      <w:pPr>
        <w:pStyle w:val="114"/>
        <w:numPr>
          <w:ilvl w:val="0"/>
          <w:numId w:val="12"/>
        </w:numPr>
        <w:rPr>
          <w:rFonts w:cs="Times New Roman"/>
          <w:szCs w:val="28"/>
        </w:rPr>
      </w:pPr>
      <w:bookmarkStart w:id="72" w:name="_Toc217032243"/>
      <w:r>
        <w:rPr>
          <w:rFonts w:hint="eastAsia" w:cs="Times New Roman"/>
          <w:szCs w:val="28"/>
        </w:rPr>
        <w:t>研究治疗</w:t>
      </w:r>
      <w:bookmarkEnd w:id="72"/>
    </w:p>
    <w:p w14:paraId="2AEFB881">
      <w:pPr>
        <w:pStyle w:val="116"/>
        <w:numPr>
          <w:ilvl w:val="1"/>
          <w:numId w:val="12"/>
        </w:numPr>
        <w:jc w:val="left"/>
        <w:rPr>
          <w:rFonts w:cs="Times New Roman"/>
          <w:sz w:val="24"/>
          <w:szCs w:val="24"/>
        </w:rPr>
      </w:pPr>
      <w:bookmarkStart w:id="73" w:name="_Toc217032244"/>
      <w:r>
        <w:rPr>
          <w:rFonts w:hint="eastAsia" w:cs="Times New Roman"/>
          <w:sz w:val="24"/>
          <w:szCs w:val="24"/>
        </w:rPr>
        <w:t>试验用药品</w:t>
      </w:r>
      <w:bookmarkEnd w:id="73"/>
    </w:p>
    <w:p w14:paraId="1ED7E0E5">
      <w:pPr>
        <w:pStyle w:val="116"/>
        <w:numPr>
          <w:ilvl w:val="2"/>
          <w:numId w:val="12"/>
        </w:numPr>
        <w:jc w:val="left"/>
        <w:outlineLvl w:val="2"/>
        <w:rPr>
          <w:rFonts w:cs="Times New Roman"/>
          <w:sz w:val="24"/>
          <w:szCs w:val="24"/>
        </w:rPr>
      </w:pPr>
      <w:bookmarkStart w:id="74" w:name="_Toc217032245"/>
      <w:r>
        <w:rPr>
          <w:rFonts w:hint="eastAsia" w:cs="Times New Roman"/>
          <w:sz w:val="24"/>
          <w:szCs w:val="24"/>
        </w:rPr>
        <w:t>试验用药品信息</w:t>
      </w:r>
      <w:bookmarkEnd w:id="74"/>
    </w:p>
    <w:p w14:paraId="40E672F4">
      <w:pPr>
        <w:autoSpaceDE/>
        <w:autoSpaceDN/>
        <w:spacing w:line="360" w:lineRule="auto"/>
        <w:jc w:val="center"/>
        <w:rPr>
          <w:rFonts w:ascii="Times New Roman" w:hAnsi="Times New Roman" w:eastAsia="宋体" w:cs="Times New Roman"/>
          <w:b/>
          <w:bCs/>
          <w:kern w:val="2"/>
          <w:sz w:val="21"/>
          <w:szCs w:val="21"/>
        </w:rPr>
      </w:pPr>
      <w:r>
        <w:rPr>
          <w:rFonts w:hint="eastAsia" w:ascii="Times New Roman" w:hAnsi="Times New Roman" w:eastAsia="宋体" w:cs="Times New Roman"/>
          <w:b/>
          <w:bCs/>
          <w:sz w:val="21"/>
          <w:szCs w:val="21"/>
        </w:rPr>
        <w:t>表</w:t>
      </w:r>
      <w:r>
        <w:rPr>
          <w:rFonts w:ascii="Times New Roman" w:hAnsi="Times New Roman" w:eastAsia="宋体" w:cs="Times New Roman"/>
          <w:b/>
          <w:bCs/>
          <w:sz w:val="21"/>
          <w:szCs w:val="21"/>
        </w:rPr>
        <w:t xml:space="preserve">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w:instrText>
      </w:r>
      <w:r>
        <w:rPr>
          <w:rFonts w:hint="eastAsia" w:ascii="Times New Roman" w:hAnsi="Times New Roman" w:eastAsia="宋体" w:cs="Times New Roman"/>
          <w:b/>
          <w:bCs/>
          <w:sz w:val="21"/>
          <w:szCs w:val="21"/>
        </w:rPr>
        <w:instrText xml:space="preserve">表</w:instrText>
      </w:r>
      <w:r>
        <w:rPr>
          <w:rFonts w:ascii="Times New Roman" w:hAnsi="Times New Roman" w:eastAsia="宋体" w:cs="Times New Roman"/>
          <w:b/>
          <w:bCs/>
          <w:sz w:val="21"/>
          <w:szCs w:val="21"/>
        </w:rPr>
        <w:instrText xml:space="preserve">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3</w:t>
      </w:r>
      <w:r>
        <w:rPr>
          <w:rFonts w:ascii="Times New Roman" w:hAnsi="Times New Roman" w:eastAsia="宋体" w:cs="Times New Roman"/>
          <w:b/>
          <w:bCs/>
          <w:sz w:val="21"/>
          <w:szCs w:val="21"/>
        </w:rPr>
        <w:fldChar w:fldCharType="end"/>
      </w:r>
      <w:r>
        <w:rPr>
          <w:rFonts w:hint="eastAsia" w:ascii="Times New Roman" w:hAnsi="Times New Roman" w:eastAsia="宋体" w:cs="Times New Roman"/>
          <w:b/>
          <w:bCs/>
          <w:kern w:val="2"/>
          <w:sz w:val="21"/>
          <w:szCs w:val="21"/>
        </w:rPr>
        <w:t>试验用药品信息</w:t>
      </w:r>
    </w:p>
    <w:tbl>
      <w:tblPr>
        <w:tblStyle w:val="9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4091"/>
        <w:gridCol w:w="3895"/>
      </w:tblGrid>
      <w:tr w14:paraId="09F22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680" w:type="pct"/>
            <w:shd w:val="clear" w:color="auto" w:fill="E8E8E8"/>
          </w:tcPr>
          <w:p w14:paraId="5E03621A">
            <w:pPr>
              <w:autoSpaceDE/>
              <w:autoSpaceDN/>
              <w:spacing w:line="276" w:lineRule="auto"/>
              <w:jc w:val="both"/>
              <w:rPr>
                <w:rFonts w:ascii="Times New Roman" w:hAnsi="Times New Roman" w:eastAsia="宋体" w:cs="Times New Roman"/>
                <w:b/>
                <w:bCs/>
                <w:kern w:val="2"/>
                <w:sz w:val="21"/>
                <w:szCs w:val="21"/>
              </w:rPr>
            </w:pPr>
            <w:r>
              <w:rPr>
                <w:rFonts w:hint="eastAsia" w:ascii="Times New Roman" w:hAnsi="Times New Roman" w:eastAsia="宋体" w:cs="Times New Roman"/>
                <w:b/>
                <w:bCs/>
                <w:kern w:val="2"/>
                <w:sz w:val="21"/>
                <w:szCs w:val="21"/>
              </w:rPr>
              <w:t>名称</w:t>
            </w:r>
          </w:p>
        </w:tc>
        <w:tc>
          <w:tcPr>
            <w:tcW w:w="2213" w:type="pct"/>
            <w:shd w:val="clear" w:color="auto" w:fill="E8E8E8"/>
          </w:tcPr>
          <w:p w14:paraId="39936688">
            <w:pPr>
              <w:autoSpaceDE/>
              <w:autoSpaceDN/>
              <w:spacing w:line="276"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CMS-D001</w:t>
            </w:r>
            <w:r>
              <w:rPr>
                <w:rFonts w:hint="eastAsia" w:ascii="Times New Roman" w:hAnsi="Times New Roman" w:eastAsia="宋体" w:cs="Times New Roman"/>
                <w:b/>
                <w:bCs/>
                <w:kern w:val="2"/>
                <w:sz w:val="21"/>
                <w:szCs w:val="21"/>
              </w:rPr>
              <w:t>片</w:t>
            </w:r>
          </w:p>
        </w:tc>
        <w:tc>
          <w:tcPr>
            <w:tcW w:w="2107" w:type="pct"/>
            <w:shd w:val="clear" w:color="auto" w:fill="E8E8E8"/>
          </w:tcPr>
          <w:p w14:paraId="2E5E9C9F">
            <w:pPr>
              <w:autoSpaceDE/>
              <w:autoSpaceDN/>
              <w:spacing w:line="276" w:lineRule="auto"/>
              <w:jc w:val="both"/>
              <w:rPr>
                <w:rFonts w:ascii="Times New Roman" w:hAnsi="Times New Roman" w:eastAsia="宋体" w:cs="Times New Roman"/>
                <w:b/>
                <w:bCs/>
                <w:kern w:val="2"/>
                <w:sz w:val="21"/>
                <w:szCs w:val="21"/>
              </w:rPr>
            </w:pPr>
            <w:r>
              <w:rPr>
                <w:rFonts w:hint="eastAsia" w:ascii="Times New Roman" w:hAnsi="Times New Roman" w:eastAsia="宋体" w:cs="Times New Roman"/>
                <w:b/>
                <w:bCs/>
                <w:kern w:val="2"/>
                <w:sz w:val="21"/>
                <w:szCs w:val="21"/>
              </w:rPr>
              <w:t>安慰剂</w:t>
            </w:r>
          </w:p>
        </w:tc>
      </w:tr>
      <w:tr w14:paraId="2684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680" w:type="pct"/>
          </w:tcPr>
          <w:p w14:paraId="1985E12E">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剂型</w:t>
            </w:r>
          </w:p>
        </w:tc>
        <w:tc>
          <w:tcPr>
            <w:tcW w:w="2213" w:type="pct"/>
          </w:tcPr>
          <w:p w14:paraId="18FFDE3D">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片剂</w:t>
            </w:r>
          </w:p>
        </w:tc>
        <w:tc>
          <w:tcPr>
            <w:tcW w:w="2107" w:type="pct"/>
          </w:tcPr>
          <w:p w14:paraId="1BEF195E">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片剂</w:t>
            </w:r>
          </w:p>
        </w:tc>
      </w:tr>
      <w:tr w14:paraId="04F5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0" w:type="pct"/>
          </w:tcPr>
          <w:p w14:paraId="78DC86D8">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规格</w:t>
            </w:r>
          </w:p>
        </w:tc>
        <w:tc>
          <w:tcPr>
            <w:tcW w:w="2213" w:type="pct"/>
          </w:tcPr>
          <w:p w14:paraId="6C8D226C">
            <w:pPr>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25 mg</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100 mg</w:t>
            </w:r>
          </w:p>
        </w:tc>
        <w:tc>
          <w:tcPr>
            <w:tcW w:w="2107" w:type="pct"/>
          </w:tcPr>
          <w:p w14:paraId="480BB8F4">
            <w:pPr>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w:t>
            </w:r>
          </w:p>
        </w:tc>
      </w:tr>
      <w:tr w14:paraId="4915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Pr>
          <w:p w14:paraId="3CF03C4A">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给药途径</w:t>
            </w:r>
          </w:p>
        </w:tc>
        <w:tc>
          <w:tcPr>
            <w:tcW w:w="2213" w:type="pct"/>
          </w:tcPr>
          <w:p w14:paraId="0E197B7D">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口服</w:t>
            </w:r>
          </w:p>
        </w:tc>
        <w:tc>
          <w:tcPr>
            <w:tcW w:w="2107" w:type="pct"/>
          </w:tcPr>
          <w:p w14:paraId="58B61A5E">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口服</w:t>
            </w:r>
          </w:p>
        </w:tc>
      </w:tr>
      <w:tr w14:paraId="3EF9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Pr>
          <w:p w14:paraId="09D09E0B">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储存</w:t>
            </w:r>
          </w:p>
        </w:tc>
        <w:tc>
          <w:tcPr>
            <w:tcW w:w="2213" w:type="pct"/>
          </w:tcPr>
          <w:p w14:paraId="4CF09199">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避光、密封，干燥、不超过</w:t>
            </w:r>
            <w:r>
              <w:rPr>
                <w:rFonts w:ascii="Times New Roman" w:hAnsi="Times New Roman" w:eastAsia="宋体" w:cs="Times New Roman"/>
                <w:kern w:val="2"/>
                <w:sz w:val="21"/>
                <w:szCs w:val="21"/>
              </w:rPr>
              <w:t>25</w:t>
            </w:r>
            <w:r>
              <w:rPr>
                <w:rFonts w:hint="eastAsia" w:ascii="Times New Roman" w:hAnsi="Times New Roman" w:eastAsia="宋体" w:cs="Times New Roman"/>
                <w:kern w:val="2"/>
                <w:sz w:val="21"/>
                <w:szCs w:val="21"/>
              </w:rPr>
              <w:t>℃保存</w:t>
            </w:r>
          </w:p>
        </w:tc>
        <w:tc>
          <w:tcPr>
            <w:tcW w:w="2107" w:type="pct"/>
          </w:tcPr>
          <w:p w14:paraId="00517C4F">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避光、密封，干燥、不超过</w:t>
            </w:r>
            <w:r>
              <w:rPr>
                <w:rFonts w:ascii="Times New Roman" w:hAnsi="Times New Roman" w:eastAsia="宋体" w:cs="Times New Roman"/>
                <w:kern w:val="2"/>
                <w:sz w:val="21"/>
                <w:szCs w:val="21"/>
              </w:rPr>
              <w:t>25</w:t>
            </w:r>
            <w:r>
              <w:rPr>
                <w:rFonts w:hint="eastAsia" w:ascii="Times New Roman" w:hAnsi="Times New Roman" w:eastAsia="宋体" w:cs="Times New Roman"/>
                <w:kern w:val="2"/>
                <w:sz w:val="21"/>
                <w:szCs w:val="21"/>
              </w:rPr>
              <w:t>℃保存</w:t>
            </w:r>
          </w:p>
        </w:tc>
      </w:tr>
      <w:tr w14:paraId="1677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Pr>
          <w:p w14:paraId="67CECF34">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供应商</w:t>
            </w:r>
          </w:p>
        </w:tc>
        <w:tc>
          <w:tcPr>
            <w:tcW w:w="2213" w:type="pct"/>
          </w:tcPr>
          <w:p w14:paraId="622DDE9B">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海南德镁医药科技有限责任公司</w:t>
            </w:r>
          </w:p>
        </w:tc>
        <w:tc>
          <w:tcPr>
            <w:tcW w:w="2107" w:type="pct"/>
          </w:tcPr>
          <w:p w14:paraId="1634D575">
            <w:pPr>
              <w:autoSpaceDE/>
              <w:autoSpaceDN/>
              <w:spacing w:line="276" w:lineRule="auto"/>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海南德镁医药科技有限责任公司</w:t>
            </w:r>
          </w:p>
        </w:tc>
      </w:tr>
    </w:tbl>
    <w:p w14:paraId="16B795F8">
      <w:pPr>
        <w:pStyle w:val="60"/>
        <w:ind w:firstLine="480"/>
        <w:rPr>
          <w:rFonts w:cs="Times New Roman"/>
          <w:sz w:val="24"/>
          <w:szCs w:val="24"/>
        </w:rPr>
      </w:pPr>
    </w:p>
    <w:p w14:paraId="2B6F864F">
      <w:pPr>
        <w:pStyle w:val="116"/>
        <w:numPr>
          <w:ilvl w:val="2"/>
          <w:numId w:val="12"/>
        </w:numPr>
        <w:jc w:val="left"/>
        <w:outlineLvl w:val="2"/>
        <w:rPr>
          <w:rFonts w:cs="Times New Roman"/>
          <w:sz w:val="24"/>
          <w:szCs w:val="24"/>
        </w:rPr>
      </w:pPr>
      <w:bookmarkStart w:id="75" w:name="_Toc217032246"/>
      <w:r>
        <w:rPr>
          <w:rFonts w:hint="eastAsia" w:cs="Times New Roman"/>
          <w:sz w:val="24"/>
          <w:szCs w:val="24"/>
        </w:rPr>
        <w:t>剂量和给药</w:t>
      </w:r>
      <w:bookmarkEnd w:id="75"/>
    </w:p>
    <w:p w14:paraId="71D02D6F">
      <w:pPr>
        <w:spacing w:line="360" w:lineRule="auto"/>
        <w:rPr>
          <w:rFonts w:ascii="Times New Roman" w:hAnsi="Times New Roman" w:eastAsia="宋体" w:cs="Times New Roman"/>
          <w:b/>
          <w:bCs/>
          <w:color w:val="000000"/>
          <w:sz w:val="24"/>
          <w:szCs w:val="24"/>
          <w:u w:val="thick"/>
        </w:rPr>
      </w:pPr>
      <w:r>
        <w:rPr>
          <w:rFonts w:hint="eastAsia" w:ascii="Times New Roman" w:hAnsi="Times New Roman" w:eastAsia="宋体" w:cs="Times New Roman"/>
          <w:b/>
          <w:bCs/>
          <w:color w:val="000000"/>
          <w:sz w:val="24"/>
          <w:szCs w:val="24"/>
          <w:u w:val="thick"/>
          <w:lang w:eastAsia="zh-Hans"/>
        </w:rPr>
        <w:t>Ⅱ期临床</w:t>
      </w:r>
      <w:r>
        <w:rPr>
          <w:rFonts w:hint="eastAsia" w:ascii="Times New Roman" w:hAnsi="Times New Roman" w:eastAsia="宋体" w:cs="Times New Roman"/>
          <w:b/>
          <w:bCs/>
          <w:color w:val="000000"/>
          <w:sz w:val="24"/>
          <w:szCs w:val="24"/>
          <w:u w:val="thick"/>
        </w:rPr>
        <w:t>研究阶段</w:t>
      </w:r>
    </w:p>
    <w:p w14:paraId="7A80D87B">
      <w:pPr>
        <w:pStyle w:val="60"/>
        <w:ind w:firstLine="480"/>
        <w:rPr>
          <w:rStyle w:val="99"/>
          <w:rFonts w:cs="Times New Roman"/>
          <w:sz w:val="24"/>
          <w:szCs w:val="24"/>
        </w:rPr>
      </w:pPr>
      <w:r>
        <w:rPr>
          <w:rStyle w:val="99"/>
          <w:rFonts w:hint="eastAsia" w:cs="Times New Roman"/>
          <w:sz w:val="24"/>
          <w:szCs w:val="24"/>
        </w:rPr>
        <w:t>本研究采用双盲安慰剂对照设计，符合条件的参与者按照</w:t>
      </w:r>
      <w:r>
        <w:rPr>
          <w:rStyle w:val="99"/>
          <w:rFonts w:cs="Times New Roman"/>
          <w:sz w:val="24"/>
          <w:szCs w:val="24"/>
        </w:rPr>
        <w:t>1:1:1</w:t>
      </w:r>
      <w:r>
        <w:rPr>
          <w:rStyle w:val="99"/>
          <w:rFonts w:hint="eastAsia" w:cs="Times New Roman"/>
          <w:sz w:val="24"/>
          <w:szCs w:val="24"/>
        </w:rPr>
        <w:t>的比例随机接受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Style w:val="99"/>
          <w:rFonts w:hint="eastAsia" w:cs="Times New Roman"/>
          <w:sz w:val="24"/>
          <w:szCs w:val="24"/>
        </w:rPr>
        <w:t>或安慰剂口服给药，每日服药</w:t>
      </w:r>
      <w:r>
        <w:rPr>
          <w:rStyle w:val="99"/>
          <w:rFonts w:cs="Times New Roman"/>
          <w:sz w:val="24"/>
          <w:szCs w:val="24"/>
        </w:rPr>
        <w:t>1</w:t>
      </w:r>
      <w:r>
        <w:rPr>
          <w:rStyle w:val="99"/>
          <w:rFonts w:hint="eastAsia" w:cs="Times New Roman"/>
          <w:sz w:val="24"/>
          <w:szCs w:val="24"/>
        </w:rPr>
        <w:t>次，建议尽量在每天相对固定的时间服药，持续服药</w:t>
      </w:r>
      <w:r>
        <w:rPr>
          <w:rStyle w:val="99"/>
          <w:rFonts w:cs="Times New Roman"/>
          <w:sz w:val="24"/>
          <w:szCs w:val="24"/>
        </w:rPr>
        <w:t>12</w:t>
      </w:r>
      <w:r>
        <w:rPr>
          <w:rStyle w:val="99"/>
          <w:rFonts w:hint="eastAsia" w:cs="Times New Roman"/>
          <w:sz w:val="24"/>
          <w:szCs w:val="24"/>
        </w:rPr>
        <w:t>周。各剂量组参与者服药方案见下表。</w:t>
      </w:r>
    </w:p>
    <w:p w14:paraId="46FE908F">
      <w:pPr>
        <w:pStyle w:val="60"/>
        <w:ind w:firstLine="0" w:firstLineChars="0"/>
        <w:jc w:val="center"/>
        <w:rPr>
          <w:rStyle w:val="99"/>
          <w:rFonts w:cs="Times New Roman"/>
          <w:b/>
          <w:bCs/>
          <w:szCs w:val="21"/>
        </w:rPr>
      </w:pPr>
      <w:r>
        <w:rPr>
          <w:rFonts w:hint="eastAsia" w:cs="Times New Roman"/>
          <w:b/>
          <w:bCs/>
          <w:szCs w:val="21"/>
        </w:rPr>
        <w:t>表</w:t>
      </w:r>
      <w:r>
        <w:rPr>
          <w:rFonts w:cs="Times New Roman"/>
          <w:b/>
          <w:bCs/>
          <w:szCs w:val="21"/>
        </w:rPr>
        <w:t xml:space="preserve"> </w:t>
      </w:r>
      <w:r>
        <w:rPr>
          <w:rFonts w:cs="Times New Roman"/>
          <w:b/>
          <w:bCs/>
          <w:szCs w:val="21"/>
        </w:rPr>
        <w:fldChar w:fldCharType="begin"/>
      </w:r>
      <w:r>
        <w:rPr>
          <w:rFonts w:cs="Times New Roman"/>
          <w:b/>
          <w:bCs/>
          <w:szCs w:val="21"/>
        </w:rPr>
        <w:instrText xml:space="preserve"> SEQ </w:instrText>
      </w:r>
      <w:r>
        <w:rPr>
          <w:rFonts w:hint="eastAsia" w:cs="Times New Roman"/>
          <w:b/>
          <w:bCs/>
          <w:szCs w:val="21"/>
        </w:rPr>
        <w:instrText xml:space="preserve">表</w:instrText>
      </w:r>
      <w:r>
        <w:rPr>
          <w:rFonts w:cs="Times New Roman"/>
          <w:b/>
          <w:bCs/>
          <w:szCs w:val="21"/>
        </w:rPr>
        <w:instrText xml:space="preserve"> \* ARABIC </w:instrText>
      </w:r>
      <w:r>
        <w:rPr>
          <w:rFonts w:cs="Times New Roman"/>
          <w:b/>
          <w:bCs/>
          <w:szCs w:val="21"/>
        </w:rPr>
        <w:fldChar w:fldCharType="separate"/>
      </w:r>
      <w:r>
        <w:rPr>
          <w:rFonts w:cs="Times New Roman"/>
          <w:b/>
          <w:bCs/>
          <w:szCs w:val="21"/>
        </w:rPr>
        <w:t>4</w:t>
      </w:r>
      <w:r>
        <w:rPr>
          <w:rFonts w:cs="Times New Roman"/>
          <w:b/>
          <w:bCs/>
          <w:szCs w:val="21"/>
        </w:rPr>
        <w:fldChar w:fldCharType="end"/>
      </w:r>
      <w:r>
        <w:rPr>
          <w:rFonts w:cs="Times New Roman"/>
          <w:b/>
          <w:bCs/>
          <w:szCs w:val="21"/>
        </w:rPr>
        <w:t xml:space="preserve"> </w:t>
      </w:r>
      <w:r>
        <w:rPr>
          <w:rStyle w:val="99"/>
          <w:rFonts w:hint="eastAsia" w:cs="Times New Roman"/>
          <w:b/>
          <w:bCs/>
          <w:szCs w:val="21"/>
        </w:rPr>
        <w:t>研究药物给药方案</w:t>
      </w:r>
    </w:p>
    <w:tbl>
      <w:tblPr>
        <w:tblStyle w:val="9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7"/>
        <w:gridCol w:w="1617"/>
        <w:gridCol w:w="1616"/>
        <w:gridCol w:w="1616"/>
        <w:gridCol w:w="1616"/>
      </w:tblGrid>
      <w:tr w14:paraId="22C2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709" w:type="dxa"/>
            <w:vMerge w:val="restart"/>
            <w:shd w:val="clear" w:color="auto" w:fill="F1F1F1" w:themeFill="background1" w:themeFillShade="F2"/>
          </w:tcPr>
          <w:p w14:paraId="166E501A">
            <w:pPr>
              <w:pStyle w:val="60"/>
              <w:ind w:firstLine="0" w:firstLineChars="0"/>
              <w:rPr>
                <w:rStyle w:val="99"/>
                <w:rFonts w:cs="Times New Roman"/>
                <w:b/>
                <w:bCs/>
                <w:szCs w:val="21"/>
              </w:rPr>
            </w:pPr>
            <w:r>
              <w:rPr>
                <w:rStyle w:val="99"/>
                <w:rFonts w:hint="eastAsia" w:cs="Times New Roman"/>
                <w:b/>
                <w:bCs/>
                <w:szCs w:val="21"/>
              </w:rPr>
              <w:t>分组</w:t>
            </w:r>
            <w:r>
              <w:rPr>
                <w:rStyle w:val="99"/>
                <w:rFonts w:cs="Times New Roman"/>
                <w:b/>
                <w:bCs/>
                <w:szCs w:val="21"/>
              </w:rPr>
              <w:t>/</w:t>
            </w:r>
            <w:r>
              <w:rPr>
                <w:rStyle w:val="99"/>
                <w:rFonts w:hint="eastAsia" w:cs="Times New Roman"/>
                <w:b/>
                <w:bCs/>
                <w:szCs w:val="21"/>
              </w:rPr>
              <w:t>药物</w:t>
            </w:r>
          </w:p>
        </w:tc>
        <w:tc>
          <w:tcPr>
            <w:tcW w:w="3153" w:type="dxa"/>
            <w:gridSpan w:val="2"/>
            <w:shd w:val="clear" w:color="auto" w:fill="F1F1F1" w:themeFill="background1" w:themeFillShade="F2"/>
          </w:tcPr>
          <w:p w14:paraId="2103C027">
            <w:pPr>
              <w:pStyle w:val="60"/>
              <w:ind w:firstLine="0" w:firstLineChars="0"/>
              <w:jc w:val="center"/>
              <w:rPr>
                <w:rStyle w:val="99"/>
                <w:rFonts w:cs="Times New Roman"/>
                <w:b/>
                <w:bCs/>
                <w:szCs w:val="21"/>
              </w:rPr>
            </w:pPr>
            <w:r>
              <w:rPr>
                <w:rStyle w:val="99"/>
                <w:rFonts w:cs="Times New Roman"/>
                <w:b/>
                <w:bCs/>
                <w:szCs w:val="21"/>
              </w:rPr>
              <w:t>CMS-D001</w:t>
            </w:r>
            <w:r>
              <w:rPr>
                <w:rStyle w:val="99"/>
                <w:rFonts w:hint="eastAsia" w:cs="Times New Roman"/>
                <w:b/>
                <w:bCs/>
                <w:szCs w:val="21"/>
              </w:rPr>
              <w:t>片</w:t>
            </w:r>
            <w:r>
              <w:rPr>
                <w:rStyle w:val="99"/>
                <w:rFonts w:cs="Times New Roman"/>
                <w:b/>
                <w:bCs/>
                <w:szCs w:val="21"/>
              </w:rPr>
              <w:t xml:space="preserve"> </w:t>
            </w:r>
          </w:p>
        </w:tc>
        <w:tc>
          <w:tcPr>
            <w:tcW w:w="3152" w:type="dxa"/>
            <w:gridSpan w:val="2"/>
            <w:shd w:val="clear" w:color="auto" w:fill="F1F1F1" w:themeFill="background1" w:themeFillShade="F2"/>
          </w:tcPr>
          <w:p w14:paraId="27EF4F51">
            <w:pPr>
              <w:pStyle w:val="60"/>
              <w:ind w:firstLine="0" w:firstLineChars="0"/>
              <w:jc w:val="center"/>
              <w:rPr>
                <w:rStyle w:val="99"/>
                <w:rFonts w:cs="Times New Roman"/>
                <w:b/>
                <w:bCs/>
                <w:szCs w:val="21"/>
              </w:rPr>
            </w:pPr>
            <w:r>
              <w:rPr>
                <w:rStyle w:val="99"/>
                <w:rFonts w:hint="eastAsia" w:cs="Times New Roman"/>
                <w:b/>
                <w:bCs/>
                <w:szCs w:val="21"/>
              </w:rPr>
              <w:t>安慰剂</w:t>
            </w:r>
          </w:p>
        </w:tc>
      </w:tr>
      <w:tr w14:paraId="1669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709" w:type="dxa"/>
            <w:vMerge w:val="continue"/>
            <w:shd w:val="clear" w:color="auto" w:fill="F1F1F1" w:themeFill="background1" w:themeFillShade="F2"/>
          </w:tcPr>
          <w:p w14:paraId="20250712">
            <w:pPr>
              <w:pStyle w:val="60"/>
              <w:ind w:firstLine="0" w:firstLineChars="0"/>
              <w:rPr>
                <w:rStyle w:val="99"/>
                <w:rFonts w:cs="Times New Roman"/>
                <w:b/>
                <w:bCs/>
                <w:szCs w:val="21"/>
              </w:rPr>
            </w:pPr>
          </w:p>
        </w:tc>
        <w:tc>
          <w:tcPr>
            <w:tcW w:w="1577" w:type="dxa"/>
            <w:shd w:val="clear" w:color="auto" w:fill="F1F1F1" w:themeFill="background1" w:themeFillShade="F2"/>
          </w:tcPr>
          <w:p w14:paraId="478CF7C2">
            <w:pPr>
              <w:pStyle w:val="60"/>
              <w:ind w:firstLine="0" w:firstLineChars="0"/>
              <w:rPr>
                <w:rStyle w:val="99"/>
                <w:rFonts w:cs="Times New Roman"/>
                <w:b/>
                <w:bCs/>
                <w:szCs w:val="21"/>
              </w:rPr>
            </w:pPr>
            <w:r>
              <w:rPr>
                <w:rStyle w:val="99"/>
                <w:rFonts w:cs="Times New Roman"/>
                <w:b/>
                <w:bCs/>
                <w:szCs w:val="21"/>
              </w:rPr>
              <w:t>25 mg/</w:t>
            </w:r>
            <w:r>
              <w:rPr>
                <w:rStyle w:val="99"/>
                <w:rFonts w:hint="eastAsia" w:cs="Times New Roman"/>
                <w:b/>
                <w:bCs/>
                <w:szCs w:val="21"/>
              </w:rPr>
              <w:t>片</w:t>
            </w:r>
          </w:p>
        </w:tc>
        <w:tc>
          <w:tcPr>
            <w:tcW w:w="1576" w:type="dxa"/>
            <w:shd w:val="clear" w:color="auto" w:fill="F1F1F1" w:themeFill="background1" w:themeFillShade="F2"/>
          </w:tcPr>
          <w:p w14:paraId="0609AC7D">
            <w:pPr>
              <w:pStyle w:val="60"/>
              <w:ind w:firstLine="0" w:firstLineChars="0"/>
              <w:rPr>
                <w:rStyle w:val="99"/>
                <w:rFonts w:cs="Times New Roman"/>
                <w:b/>
                <w:bCs/>
                <w:szCs w:val="21"/>
              </w:rPr>
            </w:pPr>
            <w:r>
              <w:rPr>
                <w:rStyle w:val="99"/>
                <w:rFonts w:cs="Times New Roman"/>
                <w:b/>
                <w:bCs/>
                <w:szCs w:val="21"/>
              </w:rPr>
              <w:t>100 mg/</w:t>
            </w:r>
            <w:r>
              <w:rPr>
                <w:rStyle w:val="99"/>
                <w:rFonts w:hint="eastAsia" w:cs="Times New Roman"/>
                <w:b/>
                <w:bCs/>
                <w:szCs w:val="21"/>
              </w:rPr>
              <w:t>片</w:t>
            </w:r>
          </w:p>
        </w:tc>
        <w:tc>
          <w:tcPr>
            <w:tcW w:w="1576" w:type="dxa"/>
            <w:shd w:val="clear" w:color="auto" w:fill="F1F1F1" w:themeFill="background1" w:themeFillShade="F2"/>
          </w:tcPr>
          <w:p w14:paraId="3C2AF72D">
            <w:pPr>
              <w:pStyle w:val="60"/>
              <w:ind w:firstLine="0" w:firstLineChars="0"/>
              <w:rPr>
                <w:rStyle w:val="99"/>
                <w:rFonts w:cs="Times New Roman"/>
                <w:b/>
                <w:bCs/>
                <w:szCs w:val="21"/>
              </w:rPr>
            </w:pPr>
            <w:r>
              <w:rPr>
                <w:rStyle w:val="99"/>
                <w:rFonts w:cs="Times New Roman"/>
                <w:b/>
                <w:bCs/>
                <w:szCs w:val="21"/>
              </w:rPr>
              <w:t>25 mg/</w:t>
            </w:r>
            <w:r>
              <w:rPr>
                <w:rStyle w:val="99"/>
                <w:rFonts w:hint="eastAsia" w:cs="Times New Roman"/>
                <w:b/>
                <w:bCs/>
                <w:szCs w:val="21"/>
              </w:rPr>
              <w:t>片</w:t>
            </w:r>
          </w:p>
        </w:tc>
        <w:tc>
          <w:tcPr>
            <w:tcW w:w="1576" w:type="dxa"/>
            <w:shd w:val="clear" w:color="auto" w:fill="F1F1F1" w:themeFill="background1" w:themeFillShade="F2"/>
          </w:tcPr>
          <w:p w14:paraId="575942ED">
            <w:pPr>
              <w:pStyle w:val="60"/>
              <w:ind w:firstLine="0" w:firstLineChars="0"/>
              <w:rPr>
                <w:rStyle w:val="99"/>
                <w:rFonts w:cs="Times New Roman"/>
                <w:b/>
                <w:bCs/>
                <w:szCs w:val="21"/>
              </w:rPr>
            </w:pPr>
            <w:r>
              <w:rPr>
                <w:rStyle w:val="99"/>
                <w:rFonts w:cs="Times New Roman"/>
                <w:b/>
                <w:bCs/>
                <w:szCs w:val="21"/>
              </w:rPr>
              <w:t>100 mg/</w:t>
            </w:r>
            <w:r>
              <w:rPr>
                <w:rStyle w:val="99"/>
                <w:rFonts w:hint="eastAsia" w:cs="Times New Roman"/>
                <w:b/>
                <w:bCs/>
                <w:szCs w:val="21"/>
              </w:rPr>
              <w:t>片</w:t>
            </w:r>
          </w:p>
        </w:tc>
      </w:tr>
      <w:tr w14:paraId="3CA6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709" w:type="dxa"/>
          </w:tcPr>
          <w:p w14:paraId="64818B49">
            <w:pPr>
              <w:pStyle w:val="60"/>
              <w:ind w:firstLine="0" w:firstLineChars="0"/>
              <w:rPr>
                <w:rStyle w:val="99"/>
                <w:rFonts w:cs="Times New Roman"/>
                <w:szCs w:val="21"/>
              </w:rPr>
            </w:pPr>
            <w:r>
              <w:rPr>
                <w:rStyle w:val="99"/>
                <w:rFonts w:cs="Times New Roman"/>
                <w:szCs w:val="21"/>
              </w:rPr>
              <w:t>CMS-D001</w:t>
            </w:r>
            <w:r>
              <w:rPr>
                <w:rStyle w:val="99"/>
                <w:rFonts w:hint="eastAsia" w:cs="Times New Roman"/>
                <w:szCs w:val="21"/>
              </w:rPr>
              <w:t>片</w:t>
            </w:r>
            <w:r>
              <w:rPr>
                <w:rStyle w:val="99"/>
                <w:rFonts w:cs="Times New Roman"/>
                <w:szCs w:val="21"/>
              </w:rPr>
              <w:t xml:space="preserve"> 50 mg QD</w:t>
            </w:r>
          </w:p>
        </w:tc>
        <w:tc>
          <w:tcPr>
            <w:tcW w:w="1577" w:type="dxa"/>
            <w:vAlign w:val="center"/>
          </w:tcPr>
          <w:p w14:paraId="58C95F89">
            <w:pPr>
              <w:pStyle w:val="60"/>
              <w:ind w:firstLine="0" w:firstLineChars="0"/>
              <w:jc w:val="center"/>
              <w:rPr>
                <w:rStyle w:val="99"/>
                <w:rFonts w:cs="Times New Roman"/>
                <w:szCs w:val="21"/>
              </w:rPr>
            </w:pPr>
            <w:r>
              <w:rPr>
                <w:rStyle w:val="99"/>
                <w:rFonts w:cs="Times New Roman"/>
                <w:szCs w:val="21"/>
              </w:rPr>
              <w:t>2</w:t>
            </w:r>
            <w:r>
              <w:rPr>
                <w:rStyle w:val="99"/>
                <w:rFonts w:hint="eastAsia" w:cs="Times New Roman"/>
                <w:szCs w:val="21"/>
              </w:rPr>
              <w:t>片</w:t>
            </w:r>
          </w:p>
        </w:tc>
        <w:tc>
          <w:tcPr>
            <w:tcW w:w="1576" w:type="dxa"/>
            <w:vAlign w:val="center"/>
          </w:tcPr>
          <w:p w14:paraId="4062F9D0">
            <w:pPr>
              <w:pStyle w:val="60"/>
              <w:ind w:firstLine="0" w:firstLineChars="0"/>
              <w:jc w:val="center"/>
              <w:rPr>
                <w:rStyle w:val="99"/>
                <w:rFonts w:cs="Times New Roman"/>
                <w:szCs w:val="21"/>
              </w:rPr>
            </w:pPr>
            <w:r>
              <w:rPr>
                <w:rStyle w:val="99"/>
                <w:rFonts w:cs="Times New Roman"/>
                <w:szCs w:val="21"/>
              </w:rPr>
              <w:t>/</w:t>
            </w:r>
          </w:p>
        </w:tc>
        <w:tc>
          <w:tcPr>
            <w:tcW w:w="1576" w:type="dxa"/>
            <w:vAlign w:val="center"/>
          </w:tcPr>
          <w:p w14:paraId="301681BF">
            <w:pPr>
              <w:pStyle w:val="60"/>
              <w:ind w:firstLine="0" w:firstLineChars="0"/>
              <w:jc w:val="center"/>
              <w:rPr>
                <w:rStyle w:val="99"/>
                <w:rFonts w:cs="Times New Roman"/>
                <w:szCs w:val="21"/>
              </w:rPr>
            </w:pPr>
            <w:r>
              <w:rPr>
                <w:rStyle w:val="99"/>
                <w:rFonts w:cs="Times New Roman"/>
                <w:szCs w:val="21"/>
              </w:rPr>
              <w:t>/</w:t>
            </w:r>
          </w:p>
        </w:tc>
        <w:tc>
          <w:tcPr>
            <w:tcW w:w="1576" w:type="dxa"/>
            <w:vAlign w:val="center"/>
          </w:tcPr>
          <w:p w14:paraId="6A7C466A">
            <w:pPr>
              <w:pStyle w:val="60"/>
              <w:ind w:firstLine="0" w:firstLineChars="0"/>
              <w:jc w:val="center"/>
              <w:rPr>
                <w:rStyle w:val="99"/>
                <w:rFonts w:cs="Times New Roman"/>
                <w:szCs w:val="21"/>
              </w:rPr>
            </w:pPr>
            <w:r>
              <w:rPr>
                <w:rStyle w:val="99"/>
                <w:rFonts w:cs="Times New Roman"/>
                <w:szCs w:val="21"/>
              </w:rPr>
              <w:t>1</w:t>
            </w:r>
            <w:r>
              <w:rPr>
                <w:rStyle w:val="99"/>
                <w:rFonts w:hint="eastAsia" w:cs="Times New Roman"/>
                <w:szCs w:val="21"/>
              </w:rPr>
              <w:t>片</w:t>
            </w:r>
          </w:p>
        </w:tc>
      </w:tr>
      <w:tr w14:paraId="7DD6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709" w:type="dxa"/>
          </w:tcPr>
          <w:p w14:paraId="5059CB7B">
            <w:pPr>
              <w:pStyle w:val="60"/>
              <w:ind w:firstLine="0" w:firstLineChars="0"/>
              <w:rPr>
                <w:rStyle w:val="99"/>
                <w:rFonts w:cs="Times New Roman"/>
                <w:szCs w:val="21"/>
              </w:rPr>
            </w:pPr>
            <w:r>
              <w:rPr>
                <w:rStyle w:val="99"/>
                <w:rFonts w:cs="Times New Roman"/>
                <w:szCs w:val="21"/>
              </w:rPr>
              <w:t>CMS-D001</w:t>
            </w:r>
            <w:r>
              <w:rPr>
                <w:rStyle w:val="99"/>
                <w:rFonts w:hint="eastAsia" w:cs="Times New Roman"/>
                <w:szCs w:val="21"/>
              </w:rPr>
              <w:t>片</w:t>
            </w:r>
            <w:r>
              <w:rPr>
                <w:rStyle w:val="99"/>
                <w:rFonts w:cs="Times New Roman"/>
                <w:szCs w:val="21"/>
              </w:rPr>
              <w:t xml:space="preserve"> 100 mg QD</w:t>
            </w:r>
          </w:p>
        </w:tc>
        <w:tc>
          <w:tcPr>
            <w:tcW w:w="1577" w:type="dxa"/>
            <w:vAlign w:val="center"/>
          </w:tcPr>
          <w:p w14:paraId="1FE01FF4">
            <w:pPr>
              <w:pStyle w:val="60"/>
              <w:ind w:firstLine="0" w:firstLineChars="0"/>
              <w:jc w:val="center"/>
              <w:rPr>
                <w:rStyle w:val="99"/>
                <w:rFonts w:cs="Times New Roman"/>
                <w:szCs w:val="21"/>
              </w:rPr>
            </w:pPr>
            <w:r>
              <w:rPr>
                <w:rStyle w:val="99"/>
                <w:rFonts w:cs="Times New Roman"/>
                <w:szCs w:val="21"/>
              </w:rPr>
              <w:t>/</w:t>
            </w:r>
          </w:p>
        </w:tc>
        <w:tc>
          <w:tcPr>
            <w:tcW w:w="1576" w:type="dxa"/>
            <w:vAlign w:val="center"/>
          </w:tcPr>
          <w:p w14:paraId="74368730">
            <w:pPr>
              <w:pStyle w:val="60"/>
              <w:ind w:firstLine="0" w:firstLineChars="0"/>
              <w:jc w:val="center"/>
              <w:rPr>
                <w:rStyle w:val="99"/>
                <w:rFonts w:cs="Times New Roman"/>
                <w:szCs w:val="21"/>
              </w:rPr>
            </w:pPr>
            <w:r>
              <w:rPr>
                <w:rStyle w:val="99"/>
                <w:rFonts w:cs="Times New Roman"/>
                <w:szCs w:val="21"/>
              </w:rPr>
              <w:t>1</w:t>
            </w:r>
            <w:r>
              <w:rPr>
                <w:rStyle w:val="99"/>
                <w:rFonts w:hint="eastAsia" w:cs="Times New Roman"/>
                <w:szCs w:val="21"/>
              </w:rPr>
              <w:t>片</w:t>
            </w:r>
          </w:p>
        </w:tc>
        <w:tc>
          <w:tcPr>
            <w:tcW w:w="1576" w:type="dxa"/>
            <w:vAlign w:val="center"/>
          </w:tcPr>
          <w:p w14:paraId="6AED3B70">
            <w:pPr>
              <w:pStyle w:val="60"/>
              <w:ind w:firstLine="0" w:firstLineChars="0"/>
              <w:jc w:val="center"/>
              <w:rPr>
                <w:rStyle w:val="99"/>
                <w:rFonts w:cs="Times New Roman"/>
                <w:szCs w:val="21"/>
              </w:rPr>
            </w:pPr>
            <w:r>
              <w:rPr>
                <w:rStyle w:val="99"/>
                <w:rFonts w:cs="Times New Roman"/>
                <w:szCs w:val="21"/>
              </w:rPr>
              <w:t>2</w:t>
            </w:r>
            <w:r>
              <w:rPr>
                <w:rStyle w:val="99"/>
                <w:rFonts w:hint="eastAsia" w:cs="Times New Roman"/>
                <w:szCs w:val="21"/>
              </w:rPr>
              <w:t>片</w:t>
            </w:r>
          </w:p>
        </w:tc>
        <w:tc>
          <w:tcPr>
            <w:tcW w:w="1576" w:type="dxa"/>
            <w:vAlign w:val="center"/>
          </w:tcPr>
          <w:p w14:paraId="2A0E3365">
            <w:pPr>
              <w:pStyle w:val="60"/>
              <w:ind w:firstLine="0" w:firstLineChars="0"/>
              <w:jc w:val="center"/>
              <w:rPr>
                <w:rStyle w:val="99"/>
                <w:rFonts w:cs="Times New Roman"/>
                <w:szCs w:val="21"/>
              </w:rPr>
            </w:pPr>
            <w:r>
              <w:rPr>
                <w:rStyle w:val="99"/>
                <w:rFonts w:cs="Times New Roman"/>
                <w:szCs w:val="21"/>
              </w:rPr>
              <w:t>/</w:t>
            </w:r>
          </w:p>
        </w:tc>
      </w:tr>
      <w:tr w14:paraId="1706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2709" w:type="dxa"/>
          </w:tcPr>
          <w:p w14:paraId="28DFD152">
            <w:pPr>
              <w:pStyle w:val="60"/>
              <w:ind w:firstLine="0" w:firstLineChars="0"/>
              <w:rPr>
                <w:rStyle w:val="99"/>
                <w:rFonts w:cs="Times New Roman"/>
                <w:szCs w:val="21"/>
              </w:rPr>
            </w:pPr>
            <w:r>
              <w:rPr>
                <w:rStyle w:val="99"/>
                <w:rFonts w:hint="eastAsia" w:cs="Times New Roman"/>
                <w:szCs w:val="21"/>
              </w:rPr>
              <w:t>安慰剂</w:t>
            </w:r>
            <w:r>
              <w:rPr>
                <w:rStyle w:val="99"/>
                <w:rFonts w:cs="Times New Roman"/>
                <w:szCs w:val="21"/>
              </w:rPr>
              <w:t xml:space="preserve"> QD</w:t>
            </w:r>
          </w:p>
        </w:tc>
        <w:tc>
          <w:tcPr>
            <w:tcW w:w="1577" w:type="dxa"/>
            <w:vAlign w:val="center"/>
          </w:tcPr>
          <w:p w14:paraId="2D6E10EE">
            <w:pPr>
              <w:pStyle w:val="60"/>
              <w:ind w:firstLine="0" w:firstLineChars="0"/>
              <w:jc w:val="center"/>
              <w:rPr>
                <w:rStyle w:val="99"/>
                <w:rFonts w:cs="Times New Roman"/>
                <w:szCs w:val="21"/>
              </w:rPr>
            </w:pPr>
            <w:r>
              <w:rPr>
                <w:rStyle w:val="99"/>
                <w:rFonts w:cs="Times New Roman"/>
                <w:szCs w:val="21"/>
              </w:rPr>
              <w:t>/</w:t>
            </w:r>
          </w:p>
        </w:tc>
        <w:tc>
          <w:tcPr>
            <w:tcW w:w="1576" w:type="dxa"/>
            <w:vAlign w:val="center"/>
          </w:tcPr>
          <w:p w14:paraId="728C41A4">
            <w:pPr>
              <w:pStyle w:val="60"/>
              <w:ind w:firstLine="0" w:firstLineChars="0"/>
              <w:jc w:val="center"/>
              <w:rPr>
                <w:rStyle w:val="99"/>
                <w:rFonts w:cs="Times New Roman"/>
                <w:szCs w:val="21"/>
              </w:rPr>
            </w:pPr>
          </w:p>
        </w:tc>
        <w:tc>
          <w:tcPr>
            <w:tcW w:w="1576" w:type="dxa"/>
            <w:vAlign w:val="center"/>
          </w:tcPr>
          <w:p w14:paraId="09BF1FDA">
            <w:pPr>
              <w:pStyle w:val="60"/>
              <w:ind w:firstLine="0" w:firstLineChars="0"/>
              <w:jc w:val="center"/>
              <w:rPr>
                <w:rStyle w:val="99"/>
                <w:rFonts w:cs="Times New Roman"/>
                <w:szCs w:val="21"/>
              </w:rPr>
            </w:pPr>
            <w:r>
              <w:rPr>
                <w:rStyle w:val="99"/>
                <w:rFonts w:cs="Times New Roman"/>
                <w:szCs w:val="21"/>
              </w:rPr>
              <w:t>2</w:t>
            </w:r>
            <w:r>
              <w:rPr>
                <w:rStyle w:val="99"/>
                <w:rFonts w:hint="eastAsia" w:cs="Times New Roman"/>
                <w:szCs w:val="21"/>
              </w:rPr>
              <w:t>片</w:t>
            </w:r>
          </w:p>
        </w:tc>
        <w:tc>
          <w:tcPr>
            <w:tcW w:w="1576" w:type="dxa"/>
            <w:vAlign w:val="center"/>
          </w:tcPr>
          <w:p w14:paraId="043597A2">
            <w:pPr>
              <w:pStyle w:val="60"/>
              <w:ind w:firstLine="0" w:firstLineChars="0"/>
              <w:jc w:val="center"/>
              <w:rPr>
                <w:rStyle w:val="99"/>
                <w:rFonts w:cs="Times New Roman"/>
                <w:szCs w:val="21"/>
              </w:rPr>
            </w:pPr>
            <w:r>
              <w:rPr>
                <w:rStyle w:val="99"/>
                <w:rFonts w:cs="Times New Roman"/>
                <w:szCs w:val="21"/>
              </w:rPr>
              <w:t>1</w:t>
            </w:r>
            <w:r>
              <w:rPr>
                <w:rStyle w:val="99"/>
                <w:rFonts w:hint="eastAsia" w:cs="Times New Roman"/>
                <w:szCs w:val="21"/>
              </w:rPr>
              <w:t>片</w:t>
            </w:r>
          </w:p>
        </w:tc>
      </w:tr>
    </w:tbl>
    <w:p w14:paraId="55AA602B">
      <w:pPr>
        <w:spacing w:before="468" w:beforeLines="150" w:line="360" w:lineRule="auto"/>
        <w:rPr>
          <w:rFonts w:ascii="Times New Roman" w:hAnsi="Times New Roman" w:eastAsia="宋体" w:cs="Times New Roman"/>
          <w:b/>
          <w:bCs/>
          <w:color w:val="000000"/>
          <w:sz w:val="24"/>
          <w:szCs w:val="24"/>
          <w:u w:val="thick"/>
        </w:rPr>
      </w:pPr>
      <w:r>
        <w:rPr>
          <w:rFonts w:hint="eastAsia" w:ascii="Times New Roman" w:hAnsi="Times New Roman" w:eastAsia="宋体" w:cs="Times New Roman"/>
          <w:b/>
          <w:bCs/>
          <w:color w:val="000000"/>
          <w:sz w:val="24"/>
          <w:szCs w:val="24"/>
          <w:u w:val="thick"/>
          <w:lang w:eastAsia="zh-Hans"/>
        </w:rPr>
        <w:t>Ⅲ期临床</w:t>
      </w:r>
      <w:r>
        <w:rPr>
          <w:rFonts w:hint="eastAsia" w:ascii="Times New Roman" w:hAnsi="Times New Roman" w:eastAsia="宋体" w:cs="Times New Roman"/>
          <w:b/>
          <w:bCs/>
          <w:color w:val="000000"/>
          <w:sz w:val="24"/>
          <w:szCs w:val="24"/>
          <w:u w:val="thick"/>
        </w:rPr>
        <w:t>研究阶段</w:t>
      </w:r>
    </w:p>
    <w:p w14:paraId="76FDD5D8">
      <w:pPr>
        <w:pStyle w:val="60"/>
        <w:ind w:firstLine="480"/>
        <w:rPr>
          <w:rFonts w:cs="Times New Roman"/>
          <w:color w:val="000000"/>
          <w:sz w:val="24"/>
          <w:szCs w:val="24"/>
        </w:rPr>
      </w:pPr>
      <w:r>
        <w:rPr>
          <w:rFonts w:hint="eastAsia" w:cs="Times New Roman"/>
          <w:color w:val="000000"/>
          <w:sz w:val="24"/>
          <w:szCs w:val="24"/>
          <w:lang w:eastAsia="zh-Hans"/>
        </w:rPr>
        <w:t>基础期</w:t>
      </w:r>
      <w:r>
        <w:rPr>
          <w:rFonts w:hint="eastAsia" w:cs="Times New Roman"/>
          <w:color w:val="000000"/>
          <w:sz w:val="24"/>
          <w:szCs w:val="24"/>
        </w:rPr>
        <w:t>阶段，符合条件的参与者按照</w:t>
      </w:r>
      <w:r>
        <w:rPr>
          <w:rFonts w:cs="Times New Roman"/>
          <w:color w:val="000000"/>
          <w:sz w:val="24"/>
          <w:szCs w:val="24"/>
        </w:rPr>
        <w:t>2:2:1</w:t>
      </w:r>
      <w:r>
        <w:rPr>
          <w:rFonts w:hint="eastAsia" w:cs="Times New Roman"/>
          <w:color w:val="000000"/>
          <w:sz w:val="24"/>
          <w:szCs w:val="24"/>
        </w:rPr>
        <w:t>的比例</w:t>
      </w:r>
      <w:r>
        <w:rPr>
          <w:rStyle w:val="99"/>
          <w:rFonts w:hint="eastAsia" w:cs="Times New Roman"/>
          <w:sz w:val="24"/>
          <w:szCs w:val="24"/>
        </w:rPr>
        <w:t>随机接受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Fonts w:hint="eastAsia" w:cs="Times New Roman"/>
          <w:color w:val="000000"/>
          <w:sz w:val="24"/>
          <w:szCs w:val="24"/>
        </w:rPr>
        <w:t>（或基于Ⅱ期研究结果确定的推荐剂量组）</w:t>
      </w:r>
      <w:r>
        <w:rPr>
          <w:rStyle w:val="99"/>
          <w:rFonts w:hint="eastAsia" w:cs="Times New Roman"/>
          <w:sz w:val="24"/>
          <w:szCs w:val="24"/>
        </w:rPr>
        <w:t>或安慰剂口服给药，每日服药</w:t>
      </w:r>
      <w:r>
        <w:rPr>
          <w:rStyle w:val="99"/>
          <w:rFonts w:cs="Times New Roman"/>
          <w:sz w:val="24"/>
          <w:szCs w:val="24"/>
        </w:rPr>
        <w:t>1</w:t>
      </w:r>
      <w:r>
        <w:rPr>
          <w:rStyle w:val="99"/>
          <w:rFonts w:hint="eastAsia" w:cs="Times New Roman"/>
          <w:sz w:val="24"/>
          <w:szCs w:val="24"/>
        </w:rPr>
        <w:t>次。各剂量组参与者服药方案见表</w:t>
      </w:r>
      <w:r>
        <w:rPr>
          <w:rStyle w:val="99"/>
          <w:rFonts w:cs="Times New Roman"/>
          <w:sz w:val="24"/>
          <w:szCs w:val="24"/>
        </w:rPr>
        <w:t>4</w:t>
      </w:r>
      <w:r>
        <w:rPr>
          <w:rStyle w:val="99"/>
          <w:rFonts w:hint="eastAsia" w:cs="Times New Roman"/>
          <w:sz w:val="24"/>
          <w:szCs w:val="24"/>
        </w:rPr>
        <w:t>。</w:t>
      </w:r>
    </w:p>
    <w:p w14:paraId="3F782766">
      <w:pPr>
        <w:pStyle w:val="60"/>
        <w:ind w:firstLine="480"/>
        <w:rPr>
          <w:rFonts w:cs="Times New Roman"/>
          <w:color w:val="000000"/>
          <w:sz w:val="24"/>
          <w:szCs w:val="24"/>
        </w:rPr>
      </w:pPr>
      <w:r>
        <w:rPr>
          <w:rFonts w:hint="eastAsia" w:cs="Times New Roman"/>
          <w:color w:val="000000"/>
          <w:sz w:val="24"/>
          <w:szCs w:val="24"/>
        </w:rPr>
        <w:t>扩展期阶段，基础期接受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Fonts w:hint="eastAsia" w:cs="Times New Roman"/>
          <w:color w:val="000000"/>
          <w:sz w:val="24"/>
          <w:szCs w:val="24"/>
        </w:rPr>
        <w:t>（或基于Ⅱ期研究结果确定的推荐剂量组）</w:t>
      </w:r>
      <w:r>
        <w:rPr>
          <w:rStyle w:val="99"/>
          <w:rFonts w:hint="eastAsia" w:cs="Times New Roman"/>
          <w:sz w:val="24"/>
          <w:szCs w:val="24"/>
        </w:rPr>
        <w:t>口服给药的参与者将继续基础期阶段的给药方式，分别接受</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50 mg</w:t>
      </w:r>
      <w:r>
        <w:rPr>
          <w:rStyle w:val="99"/>
          <w:rFonts w:hint="eastAsia" w:cs="Times New Roman"/>
          <w:sz w:val="24"/>
          <w:szCs w:val="24"/>
        </w:rPr>
        <w:t>、</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100 mg</w:t>
      </w:r>
      <w:r>
        <w:rPr>
          <w:rFonts w:hint="eastAsia" w:cs="Times New Roman"/>
          <w:color w:val="000000"/>
          <w:sz w:val="24"/>
          <w:szCs w:val="24"/>
        </w:rPr>
        <w:t>（或基于Ⅱ期研究结果确定的推荐剂量组）</w:t>
      </w:r>
      <w:r>
        <w:rPr>
          <w:rStyle w:val="99"/>
          <w:rFonts w:hint="eastAsia" w:cs="Times New Roman"/>
          <w:sz w:val="24"/>
          <w:szCs w:val="24"/>
        </w:rPr>
        <w:t>口服给药，每日服药</w:t>
      </w:r>
      <w:r>
        <w:rPr>
          <w:rStyle w:val="99"/>
          <w:rFonts w:cs="Times New Roman"/>
          <w:sz w:val="24"/>
          <w:szCs w:val="24"/>
        </w:rPr>
        <w:t>1</w:t>
      </w:r>
      <w:r>
        <w:rPr>
          <w:rStyle w:val="99"/>
          <w:rFonts w:hint="eastAsia" w:cs="Times New Roman"/>
          <w:sz w:val="24"/>
          <w:szCs w:val="24"/>
        </w:rPr>
        <w:t>次。基础期接受安慰剂口服给药的参与者，</w:t>
      </w:r>
      <w:r>
        <w:rPr>
          <w:rFonts w:hint="eastAsia" w:cs="Times New Roman"/>
          <w:color w:val="000000"/>
          <w:sz w:val="24"/>
          <w:szCs w:val="24"/>
        </w:rPr>
        <w:t>将按照</w:t>
      </w:r>
      <w:r>
        <w:rPr>
          <w:rFonts w:cs="Times New Roman"/>
          <w:color w:val="000000"/>
          <w:sz w:val="24"/>
          <w:szCs w:val="24"/>
        </w:rPr>
        <w:t>1:1</w:t>
      </w:r>
      <w:r>
        <w:rPr>
          <w:rFonts w:hint="eastAsia" w:cs="Times New Roman"/>
          <w:color w:val="000000"/>
          <w:sz w:val="24"/>
          <w:szCs w:val="24"/>
        </w:rPr>
        <w:t>的比例随机分配至接受</w:t>
      </w:r>
      <w:r>
        <w:rPr>
          <w:rFonts w:cs="Times New Roman"/>
          <w:color w:val="000000"/>
          <w:sz w:val="24"/>
          <w:szCs w:val="24"/>
          <w:lang w:eastAsia="zh-Hans"/>
        </w:rPr>
        <w:t>CMS-D001</w:t>
      </w:r>
      <w:r>
        <w:rPr>
          <w:rFonts w:hint="eastAsia" w:cs="Times New Roman"/>
          <w:color w:val="000000"/>
          <w:sz w:val="24"/>
          <w:szCs w:val="24"/>
          <w:lang w:eastAsia="zh-Hans"/>
        </w:rPr>
        <w:t>片</w:t>
      </w:r>
      <w:r>
        <w:rPr>
          <w:rFonts w:cs="Times New Roman"/>
          <w:color w:val="000000"/>
          <w:sz w:val="24"/>
          <w:szCs w:val="24"/>
        </w:rPr>
        <w:t xml:space="preserve"> 50 mg</w:t>
      </w:r>
      <w:r>
        <w:rPr>
          <w:rFonts w:hint="eastAsia" w:cs="Times New Roman"/>
          <w:color w:val="000000"/>
          <w:sz w:val="24"/>
          <w:szCs w:val="24"/>
        </w:rPr>
        <w:t>或</w:t>
      </w:r>
      <w:r>
        <w:rPr>
          <w:rStyle w:val="99"/>
          <w:rFonts w:cs="Times New Roman"/>
          <w:sz w:val="24"/>
          <w:szCs w:val="24"/>
        </w:rPr>
        <w:t>CMS-D001</w:t>
      </w:r>
      <w:r>
        <w:rPr>
          <w:rStyle w:val="99"/>
          <w:rFonts w:hint="eastAsia" w:cs="Times New Roman"/>
          <w:sz w:val="24"/>
          <w:szCs w:val="24"/>
        </w:rPr>
        <w:t>片</w:t>
      </w:r>
      <w:r>
        <w:rPr>
          <w:rStyle w:val="99"/>
          <w:rFonts w:cs="Times New Roman"/>
          <w:sz w:val="24"/>
          <w:szCs w:val="24"/>
        </w:rPr>
        <w:t xml:space="preserve"> </w:t>
      </w:r>
      <w:r>
        <w:rPr>
          <w:rFonts w:cs="Times New Roman"/>
          <w:color w:val="000000"/>
          <w:sz w:val="24"/>
          <w:szCs w:val="24"/>
        </w:rPr>
        <w:t>100 mg</w:t>
      </w:r>
      <w:r>
        <w:rPr>
          <w:rFonts w:hint="eastAsia" w:cs="Times New Roman"/>
          <w:color w:val="000000"/>
          <w:sz w:val="24"/>
          <w:szCs w:val="24"/>
        </w:rPr>
        <w:t>，</w:t>
      </w:r>
      <w:r>
        <w:rPr>
          <w:rStyle w:val="99"/>
          <w:rFonts w:hint="eastAsia" w:cs="Times New Roman"/>
          <w:sz w:val="24"/>
          <w:szCs w:val="24"/>
        </w:rPr>
        <w:t>每日服药</w:t>
      </w:r>
      <w:r>
        <w:rPr>
          <w:rStyle w:val="99"/>
          <w:rFonts w:cs="Times New Roman"/>
          <w:sz w:val="24"/>
          <w:szCs w:val="24"/>
        </w:rPr>
        <w:t>1</w:t>
      </w:r>
      <w:r>
        <w:rPr>
          <w:rStyle w:val="99"/>
          <w:rFonts w:hint="eastAsia" w:cs="Times New Roman"/>
          <w:sz w:val="24"/>
          <w:szCs w:val="24"/>
        </w:rPr>
        <w:t>次</w:t>
      </w:r>
      <w:r>
        <w:rPr>
          <w:rFonts w:hint="eastAsia" w:cs="Times New Roman"/>
          <w:color w:val="000000"/>
          <w:sz w:val="24"/>
          <w:szCs w:val="24"/>
        </w:rPr>
        <w:t>给药，</w:t>
      </w:r>
      <w:r>
        <w:rPr>
          <w:rFonts w:hint="eastAsia" w:cs="Times New Roman"/>
          <w:color w:val="000000"/>
          <w:sz w:val="24"/>
          <w:szCs w:val="24"/>
          <w:lang w:eastAsia="zh-Hans"/>
        </w:rPr>
        <w:t>持续服用至</w:t>
      </w:r>
      <w:r>
        <w:rPr>
          <w:rFonts w:cs="Times New Roman"/>
          <w:color w:val="000000"/>
          <w:sz w:val="24"/>
          <w:szCs w:val="24"/>
          <w:lang w:eastAsia="zh-Hans"/>
        </w:rPr>
        <w:t>52</w:t>
      </w:r>
      <w:r>
        <w:rPr>
          <w:rFonts w:hint="eastAsia" w:cs="Times New Roman"/>
          <w:color w:val="000000"/>
          <w:sz w:val="24"/>
          <w:szCs w:val="24"/>
          <w:lang w:eastAsia="zh-Hans"/>
        </w:rPr>
        <w:t>周</w:t>
      </w:r>
      <w:r>
        <w:rPr>
          <w:rFonts w:hint="eastAsia" w:cs="Times New Roman"/>
          <w:color w:val="000000"/>
          <w:sz w:val="24"/>
          <w:szCs w:val="24"/>
        </w:rPr>
        <w:t>；或根据期中分析结果，</w:t>
      </w:r>
      <w:r>
        <w:rPr>
          <w:rStyle w:val="99"/>
          <w:rFonts w:hint="eastAsia" w:cs="Times New Roman"/>
          <w:sz w:val="24"/>
          <w:szCs w:val="24"/>
        </w:rPr>
        <w:t>基础期接受安慰剂口服给药的所有参与者</w:t>
      </w:r>
      <w:r>
        <w:rPr>
          <w:rFonts w:hint="eastAsia" w:cs="Times New Roman"/>
          <w:color w:val="000000"/>
          <w:sz w:val="24"/>
          <w:szCs w:val="24"/>
        </w:rPr>
        <w:t>转入推荐的Ⅲ期剂量组，</w:t>
      </w:r>
      <w:r>
        <w:rPr>
          <w:rStyle w:val="99"/>
          <w:rFonts w:hint="eastAsia" w:cs="Times New Roman"/>
          <w:sz w:val="24"/>
          <w:szCs w:val="24"/>
        </w:rPr>
        <w:t>每日服药</w:t>
      </w:r>
      <w:r>
        <w:rPr>
          <w:rStyle w:val="99"/>
          <w:rFonts w:cs="Times New Roman"/>
          <w:sz w:val="24"/>
          <w:szCs w:val="24"/>
        </w:rPr>
        <w:t>1</w:t>
      </w:r>
      <w:r>
        <w:rPr>
          <w:rStyle w:val="99"/>
          <w:rFonts w:hint="eastAsia" w:cs="Times New Roman"/>
          <w:sz w:val="24"/>
          <w:szCs w:val="24"/>
        </w:rPr>
        <w:t>次</w:t>
      </w:r>
      <w:r>
        <w:rPr>
          <w:rFonts w:hint="eastAsia" w:cs="Times New Roman"/>
          <w:color w:val="000000"/>
          <w:sz w:val="24"/>
          <w:szCs w:val="24"/>
        </w:rPr>
        <w:t>给药，</w:t>
      </w:r>
      <w:r>
        <w:rPr>
          <w:rFonts w:hint="eastAsia" w:cs="Times New Roman"/>
          <w:color w:val="000000"/>
          <w:sz w:val="24"/>
          <w:szCs w:val="24"/>
          <w:lang w:eastAsia="zh-Hans"/>
        </w:rPr>
        <w:t>持续服用至</w:t>
      </w:r>
      <w:r>
        <w:rPr>
          <w:rFonts w:cs="Times New Roman"/>
          <w:color w:val="000000"/>
          <w:sz w:val="24"/>
          <w:szCs w:val="24"/>
          <w:lang w:eastAsia="zh-Hans"/>
        </w:rPr>
        <w:t>52</w:t>
      </w:r>
      <w:r>
        <w:rPr>
          <w:rFonts w:hint="eastAsia" w:cs="Times New Roman"/>
          <w:color w:val="000000"/>
          <w:sz w:val="24"/>
          <w:szCs w:val="24"/>
          <w:lang w:eastAsia="zh-Hans"/>
        </w:rPr>
        <w:t>周</w:t>
      </w:r>
      <w:r>
        <w:rPr>
          <w:rFonts w:hint="eastAsia" w:cs="Times New Roman"/>
          <w:color w:val="000000"/>
          <w:sz w:val="24"/>
          <w:szCs w:val="24"/>
        </w:rPr>
        <w:t>。</w:t>
      </w:r>
    </w:p>
    <w:p w14:paraId="280F6C57">
      <w:pPr>
        <w:spacing w:line="360" w:lineRule="auto"/>
        <w:jc w:val="both"/>
        <w:rPr>
          <w:rFonts w:ascii="Times New Roman" w:hAnsi="Times New Roman" w:cs="Times New Roman"/>
          <w:b/>
          <w:bCs/>
          <w:sz w:val="24"/>
          <w:szCs w:val="24"/>
          <w:u w:val="thick"/>
        </w:rPr>
      </w:pPr>
      <w:r>
        <w:rPr>
          <w:rFonts w:hint="eastAsia" w:ascii="Times New Roman" w:hAnsi="Times New Roman" w:eastAsia="宋体" w:cs="Times New Roman"/>
          <w:b/>
          <w:bCs/>
          <w:color w:val="000000"/>
          <w:sz w:val="24"/>
          <w:szCs w:val="24"/>
          <w:u w:val="thick"/>
        </w:rPr>
        <w:t>给药方法</w:t>
      </w:r>
    </w:p>
    <w:p w14:paraId="45131185">
      <w:pPr>
        <w:pStyle w:val="60"/>
        <w:ind w:firstLine="480"/>
        <w:rPr>
          <w:rFonts w:cs="Times New Roman"/>
          <w:color w:val="000000"/>
          <w:sz w:val="24"/>
          <w:szCs w:val="24"/>
        </w:rPr>
      </w:pPr>
      <w:r>
        <w:rPr>
          <w:rFonts w:hint="eastAsia" w:cs="Times New Roman"/>
          <w:color w:val="000000"/>
          <w:sz w:val="24"/>
          <w:szCs w:val="24"/>
        </w:rPr>
        <w:t>为保持空腹服药，每次服药与进餐应间隔</w:t>
      </w:r>
      <w:r>
        <w:rPr>
          <w:rFonts w:cs="Times New Roman"/>
          <w:color w:val="000000"/>
          <w:sz w:val="24"/>
          <w:szCs w:val="24"/>
        </w:rPr>
        <w:t>2</w:t>
      </w:r>
      <w:r>
        <w:rPr>
          <w:rFonts w:hint="eastAsia" w:cs="Times New Roman"/>
          <w:color w:val="000000"/>
          <w:sz w:val="24"/>
          <w:szCs w:val="24"/>
        </w:rPr>
        <w:t>小时及以上，即服药前后</w:t>
      </w:r>
      <w:r>
        <w:rPr>
          <w:rFonts w:cs="Times New Roman"/>
          <w:color w:val="000000"/>
          <w:sz w:val="24"/>
          <w:szCs w:val="24"/>
        </w:rPr>
        <w:t>2</w:t>
      </w:r>
      <w:r>
        <w:rPr>
          <w:rFonts w:hint="eastAsia" w:cs="Times New Roman"/>
          <w:color w:val="000000"/>
          <w:sz w:val="24"/>
          <w:szCs w:val="24"/>
        </w:rPr>
        <w:t>小时内尽量不进食，每天服药时间尽量保持一致。</w:t>
      </w:r>
    </w:p>
    <w:p w14:paraId="6786D29C">
      <w:pPr>
        <w:pStyle w:val="60"/>
        <w:ind w:firstLine="480"/>
        <w:rPr>
          <w:rFonts w:cs="Times New Roman"/>
          <w:sz w:val="24"/>
          <w:szCs w:val="24"/>
        </w:rPr>
      </w:pPr>
      <w:r>
        <w:rPr>
          <w:rFonts w:hint="eastAsia" w:cs="Times New Roman"/>
          <w:color w:val="000000"/>
          <w:sz w:val="24"/>
          <w:szCs w:val="24"/>
        </w:rPr>
        <w:t>如漏服一次药物，建议尽快在</w:t>
      </w:r>
      <w:r>
        <w:rPr>
          <w:rFonts w:cs="Times New Roman"/>
          <w:color w:val="000000"/>
          <w:sz w:val="24"/>
          <w:szCs w:val="24"/>
        </w:rPr>
        <w:t>6 h</w:t>
      </w:r>
      <w:r>
        <w:rPr>
          <w:rFonts w:hint="eastAsia" w:cs="Times New Roman"/>
          <w:color w:val="000000"/>
          <w:sz w:val="24"/>
          <w:szCs w:val="24"/>
        </w:rPr>
        <w:t>内（含</w:t>
      </w:r>
      <w:r>
        <w:rPr>
          <w:rFonts w:cs="Times New Roman"/>
          <w:color w:val="000000"/>
          <w:sz w:val="24"/>
          <w:szCs w:val="24"/>
        </w:rPr>
        <w:t>6 h</w:t>
      </w:r>
      <w:r>
        <w:rPr>
          <w:rFonts w:hint="eastAsia" w:cs="Times New Roman"/>
          <w:color w:val="000000"/>
          <w:sz w:val="24"/>
          <w:szCs w:val="24"/>
        </w:rPr>
        <w:t>）完成补服；如漏服药物超过</w:t>
      </w:r>
      <w:r>
        <w:rPr>
          <w:rFonts w:cs="Times New Roman"/>
          <w:color w:val="000000"/>
          <w:sz w:val="24"/>
          <w:szCs w:val="24"/>
        </w:rPr>
        <w:t>6 h</w:t>
      </w:r>
      <w:r>
        <w:rPr>
          <w:rFonts w:hint="eastAsia" w:cs="Times New Roman"/>
          <w:color w:val="000000"/>
          <w:sz w:val="24"/>
          <w:szCs w:val="24"/>
        </w:rPr>
        <w:t>，不建议补服，以上情况均需如实记录在日记卡中。后续按计划服药时间正常服药。</w:t>
      </w:r>
    </w:p>
    <w:p w14:paraId="44B2161C">
      <w:pPr>
        <w:pStyle w:val="116"/>
        <w:numPr>
          <w:ilvl w:val="1"/>
          <w:numId w:val="12"/>
        </w:numPr>
        <w:rPr>
          <w:rFonts w:cs="Times New Roman"/>
          <w:sz w:val="24"/>
          <w:szCs w:val="24"/>
        </w:rPr>
      </w:pPr>
      <w:bookmarkStart w:id="76" w:name="_Toc217032247"/>
      <w:r>
        <w:rPr>
          <w:rFonts w:hint="eastAsia" w:cs="Times New Roman"/>
          <w:sz w:val="24"/>
          <w:szCs w:val="24"/>
        </w:rPr>
        <w:t>试验用药品管理</w:t>
      </w:r>
      <w:bookmarkEnd w:id="76"/>
    </w:p>
    <w:p w14:paraId="6DEC7025">
      <w:pPr>
        <w:pStyle w:val="116"/>
        <w:numPr>
          <w:ilvl w:val="2"/>
          <w:numId w:val="12"/>
        </w:numPr>
        <w:outlineLvl w:val="2"/>
        <w:rPr>
          <w:rFonts w:cs="Times New Roman"/>
          <w:sz w:val="24"/>
          <w:szCs w:val="24"/>
        </w:rPr>
      </w:pPr>
      <w:bookmarkStart w:id="77" w:name="_Toc217032248"/>
      <w:r>
        <w:rPr>
          <w:rFonts w:hint="eastAsia" w:cs="Times New Roman"/>
          <w:sz w:val="24"/>
          <w:szCs w:val="24"/>
        </w:rPr>
        <w:t>试验用药品的包装和标签</w:t>
      </w:r>
      <w:bookmarkEnd w:id="77"/>
      <w:r>
        <w:rPr>
          <w:rFonts w:cs="Times New Roman"/>
          <w:sz w:val="24"/>
          <w:szCs w:val="24"/>
        </w:rPr>
        <w:t xml:space="preserve"> </w:t>
      </w:r>
    </w:p>
    <w:p w14:paraId="4DD7EB6D">
      <w:pPr>
        <w:pStyle w:val="60"/>
        <w:ind w:firstLine="480"/>
        <w:rPr>
          <w:rStyle w:val="99"/>
          <w:rFonts w:cs="Times New Roman"/>
          <w:sz w:val="24"/>
          <w:szCs w:val="24"/>
        </w:rPr>
      </w:pPr>
      <w:r>
        <w:rPr>
          <w:rStyle w:val="99"/>
          <w:rFonts w:hint="eastAsia" w:cs="Times New Roman"/>
          <w:sz w:val="24"/>
          <w:szCs w:val="24"/>
        </w:rPr>
        <w:t>申办者将使用药物编号作为试验用药品的包装识别唯一编码，每个编号的包装内均应有足够参与者在相邻</w:t>
      </w:r>
      <w:r>
        <w:rPr>
          <w:rStyle w:val="99"/>
          <w:rFonts w:cs="Times New Roman"/>
          <w:sz w:val="24"/>
          <w:szCs w:val="24"/>
        </w:rPr>
        <w:t>2</w:t>
      </w:r>
      <w:r>
        <w:rPr>
          <w:rStyle w:val="99"/>
          <w:rFonts w:hint="eastAsia" w:cs="Times New Roman"/>
          <w:sz w:val="24"/>
          <w:szCs w:val="24"/>
        </w:rPr>
        <w:t>次访视期间需要使用的药物。从临床试验盲法考虑，试验用药品不同分组的外包装应保持一致。</w:t>
      </w:r>
    </w:p>
    <w:p w14:paraId="3D579C1E">
      <w:pPr>
        <w:pStyle w:val="60"/>
        <w:ind w:firstLine="480"/>
        <w:rPr>
          <w:rFonts w:cs="Times New Roman"/>
          <w:sz w:val="24"/>
          <w:szCs w:val="24"/>
        </w:rPr>
      </w:pPr>
      <w:r>
        <w:rPr>
          <w:rStyle w:val="99"/>
          <w:rFonts w:hint="eastAsia" w:cs="Times New Roman"/>
          <w:sz w:val="24"/>
          <w:szCs w:val="24"/>
        </w:rPr>
        <w:t>试验用药品标签上应印有参与者筛选号（空白）、试验用药品批号、试验用药品编号、规格、贮存条件、有效期、申办者名称等信息，注明“仅供临床研究用药”等。</w:t>
      </w:r>
    </w:p>
    <w:p w14:paraId="2724C582">
      <w:pPr>
        <w:pStyle w:val="116"/>
        <w:numPr>
          <w:ilvl w:val="2"/>
          <w:numId w:val="12"/>
        </w:numPr>
        <w:outlineLvl w:val="2"/>
        <w:rPr>
          <w:rFonts w:cs="Times New Roman"/>
          <w:sz w:val="24"/>
          <w:szCs w:val="24"/>
        </w:rPr>
      </w:pPr>
      <w:r>
        <w:rPr>
          <w:rFonts w:cs="Times New Roman"/>
          <w:sz w:val="24"/>
          <w:szCs w:val="24"/>
        </w:rPr>
        <w:t xml:space="preserve"> </w:t>
      </w:r>
      <w:bookmarkStart w:id="78" w:name="_Toc217032249"/>
      <w:r>
        <w:rPr>
          <w:rFonts w:hint="eastAsia" w:cs="Times New Roman"/>
          <w:sz w:val="24"/>
          <w:szCs w:val="24"/>
        </w:rPr>
        <w:t>试验用药品的运送、储存和分发</w:t>
      </w:r>
      <w:bookmarkEnd w:id="78"/>
    </w:p>
    <w:p w14:paraId="26AADBC8">
      <w:pPr>
        <w:pStyle w:val="60"/>
        <w:ind w:firstLine="480"/>
        <w:rPr>
          <w:rStyle w:val="99"/>
          <w:rFonts w:cs="Times New Roman"/>
          <w:sz w:val="24"/>
          <w:szCs w:val="24"/>
        </w:rPr>
      </w:pPr>
      <w:r>
        <w:rPr>
          <w:rStyle w:val="99"/>
          <w:rFonts w:hint="eastAsia" w:cs="Times New Roman"/>
          <w:sz w:val="24"/>
          <w:szCs w:val="24"/>
        </w:rPr>
        <w:t>申办者应制定试验用药品的供给和管理规程，包括试验用药品的接收、贮存、分发、使用、回收及销毁等。试验用药品将由申办者统一配送，由专人将试验用药品直接发放到研究中心。研究中心应建立完善的试验用药品接收手续，需有专人接收试验用药品并签署药物接收单。</w:t>
      </w:r>
    </w:p>
    <w:p w14:paraId="1C7187BB">
      <w:pPr>
        <w:pStyle w:val="60"/>
        <w:ind w:firstLine="480"/>
        <w:rPr>
          <w:rStyle w:val="99"/>
          <w:rFonts w:cs="Times New Roman"/>
          <w:sz w:val="24"/>
          <w:szCs w:val="24"/>
        </w:rPr>
      </w:pPr>
      <w:r>
        <w:rPr>
          <w:rStyle w:val="99"/>
          <w:rFonts w:hint="eastAsia" w:cs="Times New Roman"/>
          <w:sz w:val="24"/>
          <w:szCs w:val="24"/>
        </w:rPr>
        <w:t>研究中心应按照管理规程建立严格的专人药物管理制度（专人、专柜、上锁保管）负责试验用药品的保管、分发，并建立登记制度（记录内容包括日期、数量、批号</w:t>
      </w:r>
      <w:r>
        <w:rPr>
          <w:rStyle w:val="99"/>
          <w:rFonts w:cs="Times New Roman"/>
          <w:sz w:val="24"/>
          <w:szCs w:val="24"/>
        </w:rPr>
        <w:t>/</w:t>
      </w:r>
      <w:r>
        <w:rPr>
          <w:rStyle w:val="99"/>
          <w:rFonts w:hint="eastAsia" w:cs="Times New Roman"/>
          <w:sz w:val="24"/>
          <w:szCs w:val="24"/>
        </w:rPr>
        <w:t>序列号、有效期、分配编码、签名等）。研究中心应确保试验用药品的储存环境条件（温度、光线、湿度等）符合规定，并进行记录和保存。如果发现储存条件超出规定范围，需立即与申办者联系。</w:t>
      </w:r>
    </w:p>
    <w:p w14:paraId="2D1BC4E9">
      <w:pPr>
        <w:pStyle w:val="60"/>
        <w:ind w:firstLine="480"/>
        <w:rPr>
          <w:rFonts w:cs="Times New Roman"/>
          <w:sz w:val="24"/>
          <w:szCs w:val="24"/>
        </w:rPr>
      </w:pPr>
      <w:r>
        <w:rPr>
          <w:rStyle w:val="99"/>
          <w:rFonts w:hint="eastAsia" w:cs="Times New Roman"/>
          <w:sz w:val="24"/>
          <w:szCs w:val="24"/>
        </w:rPr>
        <w:t>研究中心试验用药品管理人员将根据参与者被分配的药品编号将试验用药品分发给研究护士，由研究护士给予参与者试验用药品，每一份药物的发放及回收均应在专门记录单上及时记录。如出现试验用药品丢失、散落、误用的情况，应做详细记录。研究结束后，运送至研究者处的所有药品（包括所有未用的、部分使用的试验用药品以及所有回收的药物空包装，连同完整并具备签名的药品返还记录单）需返还给申办者，并由申办者进行回收、销毁，不得流入市场。</w:t>
      </w:r>
    </w:p>
    <w:p w14:paraId="6516D909">
      <w:pPr>
        <w:pStyle w:val="116"/>
        <w:numPr>
          <w:ilvl w:val="1"/>
          <w:numId w:val="12"/>
        </w:numPr>
        <w:rPr>
          <w:rFonts w:cs="Times New Roman"/>
          <w:sz w:val="24"/>
          <w:szCs w:val="24"/>
        </w:rPr>
      </w:pPr>
      <w:bookmarkStart w:id="79" w:name="_Toc217032250"/>
      <w:r>
        <w:rPr>
          <w:rFonts w:hint="eastAsia" w:cs="Times New Roman"/>
          <w:sz w:val="24"/>
          <w:szCs w:val="24"/>
        </w:rPr>
        <w:t>随机化和盲法</w:t>
      </w:r>
      <w:bookmarkEnd w:id="79"/>
    </w:p>
    <w:p w14:paraId="5D2AC3A4">
      <w:pPr>
        <w:pStyle w:val="116"/>
        <w:numPr>
          <w:ilvl w:val="2"/>
          <w:numId w:val="12"/>
        </w:numPr>
        <w:ind w:left="851"/>
        <w:jc w:val="left"/>
        <w:outlineLvl w:val="2"/>
        <w:rPr>
          <w:rFonts w:cs="Times New Roman"/>
          <w:sz w:val="24"/>
          <w:szCs w:val="24"/>
        </w:rPr>
      </w:pPr>
      <w:bookmarkStart w:id="80" w:name="_Toc217032251"/>
      <w:r>
        <w:rPr>
          <w:rFonts w:hint="eastAsia" w:cs="Times New Roman"/>
          <w:sz w:val="24"/>
          <w:szCs w:val="24"/>
        </w:rPr>
        <w:t>随机化</w:t>
      </w:r>
      <w:bookmarkEnd w:id="80"/>
    </w:p>
    <w:p w14:paraId="4A6F6819">
      <w:pPr>
        <w:pStyle w:val="133"/>
        <w:shd w:val="clear" w:color="auto" w:fill="auto"/>
        <w:spacing w:line="360" w:lineRule="auto"/>
        <w:ind w:firstLine="480" w:firstLineChars="200"/>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接受筛选的参与者将获得筛选号，本试验中筛选号不得重复使用。将对符合方案要求的参与者使用交互式网络应答系统（</w:t>
      </w:r>
      <w:r>
        <w:rPr>
          <w:rStyle w:val="99"/>
          <w:rFonts w:ascii="Times New Roman" w:hAnsi="Times New Roman" w:eastAsia="宋体" w:cs="Times New Roman"/>
          <w:color w:val="000000" w:themeColor="text1"/>
          <w:sz w:val="24"/>
          <w:szCs w:val="24"/>
          <w14:textFill>
            <w14:solidFill>
              <w14:schemeClr w14:val="tx1"/>
            </w14:solidFill>
          </w14:textFill>
        </w:rPr>
        <w:t>Interactive Web Response System</w:t>
      </w:r>
      <w:r>
        <w:rPr>
          <w:rStyle w:val="99"/>
          <w:rFonts w:hint="eastAsia" w:ascii="Times New Roman" w:hAnsi="Times New Roman" w:eastAsia="宋体" w:cs="Times New Roman"/>
          <w:color w:val="000000" w:themeColor="text1"/>
          <w:sz w:val="24"/>
          <w:szCs w:val="24"/>
          <w14:textFill>
            <w14:solidFill>
              <w14:schemeClr w14:val="tx1"/>
            </w14:solidFill>
          </w14:textFill>
        </w:rPr>
        <w:t>，</w:t>
      </w:r>
      <w:r>
        <w:rPr>
          <w:rStyle w:val="99"/>
          <w:rFonts w:ascii="Times New Roman" w:hAnsi="Times New Roman" w:eastAsia="宋体" w:cs="Times New Roman"/>
          <w:color w:val="000000" w:themeColor="text1"/>
          <w:sz w:val="24"/>
          <w:szCs w:val="24"/>
          <w14:textFill>
            <w14:solidFill>
              <w14:schemeClr w14:val="tx1"/>
            </w14:solidFill>
          </w14:textFill>
        </w:rPr>
        <w:t>IWRS</w:t>
      </w:r>
      <w:r>
        <w:rPr>
          <w:rStyle w:val="99"/>
          <w:rFonts w:hint="eastAsia" w:ascii="Times New Roman" w:hAnsi="Times New Roman" w:eastAsia="宋体" w:cs="Times New Roman"/>
          <w:color w:val="000000" w:themeColor="text1"/>
          <w:sz w:val="24"/>
          <w:szCs w:val="24"/>
          <w14:textFill>
            <w14:solidFill>
              <w14:schemeClr w14:val="tx1"/>
            </w14:solidFill>
          </w14:textFill>
        </w:rPr>
        <w:t>）进行随机化，各研究中心竞争入组。由负责本试验的统计分析单位非盲统计师用</w:t>
      </w:r>
      <w:r>
        <w:rPr>
          <w:rStyle w:val="99"/>
          <w:rFonts w:ascii="Times New Roman" w:hAnsi="Times New Roman" w:eastAsia="宋体" w:cs="Times New Roman"/>
          <w:color w:val="000000" w:themeColor="text1"/>
          <w:sz w:val="24"/>
          <w:szCs w:val="24"/>
          <w14:textFill>
            <w14:solidFill>
              <w14:schemeClr w14:val="tx1"/>
            </w14:solidFill>
          </w14:textFill>
        </w:rPr>
        <w:t>SAS 9.4</w:t>
      </w:r>
      <w:r>
        <w:rPr>
          <w:rStyle w:val="99"/>
          <w:rFonts w:hint="eastAsia" w:ascii="Times New Roman" w:hAnsi="Times New Roman" w:eastAsia="宋体" w:cs="Times New Roman"/>
          <w:color w:val="000000" w:themeColor="text1"/>
          <w:sz w:val="24"/>
          <w:szCs w:val="24"/>
          <w14:textFill>
            <w14:solidFill>
              <w14:schemeClr w14:val="tx1"/>
            </w14:solidFill>
          </w14:textFill>
        </w:rPr>
        <w:t>（或更新版本）统计软件，以</w:t>
      </w:r>
      <w:r>
        <w:rPr>
          <w:rFonts w:hint="eastAsia" w:ascii="Times New Roman" w:hAnsi="Times New Roman" w:eastAsia="宋体" w:cs="Times New Roman"/>
          <w:color w:val="000000"/>
          <w:kern w:val="2"/>
          <w:sz w:val="24"/>
          <w:szCs w:val="24"/>
        </w:rPr>
        <w:t>银屑病严重程度（</w:t>
      </w:r>
      <w:r>
        <w:rPr>
          <w:rFonts w:ascii="Times New Roman" w:hAnsi="Times New Roman" w:eastAsia="宋体" w:cs="Times New Roman"/>
          <w:color w:val="000000"/>
          <w:kern w:val="2"/>
          <w:sz w:val="24"/>
          <w:szCs w:val="24"/>
        </w:rPr>
        <w:t>PGA</w:t>
      </w:r>
      <w:r>
        <w:rPr>
          <w:rFonts w:hint="eastAsia" w:ascii="Times New Roman" w:hAnsi="Times New Roman" w:eastAsia="宋体" w:cs="Times New Roman"/>
          <w:color w:val="000000"/>
          <w:kern w:val="2"/>
          <w:sz w:val="24"/>
          <w:szCs w:val="24"/>
        </w:rPr>
        <w:t>评分</w:t>
      </w:r>
      <w:r>
        <w:rPr>
          <w:rFonts w:ascii="Times New Roman" w:hAnsi="Times New Roman" w:eastAsia="宋体" w:cs="Times New Roman"/>
          <w:color w:val="000000"/>
          <w:kern w:val="2"/>
          <w:sz w:val="24"/>
          <w:szCs w:val="24"/>
        </w:rPr>
        <w:t>3/4</w:t>
      </w:r>
      <w:r>
        <w:rPr>
          <w:rFonts w:hint="eastAsia" w:ascii="Times New Roman" w:hAnsi="Times New Roman" w:eastAsia="宋体" w:cs="Times New Roman"/>
          <w:color w:val="000000"/>
          <w:kern w:val="2"/>
          <w:sz w:val="24"/>
          <w:szCs w:val="24"/>
        </w:rPr>
        <w:t>）</w:t>
      </w:r>
      <w:r>
        <w:rPr>
          <w:rStyle w:val="99"/>
          <w:rFonts w:hint="eastAsia" w:ascii="Times New Roman" w:hAnsi="Times New Roman" w:eastAsia="宋体" w:cs="Times New Roman"/>
          <w:color w:val="000000" w:themeColor="text1"/>
          <w:sz w:val="24"/>
          <w:szCs w:val="24"/>
          <w14:textFill>
            <w14:solidFill>
              <w14:schemeClr w14:val="tx1"/>
            </w14:solidFill>
          </w14:textFill>
        </w:rPr>
        <w:t>为分层因素，生成连续编号的随机表。随机表用文件的形式写出随机号及对应的组别，且随机表具有可重现性，随机表将导入到</w:t>
      </w:r>
      <w:r>
        <w:rPr>
          <w:rStyle w:val="99"/>
          <w:rFonts w:ascii="Times New Roman" w:hAnsi="Times New Roman" w:eastAsia="宋体" w:cs="Times New Roman"/>
          <w:color w:val="000000" w:themeColor="text1"/>
          <w:sz w:val="24"/>
          <w:szCs w:val="24"/>
          <w14:textFill>
            <w14:solidFill>
              <w14:schemeClr w14:val="tx1"/>
            </w14:solidFill>
          </w14:textFill>
        </w:rPr>
        <w:t>IWRS</w:t>
      </w:r>
      <w:r>
        <w:rPr>
          <w:rStyle w:val="99"/>
          <w:rFonts w:hint="eastAsia" w:ascii="Times New Roman" w:hAnsi="Times New Roman" w:eastAsia="宋体" w:cs="Times New Roman"/>
          <w:color w:val="000000" w:themeColor="text1"/>
          <w:sz w:val="24"/>
          <w:szCs w:val="24"/>
          <w14:textFill>
            <w14:solidFill>
              <w14:schemeClr w14:val="tx1"/>
            </w14:solidFill>
          </w14:textFill>
        </w:rPr>
        <w:t>。筛选合格的</w:t>
      </w:r>
      <w:r>
        <w:rPr>
          <w:rFonts w:hint="eastAsia" w:ascii="Times New Roman" w:hAnsi="Times New Roman" w:eastAsia="宋体" w:cs="Times New Roman"/>
          <w:color w:val="000000"/>
          <w:sz w:val="24"/>
          <w:szCs w:val="24"/>
        </w:rPr>
        <w:t>Ⅱ期</w:t>
      </w:r>
      <w:r>
        <w:rPr>
          <w:rStyle w:val="99"/>
          <w:rFonts w:hint="eastAsia" w:ascii="Times New Roman" w:hAnsi="Times New Roman" w:eastAsia="宋体" w:cs="Times New Roman"/>
          <w:color w:val="000000" w:themeColor="text1"/>
          <w:sz w:val="24"/>
          <w:szCs w:val="24"/>
          <w14:textFill>
            <w14:solidFill>
              <w14:schemeClr w14:val="tx1"/>
            </w14:solidFill>
          </w14:textFill>
        </w:rPr>
        <w:t>参与者将按照</w:t>
      </w:r>
      <w:r>
        <w:rPr>
          <w:rStyle w:val="99"/>
          <w:rFonts w:ascii="Times New Roman" w:hAnsi="Times New Roman" w:eastAsia="宋体" w:cs="Times New Roman"/>
          <w:color w:val="000000" w:themeColor="text1"/>
          <w:sz w:val="24"/>
          <w:szCs w:val="24"/>
          <w14:textFill>
            <w14:solidFill>
              <w14:schemeClr w14:val="tx1"/>
            </w14:solidFill>
          </w14:textFill>
        </w:rPr>
        <w:t>1:1:1</w:t>
      </w:r>
      <w:r>
        <w:rPr>
          <w:rStyle w:val="99"/>
          <w:rFonts w:hint="eastAsia" w:ascii="Times New Roman" w:hAnsi="Times New Roman" w:eastAsia="宋体" w:cs="Times New Roman"/>
          <w:color w:val="000000" w:themeColor="text1"/>
          <w:sz w:val="24"/>
          <w:szCs w:val="24"/>
          <w14:textFill>
            <w14:solidFill>
              <w14:schemeClr w14:val="tx1"/>
            </w14:solidFill>
          </w14:textFill>
        </w:rPr>
        <w:t>的比例随机分配至</w:t>
      </w:r>
      <w:r>
        <w:rPr>
          <w:rStyle w:val="99"/>
          <w:rFonts w:ascii="Times New Roman" w:hAnsi="Times New Roman" w:eastAsia="宋体" w:cs="Times New Roman"/>
          <w:color w:val="000000" w:themeColor="text1"/>
          <w:sz w:val="24"/>
          <w:szCs w:val="24"/>
          <w14:textFill>
            <w14:solidFill>
              <w14:schemeClr w14:val="tx1"/>
            </w14:solidFill>
          </w14:textFill>
        </w:rPr>
        <w:t>CMS-D001</w:t>
      </w:r>
      <w:r>
        <w:rPr>
          <w:rStyle w:val="99"/>
          <w:rFonts w:hint="eastAsia" w:ascii="Times New Roman" w:hAnsi="Times New Roman" w:eastAsia="宋体" w:cs="Times New Roman"/>
          <w:color w:val="000000" w:themeColor="text1"/>
          <w:sz w:val="24"/>
          <w:szCs w:val="24"/>
          <w14:textFill>
            <w14:solidFill>
              <w14:schemeClr w14:val="tx1"/>
            </w14:solidFill>
          </w14:textFill>
        </w:rPr>
        <w:t>片</w:t>
      </w:r>
      <w:r>
        <w:rPr>
          <w:rStyle w:val="99"/>
          <w:rFonts w:ascii="Times New Roman" w:hAnsi="Times New Roman" w:eastAsia="宋体" w:cs="Times New Roman"/>
          <w:color w:val="000000" w:themeColor="text1"/>
          <w:sz w:val="24"/>
          <w:szCs w:val="24"/>
          <w14:textFill>
            <w14:solidFill>
              <w14:schemeClr w14:val="tx1"/>
            </w14:solidFill>
          </w14:textFill>
        </w:rPr>
        <w:t xml:space="preserve"> 50 mg QD</w:t>
      </w:r>
      <w:r>
        <w:rPr>
          <w:rStyle w:val="99"/>
          <w:rFonts w:hint="eastAsia" w:ascii="Times New Roman" w:hAnsi="Times New Roman" w:eastAsia="宋体" w:cs="Times New Roman"/>
          <w:color w:val="000000" w:themeColor="text1"/>
          <w:sz w:val="24"/>
          <w:szCs w:val="24"/>
          <w14:textFill>
            <w14:solidFill>
              <w14:schemeClr w14:val="tx1"/>
            </w14:solidFill>
          </w14:textFill>
        </w:rPr>
        <w:t>、</w:t>
      </w:r>
      <w:r>
        <w:rPr>
          <w:rStyle w:val="99"/>
          <w:rFonts w:ascii="Times New Roman" w:hAnsi="Times New Roman" w:eastAsia="宋体" w:cs="Times New Roman"/>
          <w:color w:val="000000" w:themeColor="text1"/>
          <w:sz w:val="24"/>
          <w:szCs w:val="24"/>
          <w14:textFill>
            <w14:solidFill>
              <w14:schemeClr w14:val="tx1"/>
            </w14:solidFill>
          </w14:textFill>
        </w:rPr>
        <w:t>100 mg QD</w:t>
      </w:r>
      <w:r>
        <w:rPr>
          <w:rStyle w:val="99"/>
          <w:rFonts w:hint="eastAsia" w:ascii="Times New Roman" w:hAnsi="Times New Roman" w:eastAsia="宋体" w:cs="Times New Roman"/>
          <w:color w:val="000000" w:themeColor="text1"/>
          <w:sz w:val="24"/>
          <w:szCs w:val="24"/>
          <w14:textFill>
            <w14:solidFill>
              <w14:schemeClr w14:val="tx1"/>
            </w14:solidFill>
          </w14:textFill>
        </w:rPr>
        <w:t>及安慰剂组，筛选合格的</w:t>
      </w:r>
      <w:r>
        <w:rPr>
          <w:rFonts w:hint="eastAsia" w:ascii="Times New Roman" w:hAnsi="Times New Roman" w:eastAsia="宋体" w:cs="Times New Roman"/>
          <w:color w:val="000000"/>
          <w:sz w:val="24"/>
          <w:szCs w:val="24"/>
        </w:rPr>
        <w:t>Ⅲ期</w:t>
      </w:r>
      <w:r>
        <w:rPr>
          <w:rStyle w:val="99"/>
          <w:rFonts w:hint="eastAsia" w:ascii="Times New Roman" w:hAnsi="Times New Roman" w:eastAsia="宋体" w:cs="Times New Roman"/>
          <w:color w:val="000000" w:themeColor="text1"/>
          <w:sz w:val="24"/>
          <w:szCs w:val="24"/>
          <w14:textFill>
            <w14:solidFill>
              <w14:schemeClr w14:val="tx1"/>
            </w14:solidFill>
          </w14:textFill>
        </w:rPr>
        <w:t>参与者将按照</w:t>
      </w:r>
      <w:r>
        <w:rPr>
          <w:rStyle w:val="99"/>
          <w:rFonts w:ascii="Times New Roman" w:hAnsi="Times New Roman" w:eastAsia="宋体" w:cs="Times New Roman"/>
          <w:color w:val="000000" w:themeColor="text1"/>
          <w:sz w:val="24"/>
          <w:szCs w:val="24"/>
          <w14:textFill>
            <w14:solidFill>
              <w14:schemeClr w14:val="tx1"/>
            </w14:solidFill>
          </w14:textFill>
        </w:rPr>
        <w:t>2:2:1</w:t>
      </w:r>
      <w:r>
        <w:rPr>
          <w:rStyle w:val="99"/>
          <w:rFonts w:hint="eastAsia" w:ascii="Times New Roman" w:hAnsi="Times New Roman" w:eastAsia="宋体" w:cs="Times New Roman"/>
          <w:color w:val="000000" w:themeColor="text1"/>
          <w:sz w:val="24"/>
          <w:szCs w:val="24"/>
          <w14:textFill>
            <w14:solidFill>
              <w14:schemeClr w14:val="tx1"/>
            </w14:solidFill>
          </w14:textFill>
        </w:rPr>
        <w:t>的比例随机分配至</w:t>
      </w:r>
      <w:r>
        <w:rPr>
          <w:rStyle w:val="99"/>
          <w:rFonts w:ascii="Times New Roman" w:hAnsi="Times New Roman" w:eastAsia="宋体" w:cs="Times New Roman"/>
          <w:color w:val="000000" w:themeColor="text1"/>
          <w:sz w:val="24"/>
          <w:szCs w:val="24"/>
          <w14:textFill>
            <w14:solidFill>
              <w14:schemeClr w14:val="tx1"/>
            </w14:solidFill>
          </w14:textFill>
        </w:rPr>
        <w:t>CMS-D001</w:t>
      </w:r>
      <w:r>
        <w:rPr>
          <w:rStyle w:val="99"/>
          <w:rFonts w:hint="eastAsia" w:ascii="Times New Roman" w:hAnsi="Times New Roman" w:eastAsia="宋体" w:cs="Times New Roman"/>
          <w:color w:val="000000" w:themeColor="text1"/>
          <w:sz w:val="24"/>
          <w:szCs w:val="24"/>
          <w14:textFill>
            <w14:solidFill>
              <w14:schemeClr w14:val="tx1"/>
            </w14:solidFill>
          </w14:textFill>
        </w:rPr>
        <w:t>片</w:t>
      </w:r>
      <w:r>
        <w:rPr>
          <w:rStyle w:val="99"/>
          <w:rFonts w:ascii="Times New Roman" w:hAnsi="Times New Roman" w:eastAsia="宋体" w:cs="Times New Roman"/>
          <w:color w:val="000000" w:themeColor="text1"/>
          <w:sz w:val="24"/>
          <w:szCs w:val="24"/>
          <w14:textFill>
            <w14:solidFill>
              <w14:schemeClr w14:val="tx1"/>
            </w14:solidFill>
          </w14:textFill>
        </w:rPr>
        <w:t xml:space="preserve"> 50 mg QD</w:t>
      </w:r>
      <w:r>
        <w:rPr>
          <w:rStyle w:val="99"/>
          <w:rFonts w:hint="eastAsia" w:ascii="Times New Roman" w:hAnsi="Times New Roman" w:eastAsia="宋体" w:cs="Times New Roman"/>
          <w:color w:val="000000" w:themeColor="text1"/>
          <w:sz w:val="24"/>
          <w:szCs w:val="24"/>
          <w14:textFill>
            <w14:solidFill>
              <w14:schemeClr w14:val="tx1"/>
            </w14:solidFill>
          </w14:textFill>
        </w:rPr>
        <w:t>、</w:t>
      </w:r>
      <w:r>
        <w:rPr>
          <w:rStyle w:val="99"/>
          <w:rFonts w:ascii="Times New Roman" w:hAnsi="Times New Roman" w:eastAsia="宋体" w:cs="Times New Roman"/>
          <w:color w:val="000000" w:themeColor="text1"/>
          <w:sz w:val="24"/>
          <w:szCs w:val="24"/>
          <w14:textFill>
            <w14:solidFill>
              <w14:schemeClr w14:val="tx1"/>
            </w14:solidFill>
          </w14:textFill>
        </w:rPr>
        <w:t>100 mg QD</w:t>
      </w:r>
      <w:r>
        <w:rPr>
          <w:rFonts w:hint="eastAsia" w:ascii="Times New Roman" w:hAnsi="Times New Roman" w:eastAsia="宋体" w:cs="Times New Roman"/>
          <w:color w:val="000000"/>
          <w:sz w:val="24"/>
          <w:szCs w:val="24"/>
        </w:rPr>
        <w:t>（或基于Ⅱ期研究结果确定的推荐剂量组）</w:t>
      </w:r>
      <w:r>
        <w:rPr>
          <w:rStyle w:val="99"/>
          <w:rFonts w:hint="eastAsia" w:ascii="Times New Roman" w:hAnsi="Times New Roman" w:eastAsia="宋体" w:cs="Times New Roman"/>
          <w:color w:val="000000" w:themeColor="text1"/>
          <w:sz w:val="24"/>
          <w:szCs w:val="24"/>
          <w14:textFill>
            <w14:solidFill>
              <w14:schemeClr w14:val="tx1"/>
            </w14:solidFill>
          </w14:textFill>
        </w:rPr>
        <w:t>及安慰剂组。</w:t>
      </w:r>
    </w:p>
    <w:p w14:paraId="639FD17A">
      <w:pPr>
        <w:pStyle w:val="116"/>
        <w:numPr>
          <w:ilvl w:val="2"/>
          <w:numId w:val="12"/>
        </w:numPr>
        <w:ind w:left="851"/>
        <w:jc w:val="left"/>
        <w:outlineLvl w:val="2"/>
        <w:rPr>
          <w:rFonts w:cs="Times New Roman"/>
          <w:sz w:val="24"/>
          <w:szCs w:val="24"/>
        </w:rPr>
      </w:pPr>
      <w:bookmarkStart w:id="81" w:name="_Toc217032252"/>
      <w:r>
        <w:rPr>
          <w:rFonts w:hint="eastAsia" w:cs="Times New Roman"/>
          <w:sz w:val="24"/>
          <w:szCs w:val="24"/>
        </w:rPr>
        <w:t>盲法</w:t>
      </w:r>
      <w:bookmarkEnd w:id="81"/>
    </w:p>
    <w:p w14:paraId="3317C0B8">
      <w:pPr>
        <w:pStyle w:val="60"/>
        <w:ind w:firstLine="480"/>
        <w:rPr>
          <w:rStyle w:val="99"/>
          <w:rFonts w:cs="Times New Roman"/>
          <w:sz w:val="24"/>
          <w:szCs w:val="24"/>
        </w:rPr>
      </w:pPr>
      <w:r>
        <w:rPr>
          <w:rStyle w:val="99"/>
          <w:rFonts w:hint="eastAsia" w:cs="Times New Roman"/>
          <w:sz w:val="24"/>
          <w:szCs w:val="24"/>
        </w:rPr>
        <w:t>盲法可确保研究评估不受具体治疗分配的影响。本研究Ⅱ期临床研究阶段和Ⅲ期临床研究阶段均采用双盲设计，即研究治疗过程中参与者、研究者均不清楚随机分组治疗分配情况。</w:t>
      </w:r>
    </w:p>
    <w:p w14:paraId="48FB686D">
      <w:pPr>
        <w:pStyle w:val="60"/>
        <w:ind w:firstLine="480"/>
        <w:rPr>
          <w:rStyle w:val="99"/>
          <w:rFonts w:cs="Times New Roman"/>
          <w:sz w:val="24"/>
          <w:szCs w:val="24"/>
        </w:rPr>
      </w:pPr>
      <w:r>
        <w:rPr>
          <w:rStyle w:val="99"/>
          <w:rFonts w:hint="eastAsia" w:cs="Times New Roman"/>
          <w:sz w:val="24"/>
          <w:szCs w:val="24"/>
        </w:rPr>
        <w:t>本研究的供应商、申办者及其代理人也将对治疗分配设盲，但在研究期间需要访问参与者治疗分配以履行其工作职责的个人除外。这些非盲角色可能包括临床供应链项目经理、中心实验室样本处理人员、样本检测分析人员、项目仓库药物清点人员、申办者非盲成员，以及非盲统计师，以上非盲角色将遵循</w:t>
      </w:r>
      <w:r>
        <w:rPr>
          <w:rStyle w:val="99"/>
          <w:rFonts w:cs="Times New Roman"/>
          <w:sz w:val="24"/>
          <w:szCs w:val="24"/>
        </w:rPr>
        <w:t>SOP</w:t>
      </w:r>
      <w:r>
        <w:rPr>
          <w:rStyle w:val="99"/>
          <w:rFonts w:hint="eastAsia" w:cs="Times New Roman"/>
          <w:sz w:val="24"/>
          <w:szCs w:val="24"/>
        </w:rPr>
        <w:t>审核随机分组的实施和治疗分配，不参与其他研究相关活动。</w:t>
      </w:r>
    </w:p>
    <w:p w14:paraId="7A8BBC8E">
      <w:pPr>
        <w:spacing w:line="360" w:lineRule="auto"/>
        <w:ind w:firstLine="480" w:firstLineChars="200"/>
        <w:jc w:val="both"/>
        <w:rPr>
          <w:rFonts w:ascii="Times New Roman" w:hAnsi="Times New Roman" w:eastAsia="宋体" w:cs="Times New Roman"/>
          <w:color w:val="000000"/>
          <w:sz w:val="24"/>
          <w:szCs w:val="24"/>
        </w:rPr>
      </w:pPr>
      <w:r>
        <w:rPr>
          <w:rStyle w:val="99"/>
          <w:rFonts w:hint="eastAsia" w:ascii="Times New Roman" w:hAnsi="Times New Roman" w:eastAsia="宋体" w:cs="Times New Roman"/>
          <w:color w:val="000000" w:themeColor="text1"/>
          <w:sz w:val="24"/>
          <w:szCs w:val="24"/>
          <w14:textFill>
            <w14:solidFill>
              <w14:schemeClr w14:val="tx1"/>
            </w14:solidFill>
          </w14:textFill>
        </w:rPr>
        <w:t>本研究中，在预设的期中分析节点，独立数据监查委员会（</w:t>
      </w:r>
      <w:r>
        <w:rPr>
          <w:rStyle w:val="99"/>
          <w:rFonts w:ascii="Times New Roman" w:hAnsi="Times New Roman" w:eastAsia="宋体" w:cs="Times New Roman"/>
          <w:color w:val="000000" w:themeColor="text1"/>
          <w:sz w:val="24"/>
          <w:szCs w:val="24"/>
          <w14:textFill>
            <w14:solidFill>
              <w14:schemeClr w14:val="tx1"/>
            </w14:solidFill>
          </w14:textFill>
        </w:rPr>
        <w:t>IDMC</w:t>
      </w:r>
      <w:r>
        <w:rPr>
          <w:rStyle w:val="99"/>
          <w:rFonts w:hint="eastAsia" w:ascii="Times New Roman" w:hAnsi="Times New Roman" w:eastAsia="宋体" w:cs="Times New Roman"/>
          <w:color w:val="000000" w:themeColor="text1"/>
          <w:sz w:val="24"/>
          <w:szCs w:val="24"/>
          <w14:textFill>
            <w14:solidFill>
              <w14:schemeClr w14:val="tx1"/>
            </w14:solidFill>
          </w14:textFill>
        </w:rPr>
        <w:t>）及</w:t>
      </w:r>
      <w:r>
        <w:rPr>
          <w:rFonts w:hint="eastAsia" w:ascii="Times New Roman" w:hAnsi="Times New Roman" w:eastAsia="宋体" w:cs="Times New Roman"/>
          <w:color w:val="000000"/>
          <w:sz w:val="24"/>
          <w:szCs w:val="24"/>
        </w:rPr>
        <w:t>独立统计科学组（</w:t>
      </w:r>
      <w:r>
        <w:rPr>
          <w:rFonts w:ascii="Times New Roman" w:hAnsi="Times New Roman" w:eastAsia="宋体" w:cs="Times New Roman"/>
          <w:color w:val="000000"/>
          <w:sz w:val="24"/>
          <w:szCs w:val="24"/>
        </w:rPr>
        <w:t>SSG</w:t>
      </w:r>
      <w:r>
        <w:rPr>
          <w:rFonts w:hint="eastAsia" w:ascii="Times New Roman" w:hAnsi="Times New Roman" w:eastAsia="宋体" w:cs="Times New Roman"/>
          <w:color w:val="000000"/>
          <w:sz w:val="24"/>
          <w:szCs w:val="24"/>
        </w:rPr>
        <w:t>）</w:t>
      </w:r>
      <w:r>
        <w:rPr>
          <w:rStyle w:val="99"/>
          <w:rFonts w:hint="eastAsia" w:ascii="Times New Roman" w:hAnsi="Times New Roman" w:eastAsia="宋体" w:cs="Times New Roman"/>
          <w:color w:val="000000" w:themeColor="text1"/>
          <w:sz w:val="24"/>
          <w:szCs w:val="24"/>
          <w14:textFill>
            <w14:solidFill>
              <w14:schemeClr w14:val="tx1"/>
            </w14:solidFill>
          </w14:textFill>
        </w:rPr>
        <w:t>可接触非盲数据，并严格遵循</w:t>
      </w:r>
      <w:r>
        <w:rPr>
          <w:rStyle w:val="99"/>
          <w:rFonts w:ascii="Times New Roman" w:hAnsi="Times New Roman" w:eastAsia="宋体" w:cs="Times New Roman"/>
          <w:color w:val="000000" w:themeColor="text1"/>
          <w:sz w:val="24"/>
          <w:szCs w:val="24"/>
          <w14:textFill>
            <w14:solidFill>
              <w14:schemeClr w14:val="tx1"/>
            </w14:solidFill>
          </w14:textFill>
        </w:rPr>
        <w:t>IDMC</w:t>
      </w:r>
      <w:r>
        <w:rPr>
          <w:rStyle w:val="99"/>
          <w:rFonts w:hint="eastAsia" w:ascii="Times New Roman" w:hAnsi="Times New Roman" w:eastAsia="宋体" w:cs="Times New Roman"/>
          <w:color w:val="000000" w:themeColor="text1"/>
          <w:sz w:val="24"/>
          <w:szCs w:val="24"/>
          <w14:textFill>
            <w14:solidFill>
              <w14:schemeClr w14:val="tx1"/>
            </w14:solidFill>
          </w14:textFill>
        </w:rPr>
        <w:t>章程，分析结果仅用于剂量选择</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阶段转换决策</w:t>
      </w:r>
      <w:r>
        <w:rPr>
          <w:rFonts w:hint="eastAsia" w:ascii="Times New Roman" w:hAnsi="Times New Roman" w:eastAsia="宋体" w:cs="Times New Roman"/>
          <w:color w:val="000000"/>
          <w:sz w:val="24"/>
          <w:szCs w:val="24"/>
        </w:rPr>
        <w:t>。</w:t>
      </w:r>
    </w:p>
    <w:p w14:paraId="00BEDA9F">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在Ⅲ期临床研究阶段，在安慰剂对照的基础期结束，主要分析数据库锁库（第</w:t>
      </w:r>
      <w:r>
        <w:rPr>
          <w:rFonts w:ascii="Times New Roman" w:hAnsi="Times New Roman" w:eastAsia="宋体" w:cs="Times New Roman"/>
          <w:color w:val="000000"/>
          <w:sz w:val="24"/>
          <w:szCs w:val="24"/>
        </w:rPr>
        <w:t>16</w:t>
      </w:r>
      <w:r>
        <w:rPr>
          <w:rFonts w:hint="eastAsia" w:ascii="Times New Roman" w:hAnsi="Times New Roman" w:eastAsia="宋体" w:cs="Times New Roman"/>
          <w:color w:val="000000"/>
          <w:sz w:val="24"/>
          <w:szCs w:val="24"/>
        </w:rPr>
        <w:t>周）后，将对统计人员揭盲，但研究者、参与者和申办方将在整个研究完成前对个体治疗分配保持盲态。这一措施旨在最大限度地减少基础研究和扩展研究期间的偏倚。</w:t>
      </w:r>
    </w:p>
    <w:p w14:paraId="6825E396">
      <w:pPr>
        <w:pStyle w:val="60"/>
        <w:ind w:firstLine="480"/>
        <w:rPr>
          <w:rStyle w:val="99"/>
          <w:rFonts w:cs="Times New Roman"/>
          <w:sz w:val="24"/>
          <w:szCs w:val="24"/>
        </w:rPr>
      </w:pPr>
      <w:r>
        <w:rPr>
          <w:rStyle w:val="99"/>
          <w:rFonts w:hint="eastAsia" w:cs="Times New Roman"/>
          <w:sz w:val="24"/>
          <w:szCs w:val="24"/>
        </w:rPr>
        <w:t>负责执行</w:t>
      </w:r>
      <w:r>
        <w:rPr>
          <w:rStyle w:val="99"/>
          <w:rFonts w:cs="Times New Roman"/>
          <w:sz w:val="24"/>
          <w:szCs w:val="24"/>
        </w:rPr>
        <w:t xml:space="preserve"> PK </w:t>
      </w:r>
      <w:r>
        <w:rPr>
          <w:rStyle w:val="99"/>
          <w:rFonts w:hint="eastAsia" w:cs="Times New Roman"/>
          <w:sz w:val="24"/>
          <w:szCs w:val="24"/>
        </w:rPr>
        <w:t>样本分析的实验室将设立非盲人员，以确定是适当的样本用于分析，接受安慰剂治疗的参与者的</w:t>
      </w:r>
      <w:r>
        <w:rPr>
          <w:rStyle w:val="99"/>
          <w:rFonts w:cs="Times New Roman"/>
          <w:sz w:val="24"/>
          <w:szCs w:val="24"/>
        </w:rPr>
        <w:t>PK</w:t>
      </w:r>
      <w:r>
        <w:rPr>
          <w:rStyle w:val="99"/>
          <w:rFonts w:hint="eastAsia" w:cs="Times New Roman"/>
          <w:sz w:val="24"/>
          <w:szCs w:val="24"/>
        </w:rPr>
        <w:t>样本将不会被检测分析。在研究开展期间，相关生物样本分析的盲法管理将由研究团队外部人员按照申办者或分析实验室的内部标准操作规程（</w:t>
      </w:r>
      <w:r>
        <w:rPr>
          <w:rStyle w:val="99"/>
          <w:rFonts w:cs="Times New Roman"/>
          <w:sz w:val="24"/>
          <w:szCs w:val="24"/>
        </w:rPr>
        <w:t>Standard Operating Procedure</w:t>
      </w:r>
      <w:r>
        <w:rPr>
          <w:rStyle w:val="99"/>
          <w:rFonts w:hint="eastAsia" w:cs="Times New Roman"/>
          <w:sz w:val="24"/>
          <w:szCs w:val="24"/>
        </w:rPr>
        <w:t>，</w:t>
      </w:r>
      <w:r>
        <w:rPr>
          <w:rStyle w:val="99"/>
          <w:rFonts w:cs="Times New Roman"/>
          <w:sz w:val="24"/>
          <w:szCs w:val="24"/>
        </w:rPr>
        <w:t>SOP</w:t>
      </w:r>
      <w:r>
        <w:rPr>
          <w:rStyle w:val="99"/>
          <w:rFonts w:hint="eastAsia" w:cs="Times New Roman"/>
          <w:sz w:val="24"/>
          <w:szCs w:val="24"/>
        </w:rPr>
        <w:t>）进行，以确保数据的完整性。申办者及其代理人未设盲的人数将保持在满足生物样本分析目标所需的最小人数。</w:t>
      </w:r>
    </w:p>
    <w:p w14:paraId="2B36216C">
      <w:pPr>
        <w:pStyle w:val="60"/>
        <w:ind w:firstLine="480"/>
        <w:rPr>
          <w:rStyle w:val="99"/>
          <w:rFonts w:cs="Times New Roman"/>
          <w:sz w:val="24"/>
          <w:szCs w:val="24"/>
        </w:rPr>
      </w:pPr>
      <w:r>
        <w:rPr>
          <w:rStyle w:val="99"/>
          <w:rFonts w:hint="eastAsia" w:cs="Times New Roman"/>
          <w:sz w:val="24"/>
          <w:szCs w:val="24"/>
        </w:rPr>
        <w:t>为了保持盲态，所有试验用药品在外观，包装，气味，味道上完全相同。</w:t>
      </w:r>
    </w:p>
    <w:p w14:paraId="15DFC4BA">
      <w:pPr>
        <w:pStyle w:val="116"/>
        <w:numPr>
          <w:ilvl w:val="2"/>
          <w:numId w:val="12"/>
        </w:numPr>
        <w:ind w:left="851"/>
        <w:jc w:val="left"/>
        <w:outlineLvl w:val="2"/>
        <w:rPr>
          <w:rFonts w:cs="Times New Roman"/>
          <w:sz w:val="24"/>
          <w:szCs w:val="24"/>
        </w:rPr>
      </w:pPr>
      <w:bookmarkStart w:id="82" w:name="_Toc217032253"/>
      <w:r>
        <w:rPr>
          <w:rFonts w:hint="eastAsia" w:cs="Times New Roman"/>
          <w:sz w:val="24"/>
          <w:szCs w:val="24"/>
        </w:rPr>
        <w:t>揭盲</w:t>
      </w:r>
      <w:bookmarkEnd w:id="82"/>
    </w:p>
    <w:p w14:paraId="180421AB">
      <w:pPr>
        <w:spacing w:line="360" w:lineRule="auto"/>
        <w:ind w:firstLine="480" w:firstLineChars="200"/>
        <w:jc w:val="both"/>
        <w:rPr>
          <w:rStyle w:val="99"/>
          <w:rFonts w:ascii="Times New Roman" w:hAnsi="Times New Roman" w:eastAsia="宋体" w:cs="Times New Roman"/>
          <w:b/>
          <w:color w:val="000000" w:themeColor="text1"/>
          <w:sz w:val="24"/>
          <w:szCs w:val="24"/>
          <w14:textFill>
            <w14:solidFill>
              <w14:schemeClr w14:val="tx1"/>
            </w14:solidFill>
          </w14:textFill>
        </w:rPr>
      </w:pPr>
      <w:r>
        <w:rPr>
          <w:rFonts w:hint="eastAsia" w:ascii="Times New Roman" w:hAnsi="Times New Roman" w:eastAsia="宋体" w:cs="Times New Roman"/>
          <w:color w:val="000000"/>
          <w:sz w:val="24"/>
          <w:szCs w:val="24"/>
        </w:rPr>
        <w:t>Ⅱ期临床研究阶段，在所有参与者（包括脱落和提前终止治疗）完成最后一次研究访视，完成数据清理、数据库锁定后，将对项目进行统一揭盲并进行统计分析。</w:t>
      </w:r>
      <w:r>
        <w:rPr>
          <w:rStyle w:val="99"/>
          <w:rFonts w:hint="eastAsia" w:ascii="Times New Roman" w:hAnsi="Times New Roman" w:eastAsia="宋体" w:cs="Times New Roman"/>
          <w:color w:val="000000" w:themeColor="text1"/>
          <w:sz w:val="24"/>
          <w:szCs w:val="24"/>
          <w14:textFill>
            <w14:solidFill>
              <w14:schemeClr w14:val="tx1"/>
            </w14:solidFill>
          </w14:textFill>
        </w:rPr>
        <w:t>在预设的期中分析节点，独立数据监查委员会（</w:t>
      </w:r>
      <w:r>
        <w:rPr>
          <w:rStyle w:val="99"/>
          <w:rFonts w:ascii="Times New Roman" w:hAnsi="Times New Roman" w:eastAsia="宋体" w:cs="Times New Roman"/>
          <w:color w:val="000000" w:themeColor="text1"/>
          <w:sz w:val="24"/>
          <w:szCs w:val="24"/>
          <w14:textFill>
            <w14:solidFill>
              <w14:schemeClr w14:val="tx1"/>
            </w14:solidFill>
          </w14:textFill>
        </w:rPr>
        <w:t>IDMC</w:t>
      </w:r>
      <w:r>
        <w:rPr>
          <w:rStyle w:val="99"/>
          <w:rFonts w:hint="eastAsia" w:ascii="Times New Roman" w:hAnsi="Times New Roman" w:eastAsia="宋体" w:cs="Times New Roman"/>
          <w:color w:val="000000" w:themeColor="text1"/>
          <w:sz w:val="24"/>
          <w:szCs w:val="24"/>
          <w14:textFill>
            <w14:solidFill>
              <w14:schemeClr w14:val="tx1"/>
            </w14:solidFill>
          </w14:textFill>
        </w:rPr>
        <w:t>）及</w:t>
      </w:r>
      <w:r>
        <w:rPr>
          <w:rFonts w:hint="eastAsia" w:ascii="Times New Roman" w:hAnsi="Times New Roman" w:eastAsia="宋体" w:cs="Times New Roman"/>
          <w:color w:val="000000"/>
          <w:sz w:val="24"/>
          <w:szCs w:val="24"/>
        </w:rPr>
        <w:t>独立统计支持团队（</w:t>
      </w:r>
      <w:r>
        <w:rPr>
          <w:rFonts w:ascii="Times New Roman" w:hAnsi="Times New Roman" w:eastAsia="宋体" w:cs="Times New Roman"/>
          <w:color w:val="000000"/>
          <w:sz w:val="24"/>
          <w:szCs w:val="24"/>
        </w:rPr>
        <w:t>SSG</w:t>
      </w:r>
      <w:r>
        <w:rPr>
          <w:rFonts w:hint="eastAsia" w:ascii="Times New Roman" w:hAnsi="Times New Roman" w:eastAsia="宋体" w:cs="Times New Roman"/>
          <w:color w:val="000000"/>
          <w:sz w:val="24"/>
          <w:szCs w:val="24"/>
        </w:rPr>
        <w:t>）</w:t>
      </w:r>
      <w:r>
        <w:rPr>
          <w:rStyle w:val="99"/>
          <w:rFonts w:hint="eastAsia" w:ascii="Times New Roman" w:hAnsi="Times New Roman" w:eastAsia="宋体" w:cs="Times New Roman"/>
          <w:color w:val="000000" w:themeColor="text1"/>
          <w:sz w:val="24"/>
          <w:szCs w:val="24"/>
          <w14:textFill>
            <w14:solidFill>
              <w14:schemeClr w14:val="tx1"/>
            </w14:solidFill>
          </w14:textFill>
        </w:rPr>
        <w:t>可接触非盲数据，并严格遵循</w:t>
      </w:r>
      <w:r>
        <w:rPr>
          <w:rStyle w:val="99"/>
          <w:rFonts w:ascii="Times New Roman" w:hAnsi="Times New Roman" w:eastAsia="宋体" w:cs="Times New Roman"/>
          <w:color w:val="000000" w:themeColor="text1"/>
          <w:sz w:val="24"/>
          <w:szCs w:val="24"/>
          <w14:textFill>
            <w14:solidFill>
              <w14:schemeClr w14:val="tx1"/>
            </w14:solidFill>
          </w14:textFill>
        </w:rPr>
        <w:t>IDMC</w:t>
      </w:r>
      <w:r>
        <w:rPr>
          <w:rStyle w:val="99"/>
          <w:rFonts w:hint="eastAsia" w:ascii="Times New Roman" w:hAnsi="Times New Roman" w:eastAsia="宋体" w:cs="Times New Roman"/>
          <w:color w:val="000000" w:themeColor="text1"/>
          <w:sz w:val="24"/>
          <w:szCs w:val="24"/>
          <w14:textFill>
            <w14:solidFill>
              <w14:schemeClr w14:val="tx1"/>
            </w14:solidFill>
          </w14:textFill>
        </w:rPr>
        <w:t>章程，分析结果仅用于剂量选择</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阶段转换决策。</w:t>
      </w:r>
    </w:p>
    <w:p w14:paraId="247BBDEF">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Ⅲ期临床研究阶段，在安慰剂对照的基础期结束，主要分析数据库锁库（第</w:t>
      </w:r>
      <w:r>
        <w:rPr>
          <w:rFonts w:ascii="Times New Roman" w:hAnsi="Times New Roman" w:eastAsia="宋体" w:cs="Times New Roman"/>
          <w:color w:val="000000"/>
          <w:sz w:val="24"/>
          <w:szCs w:val="24"/>
        </w:rPr>
        <w:t>16</w:t>
      </w:r>
      <w:r>
        <w:rPr>
          <w:rFonts w:hint="eastAsia" w:ascii="Times New Roman" w:hAnsi="Times New Roman" w:eastAsia="宋体" w:cs="Times New Roman"/>
          <w:color w:val="000000"/>
          <w:sz w:val="24"/>
          <w:szCs w:val="24"/>
        </w:rPr>
        <w:t>周）后，将对统计分析人员揭盲，但研究者、参与者、申办方将在整个研究完成前对个体治疗分配保持盲态。在所有参与者（包括脱落和提前终止治疗）完成整个研究（基础期和扩展期）的最后一次研究访视，完成清理、数据库锁定后，将对项目进行统一揭盲并进行整个研究的统计分析。</w:t>
      </w:r>
    </w:p>
    <w:p w14:paraId="08A7736D">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本研究将采用</w:t>
      </w:r>
      <w:r>
        <w:rPr>
          <w:rFonts w:ascii="Times New Roman" w:hAnsi="Times New Roman" w:eastAsia="宋体" w:cs="Times New Roman"/>
          <w:color w:val="000000"/>
          <w:sz w:val="24"/>
          <w:szCs w:val="24"/>
        </w:rPr>
        <w:t>IWRS</w:t>
      </w:r>
      <w:r>
        <w:rPr>
          <w:rFonts w:hint="eastAsia" w:ascii="Times New Roman" w:hAnsi="Times New Roman" w:eastAsia="宋体" w:cs="Times New Roman"/>
          <w:color w:val="000000"/>
          <w:sz w:val="24"/>
          <w:szCs w:val="24"/>
        </w:rPr>
        <w:t>系统在线紧急揭盲服务，无需准备纸质版应急信件。当参与者出现紧急情况时，研究者确定只有明确知道参与者所接受的治疗以便于采取针对性治疗时，允许对其进行紧急揭盲。此时，研究者必须在紧急揭盲前联系申办者，讨论该参与者的紧急揭盲原因，待征得同意后，研究者才可进行紧急揭盲。为了参与者安全起见，如果研究者无法联系到申办者，研究者可以进行揭盲，并在电子病例报告表（</w:t>
      </w:r>
      <w:r>
        <w:rPr>
          <w:rFonts w:ascii="Times New Roman" w:hAnsi="Times New Roman" w:eastAsia="宋体" w:cs="Times New Roman"/>
          <w:color w:val="000000"/>
          <w:sz w:val="24"/>
          <w:szCs w:val="24"/>
        </w:rPr>
        <w:t>electronic Case Report Form</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eCRF</w:t>
      </w:r>
      <w:r>
        <w:rPr>
          <w:rFonts w:hint="eastAsia" w:ascii="Times New Roman" w:hAnsi="Times New Roman" w:eastAsia="宋体" w:cs="Times New Roman"/>
          <w:color w:val="000000"/>
          <w:sz w:val="24"/>
          <w:szCs w:val="24"/>
        </w:rPr>
        <w:t>）上述明理由，并尽快在可行时联系申办者。</w:t>
      </w:r>
    </w:p>
    <w:p w14:paraId="1E753FEC">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紧急揭盲借助</w:t>
      </w:r>
      <w:r>
        <w:rPr>
          <w:rFonts w:ascii="Times New Roman" w:hAnsi="Times New Roman" w:eastAsia="宋体" w:cs="Times New Roman"/>
          <w:color w:val="000000"/>
          <w:sz w:val="24"/>
          <w:szCs w:val="24"/>
        </w:rPr>
        <w:t>IWRS</w:t>
      </w:r>
      <w:r>
        <w:rPr>
          <w:rFonts w:hint="eastAsia" w:ascii="Times New Roman" w:hAnsi="Times New Roman" w:eastAsia="宋体" w:cs="Times New Roman"/>
          <w:color w:val="000000"/>
          <w:sz w:val="24"/>
          <w:szCs w:val="24"/>
        </w:rPr>
        <w:t>中“揭盲参与者”进行。当一位参与者在</w:t>
      </w:r>
      <w:r>
        <w:rPr>
          <w:rFonts w:ascii="Times New Roman" w:hAnsi="Times New Roman" w:eastAsia="宋体" w:cs="Times New Roman"/>
          <w:color w:val="000000"/>
          <w:sz w:val="24"/>
          <w:szCs w:val="24"/>
        </w:rPr>
        <w:t>IWRS</w:t>
      </w:r>
      <w:r>
        <w:rPr>
          <w:rFonts w:hint="eastAsia" w:ascii="Times New Roman" w:hAnsi="Times New Roman" w:eastAsia="宋体" w:cs="Times New Roman"/>
          <w:color w:val="000000"/>
          <w:sz w:val="24"/>
          <w:szCs w:val="24"/>
        </w:rPr>
        <w:t>系统随机后，需要紧急揭盲时，研究者登录</w:t>
      </w:r>
      <w:r>
        <w:rPr>
          <w:rFonts w:ascii="Times New Roman" w:hAnsi="Times New Roman" w:eastAsia="宋体" w:cs="Times New Roman"/>
          <w:color w:val="000000"/>
          <w:sz w:val="24"/>
          <w:szCs w:val="24"/>
        </w:rPr>
        <w:t>IWRS</w:t>
      </w:r>
      <w:r>
        <w:rPr>
          <w:rFonts w:hint="eastAsia" w:ascii="Times New Roman" w:hAnsi="Times New Roman" w:eastAsia="宋体" w:cs="Times New Roman"/>
          <w:color w:val="000000"/>
          <w:sz w:val="24"/>
          <w:szCs w:val="24"/>
        </w:rPr>
        <w:t>系统并使用“揭盲参与者”功能，输入揭盲原因后，获知参与者使用的实际药物，</w:t>
      </w:r>
      <w:r>
        <w:rPr>
          <w:rFonts w:ascii="Times New Roman" w:hAnsi="Times New Roman" w:eastAsia="宋体" w:cs="Times New Roman"/>
          <w:color w:val="000000"/>
          <w:sz w:val="24"/>
          <w:szCs w:val="24"/>
        </w:rPr>
        <w:t>IWRS</w:t>
      </w:r>
      <w:r>
        <w:rPr>
          <w:rFonts w:hint="eastAsia" w:ascii="Times New Roman" w:hAnsi="Times New Roman" w:eastAsia="宋体" w:cs="Times New Roman"/>
          <w:color w:val="000000"/>
          <w:sz w:val="24"/>
          <w:szCs w:val="24"/>
        </w:rPr>
        <w:t>系统将记录紧急揭盲人员、原因和时间。有紧急揭盲权限的研究者在研究启动前完成紧急揭盲的相关培训，知道如何借助</w:t>
      </w:r>
      <w:r>
        <w:rPr>
          <w:rFonts w:ascii="Times New Roman" w:hAnsi="Times New Roman" w:eastAsia="宋体" w:cs="Times New Roman"/>
          <w:color w:val="000000"/>
          <w:sz w:val="24"/>
          <w:szCs w:val="24"/>
        </w:rPr>
        <w:t>IWRS</w:t>
      </w:r>
      <w:r>
        <w:rPr>
          <w:rFonts w:hint="eastAsia" w:ascii="Times New Roman" w:hAnsi="Times New Roman" w:eastAsia="宋体" w:cs="Times New Roman"/>
          <w:color w:val="000000"/>
          <w:sz w:val="24"/>
          <w:szCs w:val="24"/>
        </w:rPr>
        <w:t>进行紧急揭盲。参与者被揭盲后将终止试验用药品治疗。</w:t>
      </w:r>
    </w:p>
    <w:p w14:paraId="4FEBC841">
      <w:pPr>
        <w:pStyle w:val="116"/>
        <w:numPr>
          <w:ilvl w:val="1"/>
          <w:numId w:val="12"/>
        </w:numPr>
        <w:jc w:val="left"/>
        <w:rPr>
          <w:rFonts w:cs="Times New Roman"/>
          <w:sz w:val="24"/>
          <w:szCs w:val="24"/>
        </w:rPr>
      </w:pPr>
      <w:bookmarkStart w:id="83" w:name="_Toc217032254"/>
      <w:r>
        <w:rPr>
          <w:rFonts w:hint="eastAsia" w:cs="Times New Roman"/>
          <w:sz w:val="24"/>
          <w:szCs w:val="24"/>
        </w:rPr>
        <w:t>研究干预依从性</w:t>
      </w:r>
      <w:bookmarkEnd w:id="83"/>
    </w:p>
    <w:p w14:paraId="1F4AD04E">
      <w:pPr>
        <w:pStyle w:val="60"/>
        <w:ind w:firstLine="480"/>
        <w:rPr>
          <w:rStyle w:val="99"/>
          <w:rFonts w:cs="Times New Roman"/>
          <w:sz w:val="24"/>
          <w:szCs w:val="24"/>
        </w:rPr>
      </w:pPr>
      <w:r>
        <w:rPr>
          <w:rStyle w:val="99"/>
          <w:rFonts w:hint="eastAsia" w:cs="Times New Roman"/>
          <w:sz w:val="24"/>
          <w:szCs w:val="24"/>
        </w:rPr>
        <w:t>参与者必须按照研究方案的规定接受给药，用药情况必须记录在参与者的原始文件及</w:t>
      </w:r>
      <w:r>
        <w:rPr>
          <w:rStyle w:val="99"/>
          <w:rFonts w:cs="Times New Roman"/>
          <w:sz w:val="24"/>
          <w:szCs w:val="24"/>
        </w:rPr>
        <w:t>eCRF</w:t>
      </w:r>
      <w:r>
        <w:rPr>
          <w:rStyle w:val="99"/>
          <w:rFonts w:hint="eastAsia" w:cs="Times New Roman"/>
          <w:sz w:val="24"/>
          <w:szCs w:val="24"/>
        </w:rPr>
        <w:t>的相应位置，任何偏离研究方案规定的用药情况也必须记录在</w:t>
      </w:r>
      <w:r>
        <w:rPr>
          <w:rStyle w:val="99"/>
          <w:rFonts w:cs="Times New Roman"/>
          <w:sz w:val="24"/>
          <w:szCs w:val="24"/>
        </w:rPr>
        <w:t>eCRF</w:t>
      </w:r>
      <w:r>
        <w:rPr>
          <w:rStyle w:val="99"/>
          <w:rFonts w:hint="eastAsia" w:cs="Times New Roman"/>
          <w:sz w:val="24"/>
          <w:szCs w:val="24"/>
        </w:rPr>
        <w:t>中。参与者自行服用药物的每日服药时间、服药剂量如实记录在参与者日记卡中。须告知参与者在研究访视时携带所有发放的已使用和未使用的研究药物，以便中心人员进行研究药物计数。按照研究流程图发放和回收日记卡。</w:t>
      </w:r>
    </w:p>
    <w:p w14:paraId="29EA8A48">
      <w:pPr>
        <w:pStyle w:val="60"/>
        <w:ind w:firstLine="480"/>
        <w:rPr>
          <w:rStyle w:val="99"/>
          <w:rFonts w:cs="Times New Roman"/>
          <w:sz w:val="24"/>
          <w:szCs w:val="24"/>
        </w:rPr>
      </w:pPr>
      <w:r>
        <w:rPr>
          <w:rStyle w:val="99"/>
          <w:rFonts w:hint="eastAsia" w:cs="Times New Roman"/>
          <w:sz w:val="24"/>
          <w:szCs w:val="24"/>
        </w:rPr>
        <w:t>对于每名参与者，将采用如下公式计算参与者用药依从性百分比：</w:t>
      </w:r>
    </w:p>
    <w:p w14:paraId="5EBC9DCA">
      <w:pPr>
        <w:pStyle w:val="60"/>
        <w:ind w:firstLine="480"/>
        <w:rPr>
          <w:rStyle w:val="99"/>
          <w:rFonts w:cs="Times New Roman"/>
          <w:sz w:val="24"/>
          <w:szCs w:val="24"/>
        </w:rPr>
      </w:pPr>
      <w:r>
        <w:rPr>
          <w:rStyle w:val="99"/>
          <w:rFonts w:hint="eastAsia" w:cs="Times New Roman"/>
          <w:sz w:val="24"/>
          <w:szCs w:val="24"/>
        </w:rPr>
        <w:t>用药依从性（</w:t>
      </w:r>
      <w:r>
        <w:rPr>
          <w:rStyle w:val="99"/>
          <w:rFonts w:cs="Times New Roman"/>
          <w:sz w:val="24"/>
          <w:szCs w:val="24"/>
        </w:rPr>
        <w:t>100%</w:t>
      </w:r>
      <w:r>
        <w:rPr>
          <w:rStyle w:val="99"/>
          <w:rFonts w:hint="eastAsia" w:cs="Times New Roman"/>
          <w:sz w:val="24"/>
          <w:szCs w:val="24"/>
        </w:rPr>
        <w:t>）</w:t>
      </w:r>
      <w:r>
        <w:rPr>
          <w:rStyle w:val="99"/>
          <w:rFonts w:cs="Times New Roman"/>
          <w:sz w:val="24"/>
          <w:szCs w:val="24"/>
        </w:rPr>
        <w:t>=</w:t>
      </w:r>
      <m:oMath>
        <m:f>
          <m:fPr>
            <m:ctrlPr>
              <w:rPr>
                <w:rStyle w:val="99"/>
                <w:rFonts w:ascii="Cambria Math" w:hAnsi="Cambria Math" w:cs="Times New Roman"/>
                <w:sz w:val="24"/>
                <w:szCs w:val="24"/>
              </w:rPr>
            </m:ctrlPr>
          </m:fPr>
          <m:num>
            <m:r>
              <m:rPr>
                <m:sty m:val="p"/>
              </m:rPr>
              <w:rPr>
                <w:rStyle w:val="99"/>
                <w:rFonts w:hint="eastAsia" w:ascii="Cambria Math" w:hAnsi="Cambria Math" w:cs="Times New Roman"/>
                <w:sz w:val="24"/>
                <w:szCs w:val="24"/>
              </w:rPr>
              <m:t>参与者实际使用的药物剂量</m:t>
            </m:r>
            <m:ctrlPr>
              <w:rPr>
                <w:rStyle w:val="99"/>
                <w:rFonts w:ascii="Cambria Math" w:hAnsi="Cambria Math" w:cs="Times New Roman"/>
                <w:sz w:val="24"/>
                <w:szCs w:val="24"/>
              </w:rPr>
            </m:ctrlPr>
          </m:num>
          <m:den>
            <m:r>
              <m:rPr>
                <m:sty m:val="p"/>
              </m:rPr>
              <w:rPr>
                <w:rStyle w:val="99"/>
                <w:rFonts w:hint="eastAsia" w:ascii="Cambria Math" w:hAnsi="Cambria Math" w:cs="Times New Roman"/>
                <w:sz w:val="24"/>
                <w:szCs w:val="24"/>
              </w:rPr>
              <m:t>参与者对应治疗期间应接受的药物剂量</m:t>
            </m:r>
            <m:ctrlPr>
              <w:rPr>
                <w:rStyle w:val="99"/>
                <w:rFonts w:ascii="Cambria Math" w:hAnsi="Cambria Math" w:cs="Times New Roman"/>
                <w:sz w:val="24"/>
                <w:szCs w:val="24"/>
              </w:rPr>
            </m:ctrlPr>
          </m:den>
        </m:f>
      </m:oMath>
      <w:r>
        <w:rPr>
          <w:rStyle w:val="99"/>
          <w:rFonts w:hint="eastAsia" w:cs="Times New Roman"/>
          <w:sz w:val="24"/>
          <w:szCs w:val="24"/>
        </w:rPr>
        <w:t>×</w:t>
      </w:r>
      <w:r>
        <w:rPr>
          <w:rStyle w:val="99"/>
          <w:rFonts w:cs="Times New Roman"/>
          <w:sz w:val="24"/>
          <w:szCs w:val="24"/>
        </w:rPr>
        <w:t>100%</w:t>
      </w:r>
    </w:p>
    <w:p w14:paraId="3BBBF60D">
      <w:pPr>
        <w:pStyle w:val="60"/>
        <w:ind w:firstLine="480"/>
        <w:rPr>
          <w:rStyle w:val="99"/>
          <w:rFonts w:cs="Times New Roman"/>
          <w:sz w:val="24"/>
          <w:szCs w:val="24"/>
        </w:rPr>
      </w:pPr>
      <w:r>
        <w:rPr>
          <w:rStyle w:val="99"/>
          <w:rFonts w:hint="eastAsia" w:cs="Times New Roman"/>
          <w:sz w:val="24"/>
          <w:szCs w:val="24"/>
        </w:rPr>
        <w:t>参与者的依从性必须在</w:t>
      </w:r>
      <w:r>
        <w:rPr>
          <w:rStyle w:val="99"/>
          <w:rFonts w:cs="Times New Roman"/>
          <w:sz w:val="24"/>
          <w:szCs w:val="24"/>
        </w:rPr>
        <w:t>80%</w:t>
      </w:r>
      <w:r>
        <w:rPr>
          <w:rStyle w:val="99"/>
          <w:rFonts w:hint="eastAsia" w:cs="Times New Roman"/>
          <w:sz w:val="24"/>
          <w:szCs w:val="24"/>
        </w:rPr>
        <w:t>至</w:t>
      </w:r>
      <w:r>
        <w:rPr>
          <w:rStyle w:val="99"/>
          <w:rFonts w:cs="Times New Roman"/>
          <w:sz w:val="24"/>
          <w:szCs w:val="24"/>
        </w:rPr>
        <w:t>120%</w:t>
      </w:r>
      <w:r>
        <w:rPr>
          <w:rStyle w:val="99"/>
          <w:rFonts w:hint="eastAsia" w:cs="Times New Roman"/>
          <w:sz w:val="24"/>
          <w:szCs w:val="24"/>
        </w:rPr>
        <w:t>的范围内，由研究者（或指定人员）在每次研究访视时进行评估。持续不依从试验药物的参与者可能会退出研究。退出决定由研究者在与申办方协商后作出，并将相关通信记录归档于现场研究文件中。</w:t>
      </w:r>
    </w:p>
    <w:p w14:paraId="73E844A7">
      <w:pPr>
        <w:pStyle w:val="60"/>
        <w:ind w:firstLine="480"/>
        <w:rPr>
          <w:rFonts w:cs="Times New Roman"/>
          <w:sz w:val="24"/>
          <w:szCs w:val="24"/>
        </w:rPr>
      </w:pPr>
      <w:r>
        <w:rPr>
          <w:rFonts w:hint="eastAsia" w:cs="Times New Roman"/>
          <w:color w:val="000000"/>
          <w:sz w:val="24"/>
          <w:szCs w:val="24"/>
        </w:rPr>
        <w:t>Ⅲ期临床研究阶段，基础期和扩展期将分别计算用药依从性。</w:t>
      </w:r>
    </w:p>
    <w:p w14:paraId="21133485">
      <w:pPr>
        <w:pStyle w:val="116"/>
        <w:numPr>
          <w:ilvl w:val="1"/>
          <w:numId w:val="12"/>
        </w:numPr>
        <w:jc w:val="left"/>
        <w:rPr>
          <w:rFonts w:cs="Times New Roman"/>
          <w:sz w:val="24"/>
          <w:szCs w:val="24"/>
        </w:rPr>
      </w:pPr>
      <w:bookmarkStart w:id="84" w:name="_Toc217032255"/>
      <w:r>
        <w:rPr>
          <w:rFonts w:hint="eastAsia" w:cs="Times New Roman"/>
          <w:sz w:val="24"/>
          <w:szCs w:val="24"/>
        </w:rPr>
        <w:t>合并用药</w:t>
      </w:r>
      <w:r>
        <w:rPr>
          <w:rFonts w:cs="Times New Roman"/>
          <w:sz w:val="24"/>
          <w:szCs w:val="24"/>
        </w:rPr>
        <w:t>/</w:t>
      </w:r>
      <w:r>
        <w:rPr>
          <w:rFonts w:hint="eastAsia" w:cs="Times New Roman"/>
          <w:sz w:val="24"/>
          <w:szCs w:val="24"/>
        </w:rPr>
        <w:t>治疗</w:t>
      </w:r>
      <w:bookmarkEnd w:id="84"/>
    </w:p>
    <w:p w14:paraId="3FF22A5D">
      <w:pPr>
        <w:pStyle w:val="60"/>
        <w:ind w:firstLine="480"/>
        <w:rPr>
          <w:rFonts w:cs="Times New Roman"/>
          <w:sz w:val="24"/>
          <w:szCs w:val="24"/>
        </w:rPr>
      </w:pPr>
      <w:r>
        <w:rPr>
          <w:rStyle w:val="99"/>
          <w:rFonts w:hint="eastAsia" w:cs="Times New Roman"/>
          <w:sz w:val="24"/>
          <w:szCs w:val="24"/>
        </w:rPr>
        <w:t>合并治疗为合并药物</w:t>
      </w:r>
      <w:r>
        <w:rPr>
          <w:rStyle w:val="99"/>
          <w:rFonts w:cs="Times New Roman"/>
          <w:sz w:val="24"/>
          <w:szCs w:val="24"/>
        </w:rPr>
        <w:t>/</w:t>
      </w:r>
      <w:r>
        <w:rPr>
          <w:rStyle w:val="99"/>
          <w:rFonts w:hint="eastAsia" w:cs="Times New Roman"/>
          <w:sz w:val="24"/>
          <w:szCs w:val="24"/>
        </w:rPr>
        <w:t>非药物治疗，包括参与者自签署</w:t>
      </w:r>
      <w:r>
        <w:rPr>
          <w:rStyle w:val="99"/>
          <w:rFonts w:cs="Times New Roman"/>
          <w:sz w:val="24"/>
          <w:szCs w:val="24"/>
        </w:rPr>
        <w:t>ICF</w:t>
      </w:r>
      <w:r>
        <w:rPr>
          <w:rStyle w:val="99"/>
          <w:rFonts w:hint="eastAsia" w:cs="Times New Roman"/>
          <w:sz w:val="24"/>
          <w:szCs w:val="24"/>
        </w:rPr>
        <w:t>开始至研究结束使用的任何药物、治疗，应详细记录在</w:t>
      </w:r>
      <w:r>
        <w:rPr>
          <w:rStyle w:val="99"/>
          <w:rFonts w:cs="Times New Roman"/>
          <w:sz w:val="24"/>
          <w:szCs w:val="24"/>
        </w:rPr>
        <w:t>eCRF</w:t>
      </w:r>
      <w:r>
        <w:rPr>
          <w:rStyle w:val="99"/>
          <w:rFonts w:hint="eastAsia" w:cs="Times New Roman"/>
          <w:sz w:val="24"/>
          <w:szCs w:val="24"/>
        </w:rPr>
        <w:t>中，并注明用药</w:t>
      </w:r>
      <w:r>
        <w:rPr>
          <w:rStyle w:val="99"/>
          <w:rFonts w:cs="Times New Roman"/>
          <w:sz w:val="24"/>
          <w:szCs w:val="24"/>
        </w:rPr>
        <w:t>/</w:t>
      </w:r>
      <w:r>
        <w:rPr>
          <w:rStyle w:val="99"/>
          <w:rFonts w:hint="eastAsia" w:cs="Times New Roman"/>
          <w:sz w:val="24"/>
          <w:szCs w:val="24"/>
        </w:rPr>
        <w:t>治疗原因、给药</w:t>
      </w:r>
      <w:r>
        <w:rPr>
          <w:rStyle w:val="99"/>
          <w:rFonts w:cs="Times New Roman"/>
          <w:sz w:val="24"/>
          <w:szCs w:val="24"/>
        </w:rPr>
        <w:t>/</w:t>
      </w:r>
      <w:r>
        <w:rPr>
          <w:rStyle w:val="99"/>
          <w:rFonts w:hint="eastAsia" w:cs="Times New Roman"/>
          <w:sz w:val="24"/>
          <w:szCs w:val="24"/>
        </w:rPr>
        <w:t>治疗方法及起止时间等。</w:t>
      </w:r>
    </w:p>
    <w:p w14:paraId="34F6708E">
      <w:pPr>
        <w:pStyle w:val="116"/>
        <w:numPr>
          <w:ilvl w:val="2"/>
          <w:numId w:val="12"/>
        </w:numPr>
        <w:outlineLvl w:val="2"/>
        <w:rPr>
          <w:rFonts w:cs="Times New Roman"/>
          <w:sz w:val="24"/>
          <w:szCs w:val="24"/>
        </w:rPr>
      </w:pPr>
      <w:bookmarkStart w:id="85" w:name="_Toc217032256"/>
      <w:r>
        <w:rPr>
          <w:rFonts w:hint="eastAsia" w:cs="Times New Roman"/>
          <w:sz w:val="24"/>
          <w:szCs w:val="24"/>
        </w:rPr>
        <w:t>允许的合并用药</w:t>
      </w:r>
      <w:r>
        <w:rPr>
          <w:rFonts w:cs="Times New Roman"/>
          <w:sz w:val="24"/>
          <w:szCs w:val="24"/>
        </w:rPr>
        <w:t>/</w:t>
      </w:r>
      <w:r>
        <w:rPr>
          <w:rFonts w:hint="eastAsia" w:cs="Times New Roman"/>
          <w:sz w:val="24"/>
          <w:szCs w:val="24"/>
        </w:rPr>
        <w:t>治疗</w:t>
      </w:r>
      <w:bookmarkEnd w:id="85"/>
    </w:p>
    <w:p w14:paraId="19FA5721">
      <w:pPr>
        <w:pStyle w:val="60"/>
        <w:ind w:firstLine="480"/>
        <w:rPr>
          <w:rStyle w:val="99"/>
          <w:rFonts w:cs="Times New Roman"/>
          <w:sz w:val="24"/>
          <w:szCs w:val="24"/>
        </w:rPr>
      </w:pPr>
      <w:r>
        <w:rPr>
          <w:rStyle w:val="99"/>
          <w:rFonts w:hint="eastAsia" w:cs="Times New Roman"/>
          <w:sz w:val="24"/>
          <w:szCs w:val="24"/>
        </w:rPr>
        <w:t>参与者在研究期间，除方案禁止的合并用药外，允许的合并治疗如下：</w:t>
      </w:r>
    </w:p>
    <w:p w14:paraId="4FFE4AE8">
      <w:pPr>
        <w:pStyle w:val="60"/>
        <w:numPr>
          <w:ilvl w:val="0"/>
          <w:numId w:val="47"/>
        </w:numPr>
        <w:ind w:firstLineChars="0"/>
        <w:rPr>
          <w:rStyle w:val="99"/>
          <w:rFonts w:cs="Times New Roman"/>
          <w:sz w:val="24"/>
          <w:szCs w:val="24"/>
        </w:rPr>
      </w:pPr>
      <w:r>
        <w:rPr>
          <w:rStyle w:val="99"/>
          <w:rFonts w:hint="eastAsia" w:cs="Times New Roman"/>
          <w:sz w:val="24"/>
          <w:szCs w:val="24"/>
        </w:rPr>
        <w:t>允许对合并疾病（如高血压、糖尿病等）的伴随用药，但研究期间尽量保持剂量不变，除非存在临床病情需要，如发生剂量调整，需记录在</w:t>
      </w:r>
      <w:r>
        <w:rPr>
          <w:rStyle w:val="99"/>
          <w:rFonts w:cs="Times New Roman"/>
          <w:sz w:val="24"/>
          <w:szCs w:val="24"/>
        </w:rPr>
        <w:t>eCRF</w:t>
      </w:r>
      <w:r>
        <w:rPr>
          <w:rStyle w:val="99"/>
          <w:rFonts w:hint="eastAsia" w:cs="Times New Roman"/>
          <w:sz w:val="24"/>
          <w:szCs w:val="24"/>
        </w:rPr>
        <w:t>中。</w:t>
      </w:r>
    </w:p>
    <w:p w14:paraId="7A2EB99B">
      <w:pPr>
        <w:pStyle w:val="60"/>
        <w:numPr>
          <w:ilvl w:val="0"/>
          <w:numId w:val="47"/>
        </w:numPr>
        <w:ind w:firstLineChars="0"/>
        <w:rPr>
          <w:rStyle w:val="99"/>
          <w:rFonts w:cs="Times New Roman"/>
          <w:sz w:val="24"/>
          <w:szCs w:val="24"/>
        </w:rPr>
      </w:pPr>
      <w:r>
        <w:rPr>
          <w:rStyle w:val="99"/>
          <w:rFonts w:hint="eastAsia" w:cs="Times New Roman"/>
          <w:sz w:val="24"/>
          <w:szCs w:val="24"/>
        </w:rPr>
        <w:t>允许局部使用温和润肤剂（不含药理活性成分）。参与者在研究之前已规律使用温和润肤剂（经研究者确认），研究期间可以原使用方案继续使用该润肤剂；如在研究开始前未使用润肤剂，研究期间不建议使用润肤剂。在整个研究过程中，应尽一切努力保持使用相同的润肤剂和使用习惯。日记卡记录每日是否有使用润肤剂。请注意，每次访视前</w:t>
      </w:r>
      <w:r>
        <w:rPr>
          <w:rStyle w:val="99"/>
          <w:rFonts w:cs="Times New Roman"/>
          <w:sz w:val="24"/>
          <w:szCs w:val="24"/>
        </w:rPr>
        <w:t>24</w:t>
      </w:r>
      <w:r>
        <w:rPr>
          <w:rStyle w:val="99"/>
          <w:rFonts w:hint="eastAsia" w:cs="Times New Roman"/>
          <w:sz w:val="24"/>
          <w:szCs w:val="24"/>
        </w:rPr>
        <w:t>小时内不得使用润肤剂。</w:t>
      </w:r>
    </w:p>
    <w:p w14:paraId="7A5D0A17">
      <w:pPr>
        <w:pStyle w:val="60"/>
        <w:numPr>
          <w:ilvl w:val="0"/>
          <w:numId w:val="47"/>
        </w:numPr>
        <w:ind w:firstLineChars="0"/>
        <w:rPr>
          <w:rStyle w:val="99"/>
          <w:rFonts w:cs="Times New Roman"/>
          <w:sz w:val="24"/>
          <w:szCs w:val="24"/>
        </w:rPr>
      </w:pPr>
      <w:r>
        <w:rPr>
          <w:rFonts w:hint="eastAsia" w:cs="Times New Roman"/>
          <w:sz w:val="24"/>
          <w:szCs w:val="24"/>
        </w:rPr>
        <w:t>允许使用鼻内用皮质类固醇制剂及吸入用皮质类固醇。</w:t>
      </w:r>
    </w:p>
    <w:p w14:paraId="759EB626">
      <w:pPr>
        <w:pStyle w:val="60"/>
        <w:numPr>
          <w:ilvl w:val="0"/>
          <w:numId w:val="47"/>
        </w:numPr>
        <w:ind w:firstLineChars="0"/>
        <w:rPr>
          <w:rStyle w:val="99"/>
          <w:rFonts w:cs="Times New Roman"/>
          <w:sz w:val="24"/>
          <w:szCs w:val="24"/>
        </w:rPr>
      </w:pPr>
      <w:r>
        <w:rPr>
          <w:rStyle w:val="99"/>
          <w:rFonts w:hint="eastAsia" w:cs="Times New Roman"/>
          <w:sz w:val="24"/>
          <w:szCs w:val="24"/>
        </w:rPr>
        <w:t>经研究者评估，认为必要的用于治疗不良事件的药物</w:t>
      </w:r>
      <w:r>
        <w:rPr>
          <w:rStyle w:val="99"/>
          <w:rFonts w:cs="Times New Roman"/>
          <w:sz w:val="24"/>
          <w:szCs w:val="24"/>
        </w:rPr>
        <w:t>/</w:t>
      </w:r>
      <w:r>
        <w:rPr>
          <w:rStyle w:val="99"/>
          <w:rFonts w:hint="eastAsia" w:cs="Times New Roman"/>
          <w:sz w:val="24"/>
          <w:szCs w:val="24"/>
        </w:rPr>
        <w:t>治疗。</w:t>
      </w:r>
    </w:p>
    <w:p w14:paraId="1ABB5E4A">
      <w:pPr>
        <w:pStyle w:val="116"/>
        <w:numPr>
          <w:ilvl w:val="2"/>
          <w:numId w:val="12"/>
        </w:numPr>
        <w:outlineLvl w:val="2"/>
        <w:rPr>
          <w:rFonts w:cs="Times New Roman"/>
          <w:sz w:val="24"/>
          <w:szCs w:val="24"/>
        </w:rPr>
      </w:pPr>
      <w:bookmarkStart w:id="86" w:name="_Toc217032257"/>
      <w:r>
        <w:rPr>
          <w:rFonts w:hint="eastAsia" w:cs="Times New Roman"/>
          <w:sz w:val="24"/>
          <w:szCs w:val="24"/>
        </w:rPr>
        <w:t>禁止的合并用药</w:t>
      </w:r>
      <w:r>
        <w:rPr>
          <w:rFonts w:cs="Times New Roman"/>
          <w:sz w:val="24"/>
          <w:szCs w:val="24"/>
        </w:rPr>
        <w:t>/</w:t>
      </w:r>
      <w:r>
        <w:rPr>
          <w:rFonts w:hint="eastAsia" w:cs="Times New Roman"/>
          <w:sz w:val="24"/>
          <w:szCs w:val="24"/>
        </w:rPr>
        <w:t>治疗</w:t>
      </w:r>
      <w:bookmarkEnd w:id="86"/>
    </w:p>
    <w:p w14:paraId="6DCD877A">
      <w:pPr>
        <w:pStyle w:val="60"/>
        <w:numPr>
          <w:ilvl w:val="255"/>
          <w:numId w:val="0"/>
        </w:numPr>
        <w:ind w:firstLine="420"/>
        <w:rPr>
          <w:rStyle w:val="99"/>
          <w:rFonts w:cs="Times New Roman"/>
          <w:sz w:val="24"/>
          <w:szCs w:val="24"/>
        </w:rPr>
      </w:pPr>
      <w:r>
        <w:rPr>
          <w:rStyle w:val="99"/>
          <w:rFonts w:hint="eastAsia" w:cs="Times New Roman"/>
          <w:sz w:val="24"/>
          <w:szCs w:val="24"/>
        </w:rPr>
        <w:t>基线前的指定时间内至试验结束期间，不得接受以下药物，见表</w:t>
      </w:r>
      <w:r>
        <w:rPr>
          <w:rStyle w:val="99"/>
          <w:rFonts w:cs="Times New Roman"/>
          <w:sz w:val="24"/>
          <w:szCs w:val="24"/>
        </w:rPr>
        <w:t>5</w:t>
      </w:r>
      <w:r>
        <w:rPr>
          <w:rStyle w:val="99"/>
          <w:rFonts w:hint="eastAsia" w:cs="Times New Roman"/>
          <w:sz w:val="24"/>
          <w:szCs w:val="24"/>
        </w:rPr>
        <w:t>，若接受禁用药物经研究者或申办者评估必要时需要退出试验。</w:t>
      </w:r>
    </w:p>
    <w:p w14:paraId="0DEE1402">
      <w:pPr>
        <w:jc w:val="center"/>
        <w:rPr>
          <w:rFonts w:ascii="Times New Roman" w:hAnsi="Times New Roman" w:cs="Times New Roman"/>
          <w:sz w:val="21"/>
          <w:szCs w:val="21"/>
        </w:rPr>
      </w:pPr>
      <w:r>
        <w:rPr>
          <w:rFonts w:hint="eastAsia" w:ascii="Times New Roman" w:hAnsi="Times New Roman" w:eastAsia="宋体" w:cs="Times New Roman"/>
          <w:b/>
          <w:bCs/>
          <w:sz w:val="21"/>
          <w:szCs w:val="21"/>
        </w:rPr>
        <w:t>表</w:t>
      </w:r>
      <w:r>
        <w:rPr>
          <w:rFonts w:ascii="Times New Roman" w:hAnsi="Times New Roman" w:eastAsia="宋体" w:cs="Times New Roman"/>
          <w:b/>
          <w:bCs/>
          <w:sz w:val="21"/>
          <w:szCs w:val="21"/>
        </w:rPr>
        <w:t xml:space="preserve">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w:instrText>
      </w:r>
      <w:r>
        <w:rPr>
          <w:rFonts w:hint="eastAsia" w:ascii="Times New Roman" w:hAnsi="Times New Roman" w:eastAsia="宋体" w:cs="Times New Roman"/>
          <w:b/>
          <w:bCs/>
          <w:sz w:val="21"/>
          <w:szCs w:val="21"/>
        </w:rPr>
        <w:instrText xml:space="preserve">表</w:instrText>
      </w:r>
      <w:r>
        <w:rPr>
          <w:rFonts w:ascii="Times New Roman" w:hAnsi="Times New Roman" w:eastAsia="宋体" w:cs="Times New Roman"/>
          <w:b/>
          <w:bCs/>
          <w:sz w:val="21"/>
          <w:szCs w:val="21"/>
        </w:rPr>
        <w:instrText xml:space="preserve">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5</w:t>
      </w:r>
      <w:r>
        <w:rPr>
          <w:rFonts w:ascii="Times New Roman" w:hAnsi="Times New Roman" w:eastAsia="宋体" w:cs="Times New Roman"/>
          <w:b/>
          <w:bCs/>
          <w:sz w:val="21"/>
          <w:szCs w:val="21"/>
        </w:rPr>
        <w:fldChar w:fldCharType="end"/>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kern w:val="2"/>
          <w:sz w:val="21"/>
          <w:szCs w:val="21"/>
        </w:rPr>
        <w:t>禁止的合并用药</w:t>
      </w:r>
      <w:r>
        <w:rPr>
          <w:rFonts w:ascii="Times New Roman" w:hAnsi="Times New Roman" w:eastAsia="宋体" w:cs="Times New Roman"/>
          <w:b/>
          <w:bCs/>
          <w:kern w:val="2"/>
          <w:sz w:val="21"/>
          <w:szCs w:val="21"/>
        </w:rPr>
        <w:t>/</w:t>
      </w:r>
      <w:r>
        <w:rPr>
          <w:rFonts w:hint="eastAsia" w:ascii="Times New Roman" w:hAnsi="Times New Roman" w:eastAsia="宋体" w:cs="Times New Roman"/>
          <w:b/>
          <w:bCs/>
          <w:kern w:val="2"/>
          <w:sz w:val="21"/>
          <w:szCs w:val="21"/>
        </w:rPr>
        <w:t>治疗</w:t>
      </w:r>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9"/>
        <w:gridCol w:w="5613"/>
      </w:tblGrid>
      <w:tr w14:paraId="21AB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63" w:type="pct"/>
            <w:tcBorders>
              <w:top w:val="single" w:color="auto" w:sz="4" w:space="0"/>
            </w:tcBorders>
            <w:shd w:val="clear" w:color="auto" w:fill="E8E8E8"/>
          </w:tcPr>
          <w:p w14:paraId="18A028FB">
            <w:pPr>
              <w:widowControl/>
              <w:autoSpaceDE/>
              <w:autoSpaceDN/>
              <w:rPr>
                <w:rFonts w:ascii="Times New Roman" w:hAnsi="Times New Roman" w:eastAsia="宋体" w:cs="Times New Roman"/>
                <w:b/>
                <w:bCs/>
                <w:kern w:val="2"/>
                <w:sz w:val="21"/>
                <w:szCs w:val="21"/>
              </w:rPr>
            </w:pPr>
            <w:r>
              <w:rPr>
                <w:rFonts w:hint="eastAsia" w:ascii="Times New Roman" w:hAnsi="Times New Roman" w:eastAsia="宋体" w:cs="Times New Roman"/>
                <w:b/>
                <w:bCs/>
                <w:kern w:val="2"/>
                <w:sz w:val="21"/>
                <w:szCs w:val="21"/>
              </w:rPr>
              <w:t>时间</w:t>
            </w:r>
          </w:p>
        </w:tc>
        <w:tc>
          <w:tcPr>
            <w:tcW w:w="3037" w:type="pct"/>
            <w:tcBorders>
              <w:top w:val="single" w:color="auto" w:sz="4" w:space="0"/>
            </w:tcBorders>
            <w:shd w:val="clear" w:color="auto" w:fill="E8E8E8"/>
          </w:tcPr>
          <w:p w14:paraId="6FD6E21A">
            <w:pPr>
              <w:widowControl/>
              <w:autoSpaceDE/>
              <w:autoSpaceDN/>
              <w:rPr>
                <w:rFonts w:ascii="Times New Roman" w:hAnsi="Times New Roman" w:eastAsia="宋体" w:cs="Times New Roman"/>
                <w:b/>
                <w:bCs/>
                <w:kern w:val="2"/>
                <w:sz w:val="21"/>
                <w:szCs w:val="21"/>
              </w:rPr>
            </w:pPr>
            <w:r>
              <w:rPr>
                <w:rFonts w:hint="eastAsia" w:ascii="Times New Roman" w:hAnsi="Times New Roman" w:eastAsia="宋体" w:cs="Times New Roman"/>
                <w:b/>
                <w:bCs/>
                <w:kern w:val="2"/>
                <w:sz w:val="21"/>
                <w:szCs w:val="21"/>
              </w:rPr>
              <w:t>禁止使用药物</w:t>
            </w:r>
          </w:p>
        </w:tc>
      </w:tr>
      <w:tr w14:paraId="735A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63" w:type="pct"/>
          </w:tcPr>
          <w:p w14:paraId="294B4EF4">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6</w:t>
            </w:r>
            <w:r>
              <w:rPr>
                <w:rFonts w:hint="eastAsia" w:ascii="Times New Roman" w:hAnsi="Times New Roman" w:eastAsia="宋体" w:cs="Times New Roman"/>
                <w:bCs/>
                <w:kern w:val="2"/>
                <w:sz w:val="21"/>
                <w:szCs w:val="21"/>
              </w:rPr>
              <w:t>个月至试验结束</w:t>
            </w:r>
          </w:p>
        </w:tc>
        <w:tc>
          <w:tcPr>
            <w:tcW w:w="3037" w:type="pct"/>
          </w:tcPr>
          <w:p w14:paraId="4156AB00">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靶向</w:t>
            </w:r>
            <w:r>
              <w:rPr>
                <w:rFonts w:ascii="Times New Roman" w:hAnsi="Times New Roman" w:eastAsia="宋体" w:cs="Times New Roman"/>
                <w:bCs/>
                <w:kern w:val="2"/>
                <w:sz w:val="21"/>
                <w:szCs w:val="21"/>
              </w:rPr>
              <w:t>IL-12</w:t>
            </w:r>
            <w:r>
              <w:rPr>
                <w:rFonts w:hint="eastAsia" w:ascii="Times New Roman" w:hAnsi="Times New Roman" w:eastAsia="宋体" w:cs="Times New Roman"/>
                <w:bCs/>
                <w:kern w:val="2"/>
                <w:sz w:val="21"/>
                <w:szCs w:val="21"/>
              </w:rPr>
              <w:t>、</w:t>
            </w:r>
            <w:r>
              <w:rPr>
                <w:rFonts w:ascii="Times New Roman" w:hAnsi="Times New Roman" w:eastAsia="宋体" w:cs="Times New Roman"/>
                <w:bCs/>
                <w:kern w:val="2"/>
                <w:sz w:val="21"/>
                <w:szCs w:val="21"/>
              </w:rPr>
              <w:t>IL-17</w:t>
            </w:r>
            <w:r>
              <w:rPr>
                <w:rFonts w:hint="eastAsia" w:ascii="Times New Roman" w:hAnsi="Times New Roman" w:eastAsia="宋体" w:cs="Times New Roman"/>
                <w:bCs/>
                <w:kern w:val="2"/>
                <w:sz w:val="21"/>
                <w:szCs w:val="21"/>
              </w:rPr>
              <w:t>和</w:t>
            </w:r>
            <w:r>
              <w:rPr>
                <w:rFonts w:ascii="Times New Roman" w:hAnsi="Times New Roman" w:eastAsia="宋体" w:cs="Times New Roman"/>
                <w:bCs/>
                <w:kern w:val="2"/>
                <w:sz w:val="21"/>
                <w:szCs w:val="21"/>
              </w:rPr>
              <w:t>/</w:t>
            </w:r>
            <w:r>
              <w:rPr>
                <w:rFonts w:hint="eastAsia" w:ascii="Times New Roman" w:hAnsi="Times New Roman" w:eastAsia="宋体" w:cs="Times New Roman"/>
                <w:bCs/>
                <w:kern w:val="2"/>
                <w:sz w:val="21"/>
                <w:szCs w:val="21"/>
              </w:rPr>
              <w:t>或</w:t>
            </w:r>
            <w:r>
              <w:rPr>
                <w:rFonts w:ascii="Times New Roman" w:hAnsi="Times New Roman" w:eastAsia="宋体" w:cs="Times New Roman"/>
                <w:bCs/>
                <w:kern w:val="2"/>
                <w:sz w:val="21"/>
                <w:szCs w:val="21"/>
              </w:rPr>
              <w:t>IL-23</w:t>
            </w:r>
            <w:r>
              <w:rPr>
                <w:rFonts w:hint="eastAsia" w:ascii="Times New Roman" w:hAnsi="Times New Roman" w:eastAsia="宋体" w:cs="Times New Roman"/>
                <w:bCs/>
                <w:kern w:val="2"/>
                <w:sz w:val="21"/>
                <w:szCs w:val="21"/>
              </w:rPr>
              <w:t>的生物制剂</w:t>
            </w:r>
          </w:p>
        </w:tc>
      </w:tr>
      <w:tr w14:paraId="61CF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21ABB7E5">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6</w:t>
            </w:r>
            <w:r>
              <w:rPr>
                <w:rFonts w:hint="eastAsia" w:ascii="Times New Roman" w:hAnsi="Times New Roman" w:eastAsia="宋体" w:cs="Times New Roman"/>
                <w:bCs/>
                <w:kern w:val="2"/>
                <w:sz w:val="21"/>
                <w:szCs w:val="21"/>
              </w:rPr>
              <w:t>个月至试验结束</w:t>
            </w:r>
          </w:p>
        </w:tc>
        <w:tc>
          <w:tcPr>
            <w:tcW w:w="3037" w:type="pct"/>
          </w:tcPr>
          <w:p w14:paraId="1B23F020">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利妥昔单抗或其它免疫细胞耗竭治疗</w:t>
            </w:r>
          </w:p>
        </w:tc>
      </w:tr>
      <w:tr w14:paraId="29BE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3748EE71">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24</w:t>
            </w:r>
            <w:r>
              <w:rPr>
                <w:rFonts w:hint="eastAsia" w:ascii="Times New Roman" w:hAnsi="Times New Roman" w:eastAsia="宋体" w:cs="Times New Roman"/>
                <w:bCs/>
                <w:kern w:val="2"/>
                <w:sz w:val="21"/>
                <w:szCs w:val="21"/>
              </w:rPr>
              <w:t>个月至试验结束，若经过药物清除剂进行洗脱可缩短至首次给药前</w:t>
            </w:r>
            <w:r>
              <w:rPr>
                <w:rFonts w:ascii="Times New Roman" w:hAnsi="Times New Roman" w:eastAsia="宋体" w:cs="Times New Roman"/>
                <w:bCs/>
                <w:kern w:val="2"/>
                <w:sz w:val="21"/>
                <w:szCs w:val="21"/>
              </w:rPr>
              <w:t>6</w:t>
            </w:r>
            <w:r>
              <w:rPr>
                <w:rFonts w:hint="eastAsia" w:ascii="Times New Roman" w:hAnsi="Times New Roman" w:eastAsia="宋体" w:cs="Times New Roman"/>
                <w:bCs/>
                <w:kern w:val="2"/>
                <w:sz w:val="21"/>
                <w:szCs w:val="21"/>
              </w:rPr>
              <w:t>个月</w:t>
            </w:r>
          </w:p>
        </w:tc>
        <w:tc>
          <w:tcPr>
            <w:tcW w:w="3037" w:type="pct"/>
          </w:tcPr>
          <w:p w14:paraId="3846D18E">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kern w:val="2"/>
                <w:sz w:val="21"/>
                <w:szCs w:val="21"/>
              </w:rPr>
              <w:t>来氟米特</w:t>
            </w:r>
          </w:p>
        </w:tc>
      </w:tr>
      <w:tr w14:paraId="7951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6B920C1B">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3</w:t>
            </w:r>
            <w:r>
              <w:rPr>
                <w:rFonts w:hint="eastAsia" w:ascii="Times New Roman" w:hAnsi="Times New Roman" w:eastAsia="宋体" w:cs="Times New Roman"/>
                <w:bCs/>
                <w:kern w:val="2"/>
                <w:sz w:val="21"/>
                <w:szCs w:val="21"/>
              </w:rPr>
              <w:t>个月或</w:t>
            </w:r>
            <w:r>
              <w:rPr>
                <w:rFonts w:ascii="Times New Roman" w:hAnsi="Times New Roman" w:eastAsia="宋体" w:cs="Times New Roman"/>
                <w:bCs/>
                <w:kern w:val="2"/>
                <w:sz w:val="21"/>
                <w:szCs w:val="21"/>
              </w:rPr>
              <w:t>5</w:t>
            </w:r>
            <w:r>
              <w:rPr>
                <w:rFonts w:hint="eastAsia" w:ascii="Times New Roman" w:hAnsi="Times New Roman" w:eastAsia="宋体" w:cs="Times New Roman"/>
                <w:bCs/>
                <w:kern w:val="2"/>
                <w:sz w:val="21"/>
                <w:szCs w:val="21"/>
              </w:rPr>
              <w:t>个半衰期（以时间较长者为准）至试验结束</w:t>
            </w:r>
          </w:p>
        </w:tc>
        <w:tc>
          <w:tcPr>
            <w:tcW w:w="3037" w:type="pct"/>
          </w:tcPr>
          <w:p w14:paraId="75B6F658">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除靶向</w:t>
            </w:r>
            <w:r>
              <w:rPr>
                <w:rFonts w:ascii="Times New Roman" w:hAnsi="Times New Roman" w:eastAsia="宋体" w:cs="Times New Roman"/>
                <w:bCs/>
                <w:kern w:val="2"/>
                <w:sz w:val="21"/>
                <w:szCs w:val="21"/>
              </w:rPr>
              <w:t>IL-12</w:t>
            </w:r>
            <w:r>
              <w:rPr>
                <w:rFonts w:hint="eastAsia" w:ascii="Times New Roman" w:hAnsi="Times New Roman" w:eastAsia="宋体" w:cs="Times New Roman"/>
                <w:bCs/>
                <w:kern w:val="2"/>
                <w:sz w:val="21"/>
                <w:szCs w:val="21"/>
              </w:rPr>
              <w:t>、</w:t>
            </w:r>
            <w:r>
              <w:rPr>
                <w:rFonts w:ascii="Times New Roman" w:hAnsi="Times New Roman" w:eastAsia="宋体" w:cs="Times New Roman"/>
                <w:bCs/>
                <w:kern w:val="2"/>
                <w:sz w:val="21"/>
                <w:szCs w:val="21"/>
              </w:rPr>
              <w:t>IL-17</w:t>
            </w:r>
            <w:r>
              <w:rPr>
                <w:rFonts w:hint="eastAsia" w:ascii="Times New Roman" w:hAnsi="Times New Roman" w:eastAsia="宋体" w:cs="Times New Roman"/>
                <w:bCs/>
                <w:kern w:val="2"/>
                <w:sz w:val="21"/>
                <w:szCs w:val="21"/>
              </w:rPr>
              <w:t>和</w:t>
            </w:r>
            <w:r>
              <w:rPr>
                <w:rFonts w:ascii="Times New Roman" w:hAnsi="Times New Roman" w:eastAsia="宋体" w:cs="Times New Roman"/>
                <w:bCs/>
                <w:kern w:val="2"/>
                <w:sz w:val="21"/>
                <w:szCs w:val="21"/>
              </w:rPr>
              <w:t>/</w:t>
            </w:r>
            <w:r>
              <w:rPr>
                <w:rFonts w:hint="eastAsia" w:ascii="Times New Roman" w:hAnsi="Times New Roman" w:eastAsia="宋体" w:cs="Times New Roman"/>
                <w:bCs/>
                <w:kern w:val="2"/>
                <w:sz w:val="21"/>
                <w:szCs w:val="21"/>
              </w:rPr>
              <w:t>或</w:t>
            </w:r>
            <w:r>
              <w:rPr>
                <w:rFonts w:ascii="Times New Roman" w:hAnsi="Times New Roman" w:eastAsia="宋体" w:cs="Times New Roman"/>
                <w:bCs/>
                <w:kern w:val="2"/>
                <w:sz w:val="21"/>
                <w:szCs w:val="21"/>
              </w:rPr>
              <w:t>IL-23</w:t>
            </w:r>
            <w:r>
              <w:rPr>
                <w:rFonts w:hint="eastAsia" w:ascii="Times New Roman" w:hAnsi="Times New Roman" w:eastAsia="宋体" w:cs="Times New Roman"/>
                <w:bCs/>
                <w:kern w:val="2"/>
                <w:sz w:val="21"/>
                <w:szCs w:val="21"/>
              </w:rPr>
              <w:t>外的其他生物制剂</w:t>
            </w:r>
          </w:p>
        </w:tc>
      </w:tr>
      <w:tr w14:paraId="3D37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630FE138">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3</w:t>
            </w:r>
            <w:r>
              <w:rPr>
                <w:rFonts w:hint="eastAsia" w:ascii="Times New Roman" w:hAnsi="Times New Roman" w:eastAsia="宋体" w:cs="Times New Roman"/>
                <w:bCs/>
                <w:kern w:val="2"/>
                <w:sz w:val="21"/>
                <w:szCs w:val="21"/>
              </w:rPr>
              <w:t>个月或</w:t>
            </w:r>
            <w:r>
              <w:rPr>
                <w:rFonts w:ascii="Times New Roman" w:hAnsi="Times New Roman" w:eastAsia="宋体" w:cs="Times New Roman"/>
                <w:bCs/>
                <w:kern w:val="2"/>
                <w:sz w:val="21"/>
                <w:szCs w:val="21"/>
              </w:rPr>
              <w:t>5</w:t>
            </w:r>
            <w:r>
              <w:rPr>
                <w:rFonts w:hint="eastAsia" w:ascii="Times New Roman" w:hAnsi="Times New Roman" w:eastAsia="宋体" w:cs="Times New Roman"/>
                <w:bCs/>
                <w:kern w:val="2"/>
                <w:sz w:val="21"/>
                <w:szCs w:val="21"/>
              </w:rPr>
              <w:t>个半衰期（以时间较长者为准）至试验结束</w:t>
            </w:r>
          </w:p>
        </w:tc>
        <w:tc>
          <w:tcPr>
            <w:tcW w:w="3037" w:type="pct"/>
          </w:tcPr>
          <w:p w14:paraId="1F43A737">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其它临床试验药物</w:t>
            </w:r>
          </w:p>
        </w:tc>
      </w:tr>
      <w:tr w14:paraId="1AF4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073BCFF6">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4</w:t>
            </w:r>
            <w:r>
              <w:rPr>
                <w:rFonts w:hint="eastAsia" w:ascii="Times New Roman" w:hAnsi="Times New Roman" w:eastAsia="宋体" w:cs="Times New Roman"/>
                <w:bCs/>
                <w:kern w:val="2"/>
                <w:sz w:val="21"/>
                <w:szCs w:val="21"/>
              </w:rPr>
              <w:t>周至试验结束后</w:t>
            </w:r>
            <w:r>
              <w:rPr>
                <w:rFonts w:ascii="Times New Roman" w:hAnsi="Times New Roman" w:eastAsia="宋体" w:cs="Times New Roman"/>
                <w:bCs/>
                <w:kern w:val="2"/>
                <w:sz w:val="21"/>
                <w:szCs w:val="21"/>
              </w:rPr>
              <w:t>8</w:t>
            </w:r>
            <w:r>
              <w:rPr>
                <w:rFonts w:hint="eastAsia" w:ascii="Times New Roman" w:hAnsi="Times New Roman" w:eastAsia="宋体" w:cs="Times New Roman"/>
                <w:bCs/>
                <w:kern w:val="2"/>
                <w:sz w:val="21"/>
                <w:szCs w:val="21"/>
              </w:rPr>
              <w:t>周</w:t>
            </w:r>
          </w:p>
        </w:tc>
        <w:tc>
          <w:tcPr>
            <w:tcW w:w="3037" w:type="pct"/>
          </w:tcPr>
          <w:p w14:paraId="587ADF80">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接种减毒活疫苗</w:t>
            </w:r>
          </w:p>
        </w:tc>
      </w:tr>
      <w:tr w14:paraId="1272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2DC5CA59">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4</w:t>
            </w:r>
            <w:r>
              <w:rPr>
                <w:rFonts w:hint="eastAsia" w:ascii="Times New Roman" w:hAnsi="Times New Roman" w:eastAsia="宋体" w:cs="Times New Roman"/>
                <w:bCs/>
                <w:kern w:val="2"/>
                <w:sz w:val="21"/>
                <w:szCs w:val="21"/>
              </w:rPr>
              <w:t>周至试验结束</w:t>
            </w:r>
          </w:p>
        </w:tc>
        <w:tc>
          <w:tcPr>
            <w:tcW w:w="3037" w:type="pct"/>
          </w:tcPr>
          <w:p w14:paraId="283F0A2A">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影响银屑病病情的非生物制剂系统治疗，包括但不限于</w:t>
            </w:r>
            <w:r>
              <w:rPr>
                <w:rFonts w:ascii="Times New Roman" w:hAnsi="Times New Roman" w:eastAsia="宋体" w:cs="Times New Roman"/>
                <w:bCs/>
                <w:kern w:val="2"/>
                <w:sz w:val="21"/>
                <w:szCs w:val="21"/>
              </w:rPr>
              <w:t xml:space="preserve"> JAKs</w:t>
            </w:r>
            <w:r>
              <w:rPr>
                <w:rFonts w:hint="eastAsia" w:ascii="Times New Roman" w:hAnsi="Times New Roman" w:eastAsia="宋体" w:cs="Times New Roman"/>
                <w:bCs/>
                <w:kern w:val="2"/>
                <w:sz w:val="21"/>
                <w:szCs w:val="21"/>
              </w:rPr>
              <w:t>抑制剂、糖皮质激素、维</w:t>
            </w:r>
            <w:r>
              <w:rPr>
                <w:rFonts w:ascii="Times New Roman" w:hAnsi="Times New Roman" w:eastAsia="宋体" w:cs="Times New Roman"/>
                <w:bCs/>
                <w:kern w:val="2"/>
                <w:sz w:val="21"/>
                <w:szCs w:val="21"/>
              </w:rPr>
              <w:t>A</w:t>
            </w:r>
            <w:r>
              <w:rPr>
                <w:rFonts w:hint="eastAsia" w:ascii="Times New Roman" w:hAnsi="Times New Roman" w:eastAsia="宋体" w:cs="Times New Roman"/>
                <w:bCs/>
                <w:kern w:val="2"/>
                <w:sz w:val="21"/>
                <w:szCs w:val="21"/>
              </w:rPr>
              <w:t>酸类、环孢素、甲氨蝶呤、黄芪、雷公藤、苦参、复方甘草酸铵、硫唑嘌呤、吗替麦考酚酯、中成药及传统中草药（对于无</w:t>
            </w:r>
            <w:r>
              <w:rPr>
                <w:rFonts w:ascii="Times New Roman" w:hAnsi="Times New Roman" w:eastAsia="宋体" w:cs="Times New Roman"/>
                <w:bCs/>
                <w:kern w:val="2"/>
                <w:sz w:val="21"/>
                <w:szCs w:val="21"/>
              </w:rPr>
              <w:t>明确</w:t>
            </w:r>
            <w:r>
              <w:rPr>
                <w:rFonts w:hint="eastAsia" w:ascii="Times New Roman" w:hAnsi="Times New Roman" w:eastAsia="宋体" w:cs="Times New Roman"/>
                <w:bCs/>
                <w:kern w:val="2"/>
                <w:sz w:val="21"/>
                <w:szCs w:val="21"/>
              </w:rPr>
              <w:t>临床证据</w:t>
            </w:r>
            <w:r>
              <w:rPr>
                <w:rFonts w:ascii="Times New Roman" w:hAnsi="Times New Roman" w:eastAsia="宋体" w:cs="Times New Roman"/>
                <w:bCs/>
                <w:kern w:val="2"/>
                <w:sz w:val="21"/>
                <w:szCs w:val="21"/>
              </w:rPr>
              <w:t>可能改善银屑病病情</w:t>
            </w:r>
            <w:r>
              <w:rPr>
                <w:rFonts w:hint="eastAsia" w:ascii="Times New Roman" w:hAnsi="Times New Roman" w:eastAsia="宋体" w:cs="Times New Roman"/>
                <w:bCs/>
                <w:kern w:val="2"/>
                <w:sz w:val="21"/>
                <w:szCs w:val="21"/>
              </w:rPr>
              <w:t>的中成药或传统中草药，禁用时间可缩短至给药前</w:t>
            </w:r>
            <w:r>
              <w:rPr>
                <w:rFonts w:ascii="Times New Roman" w:hAnsi="Times New Roman" w:eastAsia="宋体" w:cs="Times New Roman"/>
                <w:bCs/>
                <w:kern w:val="2"/>
                <w:sz w:val="21"/>
                <w:szCs w:val="21"/>
              </w:rPr>
              <w:t>2</w:t>
            </w:r>
            <w:r>
              <w:rPr>
                <w:rFonts w:hint="eastAsia" w:ascii="Times New Roman" w:hAnsi="Times New Roman" w:eastAsia="宋体" w:cs="Times New Roman"/>
                <w:bCs/>
                <w:kern w:val="2"/>
                <w:sz w:val="21"/>
                <w:szCs w:val="21"/>
              </w:rPr>
              <w:t>周至试验结束）、抗疟药、干扰素或锂制剂等</w:t>
            </w:r>
          </w:p>
        </w:tc>
      </w:tr>
      <w:tr w14:paraId="2099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5782F35D">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4</w:t>
            </w:r>
            <w:r>
              <w:rPr>
                <w:rFonts w:hint="eastAsia" w:ascii="Times New Roman" w:hAnsi="Times New Roman" w:eastAsia="宋体" w:cs="Times New Roman"/>
                <w:bCs/>
                <w:kern w:val="2"/>
                <w:sz w:val="21"/>
                <w:szCs w:val="21"/>
              </w:rPr>
              <w:t>周至试验结束</w:t>
            </w:r>
          </w:p>
        </w:tc>
        <w:tc>
          <w:tcPr>
            <w:tcW w:w="3037" w:type="pct"/>
          </w:tcPr>
          <w:p w14:paraId="55BF2275">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肝药酶调节相关的中药治疗（如甘草、五味子等）</w:t>
            </w:r>
          </w:p>
        </w:tc>
      </w:tr>
      <w:tr w14:paraId="5364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649807AC">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4</w:t>
            </w:r>
            <w:r>
              <w:rPr>
                <w:rFonts w:hint="eastAsia" w:ascii="Times New Roman" w:hAnsi="Times New Roman" w:eastAsia="宋体" w:cs="Times New Roman"/>
                <w:bCs/>
                <w:kern w:val="2"/>
                <w:sz w:val="21"/>
                <w:szCs w:val="21"/>
              </w:rPr>
              <w:t>周至试验结束</w:t>
            </w:r>
          </w:p>
        </w:tc>
        <w:tc>
          <w:tcPr>
            <w:tcW w:w="3037" w:type="pct"/>
          </w:tcPr>
          <w:p w14:paraId="1F8878C1">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物理治疗，包括但不限于：紫外线疗法、光化学疗法、采用日光浴床自我治疗等</w:t>
            </w:r>
          </w:p>
        </w:tc>
      </w:tr>
      <w:tr w14:paraId="32EC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0FFA861B">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4</w:t>
            </w:r>
            <w:r>
              <w:rPr>
                <w:rFonts w:hint="eastAsia" w:ascii="Times New Roman" w:hAnsi="Times New Roman" w:eastAsia="宋体" w:cs="Times New Roman"/>
                <w:bCs/>
                <w:kern w:val="2"/>
                <w:sz w:val="21"/>
                <w:szCs w:val="21"/>
              </w:rPr>
              <w:t>周或</w:t>
            </w:r>
            <w:r>
              <w:rPr>
                <w:rFonts w:ascii="Times New Roman" w:hAnsi="Times New Roman" w:eastAsia="宋体" w:cs="Times New Roman"/>
                <w:bCs/>
                <w:kern w:val="2"/>
                <w:sz w:val="21"/>
                <w:szCs w:val="21"/>
              </w:rPr>
              <w:t>5</w:t>
            </w:r>
            <w:r>
              <w:rPr>
                <w:rFonts w:hint="eastAsia" w:ascii="Times New Roman" w:hAnsi="Times New Roman" w:eastAsia="宋体" w:cs="Times New Roman"/>
                <w:bCs/>
                <w:kern w:val="2"/>
                <w:sz w:val="21"/>
                <w:szCs w:val="21"/>
              </w:rPr>
              <w:t>个半衰期（以时间较长者为准）至试验结束</w:t>
            </w:r>
          </w:p>
        </w:tc>
        <w:tc>
          <w:tcPr>
            <w:tcW w:w="3037" w:type="pct"/>
          </w:tcPr>
          <w:p w14:paraId="4B9C91E5">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任何影响研究评估的治疗，包括但不限于</w:t>
            </w:r>
            <w:r>
              <w:rPr>
                <w:rFonts w:ascii="Times New Roman" w:hAnsi="Times New Roman" w:eastAsia="宋体" w:cs="Times New Roman"/>
                <w:bCs/>
                <w:kern w:val="2"/>
                <w:sz w:val="21"/>
                <w:szCs w:val="21"/>
              </w:rPr>
              <w:t>CYP3A</w:t>
            </w:r>
            <w:r>
              <w:rPr>
                <w:rFonts w:hint="eastAsia" w:ascii="Times New Roman" w:hAnsi="Times New Roman" w:eastAsia="宋体" w:cs="Times New Roman"/>
                <w:bCs/>
                <w:kern w:val="2"/>
                <w:sz w:val="21"/>
                <w:szCs w:val="21"/>
              </w:rPr>
              <w:t>强诱导剂或抑制剂的药物（见附录</w:t>
            </w:r>
            <w:r>
              <w:rPr>
                <w:rFonts w:ascii="Times New Roman" w:hAnsi="Times New Roman" w:eastAsia="宋体" w:cs="Times New Roman"/>
                <w:bCs/>
                <w:kern w:val="2"/>
                <w:sz w:val="21"/>
                <w:szCs w:val="21"/>
              </w:rPr>
              <w:t>3</w:t>
            </w:r>
            <w:r>
              <w:rPr>
                <w:rFonts w:hint="eastAsia" w:ascii="Times New Roman" w:hAnsi="Times New Roman" w:eastAsia="宋体" w:cs="Times New Roman"/>
                <w:bCs/>
                <w:kern w:val="2"/>
                <w:sz w:val="21"/>
                <w:szCs w:val="21"/>
              </w:rPr>
              <w:t>）</w:t>
            </w:r>
          </w:p>
        </w:tc>
      </w:tr>
      <w:tr w14:paraId="49CF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3A6BB60B">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2</w:t>
            </w:r>
            <w:r>
              <w:rPr>
                <w:rFonts w:hint="eastAsia" w:ascii="Times New Roman" w:hAnsi="Times New Roman" w:eastAsia="宋体" w:cs="Times New Roman"/>
                <w:bCs/>
                <w:kern w:val="2"/>
                <w:sz w:val="21"/>
                <w:szCs w:val="21"/>
              </w:rPr>
              <w:t>周至试验结束</w:t>
            </w:r>
          </w:p>
        </w:tc>
        <w:tc>
          <w:tcPr>
            <w:tcW w:w="3037" w:type="pct"/>
          </w:tcPr>
          <w:p w14:paraId="2283953D">
            <w:pPr>
              <w:widowControl/>
              <w:autoSpaceDE/>
              <w:autoSpaceDN/>
              <w:rPr>
                <w:rFonts w:ascii="Times New Roman" w:hAnsi="Times New Roman" w:eastAsia="宋体" w:cs="Times New Roman"/>
                <w:bCs/>
                <w:kern w:val="2"/>
                <w:sz w:val="21"/>
                <w:szCs w:val="21"/>
                <w:highlight w:val="yellow"/>
              </w:rPr>
            </w:pPr>
            <w:r>
              <w:rPr>
                <w:rFonts w:hint="eastAsia" w:ascii="Times New Roman" w:hAnsi="Times New Roman" w:eastAsia="宋体" w:cs="Times New Roman"/>
                <w:bCs/>
                <w:kern w:val="2"/>
                <w:sz w:val="21"/>
                <w:szCs w:val="21"/>
              </w:rPr>
              <w:t>可能影响银屑病病情的局部用药</w:t>
            </w:r>
            <w:r>
              <w:rPr>
                <w:rFonts w:ascii="Times New Roman" w:hAnsi="Times New Roman" w:eastAsia="宋体" w:cs="Times New Roman"/>
                <w:bCs/>
                <w:kern w:val="2"/>
                <w:sz w:val="21"/>
                <w:szCs w:val="21"/>
              </w:rPr>
              <w:t>/</w:t>
            </w:r>
            <w:r>
              <w:rPr>
                <w:rFonts w:hint="eastAsia" w:ascii="Times New Roman" w:hAnsi="Times New Roman" w:eastAsia="宋体" w:cs="Times New Roman"/>
                <w:bCs/>
                <w:kern w:val="2"/>
                <w:sz w:val="21"/>
                <w:szCs w:val="21"/>
              </w:rPr>
              <w:t>治疗（包括但不限于：糖皮质激素、维</w:t>
            </w:r>
            <w:r>
              <w:rPr>
                <w:rFonts w:ascii="Times New Roman" w:hAnsi="Times New Roman" w:eastAsia="宋体" w:cs="Times New Roman"/>
                <w:bCs/>
                <w:kern w:val="2"/>
                <w:sz w:val="21"/>
                <w:szCs w:val="21"/>
              </w:rPr>
              <w:t>A</w:t>
            </w:r>
            <w:r>
              <w:rPr>
                <w:rFonts w:hint="eastAsia" w:ascii="Times New Roman" w:hAnsi="Times New Roman" w:eastAsia="宋体" w:cs="Times New Roman"/>
                <w:bCs/>
                <w:kern w:val="2"/>
                <w:sz w:val="21"/>
                <w:szCs w:val="21"/>
              </w:rPr>
              <w:t>酸类、维生素</w:t>
            </w:r>
            <w:r>
              <w:rPr>
                <w:rFonts w:ascii="Times New Roman" w:hAnsi="Times New Roman" w:eastAsia="宋体" w:cs="Times New Roman"/>
                <w:bCs/>
                <w:kern w:val="2"/>
                <w:sz w:val="21"/>
                <w:szCs w:val="21"/>
              </w:rPr>
              <w:t>D3</w:t>
            </w:r>
            <w:r>
              <w:rPr>
                <w:rFonts w:hint="eastAsia" w:ascii="Times New Roman" w:hAnsi="Times New Roman" w:eastAsia="宋体" w:cs="Times New Roman"/>
                <w:bCs/>
                <w:kern w:val="2"/>
                <w:sz w:val="21"/>
                <w:szCs w:val="21"/>
              </w:rPr>
              <w:t>衍生物、钙调磷酸酶抑制剂、本维莫德、抗人</w:t>
            </w:r>
            <w:r>
              <w:rPr>
                <w:rFonts w:ascii="Times New Roman" w:hAnsi="Times New Roman" w:eastAsia="宋体" w:cs="Times New Roman"/>
                <w:bCs/>
                <w:kern w:val="2"/>
                <w:sz w:val="21"/>
                <w:szCs w:val="21"/>
              </w:rPr>
              <w:t>IL-8</w:t>
            </w:r>
            <w:r>
              <w:rPr>
                <w:rFonts w:hint="eastAsia" w:ascii="Times New Roman" w:hAnsi="Times New Roman" w:eastAsia="宋体" w:cs="Times New Roman"/>
                <w:bCs/>
                <w:kern w:val="2"/>
                <w:sz w:val="21"/>
                <w:szCs w:val="21"/>
              </w:rPr>
              <w:t>单克隆抗体乳膏、焦油、水杨酸、地蒽酚等）或含有上述成分的洗浴产品，或可能影响银屑病病情的中成药外用剂、中医非药物疗法；</w:t>
            </w:r>
          </w:p>
        </w:tc>
      </w:tr>
      <w:tr w14:paraId="5CC3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3" w:type="pct"/>
          </w:tcPr>
          <w:p w14:paraId="18E3D70D">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首次给药前</w:t>
            </w:r>
            <w:r>
              <w:rPr>
                <w:rFonts w:ascii="Times New Roman" w:hAnsi="Times New Roman" w:eastAsia="宋体" w:cs="Times New Roman"/>
                <w:bCs/>
                <w:kern w:val="2"/>
                <w:sz w:val="21"/>
                <w:szCs w:val="21"/>
              </w:rPr>
              <w:t>7</w:t>
            </w:r>
            <w:r>
              <w:rPr>
                <w:rFonts w:hint="eastAsia" w:ascii="Times New Roman" w:hAnsi="Times New Roman" w:eastAsia="宋体" w:cs="Times New Roman"/>
                <w:bCs/>
                <w:kern w:val="2"/>
                <w:sz w:val="21"/>
                <w:szCs w:val="21"/>
              </w:rPr>
              <w:t>天至试验结束</w:t>
            </w:r>
          </w:p>
        </w:tc>
        <w:tc>
          <w:tcPr>
            <w:tcW w:w="3037" w:type="pct"/>
          </w:tcPr>
          <w:p w14:paraId="1669C916">
            <w:pPr>
              <w:widowControl/>
              <w:autoSpaceDE/>
              <w:autoSpaceDN/>
              <w:rPr>
                <w:rFonts w:ascii="Times New Roman" w:hAnsi="Times New Roman" w:eastAsia="宋体" w:cs="Times New Roman"/>
                <w:bCs/>
                <w:kern w:val="2"/>
                <w:sz w:val="21"/>
                <w:szCs w:val="21"/>
              </w:rPr>
            </w:pPr>
            <w:r>
              <w:rPr>
                <w:rFonts w:hint="eastAsia" w:ascii="Times New Roman" w:hAnsi="Times New Roman" w:eastAsia="宋体" w:cs="Times New Roman"/>
                <w:bCs/>
                <w:kern w:val="2"/>
                <w:sz w:val="21"/>
                <w:szCs w:val="21"/>
              </w:rPr>
              <w:t>圣</w:t>
            </w:r>
            <w:r>
              <w:rPr>
                <w:rFonts w:ascii="Times New Roman" w:hAnsi="Times New Roman" w:eastAsia="宋体" w:cs="Times New Roman"/>
                <w:bCs/>
                <w:kern w:val="2"/>
                <w:sz w:val="21"/>
                <w:szCs w:val="21"/>
              </w:rPr>
              <w:t>·</w:t>
            </w:r>
            <w:r>
              <w:rPr>
                <w:rFonts w:hint="eastAsia" w:ascii="Times New Roman" w:hAnsi="Times New Roman" w:eastAsia="宋体" w:cs="Times New Roman"/>
                <w:bCs/>
                <w:kern w:val="2"/>
                <w:sz w:val="21"/>
                <w:szCs w:val="21"/>
              </w:rPr>
              <w:t>约翰草（贯叶连翘）制品、葡萄柚或葡萄柚汁</w:t>
            </w:r>
          </w:p>
        </w:tc>
      </w:tr>
    </w:tbl>
    <w:p w14:paraId="4617EA52">
      <w:pPr>
        <w:rPr>
          <w:rFonts w:ascii="Times New Roman" w:hAnsi="Times New Roman" w:cs="Times New Roman"/>
          <w:sz w:val="24"/>
          <w:szCs w:val="24"/>
        </w:rPr>
      </w:pPr>
    </w:p>
    <w:p w14:paraId="33B10034">
      <w:pPr>
        <w:pStyle w:val="116"/>
        <w:numPr>
          <w:ilvl w:val="2"/>
          <w:numId w:val="12"/>
        </w:numPr>
        <w:jc w:val="left"/>
        <w:outlineLvl w:val="2"/>
        <w:rPr>
          <w:rFonts w:cs="Times New Roman"/>
          <w:sz w:val="24"/>
          <w:szCs w:val="24"/>
        </w:rPr>
      </w:pPr>
      <w:r>
        <w:rPr>
          <w:rFonts w:cs="Times New Roman"/>
          <w:sz w:val="24"/>
          <w:szCs w:val="24"/>
        </w:rPr>
        <w:t xml:space="preserve"> </w:t>
      </w:r>
      <w:bookmarkStart w:id="87" w:name="_Toc217032258"/>
      <w:r>
        <w:rPr>
          <w:rFonts w:hint="eastAsia" w:cs="Times New Roman"/>
          <w:sz w:val="24"/>
          <w:szCs w:val="24"/>
        </w:rPr>
        <w:t>补救治疗</w:t>
      </w:r>
      <w:bookmarkEnd w:id="87"/>
    </w:p>
    <w:p w14:paraId="26DBA773">
      <w:pPr>
        <w:pStyle w:val="60"/>
        <w:numPr>
          <w:ilvl w:val="255"/>
          <w:numId w:val="0"/>
        </w:numPr>
        <w:ind w:firstLine="420"/>
        <w:rPr>
          <w:rFonts w:cs="Times New Roman"/>
          <w:color w:val="000000"/>
          <w:sz w:val="24"/>
          <w:szCs w:val="24"/>
        </w:rPr>
      </w:pPr>
      <w:r>
        <w:rPr>
          <w:rFonts w:hint="eastAsia" w:cs="Times New Roman"/>
          <w:color w:val="000000"/>
          <w:sz w:val="24"/>
          <w:szCs w:val="24"/>
        </w:rPr>
        <w:t>Ⅱ期临床研究阶段不设置补救治疗。</w:t>
      </w:r>
    </w:p>
    <w:p w14:paraId="394A568A">
      <w:pPr>
        <w:spacing w:line="360" w:lineRule="auto"/>
        <w:ind w:firstLine="420"/>
        <w:jc w:val="both"/>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Ⅲ期期临床研究阶段，如果研究者评估需要（即，为了控制无法耐受的斑块状银屑病症状），可以根据判断使用原本禁止的药物向受试者提供补救治疗，但不建议早于第</w:t>
      </w:r>
      <w:r>
        <w:rPr>
          <w:rFonts w:ascii="Times New Roman" w:hAnsi="Times New Roman" w:eastAsia="宋体" w:cs="Times New Roman"/>
          <w:color w:val="000000"/>
          <w:sz w:val="24"/>
          <w:szCs w:val="24"/>
        </w:rPr>
        <w:t>24</w:t>
      </w:r>
      <w:r>
        <w:rPr>
          <w:rFonts w:hint="eastAsia" w:ascii="Times New Roman" w:hAnsi="Times New Roman" w:eastAsia="宋体" w:cs="Times New Roman"/>
          <w:color w:val="000000"/>
          <w:sz w:val="24"/>
          <w:szCs w:val="24"/>
        </w:rPr>
        <w:t>周访视。</w:t>
      </w:r>
    </w:p>
    <w:p w14:paraId="04E24607">
      <w:pPr>
        <w:spacing w:line="360" w:lineRule="auto"/>
        <w:ind w:firstLine="420"/>
        <w:jc w:val="both"/>
        <w:rPr>
          <w:rFonts w:ascii="Times New Roman" w:hAnsi="Times New Roman" w:cs="Times New Roman"/>
          <w:sz w:val="24"/>
          <w:szCs w:val="24"/>
        </w:rPr>
      </w:pPr>
      <w:r>
        <w:rPr>
          <w:rFonts w:hint="eastAsia" w:ascii="Times New Roman" w:hAnsi="Times New Roman" w:eastAsia="宋体" w:cs="Times New Roman"/>
          <w:color w:val="000000"/>
          <w:sz w:val="24"/>
          <w:szCs w:val="24"/>
        </w:rPr>
        <w:t>研究者应尽可能将第一步补救治疗限制为外用药物。如经外用药物补救治疗</w:t>
      </w:r>
      <w:r>
        <w:rPr>
          <w:rFonts w:ascii="Times New Roman" w:hAnsi="Times New Roman" w:eastAsia="宋体" w:cs="Times New Roman"/>
          <w:color w:val="000000"/>
          <w:sz w:val="24"/>
          <w:szCs w:val="24"/>
        </w:rPr>
        <w:t>14</w:t>
      </w:r>
      <w:r>
        <w:rPr>
          <w:rFonts w:hint="eastAsia" w:ascii="Times New Roman" w:hAnsi="Times New Roman" w:eastAsia="宋体" w:cs="Times New Roman"/>
          <w:color w:val="000000"/>
          <w:sz w:val="24"/>
          <w:szCs w:val="24"/>
        </w:rPr>
        <w:t>天后，斑块状银屑病症状仍未得到改善，研究者可考虑将外用补救治疗升级为系统性治疗药物。如果受试者一旦接受系统性糖皮质激素或非糖皮质激素系统性免疫抑制剂</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免疫调节药物</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环孢素、甲氨蝶呤、</w:t>
      </w:r>
      <w:r>
        <w:rPr>
          <w:rFonts w:hint="eastAsia" w:ascii="Times New Roman" w:hAnsi="Times New Roman" w:eastAsia="宋体" w:cs="Times New Roman"/>
          <w:bCs/>
          <w:kern w:val="2"/>
          <w:sz w:val="24"/>
          <w:szCs w:val="24"/>
        </w:rPr>
        <w:t>吗替麦考酚酯、雷公藤、</w:t>
      </w:r>
      <w:r>
        <w:rPr>
          <w:rFonts w:hint="eastAsia" w:ascii="Times New Roman" w:hAnsi="Times New Roman" w:eastAsia="宋体" w:cs="Times New Roman"/>
          <w:color w:val="000000"/>
          <w:sz w:val="24"/>
          <w:szCs w:val="24"/>
        </w:rPr>
        <w:t>硫唑嘌呤、</w:t>
      </w:r>
      <w:r>
        <w:rPr>
          <w:rFonts w:ascii="Times New Roman" w:hAnsi="Times New Roman" w:eastAsia="宋体" w:cs="Times New Roman"/>
          <w:color w:val="000000"/>
          <w:sz w:val="24"/>
          <w:szCs w:val="24"/>
        </w:rPr>
        <w:t>JAK</w:t>
      </w:r>
      <w:r>
        <w:rPr>
          <w:rFonts w:hint="eastAsia" w:ascii="Times New Roman" w:hAnsi="Times New Roman" w:eastAsia="宋体" w:cs="Times New Roman"/>
          <w:color w:val="000000"/>
          <w:sz w:val="24"/>
          <w:szCs w:val="24"/>
        </w:rPr>
        <w:t>抑制剂、生物制剂</w:t>
      </w:r>
      <w:r>
        <w:rPr>
          <w:rFonts w:ascii="Times New Roman" w:hAnsi="Times New Roman" w:eastAsia="宋体" w:cs="Times New Roman"/>
          <w:color w:val="000000"/>
          <w:sz w:val="24"/>
          <w:szCs w:val="24"/>
        </w:rPr>
        <w:t>]/</w:t>
      </w:r>
      <w:r>
        <w:rPr>
          <w:rFonts w:hint="eastAsia" w:ascii="Times New Roman" w:hAnsi="Times New Roman" w:eastAsia="宋体" w:cs="Times New Roman"/>
          <w:bCs/>
          <w:kern w:val="2"/>
          <w:sz w:val="24"/>
          <w:szCs w:val="24"/>
        </w:rPr>
        <w:t>维</w:t>
      </w:r>
      <w:r>
        <w:rPr>
          <w:rFonts w:ascii="Times New Roman" w:hAnsi="Times New Roman" w:eastAsia="宋体" w:cs="Times New Roman"/>
          <w:bCs/>
          <w:kern w:val="2"/>
          <w:sz w:val="24"/>
          <w:szCs w:val="24"/>
        </w:rPr>
        <w:t>A</w:t>
      </w:r>
      <w:r>
        <w:rPr>
          <w:rFonts w:hint="eastAsia" w:ascii="Times New Roman" w:hAnsi="Times New Roman" w:eastAsia="宋体" w:cs="Times New Roman"/>
          <w:bCs/>
          <w:kern w:val="2"/>
          <w:sz w:val="24"/>
          <w:szCs w:val="24"/>
        </w:rPr>
        <w:t>酸类</w:t>
      </w:r>
      <w:r>
        <w:rPr>
          <w:rFonts w:hint="eastAsia" w:ascii="Times New Roman" w:hAnsi="Times New Roman" w:eastAsia="宋体" w:cs="Times New Roman"/>
          <w:color w:val="000000"/>
          <w:sz w:val="24"/>
          <w:szCs w:val="24"/>
        </w:rPr>
        <w:t>补救治疗，则研究药物治疗将立即暂停。研究者应尽可能在给予任何补救治疗之前进行有效性和安全性评估（例如疾病严重程度评分、实验室检查等）。如有必要，可以进行计划外访视。当系统性补救药物治疗完成后，如研究者和申办者认为可恢复研究药物，受试者可恢复使用研究药物，但不能早于系统性补救药物最后一次给药后的</w:t>
      </w:r>
      <w:r>
        <w:rPr>
          <w:rFonts w:ascii="Times New Roman" w:hAnsi="Times New Roman" w:eastAsia="宋体" w:cs="Times New Roman"/>
          <w:color w:val="000000"/>
          <w:sz w:val="24"/>
          <w:szCs w:val="24"/>
        </w:rPr>
        <w:t>5</w:t>
      </w:r>
      <w:r>
        <w:rPr>
          <w:rFonts w:hint="eastAsia" w:ascii="Times New Roman" w:hAnsi="Times New Roman" w:eastAsia="宋体" w:cs="Times New Roman"/>
          <w:color w:val="000000"/>
          <w:sz w:val="24"/>
          <w:szCs w:val="24"/>
        </w:rPr>
        <w:t>个半衰期。</w:t>
      </w:r>
    </w:p>
    <w:p w14:paraId="7D1C229E">
      <w:pPr>
        <w:pStyle w:val="114"/>
        <w:numPr>
          <w:ilvl w:val="0"/>
          <w:numId w:val="12"/>
        </w:numPr>
        <w:rPr>
          <w:rFonts w:cs="Times New Roman"/>
          <w:szCs w:val="28"/>
        </w:rPr>
      </w:pPr>
      <w:bookmarkStart w:id="88" w:name="_Toc170405325"/>
      <w:bookmarkEnd w:id="88"/>
      <w:bookmarkStart w:id="89" w:name="_Toc170405508"/>
      <w:bookmarkEnd w:id="89"/>
      <w:bookmarkStart w:id="90" w:name="_Toc170405319"/>
      <w:bookmarkEnd w:id="90"/>
      <w:bookmarkStart w:id="91" w:name="_Toc170405515"/>
      <w:bookmarkEnd w:id="91"/>
      <w:bookmarkStart w:id="92" w:name="_Toc170405540"/>
      <w:bookmarkEnd w:id="92"/>
      <w:bookmarkStart w:id="93" w:name="_Toc170405512"/>
      <w:bookmarkEnd w:id="93"/>
      <w:bookmarkStart w:id="94" w:name="_Toc170405520"/>
      <w:bookmarkEnd w:id="94"/>
      <w:bookmarkStart w:id="95" w:name="_Toc170405501"/>
      <w:bookmarkEnd w:id="95"/>
      <w:bookmarkStart w:id="96" w:name="_Toc170405299"/>
      <w:bookmarkEnd w:id="96"/>
      <w:bookmarkStart w:id="97" w:name="_Toc170405329"/>
      <w:bookmarkEnd w:id="97"/>
      <w:bookmarkStart w:id="98" w:name="_Toc170405336"/>
      <w:bookmarkEnd w:id="98"/>
      <w:bookmarkStart w:id="99" w:name="_Toc170405504"/>
      <w:bookmarkEnd w:id="99"/>
      <w:bookmarkStart w:id="100" w:name="_Toc170405322"/>
      <w:bookmarkEnd w:id="100"/>
      <w:bookmarkStart w:id="101" w:name="_Toc170405530"/>
      <w:bookmarkEnd w:id="101"/>
      <w:bookmarkStart w:id="102" w:name="_Toc170405528"/>
      <w:bookmarkEnd w:id="102"/>
      <w:bookmarkStart w:id="103" w:name="_Toc170405333"/>
      <w:bookmarkEnd w:id="103"/>
      <w:bookmarkStart w:id="104" w:name="_Toc170405326"/>
      <w:bookmarkEnd w:id="104"/>
      <w:bookmarkStart w:id="105" w:name="_Toc170405297"/>
      <w:bookmarkEnd w:id="105"/>
      <w:bookmarkStart w:id="106" w:name="_Toc170405298"/>
      <w:bookmarkEnd w:id="106"/>
      <w:bookmarkStart w:id="107" w:name="_Toc170405331"/>
      <w:bookmarkEnd w:id="107"/>
      <w:bookmarkStart w:id="108" w:name="_Toc170405521"/>
      <w:bookmarkEnd w:id="108"/>
      <w:bookmarkStart w:id="109" w:name="_Toc170405503"/>
      <w:bookmarkEnd w:id="109"/>
      <w:bookmarkStart w:id="110" w:name="_Toc170405323"/>
      <w:bookmarkEnd w:id="110"/>
      <w:bookmarkStart w:id="111" w:name="_Toc170405502"/>
      <w:bookmarkEnd w:id="111"/>
      <w:bookmarkStart w:id="112" w:name="_Toc170405302"/>
      <w:bookmarkEnd w:id="112"/>
      <w:bookmarkStart w:id="113" w:name="_Toc170405314"/>
      <w:bookmarkEnd w:id="113"/>
      <w:bookmarkStart w:id="114" w:name="_Toc170405523"/>
      <w:bookmarkEnd w:id="114"/>
      <w:bookmarkStart w:id="115" w:name="_Toc170405534"/>
      <w:bookmarkEnd w:id="115"/>
      <w:bookmarkStart w:id="116" w:name="_Toc170405526"/>
      <w:bookmarkEnd w:id="116"/>
      <w:bookmarkStart w:id="117" w:name="_Toc170405529"/>
      <w:bookmarkEnd w:id="117"/>
      <w:bookmarkStart w:id="118" w:name="_Toc170405324"/>
      <w:bookmarkEnd w:id="118"/>
      <w:bookmarkStart w:id="119" w:name="_Toc170405315"/>
      <w:bookmarkEnd w:id="119"/>
      <w:bookmarkStart w:id="120" w:name="_Toc170405533"/>
      <w:bookmarkEnd w:id="120"/>
      <w:bookmarkStart w:id="121" w:name="_Toc170405307"/>
      <w:bookmarkEnd w:id="121"/>
      <w:bookmarkStart w:id="122" w:name="_Toc170405517"/>
      <w:bookmarkEnd w:id="122"/>
      <w:bookmarkStart w:id="123" w:name="_Toc170405516"/>
      <w:bookmarkEnd w:id="123"/>
      <w:bookmarkStart w:id="124" w:name="_Toc170405332"/>
      <w:bookmarkEnd w:id="124"/>
      <w:bookmarkStart w:id="125" w:name="_Toc170405507"/>
      <w:bookmarkEnd w:id="125"/>
      <w:bookmarkStart w:id="126" w:name="_Toc170405334"/>
      <w:bookmarkEnd w:id="126"/>
      <w:bookmarkStart w:id="127" w:name="_Toc170405330"/>
      <w:bookmarkEnd w:id="127"/>
      <w:bookmarkStart w:id="128" w:name="_Toc170405327"/>
      <w:bookmarkEnd w:id="128"/>
      <w:bookmarkStart w:id="129" w:name="_Toc170405306"/>
      <w:bookmarkEnd w:id="129"/>
      <w:bookmarkStart w:id="130" w:name="_Toc170405317"/>
      <w:bookmarkEnd w:id="130"/>
      <w:bookmarkStart w:id="131" w:name="_Toc170405524"/>
      <w:bookmarkEnd w:id="131"/>
      <w:bookmarkStart w:id="132" w:name="_Toc170405531"/>
      <w:bookmarkEnd w:id="132"/>
      <w:bookmarkStart w:id="133" w:name="_Toc170405505"/>
      <w:bookmarkEnd w:id="133"/>
      <w:bookmarkStart w:id="134" w:name="_Toc170405311"/>
      <w:bookmarkEnd w:id="134"/>
      <w:bookmarkStart w:id="135" w:name="_Toc170405316"/>
      <w:bookmarkEnd w:id="135"/>
      <w:bookmarkStart w:id="136" w:name="_Toc170405337"/>
      <w:bookmarkEnd w:id="136"/>
      <w:bookmarkStart w:id="137" w:name="_Toc170405318"/>
      <w:bookmarkEnd w:id="137"/>
      <w:bookmarkStart w:id="138" w:name="_Toc170405541"/>
      <w:bookmarkEnd w:id="138"/>
      <w:bookmarkStart w:id="139" w:name="_Toc170405518"/>
      <w:bookmarkEnd w:id="139"/>
      <w:bookmarkStart w:id="140" w:name="_Toc170405304"/>
      <w:bookmarkEnd w:id="140"/>
      <w:bookmarkStart w:id="141" w:name="_Toc170405514"/>
      <w:bookmarkEnd w:id="141"/>
      <w:bookmarkStart w:id="142" w:name="_Toc170405312"/>
      <w:bookmarkEnd w:id="142"/>
      <w:bookmarkStart w:id="143" w:name="_Toc170405538"/>
      <w:bookmarkEnd w:id="143"/>
      <w:bookmarkStart w:id="144" w:name="_Toc170405301"/>
      <w:bookmarkEnd w:id="144"/>
      <w:bookmarkStart w:id="145" w:name="_Toc170405535"/>
      <w:bookmarkEnd w:id="145"/>
      <w:bookmarkStart w:id="146" w:name="_Toc170405522"/>
      <w:bookmarkEnd w:id="146"/>
      <w:bookmarkStart w:id="147" w:name="_Toc172276898"/>
      <w:bookmarkEnd w:id="147"/>
      <w:bookmarkStart w:id="148" w:name="_Toc170405335"/>
      <w:bookmarkEnd w:id="148"/>
      <w:bookmarkStart w:id="149" w:name="_Toc170405320"/>
      <w:bookmarkEnd w:id="149"/>
      <w:bookmarkStart w:id="150" w:name="_Toc170405537"/>
      <w:bookmarkEnd w:id="150"/>
      <w:bookmarkStart w:id="151" w:name="_Toc170405506"/>
      <w:bookmarkEnd w:id="151"/>
      <w:bookmarkStart w:id="152" w:name="_Toc170405513"/>
      <w:bookmarkEnd w:id="152"/>
      <w:bookmarkStart w:id="153" w:name="_Toc172277137"/>
      <w:bookmarkEnd w:id="153"/>
      <w:bookmarkStart w:id="154" w:name="_Toc170405300"/>
      <w:bookmarkEnd w:id="154"/>
      <w:bookmarkStart w:id="155" w:name="_Toc170405303"/>
      <w:bookmarkEnd w:id="155"/>
      <w:bookmarkStart w:id="156" w:name="_Toc170405511"/>
      <w:bookmarkEnd w:id="156"/>
      <w:bookmarkStart w:id="157" w:name="_Toc170405525"/>
      <w:bookmarkEnd w:id="157"/>
      <w:bookmarkStart w:id="158" w:name="_Toc170405532"/>
      <w:bookmarkEnd w:id="158"/>
      <w:bookmarkStart w:id="159" w:name="_Toc170405510"/>
      <w:bookmarkEnd w:id="159"/>
      <w:bookmarkStart w:id="160" w:name="_Toc170405539"/>
      <w:bookmarkEnd w:id="160"/>
      <w:bookmarkStart w:id="161" w:name="_Toc170405536"/>
      <w:bookmarkEnd w:id="161"/>
      <w:bookmarkStart w:id="162" w:name="_Toc170405313"/>
      <w:bookmarkEnd w:id="162"/>
      <w:bookmarkStart w:id="163" w:name="_Toc170405509"/>
      <w:bookmarkEnd w:id="163"/>
      <w:bookmarkStart w:id="164" w:name="_Toc170405321"/>
      <w:bookmarkEnd w:id="164"/>
      <w:bookmarkStart w:id="165" w:name="_Toc170405310"/>
      <w:bookmarkEnd w:id="165"/>
      <w:bookmarkStart w:id="166" w:name="_Toc170405328"/>
      <w:bookmarkEnd w:id="166"/>
      <w:bookmarkStart w:id="167" w:name="_Toc170405527"/>
      <w:bookmarkEnd w:id="167"/>
      <w:bookmarkStart w:id="168" w:name="_Toc170405305"/>
      <w:bookmarkEnd w:id="168"/>
      <w:bookmarkStart w:id="169" w:name="_Toc170405519"/>
      <w:bookmarkEnd w:id="169"/>
      <w:bookmarkStart w:id="170" w:name="_Toc170405308"/>
      <w:bookmarkEnd w:id="170"/>
      <w:bookmarkStart w:id="171" w:name="_Toc170405309"/>
      <w:bookmarkEnd w:id="171"/>
      <w:bookmarkStart w:id="172" w:name="_Toc217032259"/>
      <w:r>
        <w:rPr>
          <w:rFonts w:hint="eastAsia" w:cs="Times New Roman"/>
          <w:szCs w:val="28"/>
        </w:rPr>
        <w:t>研究评估和程序</w:t>
      </w:r>
      <w:bookmarkEnd w:id="172"/>
    </w:p>
    <w:p w14:paraId="2A4CA82C">
      <w:pPr>
        <w:pStyle w:val="60"/>
        <w:ind w:firstLine="480"/>
        <w:rPr>
          <w:rFonts w:cs="Times New Roman"/>
          <w:sz w:val="24"/>
          <w:szCs w:val="24"/>
        </w:rPr>
      </w:pPr>
      <w:r>
        <w:rPr>
          <w:rStyle w:val="99"/>
          <w:rFonts w:hint="eastAsia" w:cs="Times New Roman"/>
          <w:sz w:val="24"/>
          <w:szCs w:val="24"/>
        </w:rPr>
        <w:t>除给药时长外，</w:t>
      </w:r>
      <w:r>
        <w:rPr>
          <w:rFonts w:hint="eastAsia" w:cs="Times New Roman"/>
          <w:color w:val="000000"/>
          <w:sz w:val="24"/>
          <w:szCs w:val="24"/>
        </w:rPr>
        <w:t>Ⅱ期临床研究阶段和Ⅲ期期临床研究阶段评估和程序一致，具体评估时间点参见</w:t>
      </w:r>
      <w:r>
        <w:rPr>
          <w:rFonts w:cs="Times New Roman"/>
          <w:color w:val="000000"/>
          <w:sz w:val="24"/>
          <w:szCs w:val="24"/>
        </w:rPr>
        <w:t xml:space="preserve">1.3 </w:t>
      </w:r>
      <w:r>
        <w:rPr>
          <w:rFonts w:hint="eastAsia" w:cs="Times New Roman"/>
          <w:color w:val="000000"/>
          <w:sz w:val="24"/>
          <w:szCs w:val="24"/>
        </w:rPr>
        <w:t>研究流程表</w:t>
      </w:r>
      <w:r>
        <w:rPr>
          <w:rStyle w:val="99"/>
          <w:rFonts w:hint="eastAsia" w:cs="Times New Roman"/>
          <w:sz w:val="24"/>
          <w:szCs w:val="24"/>
        </w:rPr>
        <w:t>。</w:t>
      </w:r>
    </w:p>
    <w:p w14:paraId="0E71AD09">
      <w:pPr>
        <w:pStyle w:val="116"/>
        <w:numPr>
          <w:ilvl w:val="1"/>
          <w:numId w:val="12"/>
        </w:numPr>
        <w:rPr>
          <w:rFonts w:cs="Times New Roman"/>
          <w:sz w:val="24"/>
          <w:szCs w:val="24"/>
        </w:rPr>
      </w:pPr>
      <w:bookmarkStart w:id="173" w:name="_Toc217032260"/>
      <w:r>
        <w:rPr>
          <w:rFonts w:hint="eastAsia" w:cs="Times New Roman"/>
          <w:sz w:val="24"/>
          <w:szCs w:val="24"/>
        </w:rPr>
        <w:t>研究期间的检查和评估</w:t>
      </w:r>
      <w:bookmarkEnd w:id="173"/>
    </w:p>
    <w:p w14:paraId="27938CC5">
      <w:pPr>
        <w:pStyle w:val="116"/>
        <w:numPr>
          <w:ilvl w:val="2"/>
          <w:numId w:val="12"/>
        </w:numPr>
        <w:outlineLvl w:val="2"/>
        <w:rPr>
          <w:rFonts w:cs="Times New Roman"/>
          <w:sz w:val="24"/>
          <w:szCs w:val="24"/>
        </w:rPr>
      </w:pPr>
      <w:bookmarkStart w:id="174" w:name="_Toc217032261"/>
      <w:r>
        <w:rPr>
          <w:rFonts w:hint="eastAsia" w:cs="Times New Roman"/>
          <w:sz w:val="24"/>
          <w:szCs w:val="24"/>
        </w:rPr>
        <w:t>签署知情同意书</w:t>
      </w:r>
      <w:bookmarkEnd w:id="174"/>
    </w:p>
    <w:p w14:paraId="257A119A">
      <w:pPr>
        <w:pStyle w:val="60"/>
        <w:ind w:firstLine="480"/>
        <w:rPr>
          <w:rStyle w:val="99"/>
          <w:rFonts w:cs="Times New Roman"/>
          <w:sz w:val="24"/>
          <w:szCs w:val="24"/>
        </w:rPr>
      </w:pPr>
      <w:r>
        <w:rPr>
          <w:rStyle w:val="99"/>
          <w:rFonts w:hint="eastAsia" w:cs="Times New Roman"/>
          <w:sz w:val="24"/>
          <w:szCs w:val="24"/>
        </w:rPr>
        <w:t>研究者在筛选前向参与者解释所有的研究程序等信息，获得参与者自愿签署的</w:t>
      </w:r>
      <w:r>
        <w:rPr>
          <w:rStyle w:val="99"/>
          <w:rFonts w:cs="Times New Roman"/>
          <w:sz w:val="24"/>
          <w:szCs w:val="24"/>
        </w:rPr>
        <w:t>ICF</w:t>
      </w:r>
      <w:r>
        <w:rPr>
          <w:rStyle w:val="99"/>
          <w:rFonts w:hint="eastAsia" w:cs="Times New Roman"/>
          <w:sz w:val="24"/>
          <w:szCs w:val="24"/>
        </w:rPr>
        <w:t>。</w:t>
      </w:r>
    </w:p>
    <w:p w14:paraId="0E8F720F">
      <w:pPr>
        <w:pStyle w:val="116"/>
        <w:numPr>
          <w:ilvl w:val="2"/>
          <w:numId w:val="12"/>
        </w:numPr>
        <w:outlineLvl w:val="2"/>
        <w:rPr>
          <w:rFonts w:cs="Times New Roman"/>
          <w:sz w:val="24"/>
          <w:szCs w:val="24"/>
        </w:rPr>
      </w:pPr>
      <w:bookmarkStart w:id="175" w:name="_Toc217032262"/>
      <w:r>
        <w:rPr>
          <w:rFonts w:hint="eastAsia" w:cs="Times New Roman"/>
          <w:sz w:val="24"/>
          <w:szCs w:val="24"/>
        </w:rPr>
        <w:t>采集人口学资料</w:t>
      </w:r>
      <w:bookmarkEnd w:id="175"/>
    </w:p>
    <w:p w14:paraId="2BC554D8">
      <w:pPr>
        <w:pStyle w:val="60"/>
        <w:ind w:firstLine="480"/>
        <w:rPr>
          <w:rFonts w:cs="Times New Roman"/>
          <w:sz w:val="24"/>
          <w:szCs w:val="24"/>
        </w:rPr>
      </w:pPr>
      <w:r>
        <w:rPr>
          <w:rFonts w:hint="eastAsia" w:cs="Times New Roman"/>
          <w:sz w:val="24"/>
          <w:szCs w:val="24"/>
        </w:rPr>
        <w:t>在筛选期获取参与者的人口学资料，包括出生日期、性别、民族、年龄等信息。</w:t>
      </w:r>
    </w:p>
    <w:p w14:paraId="15AE6A56">
      <w:pPr>
        <w:pStyle w:val="116"/>
        <w:numPr>
          <w:ilvl w:val="2"/>
          <w:numId w:val="12"/>
        </w:numPr>
        <w:jc w:val="left"/>
        <w:outlineLvl w:val="2"/>
        <w:rPr>
          <w:rFonts w:cs="Times New Roman"/>
          <w:sz w:val="24"/>
          <w:szCs w:val="24"/>
        </w:rPr>
      </w:pPr>
      <w:bookmarkStart w:id="176" w:name="_Toc217032263"/>
      <w:r>
        <w:rPr>
          <w:rFonts w:hint="eastAsia" w:cs="Times New Roman"/>
          <w:sz w:val="24"/>
          <w:szCs w:val="24"/>
        </w:rPr>
        <w:t>既往和现病史、治疗史</w:t>
      </w:r>
      <w:bookmarkEnd w:id="176"/>
    </w:p>
    <w:p w14:paraId="46FA3B28">
      <w:pPr>
        <w:pStyle w:val="60"/>
        <w:ind w:firstLine="480"/>
        <w:rPr>
          <w:rFonts w:cs="Times New Roman"/>
          <w:sz w:val="24"/>
          <w:szCs w:val="24"/>
        </w:rPr>
      </w:pPr>
      <w:r>
        <w:rPr>
          <w:rFonts w:hint="eastAsia" w:cs="Times New Roman"/>
          <w:sz w:val="24"/>
          <w:szCs w:val="24"/>
        </w:rPr>
        <w:t>在筛选和</w:t>
      </w:r>
      <w:r>
        <w:rPr>
          <w:rFonts w:cs="Times New Roman"/>
          <w:sz w:val="24"/>
          <w:szCs w:val="24"/>
        </w:rPr>
        <w:t>/</w:t>
      </w:r>
      <w:r>
        <w:rPr>
          <w:rFonts w:hint="eastAsia" w:cs="Times New Roman"/>
          <w:sz w:val="24"/>
          <w:szCs w:val="24"/>
        </w:rPr>
        <w:t>或基线收集既往和现病史：包括既往病史</w:t>
      </w:r>
      <w:r>
        <w:rPr>
          <w:rFonts w:cs="Times New Roman"/>
          <w:sz w:val="24"/>
          <w:szCs w:val="24"/>
        </w:rPr>
        <w:t>/</w:t>
      </w:r>
      <w:r>
        <w:rPr>
          <w:rFonts w:hint="eastAsia" w:cs="Times New Roman"/>
          <w:sz w:val="24"/>
          <w:szCs w:val="24"/>
        </w:rPr>
        <w:t>伴随疾病、过敏史、个人史（吸烟史、饮酒史、药物滥用史）、家族史、月经史（女性）、生育史（女性）等。病史应包括尽可能过去</w:t>
      </w:r>
      <w:r>
        <w:rPr>
          <w:rFonts w:cs="Times New Roman"/>
          <w:sz w:val="24"/>
          <w:szCs w:val="24"/>
        </w:rPr>
        <w:t>2</w:t>
      </w:r>
      <w:r>
        <w:rPr>
          <w:rFonts w:hint="eastAsia" w:cs="Times New Roman"/>
          <w:sz w:val="24"/>
          <w:szCs w:val="24"/>
        </w:rPr>
        <w:t>年内研究者认为具有临床意义的个人病史信息。银屑病病史应记录详细信息，包括诊断时间、相关疾病特征、病程等。排除标准中要求审查的病史时间范围遵循排除标准的规定时间收集。</w:t>
      </w:r>
    </w:p>
    <w:p w14:paraId="47E30042">
      <w:pPr>
        <w:pStyle w:val="60"/>
        <w:ind w:firstLine="480"/>
        <w:rPr>
          <w:rFonts w:cs="Times New Roman"/>
          <w:sz w:val="24"/>
          <w:szCs w:val="24"/>
        </w:rPr>
      </w:pPr>
      <w:r>
        <w:rPr>
          <w:rFonts w:hint="eastAsia" w:cs="Times New Roman"/>
          <w:sz w:val="24"/>
          <w:szCs w:val="24"/>
        </w:rPr>
        <w:t>在筛选和</w:t>
      </w:r>
      <w:r>
        <w:rPr>
          <w:rFonts w:cs="Times New Roman"/>
          <w:sz w:val="24"/>
          <w:szCs w:val="24"/>
        </w:rPr>
        <w:t>/</w:t>
      </w:r>
      <w:r>
        <w:rPr>
          <w:rFonts w:hint="eastAsia" w:cs="Times New Roman"/>
          <w:sz w:val="24"/>
          <w:szCs w:val="24"/>
        </w:rPr>
        <w:t>或基线收集治疗史：包括药物治疗史、非药物治疗史及手术史等，尽可能收集银屑病相关的治疗史，其他疾病过去半年内的治疗史。</w:t>
      </w:r>
    </w:p>
    <w:p w14:paraId="6D7C0B2A">
      <w:pPr>
        <w:pStyle w:val="116"/>
        <w:numPr>
          <w:ilvl w:val="2"/>
          <w:numId w:val="12"/>
        </w:numPr>
        <w:outlineLvl w:val="2"/>
        <w:rPr>
          <w:rFonts w:cs="Times New Roman"/>
          <w:sz w:val="24"/>
          <w:szCs w:val="24"/>
        </w:rPr>
      </w:pPr>
      <w:bookmarkStart w:id="177" w:name="_Toc217032264"/>
      <w:r>
        <w:rPr>
          <w:rFonts w:hint="eastAsia" w:cs="Times New Roman"/>
          <w:sz w:val="24"/>
          <w:szCs w:val="24"/>
        </w:rPr>
        <w:t>身高及体重</w:t>
      </w:r>
      <w:bookmarkEnd w:id="177"/>
    </w:p>
    <w:p w14:paraId="7841B89D">
      <w:pPr>
        <w:pStyle w:val="60"/>
        <w:ind w:firstLine="480"/>
        <w:rPr>
          <w:rFonts w:cs="Times New Roman"/>
          <w:sz w:val="24"/>
          <w:szCs w:val="24"/>
        </w:rPr>
      </w:pPr>
      <w:r>
        <w:rPr>
          <w:rFonts w:hint="eastAsia" w:cs="Times New Roman"/>
          <w:sz w:val="24"/>
          <w:szCs w:val="24"/>
        </w:rPr>
        <w:t>筛选访视进行身高和体重测量，其余访视点进行体重测量。测量要求如下：</w:t>
      </w:r>
    </w:p>
    <w:p w14:paraId="3361766C">
      <w:pPr>
        <w:pStyle w:val="60"/>
        <w:numPr>
          <w:ilvl w:val="0"/>
          <w:numId w:val="48"/>
        </w:numPr>
        <w:ind w:left="845" w:firstLineChars="0"/>
        <w:rPr>
          <w:rFonts w:cs="Times New Roman"/>
          <w:sz w:val="24"/>
          <w:szCs w:val="24"/>
        </w:rPr>
      </w:pPr>
      <w:r>
        <w:rPr>
          <w:rFonts w:hint="eastAsia" w:cs="Times New Roman"/>
          <w:sz w:val="24"/>
          <w:szCs w:val="24"/>
        </w:rPr>
        <w:t>身高</w:t>
      </w:r>
    </w:p>
    <w:p w14:paraId="7114AB71">
      <w:pPr>
        <w:pStyle w:val="60"/>
        <w:numPr>
          <w:ilvl w:val="0"/>
          <w:numId w:val="49"/>
        </w:numPr>
        <w:ind w:firstLineChars="0"/>
        <w:rPr>
          <w:rFonts w:cs="Times New Roman"/>
          <w:sz w:val="24"/>
          <w:szCs w:val="24"/>
        </w:rPr>
      </w:pPr>
      <w:r>
        <w:rPr>
          <w:rFonts w:hint="eastAsia" w:cs="Times New Roman"/>
          <w:sz w:val="24"/>
          <w:szCs w:val="24"/>
        </w:rPr>
        <w:t>要求参与者脱掉鞋子并摘掉头饰。</w:t>
      </w:r>
    </w:p>
    <w:p w14:paraId="553BEF9D">
      <w:pPr>
        <w:pStyle w:val="60"/>
        <w:numPr>
          <w:ilvl w:val="0"/>
          <w:numId w:val="49"/>
        </w:numPr>
        <w:ind w:firstLineChars="0"/>
        <w:rPr>
          <w:rFonts w:cs="Times New Roman"/>
          <w:sz w:val="24"/>
          <w:szCs w:val="24"/>
        </w:rPr>
      </w:pPr>
      <w:r>
        <w:rPr>
          <w:rFonts w:hint="eastAsia" w:cs="Times New Roman"/>
          <w:sz w:val="24"/>
          <w:szCs w:val="24"/>
        </w:rPr>
        <w:t>要求参与者站在校准过的身高测量板（身高测量器）上，或靠墙站立双脚并拢、膝盖伸直、脚后跟背靠身高测量板或身高测量器或墙壁。</w:t>
      </w:r>
    </w:p>
    <w:p w14:paraId="29F0727C">
      <w:pPr>
        <w:pStyle w:val="60"/>
        <w:numPr>
          <w:ilvl w:val="0"/>
          <w:numId w:val="49"/>
        </w:numPr>
        <w:ind w:firstLineChars="0"/>
        <w:rPr>
          <w:rFonts w:cs="Times New Roman"/>
          <w:sz w:val="24"/>
          <w:szCs w:val="24"/>
        </w:rPr>
      </w:pPr>
      <w:r>
        <w:rPr>
          <w:rFonts w:hint="eastAsia" w:cs="Times New Roman"/>
          <w:sz w:val="24"/>
          <w:szCs w:val="24"/>
        </w:rPr>
        <w:t>要求参与者向前平视，不要仰头。</w:t>
      </w:r>
    </w:p>
    <w:p w14:paraId="13E2558B">
      <w:pPr>
        <w:pStyle w:val="60"/>
        <w:numPr>
          <w:ilvl w:val="0"/>
          <w:numId w:val="49"/>
        </w:numPr>
        <w:ind w:firstLineChars="0"/>
        <w:rPr>
          <w:rFonts w:cs="Times New Roman"/>
          <w:sz w:val="24"/>
          <w:szCs w:val="24"/>
        </w:rPr>
      </w:pPr>
      <w:r>
        <w:rPr>
          <w:rFonts w:hint="eastAsia" w:cs="Times New Roman"/>
          <w:sz w:val="24"/>
          <w:szCs w:val="24"/>
        </w:rPr>
        <w:t>要求参与者吸气并站直。如果使用身高测量器或固定式测量仪，轻轻将仪器的测量臂移动至参与者头顶上。记录参与者的身高，单位为厘米（</w:t>
      </w:r>
      <w:r>
        <w:rPr>
          <w:rFonts w:cs="Times New Roman"/>
          <w:sz w:val="24"/>
          <w:szCs w:val="24"/>
        </w:rPr>
        <w:t>cm</w:t>
      </w:r>
      <w:r>
        <w:rPr>
          <w:rFonts w:hint="eastAsia" w:cs="Times New Roman"/>
          <w:sz w:val="24"/>
          <w:szCs w:val="24"/>
        </w:rPr>
        <w:t>），保留整数。</w:t>
      </w:r>
    </w:p>
    <w:p w14:paraId="748654FD">
      <w:pPr>
        <w:pStyle w:val="60"/>
        <w:numPr>
          <w:ilvl w:val="0"/>
          <w:numId w:val="48"/>
        </w:numPr>
        <w:ind w:left="845" w:firstLineChars="0"/>
        <w:rPr>
          <w:rFonts w:cs="Times New Roman"/>
          <w:sz w:val="24"/>
          <w:szCs w:val="24"/>
        </w:rPr>
      </w:pPr>
      <w:r>
        <w:rPr>
          <w:rFonts w:hint="eastAsia" w:cs="Times New Roman"/>
          <w:sz w:val="24"/>
          <w:szCs w:val="24"/>
        </w:rPr>
        <w:t>体重</w:t>
      </w:r>
    </w:p>
    <w:p w14:paraId="33757CB4">
      <w:pPr>
        <w:pStyle w:val="60"/>
        <w:ind w:firstLine="480"/>
        <w:rPr>
          <w:rFonts w:cs="Times New Roman"/>
          <w:sz w:val="24"/>
          <w:szCs w:val="24"/>
        </w:rPr>
      </w:pPr>
      <w:r>
        <w:rPr>
          <w:rFonts w:hint="eastAsia" w:cs="Times New Roman"/>
          <w:sz w:val="24"/>
          <w:szCs w:val="24"/>
        </w:rPr>
        <w:t>使用校准过的秤（机械或电子称均可）以统一的方式进行。参与者的每次体重测量均应在参与者排空膀胱后进行。测量体重时，参与者应脱去外套</w:t>
      </w:r>
      <w:r>
        <w:rPr>
          <w:rFonts w:cs="Times New Roman"/>
          <w:sz w:val="24"/>
          <w:szCs w:val="24"/>
        </w:rPr>
        <w:t>/</w:t>
      </w:r>
      <w:r>
        <w:rPr>
          <w:rFonts w:hint="eastAsia" w:cs="Times New Roman"/>
          <w:sz w:val="24"/>
          <w:szCs w:val="24"/>
        </w:rPr>
        <w:t>外裤</w:t>
      </w:r>
      <w:r>
        <w:rPr>
          <w:rFonts w:cs="Times New Roman"/>
          <w:sz w:val="24"/>
          <w:szCs w:val="24"/>
        </w:rPr>
        <w:t>/</w:t>
      </w:r>
      <w:r>
        <w:rPr>
          <w:rFonts w:hint="eastAsia" w:cs="Times New Roman"/>
          <w:sz w:val="24"/>
          <w:szCs w:val="24"/>
        </w:rPr>
        <w:t>帽子</w:t>
      </w:r>
      <w:r>
        <w:rPr>
          <w:rFonts w:cs="Times New Roman"/>
          <w:sz w:val="24"/>
          <w:szCs w:val="24"/>
        </w:rPr>
        <w:t>/</w:t>
      </w:r>
      <w:r>
        <w:rPr>
          <w:rFonts w:hint="eastAsia" w:cs="Times New Roman"/>
          <w:sz w:val="24"/>
          <w:szCs w:val="24"/>
        </w:rPr>
        <w:t>围巾</w:t>
      </w:r>
      <w:r>
        <w:rPr>
          <w:rFonts w:cs="Times New Roman"/>
          <w:sz w:val="24"/>
          <w:szCs w:val="24"/>
        </w:rPr>
        <w:t>/</w:t>
      </w:r>
      <w:r>
        <w:rPr>
          <w:rFonts w:hint="eastAsia" w:cs="Times New Roman"/>
          <w:sz w:val="24"/>
          <w:szCs w:val="24"/>
        </w:rPr>
        <w:t>项链</w:t>
      </w:r>
      <w:r>
        <w:rPr>
          <w:rFonts w:cs="Times New Roman"/>
          <w:sz w:val="24"/>
          <w:szCs w:val="24"/>
        </w:rPr>
        <w:t>/</w:t>
      </w:r>
      <w:r>
        <w:rPr>
          <w:rFonts w:hint="eastAsia" w:cs="Times New Roman"/>
          <w:sz w:val="24"/>
          <w:szCs w:val="24"/>
        </w:rPr>
        <w:t>腰带等增加重量的衣物服饰，仅着单衣（限一件上衣和一件下衣），并脱掉鞋子。</w:t>
      </w:r>
    </w:p>
    <w:p w14:paraId="5BC2A0CE">
      <w:pPr>
        <w:pStyle w:val="60"/>
        <w:ind w:firstLine="480"/>
        <w:rPr>
          <w:rFonts w:cs="Times New Roman"/>
          <w:sz w:val="24"/>
          <w:szCs w:val="24"/>
        </w:rPr>
      </w:pPr>
      <w:r>
        <w:rPr>
          <w:rFonts w:hint="eastAsia" w:cs="Times New Roman"/>
          <w:sz w:val="24"/>
          <w:szCs w:val="24"/>
        </w:rPr>
        <w:t>单位为千克（</w:t>
      </w:r>
      <w:r>
        <w:rPr>
          <w:rFonts w:cs="Times New Roman"/>
          <w:sz w:val="24"/>
          <w:szCs w:val="24"/>
        </w:rPr>
        <w:t>kg</w:t>
      </w:r>
      <w:r>
        <w:rPr>
          <w:rFonts w:hint="eastAsia" w:cs="Times New Roman"/>
          <w:sz w:val="24"/>
          <w:szCs w:val="24"/>
        </w:rPr>
        <w:t>），保留小数点后</w:t>
      </w:r>
      <w:r>
        <w:rPr>
          <w:rFonts w:cs="Times New Roman"/>
          <w:sz w:val="24"/>
          <w:szCs w:val="24"/>
        </w:rPr>
        <w:t>1</w:t>
      </w:r>
      <w:r>
        <w:rPr>
          <w:rFonts w:hint="eastAsia" w:cs="Times New Roman"/>
          <w:sz w:val="24"/>
          <w:szCs w:val="24"/>
        </w:rPr>
        <w:t>位。</w:t>
      </w:r>
    </w:p>
    <w:p w14:paraId="0A024B0D">
      <w:pPr>
        <w:pStyle w:val="116"/>
        <w:numPr>
          <w:ilvl w:val="2"/>
          <w:numId w:val="12"/>
        </w:numPr>
        <w:outlineLvl w:val="2"/>
        <w:rPr>
          <w:rFonts w:cs="Times New Roman"/>
          <w:sz w:val="24"/>
          <w:szCs w:val="24"/>
        </w:rPr>
      </w:pPr>
      <w:bookmarkStart w:id="178" w:name="_Toc217032265"/>
      <w:r>
        <w:rPr>
          <w:rFonts w:hint="eastAsia" w:cs="Times New Roman"/>
          <w:sz w:val="24"/>
          <w:szCs w:val="24"/>
        </w:rPr>
        <w:t>生命体征检查</w:t>
      </w:r>
      <w:bookmarkEnd w:id="178"/>
    </w:p>
    <w:p w14:paraId="36C69E5F">
      <w:pPr>
        <w:pStyle w:val="60"/>
        <w:ind w:firstLine="480"/>
        <w:rPr>
          <w:rFonts w:cs="Times New Roman"/>
          <w:sz w:val="24"/>
          <w:szCs w:val="24"/>
        </w:rPr>
      </w:pPr>
      <w:r>
        <w:rPr>
          <w:rFonts w:hint="eastAsia" w:cs="Times New Roman"/>
          <w:sz w:val="24"/>
          <w:szCs w:val="24"/>
        </w:rPr>
        <w:t>生命体征检查包括坐位血压（收缩压和舒张压）（</w:t>
      </w:r>
      <w:r>
        <w:rPr>
          <w:rFonts w:cs="Times New Roman"/>
          <w:sz w:val="24"/>
          <w:szCs w:val="24"/>
        </w:rPr>
        <w:t>mmHg</w:t>
      </w:r>
      <w:r>
        <w:rPr>
          <w:rFonts w:hint="eastAsia" w:cs="Times New Roman"/>
          <w:sz w:val="24"/>
          <w:szCs w:val="24"/>
        </w:rPr>
        <w:t>）、坐位脉博（次</w:t>
      </w:r>
      <w:r>
        <w:rPr>
          <w:rFonts w:cs="Times New Roman"/>
          <w:sz w:val="24"/>
          <w:szCs w:val="24"/>
        </w:rPr>
        <w:t>/</w:t>
      </w:r>
      <w:r>
        <w:rPr>
          <w:rFonts w:hint="eastAsia" w:cs="Times New Roman"/>
          <w:sz w:val="24"/>
          <w:szCs w:val="24"/>
        </w:rPr>
        <w:t>分）、体温（℃）、呼吸频率（次</w:t>
      </w:r>
      <w:r>
        <w:rPr>
          <w:rFonts w:cs="Times New Roman"/>
          <w:sz w:val="24"/>
          <w:szCs w:val="24"/>
        </w:rPr>
        <w:t>/</w:t>
      </w:r>
      <w:r>
        <w:rPr>
          <w:rFonts w:hint="eastAsia" w:cs="Times New Roman"/>
          <w:sz w:val="24"/>
          <w:szCs w:val="24"/>
        </w:rPr>
        <w:t>分）。测量前，建议参与者至少休息</w:t>
      </w:r>
      <w:r>
        <w:rPr>
          <w:rFonts w:cs="Times New Roman"/>
          <w:sz w:val="24"/>
          <w:szCs w:val="24"/>
        </w:rPr>
        <w:t>5</w:t>
      </w:r>
      <w:r>
        <w:rPr>
          <w:rFonts w:hint="eastAsia" w:cs="Times New Roman"/>
          <w:sz w:val="24"/>
          <w:szCs w:val="24"/>
        </w:rPr>
        <w:t>分钟。</w:t>
      </w:r>
    </w:p>
    <w:p w14:paraId="7252128F">
      <w:pPr>
        <w:pStyle w:val="60"/>
        <w:ind w:firstLine="480"/>
        <w:rPr>
          <w:rFonts w:cs="Times New Roman"/>
          <w:sz w:val="24"/>
          <w:szCs w:val="24"/>
        </w:rPr>
      </w:pPr>
      <w:r>
        <w:rPr>
          <w:rFonts w:hint="eastAsia" w:cs="Times New Roman"/>
          <w:sz w:val="24"/>
          <w:szCs w:val="24"/>
        </w:rPr>
        <w:t>如果生命体征的检查与</w:t>
      </w:r>
      <w:r>
        <w:rPr>
          <w:rFonts w:cs="Times New Roman"/>
          <w:sz w:val="24"/>
          <w:szCs w:val="24"/>
        </w:rPr>
        <w:t>PK</w:t>
      </w:r>
      <w:r>
        <w:rPr>
          <w:rFonts w:hint="eastAsia" w:cs="Times New Roman"/>
          <w:sz w:val="24"/>
          <w:szCs w:val="24"/>
        </w:rPr>
        <w:t>采样时间一致，尽量在</w:t>
      </w:r>
      <w:r>
        <w:rPr>
          <w:rFonts w:cs="Times New Roman"/>
          <w:sz w:val="24"/>
          <w:szCs w:val="24"/>
        </w:rPr>
        <w:t>PK</w:t>
      </w:r>
      <w:r>
        <w:rPr>
          <w:rFonts w:hint="eastAsia" w:cs="Times New Roman"/>
          <w:sz w:val="24"/>
          <w:szCs w:val="24"/>
        </w:rPr>
        <w:t>样本采集之前完成生命体征检查，最大限度地提高血样采集的准确性。</w:t>
      </w:r>
    </w:p>
    <w:p w14:paraId="54DD5243">
      <w:pPr>
        <w:pStyle w:val="116"/>
        <w:numPr>
          <w:ilvl w:val="2"/>
          <w:numId w:val="12"/>
        </w:numPr>
        <w:outlineLvl w:val="2"/>
        <w:rPr>
          <w:rFonts w:cs="Times New Roman"/>
          <w:sz w:val="24"/>
          <w:szCs w:val="24"/>
        </w:rPr>
      </w:pPr>
      <w:bookmarkStart w:id="179" w:name="_Toc217032266"/>
      <w:r>
        <w:rPr>
          <w:rFonts w:hint="eastAsia" w:cs="Times New Roman"/>
          <w:sz w:val="24"/>
          <w:szCs w:val="24"/>
        </w:rPr>
        <w:t>体格检查</w:t>
      </w:r>
      <w:bookmarkEnd w:id="179"/>
    </w:p>
    <w:p w14:paraId="1A7F5CF6">
      <w:pPr>
        <w:pStyle w:val="60"/>
        <w:ind w:firstLine="480"/>
        <w:rPr>
          <w:rFonts w:cs="Times New Roman"/>
          <w:sz w:val="24"/>
          <w:szCs w:val="24"/>
        </w:rPr>
      </w:pPr>
      <w:r>
        <w:rPr>
          <w:rFonts w:hint="eastAsia" w:cs="Times New Roman"/>
          <w:sz w:val="24"/>
          <w:szCs w:val="24"/>
        </w:rPr>
        <w:t>全面的体格检查包括一般情况、皮肤</w:t>
      </w:r>
      <w:r>
        <w:rPr>
          <w:rFonts w:cs="Times New Roman"/>
          <w:sz w:val="24"/>
          <w:szCs w:val="24"/>
        </w:rPr>
        <w:t>/</w:t>
      </w:r>
      <w:r>
        <w:rPr>
          <w:rFonts w:hint="eastAsia" w:cs="Times New Roman"/>
          <w:sz w:val="24"/>
          <w:szCs w:val="24"/>
        </w:rPr>
        <w:t>黏膜、淋巴结、头颈部、胸部、腹部、脊柱及四肢、神经系统等。除</w:t>
      </w:r>
      <w:r>
        <w:rPr>
          <w:rFonts w:cs="Times New Roman"/>
          <w:color w:val="000000"/>
          <w:sz w:val="24"/>
          <w:szCs w:val="24"/>
        </w:rPr>
        <w:t xml:space="preserve">1.3 </w:t>
      </w:r>
      <w:r>
        <w:rPr>
          <w:rFonts w:hint="eastAsia" w:cs="Times New Roman"/>
          <w:color w:val="000000"/>
          <w:sz w:val="24"/>
          <w:szCs w:val="24"/>
        </w:rPr>
        <w:t>研究流程表规定的访视需进行全面的体格检查外，</w:t>
      </w:r>
      <w:r>
        <w:rPr>
          <w:rFonts w:hint="eastAsia" w:cs="Times New Roman"/>
          <w:sz w:val="24"/>
          <w:szCs w:val="24"/>
        </w:rPr>
        <w:t>其余访视可根据临床症状和体征的变化，进行症状导向的体格检查。</w:t>
      </w:r>
    </w:p>
    <w:p w14:paraId="5FBE22B6">
      <w:pPr>
        <w:pStyle w:val="116"/>
        <w:numPr>
          <w:ilvl w:val="2"/>
          <w:numId w:val="12"/>
        </w:numPr>
        <w:outlineLvl w:val="2"/>
        <w:rPr>
          <w:rFonts w:cs="Times New Roman"/>
          <w:sz w:val="24"/>
          <w:szCs w:val="24"/>
        </w:rPr>
      </w:pPr>
      <w:bookmarkStart w:id="180" w:name="_Toc217032267"/>
      <w:r>
        <w:rPr>
          <w:rFonts w:cs="Times New Roman"/>
          <w:sz w:val="24"/>
          <w:szCs w:val="24"/>
        </w:rPr>
        <w:t>12</w:t>
      </w:r>
      <w:r>
        <w:rPr>
          <w:rFonts w:hint="eastAsia" w:cs="Times New Roman"/>
          <w:sz w:val="24"/>
          <w:szCs w:val="24"/>
        </w:rPr>
        <w:t>导联心电图检查</w:t>
      </w:r>
      <w:bookmarkEnd w:id="180"/>
    </w:p>
    <w:p w14:paraId="63CF2B6D">
      <w:pPr>
        <w:pStyle w:val="60"/>
        <w:ind w:firstLine="480"/>
        <w:rPr>
          <w:rFonts w:cs="Times New Roman"/>
          <w:sz w:val="24"/>
          <w:szCs w:val="24"/>
        </w:rPr>
      </w:pPr>
      <w:r>
        <w:rPr>
          <w:rFonts w:cs="Times New Roman"/>
          <w:sz w:val="24"/>
          <w:szCs w:val="24"/>
        </w:rPr>
        <w:t>12</w:t>
      </w:r>
      <w:r>
        <w:rPr>
          <w:rFonts w:hint="eastAsia" w:cs="Times New Roman"/>
          <w:sz w:val="24"/>
          <w:szCs w:val="24"/>
        </w:rPr>
        <w:t>导联心电图检查前参与者至少静息</w:t>
      </w:r>
      <w:r>
        <w:rPr>
          <w:rFonts w:cs="Times New Roman"/>
          <w:sz w:val="24"/>
          <w:szCs w:val="24"/>
        </w:rPr>
        <w:t>10 min</w:t>
      </w:r>
      <w:r>
        <w:rPr>
          <w:rFonts w:hint="eastAsia" w:cs="Times New Roman"/>
          <w:sz w:val="24"/>
          <w:szCs w:val="24"/>
        </w:rPr>
        <w:t>。记录</w:t>
      </w:r>
      <w:r>
        <w:rPr>
          <w:rFonts w:cs="Times New Roman"/>
          <w:sz w:val="24"/>
          <w:szCs w:val="24"/>
        </w:rPr>
        <w:t>12</w:t>
      </w:r>
      <w:r>
        <w:rPr>
          <w:rFonts w:hint="eastAsia" w:cs="Times New Roman"/>
          <w:sz w:val="24"/>
          <w:szCs w:val="24"/>
        </w:rPr>
        <w:t>导联心电图诊断结果、心率、</w:t>
      </w:r>
      <w:r>
        <w:rPr>
          <w:rFonts w:cs="Times New Roman"/>
          <w:sz w:val="24"/>
          <w:szCs w:val="24"/>
        </w:rPr>
        <w:t>PR</w:t>
      </w:r>
      <w:r>
        <w:rPr>
          <w:rFonts w:hint="eastAsia" w:cs="Times New Roman"/>
          <w:sz w:val="24"/>
          <w:szCs w:val="24"/>
        </w:rPr>
        <w:t>间期、</w:t>
      </w:r>
      <w:r>
        <w:rPr>
          <w:rFonts w:cs="Times New Roman"/>
          <w:sz w:val="24"/>
          <w:szCs w:val="24"/>
        </w:rPr>
        <w:t>RR</w:t>
      </w:r>
      <w:r>
        <w:rPr>
          <w:rFonts w:hint="eastAsia" w:cs="Times New Roman"/>
          <w:sz w:val="24"/>
          <w:szCs w:val="24"/>
        </w:rPr>
        <w:t>间期、</w:t>
      </w:r>
      <w:r>
        <w:rPr>
          <w:rFonts w:cs="Times New Roman"/>
          <w:sz w:val="24"/>
          <w:szCs w:val="24"/>
        </w:rPr>
        <w:t>QRS</w:t>
      </w:r>
      <w:r>
        <w:rPr>
          <w:rFonts w:hint="eastAsia" w:cs="Times New Roman"/>
          <w:sz w:val="24"/>
          <w:szCs w:val="24"/>
        </w:rPr>
        <w:t>、</w:t>
      </w:r>
      <w:r>
        <w:rPr>
          <w:rFonts w:cs="Times New Roman"/>
          <w:sz w:val="24"/>
          <w:szCs w:val="24"/>
        </w:rPr>
        <w:t>QT</w:t>
      </w:r>
      <w:r>
        <w:rPr>
          <w:rFonts w:hint="eastAsia" w:cs="Times New Roman"/>
          <w:sz w:val="24"/>
          <w:szCs w:val="24"/>
        </w:rPr>
        <w:t>间期，并应用</w:t>
      </w:r>
      <w:r>
        <w:rPr>
          <w:rFonts w:cs="Times New Roman"/>
          <w:sz w:val="24"/>
          <w:szCs w:val="24"/>
        </w:rPr>
        <w:t>Fridericia</w:t>
      </w:r>
      <w:r>
        <w:rPr>
          <w:rFonts w:hint="eastAsia" w:cs="Times New Roman"/>
          <w:sz w:val="24"/>
          <w:szCs w:val="24"/>
        </w:rPr>
        <w:t>’</w:t>
      </w:r>
      <w:r>
        <w:rPr>
          <w:rFonts w:cs="Times New Roman"/>
          <w:sz w:val="24"/>
          <w:szCs w:val="24"/>
        </w:rPr>
        <w:t>s</w:t>
      </w:r>
      <w:r>
        <w:rPr>
          <w:rFonts w:hint="eastAsia" w:cs="Times New Roman"/>
          <w:sz w:val="24"/>
          <w:szCs w:val="24"/>
        </w:rPr>
        <w:t>公式计算心率校正计算</w:t>
      </w:r>
      <w:r>
        <w:rPr>
          <w:rFonts w:cs="Times New Roman"/>
          <w:sz w:val="24"/>
          <w:szCs w:val="24"/>
        </w:rPr>
        <w:t>QTcF</w:t>
      </w:r>
      <w:r>
        <w:rPr>
          <w:rFonts w:hint="eastAsia" w:cs="Times New Roman"/>
          <w:sz w:val="24"/>
          <w:szCs w:val="24"/>
        </w:rPr>
        <w:t>。</w:t>
      </w:r>
    </w:p>
    <w:p w14:paraId="20733E7D">
      <w:pPr>
        <w:spacing w:line="360" w:lineRule="auto"/>
        <w:ind w:firstLine="480" w:firstLineChars="200"/>
        <w:jc w:val="center"/>
        <w:rPr>
          <w:rFonts w:ascii="Times New Roman" w:hAnsi="Times New Roman" w:eastAsia="宋体" w:cs="Times New Roman"/>
          <w:kern w:val="2"/>
          <w:sz w:val="24"/>
          <w:szCs w:val="24"/>
        </w:rPr>
      </w:pPr>
      <m:oMathPara>
        <m:oMath>
          <m:r>
            <m:rPr>
              <m:sty m:val="p"/>
            </m:rPr>
            <w:rPr>
              <w:rFonts w:ascii="Cambria Math" w:hAnsi="Cambria Math" w:cs="Times New Roman"/>
              <w:sz w:val="24"/>
              <w:szCs w:val="24"/>
            </w:rPr>
            <m:t>QTcF=</m:t>
          </m:r>
          <m:f>
            <m:fPr>
              <m:ctrlPr>
                <w:rPr>
                  <w:rFonts w:ascii="Cambria Math" w:hAnsi="Cambria Math" w:cs="Times New Roman"/>
                  <w:sz w:val="24"/>
                  <w:szCs w:val="24"/>
                </w:rPr>
              </m:ctrlPr>
            </m:fPr>
            <m:num>
              <m:r>
                <m:rPr/>
                <w:rPr>
                  <w:rFonts w:ascii="Cambria Math" w:hAnsi="Cambria Math" w:cs="Times New Roman"/>
                  <w:sz w:val="24"/>
                  <w:szCs w:val="24"/>
                </w:rPr>
                <m:t>QT</m:t>
              </m:r>
              <m:ctrlPr>
                <w:rPr>
                  <w:rFonts w:ascii="Cambria Math" w:hAnsi="Cambria Math" w:cs="Times New Roman"/>
                  <w:sz w:val="24"/>
                  <w:szCs w:val="24"/>
                </w:rPr>
              </m:ctrlPr>
            </m:num>
            <m:den>
              <m:sSup>
                <m:sSupPr>
                  <m:ctrlPr>
                    <w:rPr>
                      <w:rFonts w:ascii="Cambria Math" w:hAnsi="Cambria Math" w:cs="Times New Roman"/>
                      <w:i/>
                      <w:sz w:val="24"/>
                      <w:szCs w:val="24"/>
                    </w:rPr>
                  </m:ctrlPr>
                </m:sSupPr>
                <m:e>
                  <m:r>
                    <m:rPr/>
                    <w:rPr>
                      <w:rFonts w:ascii="Cambria Math" w:hAnsi="Cambria Math" w:cs="Times New Roman"/>
                      <w:sz w:val="24"/>
                      <w:szCs w:val="24"/>
                    </w:rPr>
                    <m:t>RR</m:t>
                  </m:r>
                  <m:ctrlPr>
                    <w:rPr>
                      <w:rFonts w:ascii="Cambria Math" w:hAnsi="Cambria Math" w:cs="Times New Roman"/>
                      <w:i/>
                      <w:sz w:val="24"/>
                      <w:szCs w:val="24"/>
                    </w:rPr>
                  </m:ctrlPr>
                </m:e>
                <m:sup>
                  <m:r>
                    <m:rPr/>
                    <w:rPr>
                      <w:rFonts w:ascii="Cambria Math" w:hAnsi="Cambria Math" w:cs="Times New Roman"/>
                      <w:sz w:val="24"/>
                      <w:szCs w:val="24"/>
                    </w:rPr>
                    <m:t>0.33</m:t>
                  </m:r>
                  <m:ctrlPr>
                    <w:rPr>
                      <w:rFonts w:ascii="Cambria Math" w:hAnsi="Cambria Math" w:cs="Times New Roman"/>
                      <w:i/>
                      <w:sz w:val="24"/>
                      <w:szCs w:val="24"/>
                    </w:rPr>
                  </m:ctrlPr>
                </m:sup>
              </m:sSup>
              <m:ctrlPr>
                <w:rPr>
                  <w:rFonts w:ascii="Cambria Math" w:hAnsi="Cambria Math" w:cs="Times New Roman"/>
                  <w:sz w:val="24"/>
                  <w:szCs w:val="24"/>
                </w:rPr>
              </m:ctrlPr>
            </m:den>
          </m:f>
        </m:oMath>
      </m:oMathPara>
    </w:p>
    <w:p w14:paraId="04C34344">
      <w:pPr>
        <w:rPr>
          <w:rFonts w:ascii="Times New Roman" w:hAnsi="Times New Roman" w:eastAsia="宋体" w:cs="Times New Roman"/>
          <w:kern w:val="2"/>
          <w:sz w:val="24"/>
          <w:szCs w:val="24"/>
          <w:lang w:val="zh-CN"/>
        </w:rPr>
      </w:pPr>
      <w:r>
        <w:rPr>
          <w:rFonts w:hint="eastAsia" w:ascii="Times New Roman" w:hAnsi="Times New Roman" w:eastAsia="宋体" w:cs="Times New Roman"/>
          <w:kern w:val="2"/>
          <w:sz w:val="24"/>
          <w:szCs w:val="24"/>
          <w:lang w:val="zh-CN"/>
        </w:rPr>
        <w:t>注：</w:t>
      </w:r>
    </w:p>
    <w:p w14:paraId="20E97928">
      <w:pPr>
        <w:numPr>
          <w:ilvl w:val="0"/>
          <w:numId w:val="50"/>
        </w:numPr>
        <w:spacing w:line="360" w:lineRule="auto"/>
        <w:jc w:val="both"/>
        <w:rPr>
          <w:rFonts w:ascii="Times New Roman" w:hAnsi="Times New Roman" w:cs="Times New Roman"/>
          <w:sz w:val="24"/>
          <w:szCs w:val="24"/>
        </w:rPr>
      </w:pPr>
      <w:r>
        <w:rPr>
          <w:rFonts w:ascii="Times New Roman" w:hAnsi="Times New Roman" w:eastAsia="宋体" w:cs="Times New Roman"/>
          <w:kern w:val="2"/>
          <w:sz w:val="24"/>
          <w:szCs w:val="24"/>
          <w:lang w:val="zh-CN"/>
        </w:rPr>
        <w:t>QT</w:t>
      </w:r>
      <w:r>
        <w:rPr>
          <w:rFonts w:hint="eastAsia" w:ascii="Times New Roman" w:hAnsi="Times New Roman" w:eastAsia="宋体" w:cs="Times New Roman"/>
          <w:kern w:val="2"/>
          <w:sz w:val="24"/>
          <w:szCs w:val="24"/>
          <w:lang w:val="zh-CN"/>
        </w:rPr>
        <w:t>是指</w:t>
      </w:r>
      <w:r>
        <w:rPr>
          <w:rFonts w:ascii="Times New Roman" w:hAnsi="Times New Roman" w:eastAsia="宋体" w:cs="Times New Roman"/>
          <w:kern w:val="2"/>
          <w:sz w:val="24"/>
          <w:szCs w:val="24"/>
          <w:lang w:val="zh-CN"/>
        </w:rPr>
        <w:t>Q</w:t>
      </w:r>
      <w:r>
        <w:rPr>
          <w:rFonts w:hint="eastAsia" w:ascii="Times New Roman" w:hAnsi="Times New Roman" w:eastAsia="宋体" w:cs="Times New Roman"/>
          <w:kern w:val="2"/>
          <w:sz w:val="24"/>
          <w:szCs w:val="24"/>
          <w:lang w:val="zh-CN"/>
        </w:rPr>
        <w:t>波开始至</w:t>
      </w:r>
      <w:r>
        <w:rPr>
          <w:rFonts w:ascii="Times New Roman" w:hAnsi="Times New Roman" w:eastAsia="宋体" w:cs="Times New Roman"/>
          <w:kern w:val="2"/>
          <w:sz w:val="24"/>
          <w:szCs w:val="24"/>
          <w:lang w:val="zh-CN"/>
        </w:rPr>
        <w:t>T</w:t>
      </w:r>
      <w:r>
        <w:rPr>
          <w:rFonts w:hint="eastAsia" w:ascii="Times New Roman" w:hAnsi="Times New Roman" w:eastAsia="宋体" w:cs="Times New Roman"/>
          <w:kern w:val="2"/>
          <w:sz w:val="24"/>
          <w:szCs w:val="24"/>
          <w:lang w:val="zh-CN"/>
        </w:rPr>
        <w:t>波结束之间的间期；</w:t>
      </w:r>
    </w:p>
    <w:p w14:paraId="2985DEE6">
      <w:pPr>
        <w:numPr>
          <w:ilvl w:val="0"/>
          <w:numId w:val="50"/>
        </w:numPr>
        <w:jc w:val="both"/>
        <w:rPr>
          <w:rFonts w:ascii="Times New Roman" w:hAnsi="Times New Roman" w:cs="Times New Roman"/>
          <w:sz w:val="24"/>
          <w:szCs w:val="24"/>
        </w:rPr>
      </w:pPr>
      <w:r>
        <w:rPr>
          <w:rFonts w:ascii="Times New Roman" w:hAnsi="Times New Roman" w:eastAsia="宋体" w:cs="Times New Roman"/>
          <w:kern w:val="2"/>
          <w:sz w:val="24"/>
          <w:szCs w:val="24"/>
          <w:lang w:val="zh-CN"/>
        </w:rPr>
        <w:t>RR</w:t>
      </w:r>
      <w:r>
        <w:rPr>
          <w:rFonts w:hint="eastAsia" w:ascii="Times New Roman" w:hAnsi="Times New Roman" w:eastAsia="宋体" w:cs="Times New Roman"/>
          <w:kern w:val="2"/>
          <w:sz w:val="24"/>
          <w:szCs w:val="24"/>
          <w:lang w:val="zh-CN"/>
        </w:rPr>
        <w:t>为标准化心率，计算方法：</w:t>
      </w:r>
      <w:r>
        <w:rPr>
          <w:rFonts w:ascii="Times New Roman" w:hAnsi="Times New Roman" w:eastAsia="宋体" w:cs="Times New Roman"/>
          <w:kern w:val="2"/>
          <w:sz w:val="24"/>
          <w:szCs w:val="24"/>
          <w:lang w:val="zh-CN"/>
        </w:rPr>
        <w:t>60</w:t>
      </w:r>
      <w:r>
        <w:rPr>
          <w:rFonts w:hint="eastAsia" w:ascii="Times New Roman" w:hAnsi="Times New Roman" w:eastAsia="宋体" w:cs="Times New Roman"/>
          <w:kern w:val="2"/>
          <w:sz w:val="24"/>
          <w:szCs w:val="24"/>
          <w:lang w:val="zh-CN"/>
        </w:rPr>
        <w:t>除以心率（正常的窦性心律为</w:t>
      </w:r>
      <w:r>
        <w:rPr>
          <w:rFonts w:ascii="Times New Roman" w:hAnsi="Times New Roman" w:eastAsia="宋体" w:cs="Times New Roman"/>
          <w:kern w:val="2"/>
          <w:sz w:val="24"/>
          <w:szCs w:val="24"/>
          <w:lang w:val="zh-CN"/>
        </w:rPr>
        <w:t>60~100</w:t>
      </w:r>
      <w:r>
        <w:rPr>
          <w:rFonts w:hint="eastAsia" w:ascii="Times New Roman" w:hAnsi="Times New Roman" w:eastAsia="宋体" w:cs="Times New Roman"/>
          <w:kern w:val="2"/>
          <w:sz w:val="24"/>
          <w:szCs w:val="24"/>
          <w:lang w:val="zh-CN"/>
        </w:rPr>
        <w:t>次</w:t>
      </w:r>
      <w:r>
        <w:rPr>
          <w:rFonts w:ascii="Times New Roman" w:hAnsi="Times New Roman" w:eastAsia="宋体" w:cs="Times New Roman"/>
          <w:kern w:val="2"/>
          <w:sz w:val="24"/>
          <w:szCs w:val="24"/>
          <w:lang w:val="zh-CN"/>
        </w:rPr>
        <w:t>/</w:t>
      </w:r>
      <w:r>
        <w:rPr>
          <w:rFonts w:hint="eastAsia" w:ascii="Times New Roman" w:hAnsi="Times New Roman" w:eastAsia="宋体" w:cs="Times New Roman"/>
          <w:kern w:val="2"/>
          <w:sz w:val="24"/>
          <w:szCs w:val="24"/>
          <w:lang w:val="zh-CN"/>
        </w:rPr>
        <w:t>分）。</w:t>
      </w:r>
    </w:p>
    <w:p w14:paraId="4B60F906">
      <w:pPr>
        <w:jc w:val="both"/>
        <w:rPr>
          <w:rFonts w:ascii="Times New Roman" w:hAnsi="Times New Roman" w:cs="Times New Roman"/>
          <w:sz w:val="24"/>
          <w:szCs w:val="24"/>
        </w:rPr>
      </w:pPr>
    </w:p>
    <w:p w14:paraId="21E969B6">
      <w:pPr>
        <w:pStyle w:val="116"/>
        <w:numPr>
          <w:ilvl w:val="2"/>
          <w:numId w:val="12"/>
        </w:numPr>
        <w:outlineLvl w:val="2"/>
        <w:rPr>
          <w:rFonts w:cs="Times New Roman"/>
          <w:sz w:val="24"/>
          <w:szCs w:val="24"/>
        </w:rPr>
      </w:pPr>
      <w:bookmarkStart w:id="181" w:name="_Toc217032268"/>
      <w:r>
        <w:rPr>
          <w:rFonts w:hint="eastAsia" w:cs="Times New Roman"/>
          <w:sz w:val="24"/>
          <w:szCs w:val="24"/>
        </w:rPr>
        <w:t>胸部</w:t>
      </w:r>
      <w:r>
        <w:rPr>
          <w:rFonts w:cs="Times New Roman"/>
          <w:sz w:val="24"/>
          <w:szCs w:val="24"/>
        </w:rPr>
        <w:t>CT</w:t>
      </w:r>
      <w:r>
        <w:rPr>
          <w:rFonts w:hint="eastAsia" w:cs="Times New Roman"/>
          <w:sz w:val="24"/>
          <w:szCs w:val="24"/>
        </w:rPr>
        <w:t>平扫</w:t>
      </w:r>
      <w:bookmarkEnd w:id="181"/>
    </w:p>
    <w:p w14:paraId="797B6657">
      <w:pPr>
        <w:pStyle w:val="60"/>
        <w:ind w:firstLine="480"/>
        <w:rPr>
          <w:rFonts w:cs="Times New Roman"/>
          <w:sz w:val="24"/>
          <w:szCs w:val="24"/>
        </w:rPr>
      </w:pPr>
      <w:r>
        <w:rPr>
          <w:rFonts w:hint="eastAsia" w:cs="Times New Roman"/>
          <w:sz w:val="24"/>
          <w:szCs w:val="24"/>
        </w:rPr>
        <w:t>在筛选期进行胸部</w:t>
      </w:r>
      <w:r>
        <w:rPr>
          <w:rFonts w:cs="Times New Roman"/>
          <w:sz w:val="24"/>
          <w:szCs w:val="24"/>
        </w:rPr>
        <w:t>CT</w:t>
      </w:r>
      <w:r>
        <w:rPr>
          <w:rFonts w:hint="eastAsia" w:cs="Times New Roman"/>
          <w:sz w:val="24"/>
          <w:szCs w:val="24"/>
        </w:rPr>
        <w:t>平扫，可接受知情同意书签署日之前</w:t>
      </w:r>
      <w:r>
        <w:rPr>
          <w:rFonts w:cs="Times New Roman"/>
          <w:sz w:val="24"/>
          <w:szCs w:val="24"/>
        </w:rPr>
        <w:t>1</w:t>
      </w:r>
      <w:r>
        <w:rPr>
          <w:rFonts w:hint="eastAsia" w:cs="Times New Roman"/>
          <w:sz w:val="24"/>
          <w:szCs w:val="24"/>
        </w:rPr>
        <w:t>个月内的胸部</w:t>
      </w:r>
      <w:r>
        <w:rPr>
          <w:rFonts w:cs="Times New Roman"/>
          <w:sz w:val="24"/>
          <w:szCs w:val="24"/>
        </w:rPr>
        <w:t>CT</w:t>
      </w:r>
      <w:r>
        <w:rPr>
          <w:rFonts w:hint="eastAsia" w:cs="Times New Roman"/>
          <w:sz w:val="24"/>
          <w:szCs w:val="24"/>
        </w:rPr>
        <w:t>检查结果并满足评估要求，则视其检查结果有效，研究中心可酌情决定是否再对其进行复测。</w:t>
      </w:r>
    </w:p>
    <w:p w14:paraId="67141994">
      <w:pPr>
        <w:pStyle w:val="116"/>
        <w:numPr>
          <w:ilvl w:val="2"/>
          <w:numId w:val="12"/>
        </w:numPr>
        <w:outlineLvl w:val="2"/>
        <w:rPr>
          <w:rFonts w:cs="Times New Roman"/>
          <w:sz w:val="24"/>
          <w:szCs w:val="24"/>
        </w:rPr>
      </w:pPr>
      <w:bookmarkStart w:id="182" w:name="_Toc217032269"/>
      <w:r>
        <w:rPr>
          <w:rFonts w:hint="eastAsia" w:cs="Times New Roman"/>
          <w:sz w:val="24"/>
          <w:szCs w:val="24"/>
        </w:rPr>
        <w:t>实验室检查</w:t>
      </w:r>
      <w:bookmarkEnd w:id="182"/>
    </w:p>
    <w:p w14:paraId="3C1FC476">
      <w:pPr>
        <w:pStyle w:val="60"/>
        <w:ind w:firstLine="480"/>
        <w:rPr>
          <w:rFonts w:cs="Times New Roman"/>
          <w:sz w:val="24"/>
          <w:szCs w:val="24"/>
        </w:rPr>
      </w:pPr>
      <w:r>
        <w:rPr>
          <w:rFonts w:hint="eastAsia" w:cs="Times New Roman"/>
          <w:sz w:val="24"/>
          <w:szCs w:val="24"/>
        </w:rPr>
        <w:t>血常规、血生化、尿常规、凝血功能的检查见表</w:t>
      </w:r>
      <w:r>
        <w:rPr>
          <w:rFonts w:cs="Times New Roman"/>
          <w:sz w:val="24"/>
          <w:szCs w:val="24"/>
        </w:rPr>
        <w:t>6</w:t>
      </w:r>
      <w:r>
        <w:rPr>
          <w:rFonts w:hint="eastAsia" w:cs="Times New Roman"/>
          <w:sz w:val="24"/>
          <w:szCs w:val="24"/>
        </w:rPr>
        <w:t>。采集用于实验室检查的样品，并应根据标准实验室程序进行。</w:t>
      </w:r>
    </w:p>
    <w:p w14:paraId="41B28E61">
      <w:pPr>
        <w:snapToGrid w:val="0"/>
        <w:spacing w:line="360" w:lineRule="auto"/>
        <w:ind w:firstLine="422" w:firstLineChars="200"/>
        <w:jc w:val="center"/>
        <w:rPr>
          <w:rStyle w:val="99"/>
          <w:rFonts w:ascii="Times New Roman" w:hAnsi="Times New Roman" w:eastAsia="宋体" w:cs="Times New Roman"/>
          <w:b/>
          <w:bCs/>
          <w:color w:val="000000" w:themeColor="text1"/>
          <w:sz w:val="21"/>
          <w:szCs w:val="21"/>
          <w14:textFill>
            <w14:solidFill>
              <w14:schemeClr w14:val="tx1"/>
            </w14:solidFill>
          </w14:textFill>
        </w:rPr>
      </w:pPr>
      <w:bookmarkStart w:id="183" w:name="_Ref326965785"/>
      <w:r>
        <w:rPr>
          <w:rFonts w:hint="eastAsia" w:ascii="Times New Roman" w:hAnsi="Times New Roman" w:eastAsia="宋体" w:cs="Times New Roman"/>
          <w:b/>
          <w:bCs/>
          <w:sz w:val="21"/>
          <w:szCs w:val="21"/>
        </w:rPr>
        <w:t>表</w:t>
      </w:r>
      <w:r>
        <w:rPr>
          <w:rFonts w:ascii="Times New Roman" w:hAnsi="Times New Roman" w:eastAsia="宋体" w:cs="Times New Roman"/>
          <w:b/>
          <w:bCs/>
          <w:sz w:val="21"/>
          <w:szCs w:val="21"/>
        </w:rPr>
        <w:t xml:space="preserve">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w:instrText>
      </w:r>
      <w:r>
        <w:rPr>
          <w:rFonts w:hint="eastAsia" w:ascii="Times New Roman" w:hAnsi="Times New Roman" w:eastAsia="宋体" w:cs="Times New Roman"/>
          <w:b/>
          <w:bCs/>
          <w:sz w:val="21"/>
          <w:szCs w:val="21"/>
        </w:rPr>
        <w:instrText xml:space="preserve">表</w:instrText>
      </w:r>
      <w:r>
        <w:rPr>
          <w:rFonts w:ascii="Times New Roman" w:hAnsi="Times New Roman" w:eastAsia="宋体" w:cs="Times New Roman"/>
          <w:b/>
          <w:bCs/>
          <w:sz w:val="21"/>
          <w:szCs w:val="21"/>
        </w:rPr>
        <w:instrText xml:space="preserve">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6</w:t>
      </w:r>
      <w:r>
        <w:rPr>
          <w:rFonts w:ascii="Times New Roman" w:hAnsi="Times New Roman" w:eastAsia="宋体" w:cs="Times New Roman"/>
          <w:b/>
          <w:bCs/>
          <w:sz w:val="21"/>
          <w:szCs w:val="21"/>
        </w:rPr>
        <w:fldChar w:fldCharType="end"/>
      </w:r>
      <w:r>
        <w:rPr>
          <w:rFonts w:ascii="Times New Roman" w:hAnsi="Times New Roman" w:eastAsia="宋体" w:cs="Times New Roman"/>
          <w:b/>
          <w:bCs/>
          <w:kern w:val="2"/>
          <w:sz w:val="21"/>
          <w:szCs w:val="21"/>
        </w:rPr>
        <w:t xml:space="preserve"> </w:t>
      </w:r>
      <w:bookmarkEnd w:id="183"/>
      <w:bookmarkStart w:id="184" w:name="_Toc32533"/>
      <w:bookmarkStart w:id="185" w:name="_Toc7994"/>
      <w:bookmarkStart w:id="186" w:name="_Toc134284724"/>
      <w:r>
        <w:rPr>
          <w:rStyle w:val="99"/>
          <w:rFonts w:hint="eastAsia" w:ascii="Times New Roman" w:hAnsi="Times New Roman" w:eastAsia="宋体" w:cs="Times New Roman"/>
          <w:b/>
          <w:bCs/>
          <w:color w:val="000000" w:themeColor="text1"/>
          <w:sz w:val="21"/>
          <w:szCs w:val="21"/>
          <w14:textFill>
            <w14:solidFill>
              <w14:schemeClr w14:val="tx1"/>
            </w14:solidFill>
          </w14:textFill>
        </w:rPr>
        <w:t>实验室检查</w:t>
      </w:r>
      <w:bookmarkEnd w:id="184"/>
      <w:bookmarkEnd w:id="185"/>
      <w:bookmarkEnd w:id="186"/>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7503"/>
      </w:tblGrid>
      <w:tr w14:paraId="6B8E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pct"/>
          </w:tcPr>
          <w:p w14:paraId="5089A9F1">
            <w:pPr>
              <w:jc w:val="both"/>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血常规</w:t>
            </w:r>
          </w:p>
        </w:tc>
        <w:tc>
          <w:tcPr>
            <w:tcW w:w="4059" w:type="pct"/>
          </w:tcPr>
          <w:p w14:paraId="00D7003B">
            <w:pPr>
              <w:jc w:val="both"/>
              <w:rPr>
                <w:rFonts w:ascii="Times New Roman" w:hAnsi="Times New Roman" w:eastAsia="宋体" w:cs="Times New Roman"/>
                <w:b/>
                <w:bCs/>
                <w:sz w:val="21"/>
                <w:szCs w:val="21"/>
              </w:rPr>
            </w:pPr>
            <w:r>
              <w:rPr>
                <w:rFonts w:hint="eastAsia" w:ascii="Times New Roman" w:hAnsi="Times New Roman" w:eastAsia="宋体" w:cs="Times New Roman"/>
                <w:sz w:val="21"/>
                <w:szCs w:val="21"/>
              </w:rPr>
              <w:t>白细胞计数（</w:t>
            </w:r>
            <w:r>
              <w:rPr>
                <w:rFonts w:ascii="Times New Roman" w:hAnsi="Times New Roman" w:eastAsia="宋体" w:cs="Times New Roman"/>
                <w:bCs/>
                <w:color w:val="000000"/>
                <w:kern w:val="2"/>
                <w:sz w:val="21"/>
                <w:szCs w:val="21"/>
              </w:rPr>
              <w:t>White Blood Cell</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WBC</w:t>
            </w:r>
            <w:r>
              <w:rPr>
                <w:rFonts w:hint="eastAsia" w:ascii="Times New Roman" w:hAnsi="Times New Roman" w:eastAsia="宋体" w:cs="Times New Roman"/>
                <w:sz w:val="21"/>
                <w:szCs w:val="21"/>
              </w:rPr>
              <w:t>）、红细胞计数（</w:t>
            </w:r>
            <w:r>
              <w:rPr>
                <w:rFonts w:ascii="Times New Roman" w:hAnsi="Times New Roman" w:eastAsia="宋体" w:cs="Times New Roman"/>
                <w:bCs/>
                <w:color w:val="000000"/>
                <w:kern w:val="2"/>
                <w:sz w:val="21"/>
                <w:szCs w:val="21"/>
              </w:rPr>
              <w:t>Red Blood Cel</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RBC</w:t>
            </w:r>
            <w:r>
              <w:rPr>
                <w:rFonts w:hint="eastAsia" w:ascii="Times New Roman" w:hAnsi="Times New Roman" w:eastAsia="宋体" w:cs="Times New Roman"/>
                <w:sz w:val="21"/>
                <w:szCs w:val="21"/>
              </w:rPr>
              <w:t>）、血红蛋白（</w:t>
            </w:r>
            <w:r>
              <w:rPr>
                <w:rFonts w:ascii="Times New Roman" w:hAnsi="Times New Roman" w:eastAsia="宋体" w:cs="Times New Roman"/>
                <w:bCs/>
                <w:color w:val="000000"/>
                <w:kern w:val="2"/>
                <w:sz w:val="21"/>
                <w:szCs w:val="21"/>
              </w:rPr>
              <w:t>Hemoglobin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Hb</w:t>
            </w:r>
            <w:r>
              <w:rPr>
                <w:rFonts w:hint="eastAsia" w:ascii="Times New Roman" w:hAnsi="Times New Roman" w:eastAsia="宋体" w:cs="Times New Roman"/>
                <w:sz w:val="21"/>
                <w:szCs w:val="21"/>
              </w:rPr>
              <w:t>）、血小板计数（</w:t>
            </w:r>
            <w:r>
              <w:rPr>
                <w:rFonts w:ascii="Times New Roman" w:hAnsi="Times New Roman" w:eastAsia="宋体" w:cs="Times New Roman"/>
                <w:bCs/>
                <w:color w:val="000000"/>
                <w:kern w:val="2"/>
                <w:sz w:val="21"/>
                <w:szCs w:val="21"/>
              </w:rPr>
              <w:t>Platelet</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PLT</w:t>
            </w:r>
            <w:r>
              <w:rPr>
                <w:rFonts w:hint="eastAsia" w:ascii="Times New Roman" w:hAnsi="Times New Roman" w:eastAsia="宋体" w:cs="Times New Roman"/>
                <w:sz w:val="21"/>
                <w:szCs w:val="21"/>
              </w:rPr>
              <w:t>）、白细胞分类计数和百分比（中性粒细胞、淋巴细胞、单核细胞、嗜酸性粒细胞和嗜碱性粒细胞）、血细胞比容（</w:t>
            </w:r>
            <w:r>
              <w:rPr>
                <w:rFonts w:ascii="Times New Roman" w:hAnsi="Times New Roman" w:eastAsia="宋体" w:cs="Times New Roman"/>
                <w:bCs/>
                <w:color w:val="000000"/>
                <w:kern w:val="2"/>
                <w:sz w:val="21"/>
                <w:szCs w:val="21"/>
              </w:rPr>
              <w:t>Hematocrit</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HCT</w:t>
            </w:r>
            <w:r>
              <w:rPr>
                <w:rFonts w:hint="eastAsia" w:ascii="Times New Roman" w:hAnsi="Times New Roman" w:eastAsia="宋体" w:cs="Times New Roman"/>
                <w:sz w:val="21"/>
                <w:szCs w:val="21"/>
              </w:rPr>
              <w:t>）、平均红细胞容积（</w:t>
            </w:r>
            <w:r>
              <w:rPr>
                <w:rFonts w:ascii="Times New Roman" w:hAnsi="Times New Roman" w:eastAsia="宋体" w:cs="Times New Roman"/>
                <w:bCs/>
                <w:color w:val="000000"/>
                <w:kern w:val="2"/>
                <w:sz w:val="21"/>
                <w:szCs w:val="21"/>
              </w:rPr>
              <w:t>Mean corpuscular volume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MCV</w:t>
            </w:r>
            <w:r>
              <w:rPr>
                <w:rFonts w:hint="eastAsia" w:ascii="Times New Roman" w:hAnsi="Times New Roman" w:eastAsia="宋体" w:cs="Times New Roman"/>
                <w:sz w:val="21"/>
                <w:szCs w:val="21"/>
              </w:rPr>
              <w:t>）、平均红细胞血红蛋白含量（</w:t>
            </w:r>
            <w:r>
              <w:rPr>
                <w:rFonts w:ascii="Times New Roman" w:hAnsi="Times New Roman" w:eastAsia="宋体" w:cs="Times New Roman"/>
                <w:sz w:val="21"/>
                <w:szCs w:val="21"/>
              </w:rPr>
              <w:t>Mean corpuscular hemoglobin</w:t>
            </w:r>
            <w:r>
              <w:rPr>
                <w:rFonts w:hint="eastAsia" w:ascii="Times New Roman" w:hAnsi="Times New Roman" w:eastAsia="宋体" w:cs="Times New Roman"/>
                <w:sz w:val="21"/>
                <w:szCs w:val="21"/>
              </w:rPr>
              <w:t>，</w:t>
            </w:r>
            <w:r>
              <w:rPr>
                <w:rFonts w:ascii="Times New Roman" w:hAnsi="Times New Roman" w:eastAsia="宋体" w:cs="Times New Roman"/>
                <w:sz w:val="21"/>
                <w:szCs w:val="21"/>
              </w:rPr>
              <w:t>MCH</w:t>
            </w:r>
            <w:r>
              <w:rPr>
                <w:rFonts w:hint="eastAsia" w:ascii="Times New Roman" w:hAnsi="Times New Roman" w:eastAsia="宋体" w:cs="Times New Roman"/>
                <w:sz w:val="21"/>
                <w:szCs w:val="21"/>
              </w:rPr>
              <w:t>）、平均红细胞血红蛋白浓度（</w:t>
            </w:r>
            <w:r>
              <w:rPr>
                <w:rFonts w:ascii="Times New Roman" w:hAnsi="Times New Roman" w:eastAsia="宋体" w:cs="Times New Roman"/>
                <w:sz w:val="21"/>
                <w:szCs w:val="21"/>
              </w:rPr>
              <w:t>Mean corpuscular hemoglobin concentrationMCHC</w:t>
            </w:r>
            <w:r>
              <w:rPr>
                <w:rFonts w:hint="eastAsia" w:ascii="Times New Roman" w:hAnsi="Times New Roman" w:eastAsia="宋体" w:cs="Times New Roman"/>
                <w:sz w:val="21"/>
                <w:szCs w:val="21"/>
              </w:rPr>
              <w:t>）、网织红细胞计数和百分比</w:t>
            </w:r>
          </w:p>
        </w:tc>
      </w:tr>
      <w:tr w14:paraId="49B5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pct"/>
          </w:tcPr>
          <w:p w14:paraId="1A31FB7C">
            <w:pPr>
              <w:jc w:val="both"/>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血生化</w:t>
            </w:r>
          </w:p>
        </w:tc>
        <w:tc>
          <w:tcPr>
            <w:tcW w:w="4059" w:type="pct"/>
          </w:tcPr>
          <w:p w14:paraId="270FAB41">
            <w:pPr>
              <w:jc w:val="both"/>
              <w:rPr>
                <w:rFonts w:ascii="Times New Roman" w:hAnsi="Times New Roman" w:eastAsia="宋体" w:cs="Times New Roman"/>
                <w:b/>
                <w:bCs/>
                <w:sz w:val="21"/>
                <w:szCs w:val="21"/>
              </w:rPr>
            </w:pPr>
            <w:r>
              <w:rPr>
                <w:rFonts w:hint="eastAsia" w:ascii="Times New Roman" w:hAnsi="Times New Roman" w:eastAsia="宋体" w:cs="Times New Roman"/>
                <w:sz w:val="21"/>
                <w:szCs w:val="21"/>
              </w:rPr>
              <w:t>总蛋白（</w:t>
            </w:r>
            <w:r>
              <w:rPr>
                <w:rFonts w:ascii="Times New Roman" w:hAnsi="Times New Roman" w:eastAsia="宋体" w:cs="Times New Roman"/>
                <w:bCs/>
                <w:color w:val="000000"/>
                <w:kern w:val="2"/>
                <w:sz w:val="21"/>
                <w:szCs w:val="21"/>
              </w:rPr>
              <w:t>Total Protein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TP</w:t>
            </w:r>
            <w:r>
              <w:rPr>
                <w:rFonts w:hint="eastAsia" w:ascii="Times New Roman" w:hAnsi="Times New Roman" w:eastAsia="宋体" w:cs="Times New Roman"/>
                <w:sz w:val="21"/>
                <w:szCs w:val="21"/>
              </w:rPr>
              <w:t>）、白蛋白（</w:t>
            </w:r>
            <w:r>
              <w:rPr>
                <w:rFonts w:ascii="Times New Roman" w:hAnsi="Times New Roman" w:eastAsia="宋体" w:cs="Times New Roman"/>
                <w:sz w:val="21"/>
                <w:szCs w:val="21"/>
              </w:rPr>
              <w:t>Albumin</w:t>
            </w:r>
            <w:r>
              <w:rPr>
                <w:rFonts w:hint="eastAsia" w:ascii="Times New Roman" w:hAnsi="Times New Roman" w:eastAsia="宋体" w:cs="Times New Roman"/>
                <w:sz w:val="21"/>
                <w:szCs w:val="21"/>
              </w:rPr>
              <w:t>，</w:t>
            </w:r>
            <w:r>
              <w:rPr>
                <w:rFonts w:ascii="Times New Roman" w:hAnsi="Times New Roman" w:eastAsia="宋体" w:cs="Times New Roman"/>
                <w:sz w:val="21"/>
                <w:szCs w:val="21"/>
              </w:rPr>
              <w:t>ALB</w:t>
            </w:r>
            <w:r>
              <w:rPr>
                <w:rFonts w:hint="eastAsia" w:ascii="Times New Roman" w:hAnsi="Times New Roman" w:eastAsia="宋体" w:cs="Times New Roman"/>
                <w:sz w:val="21"/>
                <w:szCs w:val="21"/>
              </w:rPr>
              <w:t>）、球蛋白（</w:t>
            </w:r>
            <w:r>
              <w:rPr>
                <w:rFonts w:ascii="Times New Roman" w:hAnsi="Times New Roman" w:cs="Times New Roman"/>
                <w:bCs/>
                <w:color w:val="000000"/>
                <w:kern w:val="2"/>
                <w:sz w:val="21"/>
                <w:szCs w:val="21"/>
              </w:rPr>
              <w:t>G</w:t>
            </w:r>
            <w:r>
              <w:rPr>
                <w:rFonts w:ascii="Times New Roman" w:hAnsi="Times New Roman" w:eastAsia="宋体" w:cs="Times New Roman"/>
                <w:bCs/>
                <w:color w:val="000000"/>
                <w:kern w:val="2"/>
                <w:sz w:val="21"/>
                <w:szCs w:val="21"/>
              </w:rPr>
              <w:t>lobulin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GLO</w:t>
            </w:r>
            <w:r>
              <w:rPr>
                <w:rFonts w:hint="eastAsia" w:ascii="Times New Roman" w:hAnsi="Times New Roman" w:eastAsia="宋体" w:cs="Times New Roman"/>
                <w:sz w:val="21"/>
                <w:szCs w:val="21"/>
              </w:rPr>
              <w:t>）、总胆红素（</w:t>
            </w:r>
            <w:r>
              <w:rPr>
                <w:rFonts w:ascii="Times New Roman" w:hAnsi="Times New Roman" w:eastAsia="宋体" w:cs="Times New Roman"/>
                <w:bCs/>
                <w:color w:val="000000"/>
                <w:kern w:val="2"/>
                <w:sz w:val="21"/>
                <w:szCs w:val="21"/>
              </w:rPr>
              <w:t>TotalBilirubin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TBIL</w:t>
            </w:r>
            <w:r>
              <w:rPr>
                <w:rFonts w:hint="eastAsia" w:ascii="Times New Roman" w:hAnsi="Times New Roman" w:eastAsia="宋体" w:cs="Times New Roman"/>
                <w:sz w:val="21"/>
                <w:szCs w:val="21"/>
              </w:rPr>
              <w:t>）、直接胆红素（</w:t>
            </w:r>
            <w:r>
              <w:rPr>
                <w:rFonts w:ascii="Times New Roman" w:hAnsi="Times New Roman" w:eastAsia="宋体" w:cs="Times New Roman"/>
                <w:bCs/>
                <w:color w:val="000000"/>
                <w:kern w:val="2"/>
                <w:sz w:val="21"/>
                <w:szCs w:val="21"/>
              </w:rPr>
              <w:t>Direct Bilirubin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DBIL</w:t>
            </w:r>
            <w:r>
              <w:rPr>
                <w:rFonts w:hint="eastAsia" w:ascii="Times New Roman" w:hAnsi="Times New Roman" w:eastAsia="宋体" w:cs="Times New Roman"/>
                <w:sz w:val="21"/>
                <w:szCs w:val="21"/>
              </w:rPr>
              <w:t>）、丙氨酸基转移酶（</w:t>
            </w:r>
            <w:r>
              <w:rPr>
                <w:rFonts w:ascii="Times New Roman" w:hAnsi="Times New Roman" w:eastAsia="宋体" w:cs="Times New Roman"/>
                <w:sz w:val="21"/>
                <w:szCs w:val="21"/>
              </w:rPr>
              <w:t>ALT</w:t>
            </w:r>
            <w:r>
              <w:rPr>
                <w:rFonts w:hint="eastAsia" w:ascii="Times New Roman" w:hAnsi="Times New Roman" w:eastAsia="宋体" w:cs="Times New Roman"/>
                <w:sz w:val="21"/>
                <w:szCs w:val="21"/>
              </w:rPr>
              <w:t>）、天门冬氨酸基转移酶（</w:t>
            </w:r>
            <w:r>
              <w:rPr>
                <w:rFonts w:ascii="Times New Roman" w:hAnsi="Times New Roman" w:eastAsia="宋体" w:cs="Times New Roman"/>
                <w:sz w:val="21"/>
                <w:szCs w:val="21"/>
              </w:rPr>
              <w:t>AST</w:t>
            </w:r>
            <w:r>
              <w:rPr>
                <w:rFonts w:hint="eastAsia" w:ascii="Times New Roman" w:hAnsi="Times New Roman" w:eastAsia="宋体" w:cs="Times New Roman"/>
                <w:sz w:val="21"/>
                <w:szCs w:val="21"/>
              </w:rPr>
              <w:t>）、碱性磷酸酶（</w:t>
            </w:r>
            <w:r>
              <w:rPr>
                <w:rFonts w:ascii="Times New Roman" w:hAnsi="Times New Roman" w:eastAsia="宋体" w:cs="Times New Roman"/>
                <w:bCs/>
                <w:color w:val="000000"/>
                <w:kern w:val="2"/>
                <w:sz w:val="21"/>
                <w:szCs w:val="21"/>
              </w:rPr>
              <w:t>Alkaline Phosphatase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ALP</w:t>
            </w:r>
            <w:r>
              <w:rPr>
                <w:rFonts w:hint="eastAsia" w:ascii="Times New Roman" w:hAnsi="Times New Roman" w:eastAsia="宋体" w:cs="Times New Roman"/>
                <w:sz w:val="21"/>
                <w:szCs w:val="21"/>
              </w:rPr>
              <w:t>）、乳酸脱氢酶（</w:t>
            </w:r>
            <w:r>
              <w:rPr>
                <w:rFonts w:ascii="Times New Roman" w:hAnsi="Times New Roman" w:eastAsia="宋体" w:cs="Times New Roman"/>
                <w:bCs/>
                <w:color w:val="000000"/>
                <w:kern w:val="2"/>
                <w:sz w:val="21"/>
                <w:szCs w:val="21"/>
              </w:rPr>
              <w:t>Lactate Dehydrogenase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LDH</w:t>
            </w:r>
            <w:r>
              <w:rPr>
                <w:rFonts w:hint="eastAsia" w:ascii="Times New Roman" w:hAnsi="Times New Roman" w:eastAsia="宋体" w:cs="Times New Roman"/>
                <w:sz w:val="21"/>
                <w:szCs w:val="21"/>
              </w:rPr>
              <w:t>）、谷氨酰转肽酶（</w:t>
            </w:r>
            <w:r>
              <w:rPr>
                <w:rFonts w:ascii="Times New Roman" w:hAnsi="Times New Roman" w:eastAsia="宋体" w:cs="Times New Roman"/>
                <w:bCs/>
                <w:color w:val="000000"/>
                <w:kern w:val="2"/>
                <w:sz w:val="21"/>
                <w:szCs w:val="21"/>
              </w:rPr>
              <w:t>Gamma-glutamyl transferase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GGT</w:t>
            </w:r>
            <w:r>
              <w:rPr>
                <w:rFonts w:hint="eastAsia" w:ascii="Times New Roman" w:hAnsi="Times New Roman" w:eastAsia="宋体" w:cs="Times New Roman"/>
                <w:sz w:val="21"/>
                <w:szCs w:val="21"/>
              </w:rPr>
              <w:t>）、尿素（</w:t>
            </w:r>
            <w:r>
              <w:rPr>
                <w:rFonts w:ascii="Times New Roman" w:hAnsi="Times New Roman" w:eastAsia="宋体" w:cs="Times New Roman"/>
                <w:sz w:val="21"/>
                <w:szCs w:val="21"/>
              </w:rPr>
              <w:t>Urea</w:t>
            </w:r>
            <w:r>
              <w:rPr>
                <w:rFonts w:hint="eastAsia" w:ascii="Times New Roman" w:hAnsi="Times New Roman" w:eastAsia="宋体" w:cs="Times New Roman"/>
                <w:sz w:val="21"/>
                <w:szCs w:val="21"/>
              </w:rPr>
              <w:t>）</w:t>
            </w:r>
            <w:r>
              <w:rPr>
                <w:rFonts w:ascii="Times New Roman" w:hAnsi="Times New Roman" w:eastAsia="宋体" w:cs="Times New Roman"/>
                <w:sz w:val="21"/>
                <w:szCs w:val="21"/>
              </w:rPr>
              <w:t>/</w:t>
            </w:r>
            <w:r>
              <w:rPr>
                <w:rFonts w:hint="eastAsia" w:ascii="Times New Roman" w:hAnsi="Times New Roman" w:eastAsia="宋体" w:cs="Times New Roman"/>
                <w:sz w:val="21"/>
                <w:szCs w:val="21"/>
              </w:rPr>
              <w:t>尿素氮（</w:t>
            </w:r>
            <w:r>
              <w:rPr>
                <w:rFonts w:ascii="Times New Roman" w:hAnsi="Times New Roman" w:eastAsia="宋体" w:cs="Times New Roman"/>
                <w:bCs/>
                <w:color w:val="000000"/>
                <w:kern w:val="2"/>
                <w:sz w:val="21"/>
                <w:szCs w:val="21"/>
              </w:rPr>
              <w:t>Blood Urea Nitrogen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BUN</w:t>
            </w:r>
            <w:r>
              <w:rPr>
                <w:rFonts w:hint="eastAsia" w:ascii="Times New Roman" w:hAnsi="Times New Roman" w:eastAsia="宋体" w:cs="Times New Roman"/>
                <w:sz w:val="21"/>
                <w:szCs w:val="21"/>
              </w:rPr>
              <w:t>）、肌酐（</w:t>
            </w:r>
            <w:r>
              <w:rPr>
                <w:rFonts w:ascii="Times New Roman" w:hAnsi="Times New Roman" w:eastAsia="宋体" w:cs="Times New Roman"/>
                <w:sz w:val="21"/>
                <w:szCs w:val="21"/>
              </w:rPr>
              <w:t>Creatinine</w:t>
            </w:r>
            <w:r>
              <w:rPr>
                <w:rFonts w:hint="eastAsia" w:ascii="Times New Roman" w:hAnsi="Times New Roman" w:eastAsia="宋体" w:cs="Times New Roman"/>
                <w:sz w:val="21"/>
                <w:szCs w:val="21"/>
              </w:rPr>
              <w:t>，</w:t>
            </w:r>
            <w:r>
              <w:rPr>
                <w:rFonts w:ascii="Times New Roman" w:hAnsi="Times New Roman" w:eastAsia="宋体" w:cs="Times New Roman"/>
                <w:sz w:val="21"/>
                <w:szCs w:val="21"/>
              </w:rPr>
              <w:t>Cr</w:t>
            </w:r>
            <w:r>
              <w:rPr>
                <w:rFonts w:hint="eastAsia" w:ascii="Times New Roman" w:hAnsi="Times New Roman" w:eastAsia="宋体" w:cs="Times New Roman"/>
                <w:sz w:val="21"/>
                <w:szCs w:val="21"/>
              </w:rPr>
              <w:t>）、尿酸（</w:t>
            </w:r>
            <w:r>
              <w:rPr>
                <w:rFonts w:ascii="Times New Roman" w:hAnsi="Times New Roman" w:eastAsia="宋体" w:cs="Times New Roman"/>
                <w:sz w:val="21"/>
                <w:szCs w:val="21"/>
              </w:rPr>
              <w:t>Urine acid,UA</w:t>
            </w:r>
            <w:r>
              <w:rPr>
                <w:rFonts w:hint="eastAsia" w:ascii="Times New Roman" w:hAnsi="Times New Roman" w:eastAsia="宋体" w:cs="Times New Roman"/>
                <w:sz w:val="21"/>
                <w:szCs w:val="21"/>
              </w:rPr>
              <w:t>）、葡萄糖（</w:t>
            </w:r>
            <w:r>
              <w:rPr>
                <w:rFonts w:ascii="Times New Roman" w:hAnsi="Times New Roman" w:eastAsia="宋体" w:cs="Times New Roman"/>
                <w:bCs/>
                <w:color w:val="000000"/>
                <w:kern w:val="2"/>
                <w:sz w:val="21"/>
                <w:szCs w:val="21"/>
              </w:rPr>
              <w:t>Glucose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GLU</w:t>
            </w:r>
            <w:r>
              <w:rPr>
                <w:rFonts w:hint="eastAsia" w:ascii="Times New Roman" w:hAnsi="Times New Roman" w:eastAsia="宋体" w:cs="Times New Roman"/>
                <w:sz w:val="21"/>
                <w:szCs w:val="21"/>
              </w:rPr>
              <w:t>）、糖化血红蛋白（</w:t>
            </w:r>
            <w:r>
              <w:rPr>
                <w:rFonts w:ascii="Times New Roman" w:hAnsi="Times New Roman" w:eastAsia="宋体" w:cs="Times New Roman"/>
                <w:bCs/>
                <w:color w:val="000000"/>
                <w:kern w:val="2"/>
                <w:sz w:val="21"/>
                <w:szCs w:val="21"/>
              </w:rPr>
              <w:t>Glycated Haemoglobin A1c</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HbA1c</w:t>
            </w:r>
            <w:r>
              <w:rPr>
                <w:rFonts w:hint="eastAsia" w:ascii="Times New Roman" w:hAnsi="Times New Roman" w:eastAsia="宋体" w:cs="Times New Roman"/>
                <w:sz w:val="21"/>
                <w:szCs w:val="21"/>
              </w:rPr>
              <w:t>）、甘油三酯（</w:t>
            </w:r>
            <w:r>
              <w:rPr>
                <w:rFonts w:ascii="Times New Roman" w:hAnsi="Times New Roman" w:eastAsia="宋体" w:cs="Times New Roman"/>
                <w:bCs/>
                <w:color w:val="000000"/>
                <w:kern w:val="2"/>
                <w:sz w:val="21"/>
                <w:szCs w:val="21"/>
              </w:rPr>
              <w:t>Triglycerides</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TG</w:t>
            </w:r>
            <w:r>
              <w:rPr>
                <w:rFonts w:hint="eastAsia" w:ascii="Times New Roman" w:hAnsi="Times New Roman" w:eastAsia="宋体" w:cs="Times New Roman"/>
                <w:sz w:val="21"/>
                <w:szCs w:val="21"/>
              </w:rPr>
              <w:t>）、总胆固醇（</w:t>
            </w:r>
            <w:r>
              <w:rPr>
                <w:rFonts w:ascii="Times New Roman" w:hAnsi="Times New Roman" w:eastAsia="宋体" w:cs="Times New Roman"/>
                <w:bCs/>
                <w:color w:val="000000"/>
                <w:kern w:val="2"/>
                <w:sz w:val="21"/>
                <w:szCs w:val="21"/>
              </w:rPr>
              <w:t>Total</w:t>
            </w:r>
            <w:r>
              <w:rPr>
                <w:rFonts w:ascii="Times New Roman" w:hAnsi="Times New Roman" w:cs="Times New Roman"/>
                <w:bCs/>
                <w:color w:val="000000"/>
                <w:kern w:val="2"/>
                <w:sz w:val="21"/>
                <w:szCs w:val="21"/>
              </w:rPr>
              <w:t xml:space="preserve"> </w:t>
            </w:r>
            <w:r>
              <w:rPr>
                <w:rFonts w:ascii="Times New Roman" w:hAnsi="Times New Roman" w:eastAsia="宋体" w:cs="Times New Roman"/>
                <w:bCs/>
                <w:color w:val="000000"/>
                <w:kern w:val="2"/>
                <w:sz w:val="21"/>
                <w:szCs w:val="21"/>
              </w:rPr>
              <w:t>Cholesterol</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TC</w:t>
            </w:r>
            <w:r>
              <w:rPr>
                <w:rFonts w:hint="eastAsia" w:ascii="Times New Roman" w:hAnsi="Times New Roman" w:eastAsia="宋体" w:cs="Times New Roman"/>
                <w:sz w:val="21"/>
                <w:szCs w:val="21"/>
              </w:rPr>
              <w:t>）、低密度脂蛋白胆固醇（</w:t>
            </w:r>
            <w:r>
              <w:rPr>
                <w:rFonts w:ascii="Times New Roman" w:hAnsi="Times New Roman" w:eastAsia="宋体" w:cs="Times New Roman"/>
                <w:bCs/>
                <w:color w:val="000000"/>
                <w:kern w:val="2"/>
                <w:sz w:val="21"/>
                <w:szCs w:val="21"/>
              </w:rPr>
              <w:t>Low-Density Lipoprotein Cholesterol</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LDL-C</w:t>
            </w:r>
            <w:r>
              <w:rPr>
                <w:rFonts w:hint="eastAsia" w:ascii="Times New Roman" w:hAnsi="Times New Roman" w:eastAsia="宋体" w:cs="Times New Roman"/>
                <w:sz w:val="21"/>
                <w:szCs w:val="21"/>
              </w:rPr>
              <w:t>）、高密度脂蛋白胆固醇（</w:t>
            </w:r>
            <w:r>
              <w:rPr>
                <w:rFonts w:ascii="Times New Roman" w:hAnsi="Times New Roman" w:cs="Times New Roman"/>
                <w:bCs/>
                <w:color w:val="000000"/>
                <w:kern w:val="2"/>
                <w:sz w:val="21"/>
                <w:szCs w:val="21"/>
              </w:rPr>
              <w:t>High</w:t>
            </w:r>
            <w:r>
              <w:rPr>
                <w:rFonts w:ascii="Times New Roman" w:hAnsi="Times New Roman" w:eastAsia="宋体" w:cs="Times New Roman"/>
                <w:bCs/>
                <w:color w:val="000000"/>
                <w:kern w:val="2"/>
                <w:sz w:val="21"/>
                <w:szCs w:val="21"/>
              </w:rPr>
              <w:t>-Density Lipoprotein Cholesterol</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sz w:val="21"/>
                <w:szCs w:val="21"/>
              </w:rPr>
              <w:t>HDL-C</w:t>
            </w:r>
            <w:r>
              <w:rPr>
                <w:rFonts w:hint="eastAsia" w:ascii="Times New Roman" w:hAnsi="Times New Roman" w:eastAsia="宋体" w:cs="Times New Roman"/>
                <w:sz w:val="21"/>
                <w:szCs w:val="21"/>
              </w:rPr>
              <w:t>）、肌酸磷酸激酶（</w:t>
            </w:r>
            <w:r>
              <w:rPr>
                <w:rFonts w:ascii="Times New Roman" w:hAnsi="Times New Roman" w:eastAsia="宋体" w:cs="Times New Roman"/>
                <w:sz w:val="21"/>
                <w:szCs w:val="21"/>
              </w:rPr>
              <w:t>CPK</w:t>
            </w:r>
            <w:r>
              <w:rPr>
                <w:rFonts w:hint="eastAsia" w:ascii="Times New Roman" w:hAnsi="Times New Roman" w:eastAsia="宋体" w:cs="Times New Roman"/>
                <w:sz w:val="21"/>
                <w:szCs w:val="21"/>
              </w:rPr>
              <w:t>）、钾（</w:t>
            </w:r>
            <w:r>
              <w:rPr>
                <w:rFonts w:ascii="Times New Roman" w:hAnsi="Times New Roman" w:eastAsia="宋体" w:cs="Times New Roman"/>
                <w:sz w:val="21"/>
                <w:szCs w:val="21"/>
              </w:rPr>
              <w:t>K</w:t>
            </w:r>
            <w:r>
              <w:rPr>
                <w:rFonts w:hint="eastAsia" w:ascii="Times New Roman" w:hAnsi="Times New Roman" w:eastAsia="宋体" w:cs="Times New Roman"/>
                <w:sz w:val="21"/>
                <w:szCs w:val="21"/>
              </w:rPr>
              <w:t>）、钠（</w:t>
            </w:r>
            <w:r>
              <w:rPr>
                <w:rFonts w:ascii="Times New Roman" w:hAnsi="Times New Roman" w:eastAsia="宋体" w:cs="Times New Roman"/>
                <w:sz w:val="21"/>
                <w:szCs w:val="21"/>
              </w:rPr>
              <w:t>Na</w:t>
            </w:r>
            <w:r>
              <w:rPr>
                <w:rFonts w:hint="eastAsia" w:ascii="Times New Roman" w:hAnsi="Times New Roman" w:eastAsia="宋体" w:cs="Times New Roman"/>
                <w:sz w:val="21"/>
                <w:szCs w:val="21"/>
              </w:rPr>
              <w:t>）、氯（</w:t>
            </w:r>
            <w:r>
              <w:rPr>
                <w:rFonts w:ascii="Times New Roman" w:hAnsi="Times New Roman" w:eastAsia="宋体" w:cs="Times New Roman"/>
                <w:sz w:val="21"/>
                <w:szCs w:val="21"/>
              </w:rPr>
              <w:t>Cl</w:t>
            </w:r>
            <w:r>
              <w:rPr>
                <w:rFonts w:hint="eastAsia" w:ascii="Times New Roman" w:hAnsi="Times New Roman" w:eastAsia="宋体" w:cs="Times New Roman"/>
                <w:sz w:val="21"/>
                <w:szCs w:val="21"/>
              </w:rPr>
              <w:t>）、镁（</w:t>
            </w:r>
            <w:r>
              <w:rPr>
                <w:rFonts w:ascii="Times New Roman" w:hAnsi="Times New Roman" w:eastAsia="宋体" w:cs="Times New Roman"/>
                <w:sz w:val="21"/>
                <w:szCs w:val="21"/>
              </w:rPr>
              <w:t>Mg</w:t>
            </w:r>
            <w:r>
              <w:rPr>
                <w:rFonts w:hint="eastAsia" w:ascii="Times New Roman" w:hAnsi="Times New Roman" w:eastAsia="宋体" w:cs="Times New Roman"/>
                <w:sz w:val="21"/>
                <w:szCs w:val="21"/>
              </w:rPr>
              <w:t>）、钙（</w:t>
            </w:r>
            <w:r>
              <w:rPr>
                <w:rFonts w:ascii="Times New Roman" w:hAnsi="Times New Roman" w:eastAsia="宋体" w:cs="Times New Roman"/>
                <w:sz w:val="21"/>
                <w:szCs w:val="21"/>
              </w:rPr>
              <w:t>Ca</w:t>
            </w:r>
            <w:r>
              <w:rPr>
                <w:rFonts w:hint="eastAsia" w:ascii="Times New Roman" w:hAnsi="Times New Roman" w:eastAsia="宋体" w:cs="Times New Roman"/>
                <w:sz w:val="21"/>
                <w:szCs w:val="21"/>
              </w:rPr>
              <w:t>）、磷（</w:t>
            </w:r>
            <w:r>
              <w:rPr>
                <w:rFonts w:ascii="Times New Roman" w:hAnsi="Times New Roman" w:eastAsia="宋体" w:cs="Times New Roman"/>
                <w:sz w:val="21"/>
                <w:szCs w:val="21"/>
              </w:rPr>
              <w:t>P</w:t>
            </w:r>
            <w:r>
              <w:rPr>
                <w:rFonts w:hint="eastAsia" w:ascii="Times New Roman" w:hAnsi="Times New Roman" w:eastAsia="宋体" w:cs="Times New Roman"/>
                <w:sz w:val="21"/>
                <w:szCs w:val="21"/>
              </w:rPr>
              <w:t>）</w:t>
            </w:r>
          </w:p>
        </w:tc>
      </w:tr>
      <w:tr w14:paraId="40C03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pct"/>
          </w:tcPr>
          <w:p w14:paraId="59AEB779">
            <w:pPr>
              <w:jc w:val="both"/>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尿常规</w:t>
            </w:r>
          </w:p>
        </w:tc>
        <w:tc>
          <w:tcPr>
            <w:tcW w:w="4059" w:type="pct"/>
          </w:tcPr>
          <w:p w14:paraId="4C69C93F">
            <w:pPr>
              <w:jc w:val="both"/>
              <w:rPr>
                <w:rFonts w:ascii="Times New Roman" w:hAnsi="Times New Roman" w:eastAsia="宋体" w:cs="Times New Roman"/>
                <w:b/>
                <w:bCs/>
                <w:sz w:val="21"/>
                <w:szCs w:val="21"/>
              </w:rPr>
            </w:pPr>
            <w:r>
              <w:rPr>
                <w:rFonts w:hint="eastAsia" w:ascii="Times New Roman" w:hAnsi="Times New Roman" w:eastAsia="宋体" w:cs="Times New Roman"/>
                <w:iCs/>
                <w:sz w:val="21"/>
                <w:szCs w:val="21"/>
              </w:rPr>
              <w:t>酸碱度（</w:t>
            </w:r>
            <w:r>
              <w:rPr>
                <w:rFonts w:ascii="Times New Roman" w:hAnsi="Times New Roman" w:eastAsia="宋体" w:cs="Times New Roman"/>
                <w:iCs/>
                <w:sz w:val="21"/>
                <w:szCs w:val="21"/>
              </w:rPr>
              <w:t>PH</w:t>
            </w:r>
            <w:r>
              <w:rPr>
                <w:rFonts w:hint="eastAsia" w:ascii="Times New Roman" w:hAnsi="Times New Roman" w:eastAsia="宋体" w:cs="Times New Roman"/>
                <w:iCs/>
                <w:sz w:val="21"/>
                <w:szCs w:val="21"/>
              </w:rPr>
              <w:t>）、尿比重、尿酮体、尿蛋白、尿葡萄糖、尿白细胞、尿红细胞（隐血）、尿胆红素、尿亚硝酸盐、尿胆原</w:t>
            </w:r>
          </w:p>
        </w:tc>
      </w:tr>
      <w:tr w14:paraId="2EAA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pct"/>
          </w:tcPr>
          <w:p w14:paraId="0BB6E0AB">
            <w:pPr>
              <w:jc w:val="both"/>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凝血功能</w:t>
            </w:r>
          </w:p>
        </w:tc>
        <w:tc>
          <w:tcPr>
            <w:tcW w:w="4059" w:type="pct"/>
          </w:tcPr>
          <w:p w14:paraId="474B1AAA">
            <w:pPr>
              <w:jc w:val="both"/>
              <w:rPr>
                <w:rFonts w:ascii="Times New Roman" w:hAnsi="Times New Roman" w:eastAsia="宋体" w:cs="Times New Roman"/>
                <w:b/>
                <w:bCs/>
                <w:sz w:val="21"/>
                <w:szCs w:val="21"/>
              </w:rPr>
            </w:pPr>
            <w:r>
              <w:rPr>
                <w:rFonts w:hint="eastAsia" w:ascii="Times New Roman" w:hAnsi="Times New Roman" w:eastAsia="宋体" w:cs="Times New Roman"/>
                <w:iCs/>
                <w:sz w:val="21"/>
                <w:szCs w:val="21"/>
              </w:rPr>
              <w:t>血浆凝血酶原时间（</w:t>
            </w:r>
            <w:r>
              <w:rPr>
                <w:rFonts w:ascii="Times New Roman" w:hAnsi="Times New Roman" w:eastAsia="宋体" w:cs="Times New Roman"/>
                <w:bCs/>
                <w:color w:val="000000"/>
                <w:kern w:val="2"/>
                <w:sz w:val="21"/>
                <w:szCs w:val="21"/>
              </w:rPr>
              <w:t>Prothrombin Time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iCs/>
                <w:sz w:val="21"/>
                <w:szCs w:val="21"/>
              </w:rPr>
              <w:t>PT</w:t>
            </w:r>
            <w:r>
              <w:rPr>
                <w:rFonts w:hint="eastAsia" w:ascii="Times New Roman" w:hAnsi="Times New Roman" w:eastAsia="宋体" w:cs="Times New Roman"/>
                <w:iCs/>
                <w:sz w:val="21"/>
                <w:szCs w:val="21"/>
              </w:rPr>
              <w:t>）、凝血酶时间（</w:t>
            </w:r>
            <w:r>
              <w:rPr>
                <w:rFonts w:ascii="Times New Roman" w:hAnsi="Times New Roman" w:eastAsia="宋体" w:cs="Times New Roman"/>
                <w:bCs/>
                <w:color w:val="000000"/>
                <w:kern w:val="2"/>
                <w:sz w:val="21"/>
                <w:szCs w:val="21"/>
              </w:rPr>
              <w:t>Thrombin Time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iCs/>
                <w:sz w:val="21"/>
                <w:szCs w:val="21"/>
              </w:rPr>
              <w:t>TT</w:t>
            </w:r>
            <w:r>
              <w:rPr>
                <w:rFonts w:hint="eastAsia" w:ascii="Times New Roman" w:hAnsi="Times New Roman" w:eastAsia="宋体" w:cs="Times New Roman"/>
                <w:iCs/>
                <w:sz w:val="21"/>
                <w:szCs w:val="21"/>
              </w:rPr>
              <w:t>）、活化部分凝血活酶时间（</w:t>
            </w:r>
            <w:r>
              <w:rPr>
                <w:rFonts w:ascii="Times New Roman" w:hAnsi="Times New Roman" w:eastAsia="宋体" w:cs="Times New Roman"/>
                <w:bCs/>
                <w:color w:val="000000"/>
                <w:kern w:val="2"/>
                <w:sz w:val="21"/>
                <w:szCs w:val="21"/>
              </w:rPr>
              <w:t>Activated partial thromboplastin time</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iCs/>
                <w:sz w:val="21"/>
                <w:szCs w:val="21"/>
              </w:rPr>
              <w:t>APTT</w:t>
            </w:r>
            <w:r>
              <w:rPr>
                <w:rFonts w:hint="eastAsia" w:ascii="Times New Roman" w:hAnsi="Times New Roman" w:eastAsia="宋体" w:cs="Times New Roman"/>
                <w:iCs/>
                <w:sz w:val="21"/>
                <w:szCs w:val="21"/>
              </w:rPr>
              <w:t>）、血浆纤维蛋白原（</w:t>
            </w:r>
            <w:r>
              <w:rPr>
                <w:rFonts w:ascii="Times New Roman" w:hAnsi="Times New Roman" w:eastAsia="宋体" w:cs="Times New Roman"/>
                <w:bCs/>
                <w:color w:val="000000"/>
                <w:kern w:val="2"/>
                <w:sz w:val="21"/>
                <w:szCs w:val="21"/>
              </w:rPr>
              <w:t>Fibrinogen</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iCs/>
                <w:sz w:val="21"/>
                <w:szCs w:val="21"/>
              </w:rPr>
              <w:t>FIB</w:t>
            </w:r>
            <w:r>
              <w:rPr>
                <w:rFonts w:hint="eastAsia" w:ascii="Times New Roman" w:hAnsi="Times New Roman" w:eastAsia="宋体" w:cs="Times New Roman"/>
                <w:iCs/>
                <w:sz w:val="21"/>
                <w:szCs w:val="21"/>
              </w:rPr>
              <w:t>）、国际标准化比值（</w:t>
            </w:r>
            <w:r>
              <w:rPr>
                <w:rFonts w:ascii="Times New Roman" w:hAnsi="Times New Roman" w:eastAsia="宋体" w:cs="Times New Roman"/>
                <w:bCs/>
                <w:color w:val="000000"/>
                <w:kern w:val="2"/>
                <w:sz w:val="21"/>
                <w:szCs w:val="21"/>
              </w:rPr>
              <w:t>International Normalized R Ratio</w:t>
            </w:r>
            <w:r>
              <w:rPr>
                <w:rFonts w:hint="eastAsia" w:ascii="Times New Roman" w:hAnsi="Times New Roman" w:eastAsia="宋体" w:cs="Times New Roman"/>
                <w:bCs/>
                <w:color w:val="000000"/>
                <w:kern w:val="2"/>
                <w:sz w:val="21"/>
                <w:szCs w:val="21"/>
              </w:rPr>
              <w:t>，</w:t>
            </w:r>
            <w:r>
              <w:rPr>
                <w:rFonts w:ascii="Times New Roman" w:hAnsi="Times New Roman" w:eastAsia="宋体" w:cs="Times New Roman"/>
                <w:iCs/>
                <w:sz w:val="21"/>
                <w:szCs w:val="21"/>
              </w:rPr>
              <w:t>INR</w:t>
            </w:r>
            <w:r>
              <w:rPr>
                <w:rFonts w:hint="eastAsia" w:ascii="Times New Roman" w:hAnsi="Times New Roman" w:eastAsia="宋体" w:cs="Times New Roman"/>
                <w:iCs/>
                <w:sz w:val="21"/>
                <w:szCs w:val="21"/>
              </w:rPr>
              <w:t>），</w:t>
            </w:r>
            <w:r>
              <w:rPr>
                <w:rFonts w:ascii="Times New Roman" w:hAnsi="Times New Roman" w:eastAsia="宋体" w:cs="Times New Roman"/>
                <w:iCs/>
                <w:sz w:val="21"/>
                <w:szCs w:val="21"/>
              </w:rPr>
              <w:t>D-</w:t>
            </w:r>
            <w:r>
              <w:rPr>
                <w:rFonts w:hint="eastAsia" w:ascii="Times New Roman" w:hAnsi="Times New Roman" w:eastAsia="宋体" w:cs="Times New Roman"/>
                <w:iCs/>
                <w:sz w:val="21"/>
                <w:szCs w:val="21"/>
              </w:rPr>
              <w:t>二聚体（</w:t>
            </w:r>
            <w:r>
              <w:rPr>
                <w:rFonts w:ascii="Times New Roman" w:hAnsi="Times New Roman" w:eastAsia="宋体" w:cs="Times New Roman"/>
                <w:iCs/>
                <w:sz w:val="21"/>
                <w:szCs w:val="21"/>
              </w:rPr>
              <w:t>D-Dimer</w:t>
            </w:r>
            <w:r>
              <w:rPr>
                <w:rFonts w:hint="eastAsia" w:ascii="Times New Roman" w:hAnsi="Times New Roman" w:eastAsia="宋体" w:cs="Times New Roman"/>
                <w:iCs/>
                <w:sz w:val="21"/>
                <w:szCs w:val="21"/>
              </w:rPr>
              <w:t>）</w:t>
            </w:r>
          </w:p>
        </w:tc>
      </w:tr>
    </w:tbl>
    <w:p w14:paraId="52FDAD88">
      <w:pPr>
        <w:ind w:left="424" w:hanging="424" w:hangingChars="202"/>
        <w:jc w:val="both"/>
        <w:rPr>
          <w:rFonts w:ascii="Times New Roman" w:hAnsi="Times New Roman" w:eastAsia="宋体" w:cs="Times New Roman"/>
          <w:sz w:val="21"/>
          <w:szCs w:val="21"/>
        </w:rPr>
      </w:pPr>
      <w:r>
        <w:rPr>
          <w:rFonts w:hint="eastAsia" w:ascii="Times New Roman" w:hAnsi="Times New Roman" w:eastAsia="宋体" w:cs="Times New Roman"/>
          <w:sz w:val="21"/>
          <w:szCs w:val="21"/>
        </w:rPr>
        <w:t>注：</w:t>
      </w:r>
      <w:r>
        <w:rPr>
          <w:rFonts w:hint="eastAsia" w:ascii="Cambria Math" w:hAnsi="Cambria Math" w:eastAsia="宋体" w:cs="Cambria Math"/>
          <w:sz w:val="21"/>
          <w:szCs w:val="21"/>
        </w:rPr>
        <w:t>①</w:t>
      </w:r>
      <w:r>
        <w:rPr>
          <w:rFonts w:hint="eastAsia" w:ascii="Times New Roman" w:hAnsi="Times New Roman" w:eastAsia="宋体" w:cs="Times New Roman"/>
          <w:sz w:val="21"/>
          <w:szCs w:val="21"/>
        </w:rPr>
        <w:t>血生化检查要求空腹采样，其中糖化血红蛋白Ⅱ期仅在筛选、</w:t>
      </w:r>
      <w:r>
        <w:rPr>
          <w:rFonts w:ascii="Times New Roman" w:hAnsi="Times New Roman" w:eastAsia="宋体" w:cs="Times New Roman"/>
          <w:sz w:val="21"/>
          <w:szCs w:val="21"/>
        </w:rPr>
        <w:t>12</w:t>
      </w:r>
      <w:r>
        <w:rPr>
          <w:rFonts w:hint="eastAsia" w:ascii="Times New Roman" w:hAnsi="Times New Roman" w:eastAsia="宋体" w:cs="Times New Roman"/>
          <w:sz w:val="21"/>
          <w:szCs w:val="21"/>
        </w:rPr>
        <w:t>周访视时检测，Ⅲ期仅在筛选、</w:t>
      </w:r>
      <w:r>
        <w:rPr>
          <w:rFonts w:ascii="Times New Roman" w:hAnsi="Times New Roman" w:eastAsia="宋体" w:cs="Times New Roman"/>
          <w:sz w:val="21"/>
          <w:szCs w:val="21"/>
        </w:rPr>
        <w:t>16</w:t>
      </w:r>
      <w:r>
        <w:rPr>
          <w:rFonts w:hint="eastAsia" w:ascii="Times New Roman" w:hAnsi="Times New Roman" w:eastAsia="宋体" w:cs="Times New Roman"/>
          <w:sz w:val="21"/>
          <w:szCs w:val="21"/>
        </w:rPr>
        <w:t>周、</w:t>
      </w:r>
      <w:r>
        <w:rPr>
          <w:rFonts w:ascii="Times New Roman" w:hAnsi="Times New Roman" w:eastAsia="宋体" w:cs="Times New Roman"/>
          <w:sz w:val="21"/>
          <w:szCs w:val="21"/>
        </w:rPr>
        <w:t>52</w:t>
      </w:r>
      <w:r>
        <w:rPr>
          <w:rFonts w:hint="eastAsia" w:ascii="Times New Roman" w:hAnsi="Times New Roman" w:eastAsia="宋体" w:cs="Times New Roman"/>
          <w:sz w:val="21"/>
          <w:szCs w:val="21"/>
        </w:rPr>
        <w:t>周访视进行；</w:t>
      </w:r>
    </w:p>
    <w:p w14:paraId="41B6380C">
      <w:pPr>
        <w:ind w:left="422" w:leftChars="192" w:firstLine="2"/>
        <w:jc w:val="both"/>
        <w:rPr>
          <w:rFonts w:ascii="Times New Roman" w:hAnsi="Times New Roman" w:cs="Times New Roman"/>
          <w:sz w:val="21"/>
          <w:szCs w:val="21"/>
        </w:rPr>
      </w:pPr>
      <w:r>
        <w:rPr>
          <w:rFonts w:hint="eastAsia" w:ascii="Cambria Math" w:hAnsi="Cambria Math" w:eastAsia="宋体" w:cs="Cambria Math"/>
          <w:sz w:val="21"/>
          <w:szCs w:val="21"/>
        </w:rPr>
        <w:t>②</w:t>
      </w:r>
      <w:r>
        <w:rPr>
          <w:rFonts w:hint="eastAsia" w:ascii="Times New Roman" w:hAnsi="Times New Roman" w:eastAsia="宋体" w:cs="Times New Roman"/>
          <w:sz w:val="21"/>
          <w:szCs w:val="21"/>
        </w:rPr>
        <w:t>根据新出现的安全性数据，经研究者和申办者同意，可能需要进行其他检测。</w:t>
      </w:r>
    </w:p>
    <w:p w14:paraId="26C11683">
      <w:pPr>
        <w:pStyle w:val="116"/>
        <w:numPr>
          <w:ilvl w:val="2"/>
          <w:numId w:val="12"/>
        </w:numPr>
        <w:outlineLvl w:val="2"/>
        <w:rPr>
          <w:rFonts w:cs="Times New Roman"/>
          <w:sz w:val="24"/>
          <w:szCs w:val="24"/>
        </w:rPr>
      </w:pPr>
      <w:bookmarkStart w:id="187" w:name="_Toc217032270"/>
      <w:r>
        <w:rPr>
          <w:rFonts w:hint="eastAsia" w:cs="Times New Roman"/>
          <w:sz w:val="24"/>
          <w:szCs w:val="24"/>
        </w:rPr>
        <w:t>病毒学检查</w:t>
      </w:r>
      <w:bookmarkEnd w:id="187"/>
    </w:p>
    <w:p w14:paraId="2C99B095">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将根据标准实验室程序进行包括乙肝表面抗原、乙肝表面抗体、乙肝</w:t>
      </w:r>
      <w:r>
        <w:rPr>
          <w:rFonts w:ascii="Times New Roman" w:hAnsi="Times New Roman" w:eastAsia="宋体" w:cs="Times New Roman"/>
          <w:sz w:val="24"/>
          <w:szCs w:val="24"/>
        </w:rPr>
        <w:t>e</w:t>
      </w:r>
      <w:r>
        <w:rPr>
          <w:rFonts w:hint="eastAsia" w:ascii="Times New Roman" w:hAnsi="Times New Roman" w:eastAsia="宋体" w:cs="Times New Roman"/>
          <w:sz w:val="24"/>
          <w:szCs w:val="24"/>
        </w:rPr>
        <w:t>抗原、乙肝</w:t>
      </w:r>
      <w:r>
        <w:rPr>
          <w:rFonts w:ascii="Times New Roman" w:hAnsi="Times New Roman" w:eastAsia="宋体" w:cs="Times New Roman"/>
          <w:sz w:val="24"/>
          <w:szCs w:val="24"/>
        </w:rPr>
        <w:t>e</w:t>
      </w:r>
      <w:r>
        <w:rPr>
          <w:rFonts w:hint="eastAsia" w:ascii="Times New Roman" w:hAnsi="Times New Roman" w:eastAsia="宋体" w:cs="Times New Roman"/>
          <w:sz w:val="24"/>
          <w:szCs w:val="24"/>
        </w:rPr>
        <w:t>抗体、乙肝核心抗体、丙型肝炎病毒抗体、人类免疫缺陷病毒抗体、梅毒特异性抗体检查。可接受在首次给药前</w:t>
      </w:r>
      <w:r>
        <w:rPr>
          <w:rFonts w:ascii="Times New Roman" w:hAnsi="Times New Roman" w:eastAsia="宋体" w:cs="Times New Roman"/>
          <w:sz w:val="24"/>
          <w:szCs w:val="24"/>
        </w:rPr>
        <w:t>28</w:t>
      </w:r>
      <w:r>
        <w:rPr>
          <w:rFonts w:hint="eastAsia" w:ascii="Times New Roman" w:hAnsi="Times New Roman" w:eastAsia="宋体" w:cs="Times New Roman"/>
          <w:sz w:val="24"/>
          <w:szCs w:val="24"/>
        </w:rPr>
        <w:t>天内的结果，筛选期</w:t>
      </w:r>
      <w:r>
        <w:rPr>
          <w:rFonts w:ascii="Times New Roman" w:hAnsi="Times New Roman" w:eastAsia="宋体" w:cs="Times New Roman"/>
          <w:sz w:val="24"/>
          <w:szCs w:val="24"/>
        </w:rPr>
        <w:t>/</w:t>
      </w:r>
      <w:r>
        <w:rPr>
          <w:rFonts w:hint="eastAsia" w:ascii="Times New Roman" w:hAnsi="Times New Roman" w:eastAsia="宋体" w:cs="Times New Roman"/>
          <w:sz w:val="24"/>
          <w:szCs w:val="24"/>
        </w:rPr>
        <w:t>基线期无需再次检查。</w:t>
      </w:r>
    </w:p>
    <w:p w14:paraId="22CC631B">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乙型肝炎表面抗原阴性且乙型肝炎核心抗体阳性的参与者，需要进行</w:t>
      </w:r>
      <w:r>
        <w:rPr>
          <w:rFonts w:ascii="Times New Roman" w:hAnsi="Times New Roman" w:eastAsia="宋体" w:cs="Times New Roman"/>
          <w:bCs/>
          <w:sz w:val="24"/>
          <w:szCs w:val="24"/>
        </w:rPr>
        <w:t>HBV-DNA</w:t>
      </w:r>
      <w:r>
        <w:rPr>
          <w:rFonts w:hint="eastAsia" w:ascii="Times New Roman" w:hAnsi="Times New Roman" w:eastAsia="宋体" w:cs="Times New Roman"/>
          <w:bCs/>
          <w:sz w:val="24"/>
          <w:szCs w:val="24"/>
        </w:rPr>
        <w:t>检测；丙型肝炎病毒抗体阳性的参与者，需要进行</w:t>
      </w:r>
      <w:r>
        <w:rPr>
          <w:rFonts w:ascii="Times New Roman" w:hAnsi="Times New Roman" w:eastAsia="宋体" w:cs="Times New Roman"/>
          <w:bCs/>
          <w:sz w:val="24"/>
          <w:szCs w:val="24"/>
        </w:rPr>
        <w:t>HCV-RNA</w:t>
      </w:r>
      <w:r>
        <w:rPr>
          <w:rFonts w:hint="eastAsia" w:ascii="Times New Roman" w:hAnsi="Times New Roman" w:eastAsia="宋体" w:cs="Times New Roman"/>
          <w:bCs/>
          <w:sz w:val="24"/>
          <w:szCs w:val="24"/>
        </w:rPr>
        <w:t>检测。</w:t>
      </w:r>
      <w:r>
        <w:rPr>
          <w:rFonts w:hint="eastAsia" w:ascii="Times New Roman" w:hAnsi="Times New Roman" w:eastAsia="宋体" w:cs="Times New Roman"/>
          <w:kern w:val="2"/>
          <w:sz w:val="24"/>
          <w:szCs w:val="24"/>
        </w:rPr>
        <w:t>若</w:t>
      </w:r>
      <w:r>
        <w:rPr>
          <w:rFonts w:hint="eastAsia" w:ascii="Times New Roman" w:hAnsi="Times New Roman" w:eastAsia="宋体" w:cs="Times New Roman"/>
          <w:sz w:val="24"/>
          <w:szCs w:val="24"/>
        </w:rPr>
        <w:t>梅毒特异性抗体检查</w:t>
      </w:r>
      <w:r>
        <w:rPr>
          <w:rFonts w:hint="eastAsia" w:ascii="Times New Roman" w:hAnsi="Times New Roman" w:eastAsia="宋体" w:cs="Times New Roman"/>
          <w:kern w:val="2"/>
          <w:sz w:val="24"/>
          <w:szCs w:val="24"/>
        </w:rPr>
        <w:t>阳性，则进行梅毒非特异性抗体检查</w:t>
      </w:r>
      <w:r>
        <w:rPr>
          <w:rFonts w:hint="eastAsia" w:ascii="Times New Roman" w:hAnsi="Times New Roman" w:eastAsia="宋体" w:cs="Times New Roman"/>
          <w:sz w:val="24"/>
          <w:szCs w:val="24"/>
        </w:rPr>
        <w:t>。</w:t>
      </w:r>
      <w:r>
        <w:rPr>
          <w:rFonts w:hint="eastAsia" w:ascii="Times New Roman" w:hAnsi="Times New Roman" w:eastAsia="宋体" w:cs="Times New Roman"/>
          <w:bCs/>
          <w:sz w:val="24"/>
          <w:szCs w:val="24"/>
        </w:rPr>
        <w:t>可接受在首次给药前</w:t>
      </w:r>
      <w:r>
        <w:rPr>
          <w:rFonts w:ascii="Times New Roman" w:hAnsi="Times New Roman" w:eastAsia="宋体" w:cs="Times New Roman"/>
          <w:bCs/>
          <w:sz w:val="24"/>
          <w:szCs w:val="24"/>
        </w:rPr>
        <w:t>28</w:t>
      </w:r>
      <w:r>
        <w:rPr>
          <w:rFonts w:hint="eastAsia" w:ascii="Times New Roman" w:hAnsi="Times New Roman" w:eastAsia="宋体" w:cs="Times New Roman"/>
          <w:bCs/>
          <w:sz w:val="24"/>
          <w:szCs w:val="24"/>
        </w:rPr>
        <w:t>天内的结果，无需再次检查。</w:t>
      </w:r>
    </w:p>
    <w:p w14:paraId="044160FF">
      <w:pPr>
        <w:pStyle w:val="116"/>
        <w:numPr>
          <w:ilvl w:val="2"/>
          <w:numId w:val="12"/>
        </w:numPr>
        <w:outlineLvl w:val="2"/>
        <w:rPr>
          <w:rFonts w:cs="Times New Roman"/>
          <w:sz w:val="24"/>
          <w:szCs w:val="24"/>
        </w:rPr>
      </w:pPr>
      <w:bookmarkStart w:id="188" w:name="_Toc217032271"/>
      <w:r>
        <w:rPr>
          <w:rFonts w:hint="eastAsia" w:cs="Times New Roman"/>
          <w:sz w:val="24"/>
          <w:szCs w:val="24"/>
        </w:rPr>
        <w:t>结核筛查</w:t>
      </w:r>
      <w:bookmarkEnd w:id="188"/>
    </w:p>
    <w:p w14:paraId="5650659A">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如果</w:t>
      </w:r>
      <w:r>
        <w:rPr>
          <w:rFonts w:ascii="Times New Roman" w:hAnsi="Times New Roman" w:eastAsia="宋体" w:cs="Times New Roman"/>
          <w:bCs/>
          <w:sz w:val="24"/>
          <w:szCs w:val="24"/>
        </w:rPr>
        <w:t>γ-</w:t>
      </w:r>
      <w:r>
        <w:rPr>
          <w:rFonts w:hint="eastAsia" w:ascii="Times New Roman" w:hAnsi="Times New Roman" w:eastAsia="宋体" w:cs="Times New Roman"/>
          <w:bCs/>
          <w:sz w:val="24"/>
          <w:szCs w:val="24"/>
        </w:rPr>
        <w:t>干扰素释放试验为阳性，则必须通过胸部</w:t>
      </w:r>
      <w:r>
        <w:rPr>
          <w:rFonts w:ascii="Times New Roman" w:hAnsi="Times New Roman" w:eastAsia="宋体" w:cs="Times New Roman"/>
          <w:bCs/>
          <w:sz w:val="24"/>
          <w:szCs w:val="24"/>
        </w:rPr>
        <w:t>CT</w:t>
      </w:r>
      <w:r>
        <w:rPr>
          <w:rFonts w:hint="eastAsia" w:ascii="Times New Roman" w:hAnsi="Times New Roman" w:eastAsia="宋体" w:cs="Times New Roman"/>
          <w:bCs/>
          <w:sz w:val="24"/>
          <w:szCs w:val="24"/>
        </w:rPr>
        <w:t>进一步评估以确认结核状态（活动性或潜伏性）。</w:t>
      </w:r>
    </w:p>
    <w:p w14:paraId="7E6C417F">
      <w:pPr>
        <w:spacing w:line="360" w:lineRule="auto"/>
        <w:ind w:left="440" w:leftChars="200"/>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有活动性结核证据的参与者不得被随机分组；</w:t>
      </w:r>
    </w:p>
    <w:p w14:paraId="65127136">
      <w:pPr>
        <w:spacing w:line="360" w:lineRule="auto"/>
        <w:ind w:left="440" w:leftChars="200"/>
        <w:jc w:val="both"/>
        <w:rPr>
          <w:rFonts w:ascii="Times New Roman" w:hAnsi="Times New Roman" w:eastAsia="宋体" w:cs="Times New Roman"/>
          <w:bCs/>
          <w:color w:val="000000"/>
          <w:kern w:val="2"/>
          <w:sz w:val="24"/>
          <w:szCs w:val="24"/>
        </w:rPr>
      </w:pPr>
      <w:r>
        <w:rPr>
          <w:rFonts w:ascii="Times New Roman" w:hAnsi="Times New Roman" w:eastAsia="宋体" w:cs="Times New Roman"/>
          <w:bCs/>
          <w:color w:val="000000"/>
          <w:kern w:val="2"/>
          <w:sz w:val="24"/>
          <w:szCs w:val="24"/>
        </w:rPr>
        <w:t>−</w:t>
      </w:r>
      <w:r>
        <w:rPr>
          <w:rFonts w:hint="eastAsia" w:ascii="Times New Roman" w:hAnsi="Times New Roman" w:eastAsia="宋体" w:cs="Times New Roman"/>
          <w:bCs/>
          <w:color w:val="000000"/>
          <w:kern w:val="2"/>
          <w:sz w:val="24"/>
          <w:szCs w:val="24"/>
        </w:rPr>
        <w:t>有潜伏性结核证据的参与者不得被随机分组，除非在随机分组前已完成至少</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周的适当治疗疗程。</w:t>
      </w:r>
    </w:p>
    <w:p w14:paraId="70A8C8DB">
      <w:pPr>
        <w:spacing w:line="360" w:lineRule="auto"/>
        <w:ind w:left="440" w:leftChars="2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注：</w:t>
      </w:r>
    </w:p>
    <w:p w14:paraId="1430BC82">
      <w:pPr>
        <w:numPr>
          <w:ilvl w:val="0"/>
          <w:numId w:val="51"/>
        </w:numPr>
        <w:spacing w:line="360" w:lineRule="auto"/>
        <w:ind w:firstLine="480" w:firstLineChars="200"/>
        <w:jc w:val="both"/>
        <w:rPr>
          <w:rFonts w:ascii="Times New Roman" w:hAnsi="Times New Roman" w:eastAsia="宋体" w:cs="Times New Roman"/>
          <w:bCs/>
          <w:color w:val="000000"/>
          <w:kern w:val="2"/>
          <w:sz w:val="24"/>
          <w:szCs w:val="24"/>
        </w:rPr>
      </w:pPr>
      <w:r>
        <w:rPr>
          <w:rFonts w:hint="eastAsia" w:ascii="Times New Roman" w:hAnsi="Times New Roman" w:eastAsia="宋体" w:cs="Times New Roman"/>
          <w:bCs/>
          <w:color w:val="000000"/>
          <w:kern w:val="2"/>
          <w:sz w:val="24"/>
          <w:szCs w:val="24"/>
        </w:rPr>
        <w:t>在筛选时，如果参与者有潜伏性结核感染的证据，必须在首次给药前至少</w:t>
      </w:r>
      <w:r>
        <w:rPr>
          <w:rFonts w:ascii="Times New Roman" w:hAnsi="Times New Roman" w:eastAsia="宋体" w:cs="Times New Roman"/>
          <w:bCs/>
          <w:color w:val="000000"/>
          <w:kern w:val="2"/>
          <w:sz w:val="24"/>
          <w:szCs w:val="24"/>
        </w:rPr>
        <w:t>4</w:t>
      </w:r>
      <w:r>
        <w:rPr>
          <w:rFonts w:hint="eastAsia" w:ascii="Times New Roman" w:hAnsi="Times New Roman" w:eastAsia="宋体" w:cs="Times New Roman"/>
          <w:bCs/>
          <w:color w:val="000000"/>
          <w:kern w:val="2"/>
          <w:sz w:val="24"/>
          <w:szCs w:val="24"/>
        </w:rPr>
        <w:t>周开始预防性治疗，并且同意完成后续预防性治疗疗程；预防措施的整个疗程不必在首次给药前完成。</w:t>
      </w:r>
    </w:p>
    <w:p w14:paraId="0F904B8B">
      <w:pPr>
        <w:numPr>
          <w:ilvl w:val="0"/>
          <w:numId w:val="51"/>
        </w:num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bCs/>
          <w:color w:val="000000"/>
          <w:kern w:val="2"/>
          <w:sz w:val="24"/>
          <w:szCs w:val="24"/>
        </w:rPr>
        <w:t>不允许使用利福平或利福喷丁进行结核预防。</w:t>
      </w:r>
    </w:p>
    <w:p w14:paraId="639CB5C9">
      <w:pPr>
        <w:numPr>
          <w:ilvl w:val="0"/>
          <w:numId w:val="51"/>
        </w:num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bCs/>
          <w:color w:val="000000"/>
          <w:kern w:val="2"/>
          <w:sz w:val="24"/>
          <w:szCs w:val="24"/>
        </w:rPr>
        <w:t>如结核检测结果为不确定者，可进行</w:t>
      </w:r>
      <w:r>
        <w:rPr>
          <w:rFonts w:ascii="Times New Roman" w:hAnsi="Times New Roman" w:eastAsia="宋体" w:cs="Times New Roman"/>
          <w:bCs/>
          <w:color w:val="000000"/>
          <w:kern w:val="2"/>
          <w:sz w:val="24"/>
          <w:szCs w:val="24"/>
        </w:rPr>
        <w:t>1</w:t>
      </w:r>
      <w:r>
        <w:rPr>
          <w:rFonts w:hint="eastAsia" w:ascii="Times New Roman" w:hAnsi="Times New Roman" w:eastAsia="宋体" w:cs="Times New Roman"/>
          <w:bCs/>
          <w:color w:val="000000"/>
          <w:kern w:val="2"/>
          <w:sz w:val="24"/>
          <w:szCs w:val="24"/>
        </w:rPr>
        <w:t>次复测</w:t>
      </w:r>
      <w:r>
        <w:rPr>
          <w:rFonts w:hint="eastAsia" w:ascii="Times New Roman" w:hAnsi="Times New Roman" w:cs="Times New Roman"/>
          <w:sz w:val="24"/>
          <w:szCs w:val="24"/>
        </w:rPr>
        <w:t>。</w:t>
      </w:r>
    </w:p>
    <w:p w14:paraId="55A26FEB">
      <w:pPr>
        <w:pStyle w:val="116"/>
        <w:numPr>
          <w:ilvl w:val="2"/>
          <w:numId w:val="12"/>
        </w:numPr>
        <w:jc w:val="left"/>
        <w:outlineLvl w:val="2"/>
        <w:rPr>
          <w:rFonts w:cs="Times New Roman"/>
          <w:sz w:val="24"/>
          <w:szCs w:val="24"/>
        </w:rPr>
      </w:pPr>
      <w:bookmarkStart w:id="189" w:name="_Toc217032272"/>
      <w:r>
        <w:rPr>
          <w:rFonts w:hint="eastAsia" w:cs="Times New Roman"/>
          <w:sz w:val="24"/>
          <w:szCs w:val="24"/>
        </w:rPr>
        <w:t>妊娠试验或卵泡刺激素（</w:t>
      </w:r>
      <w:r>
        <w:rPr>
          <w:rFonts w:cs="Times New Roman"/>
          <w:bCs/>
          <w:color w:val="000000"/>
          <w:kern w:val="2"/>
          <w:sz w:val="24"/>
          <w:szCs w:val="24"/>
        </w:rPr>
        <w:t>Follicle-stimulating hormone</w:t>
      </w:r>
      <w:r>
        <w:rPr>
          <w:rFonts w:hint="eastAsia" w:cs="Times New Roman"/>
          <w:bCs/>
          <w:color w:val="000000"/>
          <w:kern w:val="2"/>
          <w:sz w:val="24"/>
          <w:szCs w:val="24"/>
        </w:rPr>
        <w:t>，</w:t>
      </w:r>
      <w:r>
        <w:rPr>
          <w:rFonts w:cs="Times New Roman"/>
          <w:sz w:val="24"/>
          <w:szCs w:val="24"/>
        </w:rPr>
        <w:t>FSH</w:t>
      </w:r>
      <w:r>
        <w:rPr>
          <w:rFonts w:hint="eastAsia" w:cs="Times New Roman"/>
          <w:sz w:val="24"/>
          <w:szCs w:val="24"/>
        </w:rPr>
        <w:t>）检测</w:t>
      </w:r>
      <w:bookmarkEnd w:id="189"/>
    </w:p>
    <w:p w14:paraId="30504EB7">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仅限有生育能力的女性。必须在研究的筛选、基线、第</w:t>
      </w:r>
      <w:r>
        <w:rPr>
          <w:rFonts w:ascii="Times New Roman" w:hAnsi="Times New Roman" w:eastAsia="宋体" w:cs="Times New Roman"/>
          <w:bCs/>
          <w:sz w:val="24"/>
          <w:szCs w:val="24"/>
        </w:rPr>
        <w:t>12</w:t>
      </w:r>
      <w:r>
        <w:rPr>
          <w:rFonts w:hint="eastAsia" w:ascii="Times New Roman" w:hAnsi="Times New Roman" w:eastAsia="宋体" w:cs="Times New Roman"/>
          <w:bCs/>
          <w:sz w:val="24"/>
          <w:szCs w:val="24"/>
        </w:rPr>
        <w:t>周（Ⅱ期临床研究阶段）、第</w:t>
      </w:r>
      <w:r>
        <w:rPr>
          <w:rFonts w:ascii="Times New Roman" w:hAnsi="Times New Roman" w:eastAsia="宋体" w:cs="Times New Roman"/>
          <w:bCs/>
          <w:sz w:val="24"/>
          <w:szCs w:val="24"/>
        </w:rPr>
        <w:t>16</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52</w:t>
      </w:r>
      <w:r>
        <w:rPr>
          <w:rFonts w:hint="eastAsia" w:ascii="Times New Roman" w:hAnsi="Times New Roman" w:eastAsia="宋体" w:cs="Times New Roman"/>
          <w:bCs/>
          <w:sz w:val="24"/>
          <w:szCs w:val="24"/>
        </w:rPr>
        <w:t>周访视（Ⅲ期临床研究阶段）和提前退出访视时进行血清妊娠试验。筛选时或研究药物首次给药前妊娠试验结果为阳性的参与者不允许进入研究（筛选失败）。研究期间根据研究者的判断可选择性进行尿妊娠试验或血清妊娠试验。可根据需要进行更频繁的妊娠试验。</w:t>
      </w:r>
    </w:p>
    <w:p w14:paraId="25C13F03">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对于绝经女性参与者仅在筛选期进行</w:t>
      </w:r>
      <w:r>
        <w:rPr>
          <w:rFonts w:ascii="Times New Roman" w:hAnsi="Times New Roman" w:eastAsia="宋体" w:cs="Times New Roman"/>
          <w:bCs/>
          <w:sz w:val="24"/>
          <w:szCs w:val="24"/>
        </w:rPr>
        <w:t>FSH</w:t>
      </w:r>
      <w:r>
        <w:rPr>
          <w:rFonts w:hint="eastAsia" w:ascii="Times New Roman" w:hAnsi="Times New Roman" w:eastAsia="宋体" w:cs="Times New Roman"/>
          <w:bCs/>
          <w:sz w:val="24"/>
          <w:szCs w:val="24"/>
        </w:rPr>
        <w:t>检查。本研究将初潮前女性、已绝经妇女（一年及以上无月经且无其他医学原因）或永久性绝育（如输卵管结扎、子宫切除或双侧输卵管切除等）的女性参与者视为不具有生育能力，无需进行妊娠试验。</w:t>
      </w:r>
    </w:p>
    <w:p w14:paraId="6C2CC4CD">
      <w:pPr>
        <w:pStyle w:val="116"/>
        <w:numPr>
          <w:ilvl w:val="2"/>
          <w:numId w:val="12"/>
        </w:numPr>
        <w:outlineLvl w:val="2"/>
        <w:rPr>
          <w:rFonts w:cs="Times New Roman"/>
          <w:sz w:val="24"/>
          <w:szCs w:val="24"/>
        </w:rPr>
      </w:pPr>
      <w:bookmarkStart w:id="190" w:name="_Toc217032273"/>
      <w:r>
        <w:rPr>
          <w:rFonts w:hint="eastAsia" w:cs="Times New Roman"/>
          <w:sz w:val="24"/>
          <w:szCs w:val="24"/>
        </w:rPr>
        <w:t>获取皮损照片</w:t>
      </w:r>
      <w:bookmarkEnd w:id="190"/>
    </w:p>
    <w:p w14:paraId="4848F4F2">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bCs/>
          <w:sz w:val="24"/>
          <w:szCs w:val="24"/>
        </w:rPr>
        <w:t>获取全身皮损或靶皮损照片，皮损照片仅为客观记录和说明。详细的拍照要求将在另外单独的拍照手册文件中阐述。</w:t>
      </w:r>
    </w:p>
    <w:p w14:paraId="261E30BC">
      <w:pPr>
        <w:pStyle w:val="116"/>
        <w:numPr>
          <w:ilvl w:val="2"/>
          <w:numId w:val="12"/>
        </w:numPr>
        <w:outlineLvl w:val="2"/>
        <w:rPr>
          <w:rFonts w:cs="Times New Roman"/>
          <w:sz w:val="24"/>
          <w:szCs w:val="24"/>
        </w:rPr>
      </w:pPr>
      <w:r>
        <w:rPr>
          <w:rFonts w:cs="Times New Roman"/>
          <w:sz w:val="24"/>
          <w:szCs w:val="24"/>
        </w:rPr>
        <w:t xml:space="preserve"> </w:t>
      </w:r>
      <w:bookmarkStart w:id="191" w:name="_Toc217032274"/>
      <w:r>
        <w:rPr>
          <w:rFonts w:hint="eastAsia" w:cs="Times New Roman"/>
          <w:sz w:val="24"/>
          <w:szCs w:val="24"/>
        </w:rPr>
        <w:t>疗效评价</w:t>
      </w:r>
      <w:bookmarkEnd w:id="191"/>
    </w:p>
    <w:p w14:paraId="765708D0">
      <w:pPr>
        <w:numPr>
          <w:ilvl w:val="0"/>
          <w:numId w:val="52"/>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u w:val="single"/>
        </w:rPr>
        <w:t>银屑病面积和严重程度指数（</w:t>
      </w:r>
      <w:r>
        <w:rPr>
          <w:rFonts w:ascii="Times New Roman" w:hAnsi="Times New Roman" w:eastAsia="宋体" w:cs="Times New Roman"/>
          <w:b/>
          <w:bCs/>
          <w:sz w:val="24"/>
          <w:szCs w:val="24"/>
          <w:u w:val="single"/>
        </w:rPr>
        <w:t>PASI</w:t>
      </w:r>
      <w:r>
        <w:rPr>
          <w:rFonts w:hint="eastAsia" w:ascii="Times New Roman" w:hAnsi="Times New Roman" w:eastAsia="宋体" w:cs="Times New Roman"/>
          <w:b/>
          <w:bCs/>
          <w:sz w:val="24"/>
          <w:szCs w:val="24"/>
          <w:u w:val="single"/>
        </w:rPr>
        <w:t>）</w:t>
      </w:r>
    </w:p>
    <w:p w14:paraId="6D0E4DC6">
      <w:pPr>
        <w:spacing w:line="360" w:lineRule="auto"/>
        <w:ind w:left="876" w:leftChars="398" w:firstLine="3"/>
        <w:jc w:val="both"/>
        <w:rPr>
          <w:rFonts w:ascii="Times New Roman" w:hAnsi="Times New Roman" w:eastAsia="宋体" w:cs="Times New Roman"/>
          <w:sz w:val="24"/>
          <w:szCs w:val="24"/>
        </w:rPr>
      </w:pPr>
      <w:r>
        <w:rPr>
          <w:rFonts w:ascii="Times New Roman" w:hAnsi="Times New Roman" w:eastAsia="宋体" w:cs="Times New Roman"/>
          <w:sz w:val="24"/>
          <w:szCs w:val="24"/>
        </w:rPr>
        <w:t>PASI</w:t>
      </w:r>
      <w:r>
        <w:rPr>
          <w:rFonts w:hint="eastAsia" w:ascii="Times New Roman" w:hAnsi="Times New Roman" w:eastAsia="宋体" w:cs="Times New Roman"/>
          <w:sz w:val="24"/>
          <w:szCs w:val="24"/>
        </w:rPr>
        <w:t>评分是综合皮损严重程度（包括红斑、厚度、鳞屑）及皮损面积对银屑病严重程度进行定量评价</w:t>
      </w:r>
      <w:r>
        <w:rPr>
          <w:rFonts w:ascii="Times New Roman" w:hAnsi="Times New Roman" w:eastAsia="宋体" w:cs="Times New Roman"/>
          <w:sz w:val="24"/>
          <w:szCs w:val="24"/>
          <w:vertAlign w:val="superscript"/>
        </w:rPr>
        <w:t>[9]</w:t>
      </w:r>
      <w:r>
        <w:rPr>
          <w:rFonts w:hint="eastAsia" w:ascii="Times New Roman" w:hAnsi="Times New Roman" w:eastAsia="宋体" w:cs="Times New Roman"/>
          <w:sz w:val="24"/>
          <w:szCs w:val="24"/>
        </w:rPr>
        <w:t>。</w:t>
      </w:r>
      <w:r>
        <w:rPr>
          <w:rFonts w:ascii="Times New Roman" w:hAnsi="Times New Roman" w:eastAsia="宋体" w:cs="Times New Roman"/>
          <w:sz w:val="24"/>
          <w:szCs w:val="24"/>
        </w:rPr>
        <w:t>PASI</w:t>
      </w:r>
      <w:r>
        <w:rPr>
          <w:rFonts w:hint="eastAsia" w:ascii="Times New Roman" w:hAnsi="Times New Roman" w:eastAsia="宋体" w:cs="Times New Roman"/>
          <w:sz w:val="24"/>
          <w:szCs w:val="24"/>
        </w:rPr>
        <w:t>评分在</w:t>
      </w:r>
      <w:r>
        <w:rPr>
          <w:rFonts w:ascii="Times New Roman" w:hAnsi="Times New Roman" w:eastAsia="宋体" w:cs="Times New Roman"/>
          <w:sz w:val="24"/>
          <w:szCs w:val="24"/>
        </w:rPr>
        <w:t>0-72</w:t>
      </w:r>
      <w:r>
        <w:rPr>
          <w:rFonts w:hint="eastAsia" w:ascii="Times New Roman" w:hAnsi="Times New Roman" w:eastAsia="宋体" w:cs="Times New Roman"/>
          <w:sz w:val="24"/>
          <w:szCs w:val="24"/>
        </w:rPr>
        <w:t>分之间，分数越高表示程度越严重。评分细则见附录</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p>
    <w:p w14:paraId="29A3C069">
      <w:pPr>
        <w:numPr>
          <w:ilvl w:val="0"/>
          <w:numId w:val="52"/>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u w:val="single"/>
        </w:rPr>
        <w:t>医生整体评估（</w:t>
      </w:r>
      <w:r>
        <w:rPr>
          <w:rFonts w:ascii="Times New Roman" w:hAnsi="Times New Roman" w:eastAsia="宋体" w:cs="Times New Roman"/>
          <w:b/>
          <w:bCs/>
          <w:sz w:val="24"/>
          <w:szCs w:val="24"/>
          <w:u w:val="single"/>
        </w:rPr>
        <w:t>PGA</w:t>
      </w:r>
      <w:r>
        <w:rPr>
          <w:rFonts w:hint="eastAsia" w:ascii="Times New Roman" w:hAnsi="Times New Roman" w:eastAsia="宋体" w:cs="Times New Roman"/>
          <w:b/>
          <w:bCs/>
          <w:sz w:val="24"/>
          <w:szCs w:val="24"/>
          <w:u w:val="single"/>
        </w:rPr>
        <w:t>）</w:t>
      </w:r>
    </w:p>
    <w:p w14:paraId="431CF495">
      <w:pPr>
        <w:spacing w:line="360" w:lineRule="auto"/>
        <w:ind w:left="876" w:leftChars="398" w:firstLine="3"/>
        <w:jc w:val="both"/>
        <w:rPr>
          <w:rFonts w:ascii="Times New Roman" w:hAnsi="Times New Roman" w:eastAsia="宋体" w:cs="Times New Roman"/>
          <w:sz w:val="24"/>
          <w:szCs w:val="24"/>
        </w:rPr>
      </w:pPr>
      <w:r>
        <w:rPr>
          <w:rFonts w:ascii="Times New Roman" w:hAnsi="Times New Roman" w:eastAsia="宋体" w:cs="Times New Roman"/>
          <w:sz w:val="24"/>
          <w:szCs w:val="24"/>
        </w:rPr>
        <w:t>PGA</w:t>
      </w:r>
      <w:r>
        <w:rPr>
          <w:rFonts w:hint="eastAsia" w:ascii="Times New Roman" w:hAnsi="Times New Roman" w:eastAsia="宋体" w:cs="Times New Roman"/>
          <w:sz w:val="24"/>
          <w:szCs w:val="24"/>
        </w:rPr>
        <w:t>是根据患者红斑、鳞屑和斑块厚度整体情况进行评分</w:t>
      </w:r>
      <w:r>
        <w:rPr>
          <w:rFonts w:ascii="Times New Roman" w:hAnsi="Times New Roman" w:eastAsia="宋体" w:cs="Times New Roman"/>
          <w:sz w:val="24"/>
          <w:szCs w:val="24"/>
          <w:vertAlign w:val="superscript"/>
        </w:rPr>
        <w:t>[10]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PGA</w:t>
      </w:r>
      <w:r>
        <w:rPr>
          <w:rFonts w:hint="eastAsia" w:ascii="Times New Roman" w:hAnsi="Times New Roman" w:eastAsia="宋体" w:cs="Times New Roman"/>
          <w:sz w:val="24"/>
          <w:szCs w:val="24"/>
        </w:rPr>
        <w:t>评分在</w:t>
      </w:r>
      <w:r>
        <w:rPr>
          <w:rFonts w:ascii="Times New Roman" w:hAnsi="Times New Roman" w:eastAsia="宋体" w:cs="Times New Roman"/>
          <w:sz w:val="24"/>
          <w:szCs w:val="24"/>
        </w:rPr>
        <w:t>0-4</w:t>
      </w:r>
      <w:r>
        <w:rPr>
          <w:rFonts w:hint="eastAsia" w:ascii="Times New Roman" w:hAnsi="Times New Roman" w:eastAsia="宋体" w:cs="Times New Roman"/>
          <w:sz w:val="24"/>
          <w:szCs w:val="24"/>
        </w:rPr>
        <w:t>分之间，分数越高表示程度越严重。评分细则见附录</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p>
    <w:p w14:paraId="15DEE9B4">
      <w:pPr>
        <w:numPr>
          <w:ilvl w:val="0"/>
          <w:numId w:val="52"/>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u w:val="single"/>
        </w:rPr>
        <w:t>受累的体表面积（</w:t>
      </w:r>
      <w:r>
        <w:rPr>
          <w:rFonts w:ascii="Times New Roman" w:hAnsi="Times New Roman" w:eastAsia="宋体" w:cs="Times New Roman"/>
          <w:b/>
          <w:bCs/>
          <w:sz w:val="24"/>
          <w:szCs w:val="24"/>
          <w:u w:val="single"/>
        </w:rPr>
        <w:t>BSA</w:t>
      </w:r>
      <w:r>
        <w:rPr>
          <w:rFonts w:hint="eastAsia" w:ascii="Times New Roman" w:hAnsi="Times New Roman" w:eastAsia="宋体" w:cs="Times New Roman"/>
          <w:b/>
          <w:bCs/>
          <w:sz w:val="24"/>
          <w:szCs w:val="24"/>
          <w:u w:val="single"/>
        </w:rPr>
        <w:t>）</w:t>
      </w:r>
    </w:p>
    <w:p w14:paraId="40B2765F">
      <w:pPr>
        <w:spacing w:line="360" w:lineRule="auto"/>
        <w:ind w:left="876" w:leftChars="398" w:firstLine="3"/>
        <w:jc w:val="both"/>
        <w:rPr>
          <w:rFonts w:ascii="Times New Roman" w:hAnsi="Times New Roman" w:eastAsia="宋体" w:cs="Times New Roman"/>
          <w:sz w:val="24"/>
          <w:szCs w:val="24"/>
        </w:rPr>
      </w:pPr>
      <w:r>
        <w:rPr>
          <w:rFonts w:ascii="Times New Roman" w:hAnsi="Times New Roman" w:eastAsia="宋体" w:cs="Times New Roman"/>
          <w:sz w:val="24"/>
          <w:szCs w:val="24"/>
        </w:rPr>
        <w:t>BSA</w:t>
      </w:r>
      <w:r>
        <w:rPr>
          <w:rFonts w:hint="eastAsia" w:ascii="Times New Roman" w:hAnsi="Times New Roman" w:eastAsia="宋体" w:cs="Times New Roman"/>
          <w:sz w:val="24"/>
          <w:szCs w:val="24"/>
        </w:rPr>
        <w:t>是将患者单个手掌及手指屈侧面积定义为人体表面积的</w:t>
      </w:r>
      <w:r>
        <w:rPr>
          <w:rFonts w:ascii="Times New Roman" w:hAnsi="Times New Roman" w:eastAsia="宋体" w:cs="Times New Roman"/>
          <w:sz w:val="24"/>
          <w:szCs w:val="24"/>
        </w:rPr>
        <w:t>1%</w:t>
      </w:r>
      <w:r>
        <w:rPr>
          <w:rFonts w:ascii="Times New Roman" w:hAnsi="Times New Roman" w:eastAsia="宋体" w:cs="Times New Roman"/>
          <w:sz w:val="24"/>
          <w:szCs w:val="24"/>
          <w:vertAlign w:val="superscript"/>
        </w:rPr>
        <w:t>[11]</w:t>
      </w:r>
      <w:r>
        <w:rPr>
          <w:rFonts w:hint="eastAsia" w:ascii="Times New Roman" w:hAnsi="Times New Roman" w:eastAsia="宋体" w:cs="Times New Roman"/>
          <w:sz w:val="24"/>
          <w:szCs w:val="24"/>
        </w:rPr>
        <w:t>，评估患者全身皮损总和达到多少个手掌面积，记为</w:t>
      </w:r>
      <w:r>
        <w:rPr>
          <w:rFonts w:ascii="Times New Roman" w:hAnsi="Times New Roman" w:eastAsia="宋体" w:cs="Times New Roman"/>
          <w:sz w:val="24"/>
          <w:szCs w:val="24"/>
        </w:rPr>
        <w:t>BSA</w:t>
      </w:r>
      <w:r>
        <w:rPr>
          <w:rFonts w:hint="eastAsia" w:ascii="Times New Roman" w:hAnsi="Times New Roman" w:eastAsia="宋体" w:cs="Times New Roman"/>
          <w:sz w:val="24"/>
          <w:szCs w:val="24"/>
        </w:rPr>
        <w:t>。参与者</w:t>
      </w:r>
      <w:r>
        <w:rPr>
          <w:rFonts w:ascii="Times New Roman" w:hAnsi="Times New Roman" w:eastAsia="宋体" w:cs="Times New Roman"/>
          <w:sz w:val="24"/>
          <w:szCs w:val="24"/>
        </w:rPr>
        <w:t>BSA</w:t>
      </w:r>
      <w:r>
        <w:rPr>
          <w:rFonts w:hint="eastAsia" w:ascii="Times New Roman" w:hAnsi="Times New Roman" w:eastAsia="宋体" w:cs="Times New Roman"/>
          <w:sz w:val="24"/>
          <w:szCs w:val="24"/>
        </w:rPr>
        <w:t>评分在</w:t>
      </w:r>
      <w:r>
        <w:rPr>
          <w:rFonts w:ascii="Times New Roman" w:hAnsi="Times New Roman" w:eastAsia="宋体" w:cs="Times New Roman"/>
          <w:sz w:val="24"/>
          <w:szCs w:val="24"/>
        </w:rPr>
        <w:t>0%-100%</w:t>
      </w:r>
      <w:r>
        <w:rPr>
          <w:rFonts w:hint="eastAsia" w:ascii="Times New Roman" w:hAnsi="Times New Roman" w:eastAsia="宋体" w:cs="Times New Roman"/>
          <w:sz w:val="24"/>
          <w:szCs w:val="24"/>
        </w:rPr>
        <w:t>之间，分数越大表示皮损面积越大。评分细则见</w:t>
      </w:r>
      <w:r>
        <w:rPr>
          <w:rFonts w:ascii="Times New Roman" w:hAnsi="Times New Roman" w:eastAsia="宋体" w:cs="Times New Roman"/>
          <w:sz w:val="24"/>
          <w:szCs w:val="24"/>
        </w:rPr>
        <w:t>“</w:t>
      </w:r>
      <w:r>
        <w:rPr>
          <w:rFonts w:hint="eastAsia" w:ascii="Times New Roman" w:hAnsi="Times New Roman" w:eastAsia="宋体" w:cs="Times New Roman"/>
          <w:sz w:val="24"/>
          <w:szCs w:val="24"/>
        </w:rPr>
        <w:t>疗效评价</w:t>
      </w:r>
      <w:r>
        <w:rPr>
          <w:rFonts w:ascii="Times New Roman" w:hAnsi="Times New Roman" w:eastAsia="宋体" w:cs="Times New Roman"/>
          <w:sz w:val="24"/>
          <w:szCs w:val="24"/>
        </w:rPr>
        <w:t>SOP”</w:t>
      </w:r>
      <w:r>
        <w:rPr>
          <w:rFonts w:hint="eastAsia" w:ascii="Times New Roman" w:hAnsi="Times New Roman" w:eastAsia="宋体" w:cs="Times New Roman"/>
          <w:sz w:val="24"/>
          <w:szCs w:val="24"/>
        </w:rPr>
        <w:t>文件。</w:t>
      </w:r>
    </w:p>
    <w:p w14:paraId="0ABA3E97">
      <w:pPr>
        <w:numPr>
          <w:ilvl w:val="0"/>
          <w:numId w:val="52"/>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u w:val="single"/>
        </w:rPr>
        <w:t>皮肤病学生活质量指数（</w:t>
      </w:r>
      <w:r>
        <w:rPr>
          <w:rFonts w:ascii="Times New Roman" w:hAnsi="Times New Roman" w:eastAsia="宋体" w:cs="Times New Roman"/>
          <w:b/>
          <w:bCs/>
          <w:sz w:val="24"/>
          <w:szCs w:val="24"/>
          <w:u w:val="single"/>
        </w:rPr>
        <w:t>DLQI</w:t>
      </w:r>
      <w:r>
        <w:rPr>
          <w:rFonts w:hint="eastAsia" w:ascii="Times New Roman" w:hAnsi="Times New Roman" w:eastAsia="宋体" w:cs="Times New Roman"/>
          <w:b/>
          <w:bCs/>
          <w:sz w:val="24"/>
          <w:szCs w:val="24"/>
          <w:u w:val="single"/>
        </w:rPr>
        <w:t>）</w:t>
      </w:r>
    </w:p>
    <w:p w14:paraId="257B065C">
      <w:pPr>
        <w:spacing w:line="360" w:lineRule="auto"/>
        <w:ind w:left="876" w:leftChars="398" w:firstLine="3"/>
        <w:jc w:val="both"/>
        <w:rPr>
          <w:rFonts w:ascii="Times New Roman" w:hAnsi="Times New Roman" w:eastAsia="宋体" w:cs="Times New Roman"/>
          <w:sz w:val="24"/>
          <w:szCs w:val="24"/>
        </w:rPr>
      </w:pPr>
      <w:r>
        <w:rPr>
          <w:rFonts w:ascii="Times New Roman" w:hAnsi="Times New Roman" w:eastAsia="宋体" w:cs="Times New Roman"/>
          <w:sz w:val="24"/>
          <w:szCs w:val="24"/>
        </w:rPr>
        <w:t>DLQI</w:t>
      </w:r>
      <w:r>
        <w:rPr>
          <w:rFonts w:hint="eastAsia" w:ascii="Times New Roman" w:hAnsi="Times New Roman" w:eastAsia="宋体" w:cs="Times New Roman"/>
          <w:sz w:val="24"/>
          <w:szCs w:val="24"/>
        </w:rPr>
        <w:t>是一份包含</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个问题的问卷，用于评估上</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周内患者主观感受因疾病对生活质量所造成的影响</w:t>
      </w:r>
      <w:r>
        <w:rPr>
          <w:rFonts w:ascii="Times New Roman" w:hAnsi="Times New Roman" w:eastAsia="宋体" w:cs="Times New Roman"/>
          <w:sz w:val="24"/>
          <w:szCs w:val="24"/>
          <w:vertAlign w:val="superscript"/>
        </w:rPr>
        <w:t>[12]</w:t>
      </w:r>
      <w:r>
        <w:rPr>
          <w:rFonts w:hint="eastAsia" w:ascii="Times New Roman" w:hAnsi="Times New Roman" w:eastAsia="宋体" w:cs="Times New Roman"/>
          <w:sz w:val="24"/>
          <w:szCs w:val="24"/>
        </w:rPr>
        <w:t>。</w:t>
      </w:r>
      <w:r>
        <w:rPr>
          <w:rFonts w:ascii="Times New Roman" w:hAnsi="Times New Roman" w:eastAsia="宋体" w:cs="Times New Roman"/>
          <w:sz w:val="24"/>
          <w:szCs w:val="24"/>
        </w:rPr>
        <w:t>DLQI</w:t>
      </w:r>
      <w:r>
        <w:rPr>
          <w:rFonts w:hint="eastAsia" w:ascii="Times New Roman" w:hAnsi="Times New Roman" w:eastAsia="宋体" w:cs="Times New Roman"/>
          <w:sz w:val="24"/>
          <w:szCs w:val="24"/>
        </w:rPr>
        <w:t>评分在</w:t>
      </w:r>
      <w:r>
        <w:rPr>
          <w:rFonts w:ascii="Times New Roman" w:hAnsi="Times New Roman" w:eastAsia="宋体" w:cs="Times New Roman"/>
          <w:sz w:val="24"/>
          <w:szCs w:val="24"/>
        </w:rPr>
        <w:t>0-30</w:t>
      </w:r>
      <w:r>
        <w:rPr>
          <w:rFonts w:hint="eastAsia" w:ascii="Times New Roman" w:hAnsi="Times New Roman" w:eastAsia="宋体" w:cs="Times New Roman"/>
          <w:sz w:val="24"/>
          <w:szCs w:val="24"/>
        </w:rPr>
        <w:t>分之间，分数越高表示生活质量受损越严重。</w:t>
      </w:r>
      <w:r>
        <w:rPr>
          <w:rFonts w:ascii="Times New Roman" w:hAnsi="Times New Roman" w:eastAsia="宋体" w:cs="Times New Roman"/>
          <w:sz w:val="24"/>
          <w:szCs w:val="24"/>
        </w:rPr>
        <w:t>DLQI</w:t>
      </w:r>
      <w:r>
        <w:rPr>
          <w:rFonts w:hint="eastAsia" w:ascii="Times New Roman" w:hAnsi="Times New Roman" w:eastAsia="宋体" w:cs="Times New Roman"/>
          <w:sz w:val="24"/>
          <w:szCs w:val="24"/>
        </w:rPr>
        <w:t>评分细则见附录</w:t>
      </w:r>
      <w:r>
        <w:rPr>
          <w:rFonts w:ascii="Times New Roman" w:hAnsi="Times New Roman" w:eastAsia="宋体" w:cs="Times New Roman"/>
          <w:sz w:val="24"/>
          <w:szCs w:val="24"/>
        </w:rPr>
        <w:t>6</w:t>
      </w:r>
      <w:r>
        <w:rPr>
          <w:rFonts w:hint="eastAsia" w:ascii="Times New Roman" w:hAnsi="Times New Roman" w:eastAsia="宋体" w:cs="Times New Roman"/>
          <w:sz w:val="24"/>
          <w:szCs w:val="24"/>
        </w:rPr>
        <w:t>。</w:t>
      </w:r>
    </w:p>
    <w:p w14:paraId="31F58D6D">
      <w:pPr>
        <w:pStyle w:val="116"/>
        <w:numPr>
          <w:ilvl w:val="2"/>
          <w:numId w:val="12"/>
        </w:numPr>
        <w:outlineLvl w:val="2"/>
        <w:rPr>
          <w:rFonts w:cs="Times New Roman"/>
          <w:sz w:val="24"/>
          <w:szCs w:val="24"/>
        </w:rPr>
      </w:pPr>
      <w:bookmarkStart w:id="192" w:name="_Toc217032275"/>
      <w:r>
        <w:rPr>
          <w:rFonts w:cs="Times New Roman"/>
          <w:sz w:val="24"/>
          <w:szCs w:val="24"/>
        </w:rPr>
        <w:t>PK/IL-17A</w:t>
      </w:r>
      <w:r>
        <w:rPr>
          <w:rFonts w:hint="eastAsia" w:cs="Times New Roman"/>
          <w:sz w:val="24"/>
          <w:szCs w:val="24"/>
        </w:rPr>
        <w:t>血样采集</w:t>
      </w:r>
      <w:bookmarkEnd w:id="192"/>
    </w:p>
    <w:p w14:paraId="13D36589">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Ⅱ期临床研究阶段，所有参与者在</w:t>
      </w:r>
      <w:r>
        <w:rPr>
          <w:rFonts w:ascii="Times New Roman" w:hAnsi="Times New Roman" w:eastAsia="宋体" w:cs="Times New Roman"/>
          <w:bCs/>
          <w:sz w:val="24"/>
          <w:szCs w:val="24"/>
        </w:rPr>
        <w:t>W2</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W4</w:t>
      </w:r>
      <w:r>
        <w:rPr>
          <w:rFonts w:hint="eastAsia" w:ascii="Times New Roman" w:hAnsi="Times New Roman" w:eastAsia="宋体" w:cs="Times New Roman"/>
          <w:bCs/>
          <w:sz w:val="24"/>
          <w:szCs w:val="24"/>
        </w:rPr>
        <w:t>在给药前</w:t>
      </w:r>
      <w:r>
        <w:rPr>
          <w:rFonts w:ascii="Times New Roman" w:hAnsi="Times New Roman" w:eastAsia="宋体" w:cs="Times New Roman"/>
          <w:bCs/>
          <w:sz w:val="24"/>
          <w:szCs w:val="24"/>
        </w:rPr>
        <w:t>1 h</w:t>
      </w:r>
      <w:r>
        <w:rPr>
          <w:rFonts w:hint="eastAsia" w:ascii="Times New Roman" w:hAnsi="Times New Roman" w:eastAsia="宋体" w:cs="Times New Roman"/>
          <w:bCs/>
          <w:sz w:val="24"/>
          <w:szCs w:val="24"/>
        </w:rPr>
        <w:t>内和给药后</w:t>
      </w:r>
      <w:r>
        <w:rPr>
          <w:rFonts w:ascii="Times New Roman" w:hAnsi="Times New Roman" w:eastAsia="宋体" w:cs="Times New Roman"/>
          <w:bCs/>
          <w:sz w:val="24"/>
          <w:szCs w:val="24"/>
        </w:rPr>
        <w:t>2 h</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30 min</w:t>
      </w:r>
      <w:r>
        <w:rPr>
          <w:rFonts w:hint="eastAsia" w:ascii="Times New Roman" w:hAnsi="Times New Roman" w:eastAsia="宋体" w:cs="Times New Roman"/>
          <w:bCs/>
          <w:sz w:val="24"/>
          <w:szCs w:val="24"/>
        </w:rPr>
        <w:t>）进行</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血样采集；</w:t>
      </w:r>
      <w:r>
        <w:rPr>
          <w:rFonts w:ascii="Times New Roman" w:hAnsi="Times New Roman" w:eastAsia="宋体" w:cs="Times New Roman"/>
          <w:bCs/>
          <w:sz w:val="24"/>
          <w:szCs w:val="24"/>
        </w:rPr>
        <w:t>W8</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W12</w:t>
      </w:r>
      <w:r>
        <w:rPr>
          <w:rFonts w:hint="eastAsia" w:ascii="Times New Roman" w:hAnsi="Times New Roman" w:eastAsia="宋体" w:cs="Times New Roman"/>
          <w:bCs/>
          <w:sz w:val="24"/>
          <w:szCs w:val="24"/>
        </w:rPr>
        <w:t>在给药前</w:t>
      </w:r>
      <w:r>
        <w:rPr>
          <w:rFonts w:ascii="Times New Roman" w:hAnsi="Times New Roman" w:eastAsia="宋体" w:cs="Times New Roman"/>
          <w:bCs/>
          <w:sz w:val="24"/>
          <w:szCs w:val="24"/>
        </w:rPr>
        <w:t>1 h</w:t>
      </w:r>
      <w:r>
        <w:rPr>
          <w:rFonts w:hint="eastAsia" w:ascii="Times New Roman" w:hAnsi="Times New Roman" w:eastAsia="宋体" w:cs="Times New Roman"/>
          <w:bCs/>
          <w:sz w:val="24"/>
          <w:szCs w:val="24"/>
        </w:rPr>
        <w:t>内进行</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血样采集。所有参与者在</w:t>
      </w:r>
      <w:r>
        <w:rPr>
          <w:rFonts w:ascii="Times New Roman" w:hAnsi="Times New Roman" w:eastAsia="宋体" w:cs="Times New Roman"/>
          <w:color w:val="000000"/>
          <w:sz w:val="24"/>
          <w:szCs w:val="24"/>
        </w:rPr>
        <w:t>W0</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W2</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W4</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W8</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W12</w:t>
      </w:r>
      <w:r>
        <w:rPr>
          <w:rFonts w:hint="eastAsia" w:ascii="Times New Roman" w:hAnsi="Times New Roman" w:eastAsia="宋体" w:cs="Times New Roman"/>
          <w:color w:val="000000"/>
          <w:sz w:val="24"/>
          <w:szCs w:val="24"/>
        </w:rPr>
        <w:t>访视给药前</w:t>
      </w:r>
      <w:r>
        <w:rPr>
          <w:rFonts w:ascii="Times New Roman" w:hAnsi="Times New Roman" w:eastAsia="宋体" w:cs="Times New Roman"/>
          <w:color w:val="000000"/>
          <w:sz w:val="24"/>
          <w:szCs w:val="24"/>
        </w:rPr>
        <w:t>1 h</w:t>
      </w:r>
      <w:r>
        <w:rPr>
          <w:rFonts w:hint="eastAsia" w:ascii="Times New Roman" w:hAnsi="Times New Roman" w:eastAsia="宋体" w:cs="Times New Roman"/>
          <w:color w:val="000000"/>
          <w:sz w:val="24"/>
          <w:szCs w:val="24"/>
        </w:rPr>
        <w:t>内以及</w:t>
      </w:r>
      <w:r>
        <w:rPr>
          <w:rFonts w:ascii="Times New Roman" w:hAnsi="Times New Roman" w:eastAsia="宋体" w:cs="Times New Roman"/>
          <w:color w:val="000000"/>
          <w:sz w:val="24"/>
          <w:szCs w:val="24"/>
        </w:rPr>
        <w:t>W16</w:t>
      </w:r>
      <w:r>
        <w:rPr>
          <w:rFonts w:hint="eastAsia" w:ascii="Times New Roman" w:hAnsi="Times New Roman" w:eastAsia="宋体" w:cs="Times New Roman"/>
          <w:color w:val="000000"/>
          <w:sz w:val="24"/>
          <w:szCs w:val="24"/>
        </w:rPr>
        <w:t>、提前退出访视进行</w:t>
      </w:r>
      <w:r>
        <w:rPr>
          <w:rFonts w:ascii="Times New Roman" w:hAnsi="Times New Roman" w:eastAsia="宋体" w:cs="Times New Roman"/>
          <w:color w:val="000000"/>
          <w:sz w:val="24"/>
          <w:szCs w:val="24"/>
        </w:rPr>
        <w:t>IL-17A</w:t>
      </w:r>
      <w:r>
        <w:rPr>
          <w:rFonts w:hint="eastAsia" w:ascii="Times New Roman" w:hAnsi="Times New Roman" w:eastAsia="宋体" w:cs="Times New Roman"/>
          <w:color w:val="000000"/>
          <w:sz w:val="24"/>
          <w:szCs w:val="24"/>
        </w:rPr>
        <w:t>血样采集。</w:t>
      </w:r>
    </w:p>
    <w:p w14:paraId="7E2DA4E8">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bCs/>
          <w:sz w:val="24"/>
          <w:szCs w:val="24"/>
        </w:rPr>
        <w:t>Ⅲ期临床研究阶段，所有参与者</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W2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w:t>
      </w:r>
      <w:r>
        <w:rPr>
          <w:rFonts w:hint="eastAsia" w:ascii="Times New Roman" w:hAnsi="Times New Roman" w:eastAsia="宋体" w:cs="Times New Roman"/>
          <w:sz w:val="24"/>
          <w:szCs w:val="24"/>
        </w:rPr>
        <w:t>、</w:t>
      </w:r>
      <w:r>
        <w:rPr>
          <w:rFonts w:ascii="Times New Roman" w:hAnsi="Times New Roman" w:eastAsia="宋体" w:cs="Times New Roman"/>
          <w:sz w:val="24"/>
          <w:szCs w:val="24"/>
        </w:rPr>
        <w:t>W8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W16</w:t>
      </w:r>
      <w:r>
        <w:rPr>
          <w:rFonts w:hint="eastAsia" w:ascii="Times New Roman" w:hAnsi="Times New Roman" w:eastAsia="宋体" w:cs="Times New Roman"/>
          <w:sz w:val="24"/>
          <w:szCs w:val="24"/>
        </w:rPr>
        <w:t>、</w:t>
      </w:r>
      <w:r>
        <w:rPr>
          <w:rFonts w:ascii="Times New Roman" w:hAnsi="Times New Roman" w:eastAsia="宋体" w:cs="Times New Roman"/>
          <w:sz w:val="24"/>
          <w:szCs w:val="24"/>
        </w:rPr>
        <w:t>W20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W28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W36</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W44</w:t>
      </w:r>
      <w:r>
        <w:rPr>
          <w:rFonts w:hint="eastAsia" w:ascii="Times New Roman" w:hAnsi="Times New Roman" w:eastAsia="宋体" w:cs="Times New Roman"/>
          <w:sz w:val="24"/>
          <w:szCs w:val="24"/>
        </w:rPr>
        <w:t>、</w:t>
      </w:r>
      <w:r>
        <w:rPr>
          <w:rFonts w:ascii="Times New Roman" w:hAnsi="Times New Roman" w:eastAsia="宋体" w:cs="Times New Roman"/>
          <w:sz w:val="24"/>
          <w:szCs w:val="24"/>
        </w:rPr>
        <w:t>W52</w:t>
      </w:r>
      <w:r>
        <w:rPr>
          <w:rFonts w:hint="eastAsia" w:ascii="Times New Roman" w:hAnsi="Times New Roman" w:eastAsia="宋体" w:cs="Times New Roman"/>
          <w:sz w:val="24"/>
          <w:szCs w:val="24"/>
        </w:rPr>
        <w:t>访视给药前</w:t>
      </w:r>
      <w:r>
        <w:rPr>
          <w:rFonts w:ascii="Times New Roman" w:hAnsi="Times New Roman" w:eastAsia="宋体" w:cs="Times New Roman"/>
          <w:sz w:val="24"/>
          <w:szCs w:val="24"/>
        </w:rPr>
        <w:t>1 h</w:t>
      </w:r>
      <w:r>
        <w:rPr>
          <w:rFonts w:hint="eastAsia" w:ascii="Times New Roman" w:hAnsi="Times New Roman" w:eastAsia="宋体" w:cs="Times New Roman"/>
          <w:sz w:val="24"/>
          <w:szCs w:val="24"/>
        </w:rPr>
        <w:t>内进行</w:t>
      </w:r>
      <w:r>
        <w:rPr>
          <w:rFonts w:ascii="Times New Roman" w:hAnsi="Times New Roman" w:eastAsia="宋体" w:cs="Times New Roman"/>
          <w:sz w:val="24"/>
          <w:szCs w:val="24"/>
        </w:rPr>
        <w:t>PK</w:t>
      </w:r>
      <w:r>
        <w:rPr>
          <w:rFonts w:hint="eastAsia" w:ascii="Times New Roman" w:hAnsi="Times New Roman" w:eastAsia="宋体" w:cs="Times New Roman"/>
          <w:sz w:val="24"/>
          <w:szCs w:val="24"/>
        </w:rPr>
        <w:t>血样采集；</w:t>
      </w:r>
      <w:r>
        <w:rPr>
          <w:rFonts w:hint="eastAsia" w:ascii="Times New Roman" w:hAnsi="Times New Roman" w:eastAsia="宋体" w:cs="Times New Roman"/>
          <w:bCs/>
          <w:sz w:val="24"/>
          <w:szCs w:val="24"/>
        </w:rPr>
        <w:t>所有参与者</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W0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w:t>
      </w:r>
      <w:r>
        <w:rPr>
          <w:rFonts w:hint="eastAsia" w:ascii="Times New Roman" w:hAnsi="Times New Roman" w:eastAsia="宋体" w:cs="Times New Roman"/>
          <w:sz w:val="24"/>
          <w:szCs w:val="24"/>
        </w:rPr>
        <w:t>、</w:t>
      </w:r>
      <w:r>
        <w:rPr>
          <w:rFonts w:ascii="Times New Roman" w:hAnsi="Times New Roman" w:eastAsia="宋体" w:cs="Times New Roman"/>
          <w:sz w:val="24"/>
          <w:szCs w:val="24"/>
        </w:rPr>
        <w:t>W8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W16</w:t>
      </w:r>
      <w:r>
        <w:rPr>
          <w:rFonts w:hint="eastAsia" w:ascii="Times New Roman" w:hAnsi="Times New Roman" w:eastAsia="宋体" w:cs="Times New Roman"/>
          <w:sz w:val="24"/>
          <w:szCs w:val="24"/>
        </w:rPr>
        <w:t>、</w:t>
      </w:r>
      <w:r>
        <w:rPr>
          <w:rFonts w:ascii="Times New Roman" w:hAnsi="Times New Roman" w:eastAsia="宋体" w:cs="Times New Roman"/>
          <w:sz w:val="24"/>
          <w:szCs w:val="24"/>
        </w:rPr>
        <w:t>W20</w:t>
      </w:r>
      <w:r>
        <w:rPr>
          <w:rFonts w:hint="eastAsia" w:ascii="Times New Roman" w:hAnsi="Times New Roman" w:eastAsia="宋体" w:cs="Times New Roman"/>
          <w:sz w:val="24"/>
          <w:szCs w:val="24"/>
        </w:rPr>
        <w:t>、</w:t>
      </w:r>
      <w:r>
        <w:rPr>
          <w:rFonts w:ascii="Times New Roman" w:hAnsi="Times New Roman" w:eastAsia="宋体" w:cs="Times New Roman"/>
          <w:sz w:val="24"/>
          <w:szCs w:val="24"/>
        </w:rPr>
        <w:t>W28</w:t>
      </w:r>
      <w:r>
        <w:rPr>
          <w:rFonts w:hint="eastAsia" w:ascii="Times New Roman" w:hAnsi="Times New Roman" w:eastAsia="宋体" w:cs="Times New Roman"/>
          <w:sz w:val="24"/>
          <w:szCs w:val="24"/>
        </w:rPr>
        <w:t>、</w:t>
      </w:r>
      <w:r>
        <w:rPr>
          <w:rFonts w:ascii="Times New Roman" w:hAnsi="Times New Roman" w:eastAsia="宋体" w:cs="Times New Roman"/>
          <w:sz w:val="24"/>
          <w:szCs w:val="24"/>
        </w:rPr>
        <w:t>W36</w:t>
      </w:r>
      <w:r>
        <w:rPr>
          <w:rFonts w:hint="eastAsia" w:ascii="Times New Roman" w:hAnsi="Times New Roman" w:eastAsia="宋体" w:cs="Times New Roman"/>
          <w:sz w:val="24"/>
          <w:szCs w:val="24"/>
        </w:rPr>
        <w:t>、</w:t>
      </w:r>
      <w:r>
        <w:rPr>
          <w:rFonts w:ascii="Times New Roman" w:hAnsi="Times New Roman" w:eastAsia="宋体" w:cs="Times New Roman"/>
          <w:sz w:val="24"/>
          <w:szCs w:val="24"/>
        </w:rPr>
        <w:t>W44</w:t>
      </w:r>
      <w:r>
        <w:rPr>
          <w:rFonts w:hint="eastAsia" w:ascii="Times New Roman" w:hAnsi="Times New Roman" w:eastAsia="宋体" w:cs="Times New Roman"/>
          <w:sz w:val="24"/>
          <w:szCs w:val="24"/>
        </w:rPr>
        <w:t>、</w:t>
      </w:r>
      <w:r>
        <w:rPr>
          <w:rFonts w:ascii="Times New Roman" w:hAnsi="Times New Roman" w:eastAsia="宋体" w:cs="Times New Roman"/>
          <w:sz w:val="24"/>
          <w:szCs w:val="24"/>
        </w:rPr>
        <w:t>W52</w:t>
      </w:r>
      <w:r>
        <w:rPr>
          <w:rFonts w:hint="eastAsia" w:ascii="Times New Roman" w:hAnsi="Times New Roman" w:eastAsia="宋体" w:cs="Times New Roman"/>
          <w:sz w:val="24"/>
          <w:szCs w:val="24"/>
        </w:rPr>
        <w:t>访视给药前</w:t>
      </w:r>
      <w:r>
        <w:rPr>
          <w:rFonts w:ascii="Times New Roman" w:hAnsi="Times New Roman" w:eastAsia="宋体" w:cs="Times New Roman"/>
          <w:sz w:val="24"/>
          <w:szCs w:val="24"/>
        </w:rPr>
        <w:t>1 h</w:t>
      </w:r>
      <w:r>
        <w:rPr>
          <w:rFonts w:hint="eastAsia" w:ascii="Times New Roman" w:hAnsi="Times New Roman" w:eastAsia="宋体" w:cs="Times New Roman"/>
          <w:sz w:val="24"/>
          <w:szCs w:val="24"/>
        </w:rPr>
        <w:t>内以及提前退出访视进行</w:t>
      </w:r>
      <w:r>
        <w:rPr>
          <w:rFonts w:ascii="Times New Roman" w:hAnsi="Times New Roman" w:eastAsia="宋体" w:cs="Times New Roman"/>
          <w:color w:val="000000"/>
        </w:rPr>
        <w:t>IL-17A</w:t>
      </w:r>
      <w:r>
        <w:rPr>
          <w:rFonts w:hint="eastAsia" w:ascii="Times New Roman" w:hAnsi="Times New Roman" w:eastAsia="宋体" w:cs="Times New Roman"/>
          <w:sz w:val="24"/>
          <w:szCs w:val="24"/>
        </w:rPr>
        <w:t>血样采集</w:t>
      </w:r>
      <w:r>
        <w:rPr>
          <w:rFonts w:ascii="Times New Roman" w:hAnsi="Times New Roman" w:eastAsia="宋体" w:cs="Times New Roman"/>
          <w:sz w:val="24"/>
          <w:szCs w:val="24"/>
        </w:rPr>
        <w:t>.</w:t>
      </w:r>
    </w:p>
    <w:p w14:paraId="60FFB580">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对于访视时</w:t>
      </w:r>
      <w:r>
        <w:rPr>
          <w:rFonts w:ascii="Times New Roman" w:hAnsi="Times New Roman" w:eastAsia="宋体" w:cs="Times New Roman"/>
          <w:bCs/>
          <w:sz w:val="24"/>
          <w:szCs w:val="24"/>
        </w:rPr>
        <w:t>PK/</w:t>
      </w:r>
      <w:r>
        <w:rPr>
          <w:rFonts w:ascii="Times New Roman" w:hAnsi="Times New Roman" w:eastAsia="宋体" w:cs="Times New Roman"/>
          <w:color w:val="000000"/>
          <w:sz w:val="24"/>
          <w:szCs w:val="24"/>
        </w:rPr>
        <w:t>IL-17A</w:t>
      </w:r>
      <w:r>
        <w:rPr>
          <w:rFonts w:hint="eastAsia" w:ascii="Times New Roman" w:hAnsi="Times New Roman" w:eastAsia="宋体" w:cs="Times New Roman"/>
          <w:bCs/>
          <w:sz w:val="24"/>
          <w:szCs w:val="24"/>
        </w:rPr>
        <w:t>采血点，可以与实验室检查同时采集，只要准确记录采样时间，给药时间及给药量即可。每次静脉采样后，记录血样采集的准确时间（精确到分秒），以及实际用药时间和剂量，这些信息必须准确地记录在原始病历和</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或</w:t>
      </w:r>
      <w:r>
        <w:rPr>
          <w:rFonts w:ascii="Times New Roman" w:hAnsi="Times New Roman" w:eastAsia="宋体" w:cs="Times New Roman"/>
          <w:bCs/>
          <w:sz w:val="24"/>
          <w:szCs w:val="24"/>
        </w:rPr>
        <w:t>eCRF</w:t>
      </w:r>
      <w:r>
        <w:rPr>
          <w:rFonts w:hint="eastAsia" w:ascii="Times New Roman" w:hAnsi="Times New Roman" w:eastAsia="宋体" w:cs="Times New Roman"/>
          <w:bCs/>
          <w:sz w:val="24"/>
          <w:szCs w:val="24"/>
        </w:rPr>
        <w:t>中。</w:t>
      </w:r>
    </w:p>
    <w:p w14:paraId="4D0B7C94">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为配合研究中心在操作上的可行性及灵活性，如果由于特殊情况，参与者在到达研究中心前已经服用了试验用药品，依然可以采集</w:t>
      </w:r>
      <w:r>
        <w:rPr>
          <w:rFonts w:ascii="Times New Roman" w:hAnsi="Times New Roman" w:eastAsia="宋体" w:cs="Times New Roman"/>
          <w:bCs/>
          <w:sz w:val="24"/>
          <w:szCs w:val="24"/>
        </w:rPr>
        <w:t>PK/IL-17A</w:t>
      </w:r>
      <w:r>
        <w:rPr>
          <w:rFonts w:hint="eastAsia" w:ascii="Times New Roman" w:hAnsi="Times New Roman" w:eastAsia="宋体" w:cs="Times New Roman"/>
          <w:bCs/>
          <w:sz w:val="24"/>
          <w:szCs w:val="24"/>
        </w:rPr>
        <w:t>血样，只需准确记录实际服药时间、剂量和采血时间。当发生</w:t>
      </w:r>
      <w:r>
        <w:rPr>
          <w:rFonts w:ascii="Times New Roman" w:hAnsi="Times New Roman" w:eastAsia="宋体" w:cs="Times New Roman"/>
          <w:bCs/>
          <w:sz w:val="24"/>
          <w:szCs w:val="24"/>
        </w:rPr>
        <w:t>SAE</w:t>
      </w:r>
      <w:r>
        <w:rPr>
          <w:rFonts w:hint="eastAsia" w:ascii="Times New Roman" w:hAnsi="Times New Roman" w:eastAsia="宋体" w:cs="Times New Roman"/>
          <w:bCs/>
          <w:sz w:val="24"/>
          <w:szCs w:val="24"/>
        </w:rPr>
        <w:t>或≥</w:t>
      </w: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级</w:t>
      </w:r>
      <w:r>
        <w:rPr>
          <w:rStyle w:val="139"/>
          <w:rFonts w:hint="eastAsia" w:ascii="Times New Roman" w:hAnsi="Times New Roman" w:eastAsia="宋体" w:cs="Times New Roman"/>
          <w:b w:val="0"/>
          <w:i w:val="0"/>
          <w:iCs w:val="0"/>
          <w:sz w:val="24"/>
          <w:szCs w:val="24"/>
        </w:rPr>
        <w:t>治疗期出现的不良事件（</w:t>
      </w:r>
      <w:r>
        <w:rPr>
          <w:rStyle w:val="139"/>
          <w:rFonts w:ascii="Times New Roman" w:hAnsi="Times New Roman" w:eastAsia="宋体" w:cs="Times New Roman"/>
          <w:b w:val="0"/>
          <w:i w:val="0"/>
          <w:iCs w:val="0"/>
          <w:sz w:val="24"/>
          <w:szCs w:val="24"/>
        </w:rPr>
        <w:t>TEAE</w:t>
      </w:r>
      <w:r>
        <w:rPr>
          <w:rStyle w:val="139"/>
          <w:rFonts w:hint="eastAsia" w:ascii="Times New Roman" w:hAnsi="Times New Roman" w:eastAsia="宋体" w:cs="Times New Roman"/>
          <w:b w:val="0"/>
          <w:i w:val="0"/>
          <w:iCs w:val="0"/>
          <w:sz w:val="24"/>
          <w:szCs w:val="24"/>
        </w:rPr>
        <w:t>）</w:t>
      </w:r>
      <w:r>
        <w:rPr>
          <w:rFonts w:hint="eastAsia" w:ascii="Times New Roman" w:hAnsi="Times New Roman" w:eastAsia="宋体" w:cs="Times New Roman"/>
          <w:bCs/>
          <w:sz w:val="24"/>
          <w:szCs w:val="24"/>
        </w:rPr>
        <w:t>或提前退出时，如果条件允许，研究者可以选择采集一份计划外</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样本，用于量</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效分析。</w:t>
      </w:r>
    </w:p>
    <w:p w14:paraId="47282E66">
      <w:pPr>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bCs/>
          <w:sz w:val="24"/>
          <w:szCs w:val="24"/>
        </w:rPr>
        <w:t>对于采集和运输的样本，申办者将在开始研究前向研究中心提供详细的采集、处理、储存和运输说明以及联系信息。细节请参见《中心实验室手册》。</w:t>
      </w:r>
    </w:p>
    <w:p w14:paraId="5CD70899">
      <w:pPr>
        <w:pStyle w:val="116"/>
        <w:numPr>
          <w:ilvl w:val="2"/>
          <w:numId w:val="12"/>
        </w:numPr>
        <w:outlineLvl w:val="2"/>
        <w:rPr>
          <w:rFonts w:cs="Times New Roman"/>
          <w:sz w:val="24"/>
          <w:szCs w:val="24"/>
        </w:rPr>
      </w:pPr>
      <w:bookmarkStart w:id="193" w:name="_Toc217032276"/>
      <w:r>
        <w:rPr>
          <w:rFonts w:hint="eastAsia" w:cs="Times New Roman"/>
          <w:sz w:val="24"/>
          <w:szCs w:val="24"/>
        </w:rPr>
        <w:t>记录不良事件</w:t>
      </w:r>
      <w:bookmarkEnd w:id="193"/>
    </w:p>
    <w:p w14:paraId="09BA5751">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整个研究过程要严密监测参与者的不良事件，直至研究者确认不良事件消退、返回至基线等级或更好、稳定，或参与者失访或撤回同意。不良事件的收集详见“</w:t>
      </w:r>
      <w:r>
        <w:rPr>
          <w:rFonts w:ascii="Times New Roman" w:hAnsi="Times New Roman" w:eastAsia="宋体" w:cs="Times New Roman"/>
          <w:bCs/>
          <w:sz w:val="24"/>
          <w:szCs w:val="24"/>
        </w:rPr>
        <w:t>7.3.3.</w:t>
      </w:r>
      <w:r>
        <w:rPr>
          <w:rFonts w:hint="eastAsia" w:ascii="Times New Roman" w:hAnsi="Times New Roman" w:eastAsia="宋体" w:cs="Times New Roman"/>
          <w:bCs/>
          <w:sz w:val="24"/>
          <w:szCs w:val="24"/>
        </w:rPr>
        <w:t>不良事件的收集和记录”。</w:t>
      </w:r>
    </w:p>
    <w:p w14:paraId="387FBBCD">
      <w:pPr>
        <w:pStyle w:val="116"/>
        <w:numPr>
          <w:ilvl w:val="2"/>
          <w:numId w:val="12"/>
        </w:numPr>
        <w:outlineLvl w:val="2"/>
        <w:rPr>
          <w:rFonts w:cs="Times New Roman"/>
          <w:sz w:val="24"/>
          <w:szCs w:val="24"/>
        </w:rPr>
      </w:pPr>
      <w:bookmarkStart w:id="194" w:name="_Toc217032277"/>
      <w:r>
        <w:rPr>
          <w:rFonts w:hint="eastAsia" w:cs="Times New Roman"/>
          <w:sz w:val="24"/>
          <w:szCs w:val="24"/>
        </w:rPr>
        <w:t>记录合并用药</w:t>
      </w:r>
      <w:bookmarkEnd w:id="194"/>
    </w:p>
    <w:p w14:paraId="5E0039DE">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自签署</w:t>
      </w:r>
      <w:r>
        <w:rPr>
          <w:rFonts w:ascii="Times New Roman" w:hAnsi="Times New Roman" w:eastAsia="宋体" w:cs="Times New Roman"/>
          <w:bCs/>
          <w:sz w:val="24"/>
          <w:szCs w:val="24"/>
        </w:rPr>
        <w:t>ICF</w:t>
      </w:r>
      <w:r>
        <w:rPr>
          <w:rFonts w:hint="eastAsia" w:ascii="Times New Roman" w:hAnsi="Times New Roman" w:eastAsia="宋体" w:cs="Times New Roman"/>
          <w:bCs/>
          <w:sz w:val="24"/>
          <w:szCs w:val="24"/>
        </w:rPr>
        <w:t>开始至研究结束，合并治疗的收集包括治疗的开始</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结束日期、剂量、治疗频率、给药途径或治疗方法和适应症，并记录在</w:t>
      </w:r>
      <w:r>
        <w:rPr>
          <w:rFonts w:ascii="Times New Roman" w:hAnsi="Times New Roman" w:eastAsia="宋体" w:cs="Times New Roman"/>
          <w:bCs/>
          <w:sz w:val="24"/>
          <w:szCs w:val="24"/>
        </w:rPr>
        <w:t>eCRF</w:t>
      </w:r>
      <w:r>
        <w:rPr>
          <w:rFonts w:hint="eastAsia" w:ascii="Times New Roman" w:hAnsi="Times New Roman" w:eastAsia="宋体" w:cs="Times New Roman"/>
          <w:bCs/>
          <w:sz w:val="24"/>
          <w:szCs w:val="24"/>
        </w:rPr>
        <w:t>合并治疗页中。</w:t>
      </w:r>
    </w:p>
    <w:p w14:paraId="3A7471DF">
      <w:pPr>
        <w:pStyle w:val="116"/>
        <w:numPr>
          <w:ilvl w:val="1"/>
          <w:numId w:val="12"/>
        </w:numPr>
        <w:jc w:val="left"/>
        <w:rPr>
          <w:rFonts w:cs="Times New Roman"/>
          <w:sz w:val="24"/>
          <w:szCs w:val="24"/>
        </w:rPr>
      </w:pPr>
      <w:bookmarkStart w:id="195" w:name="_Toc217032278"/>
      <w:r>
        <w:rPr>
          <w:rFonts w:hint="eastAsia" w:cs="Times New Roman"/>
          <w:sz w:val="24"/>
          <w:szCs w:val="24"/>
        </w:rPr>
        <w:t>访视安排</w:t>
      </w:r>
      <w:bookmarkEnd w:id="195"/>
    </w:p>
    <w:p w14:paraId="376C897E">
      <w:pPr>
        <w:pStyle w:val="116"/>
        <w:numPr>
          <w:ilvl w:val="2"/>
          <w:numId w:val="12"/>
        </w:numPr>
        <w:jc w:val="left"/>
        <w:outlineLvl w:val="2"/>
        <w:rPr>
          <w:rFonts w:cs="Times New Roman"/>
          <w:sz w:val="24"/>
          <w:szCs w:val="24"/>
        </w:rPr>
      </w:pPr>
      <w:bookmarkStart w:id="196" w:name="_Toc217032279"/>
      <w:r>
        <w:rPr>
          <w:rFonts w:hint="eastAsia" w:cs="Times New Roman"/>
          <w:sz w:val="24"/>
          <w:szCs w:val="24"/>
        </w:rPr>
        <w:t>Ⅱ期临床研究阶段</w:t>
      </w:r>
      <w:bookmarkEnd w:id="196"/>
    </w:p>
    <w:p w14:paraId="0FBB5FB6">
      <w:pPr>
        <w:pStyle w:val="116"/>
        <w:numPr>
          <w:ilvl w:val="3"/>
          <w:numId w:val="12"/>
        </w:numPr>
        <w:ind w:hanging="708"/>
        <w:jc w:val="left"/>
        <w:outlineLvl w:val="3"/>
        <w:rPr>
          <w:rFonts w:cs="Times New Roman"/>
          <w:sz w:val="24"/>
          <w:szCs w:val="24"/>
        </w:rPr>
      </w:pPr>
      <w:bookmarkStart w:id="197" w:name="_Toc215214092"/>
      <w:bookmarkStart w:id="198" w:name="_Toc215213382"/>
      <w:bookmarkStart w:id="199" w:name="_Toc217032280"/>
      <w:r>
        <w:rPr>
          <w:rFonts w:hint="eastAsia" w:cs="Times New Roman"/>
          <w:sz w:val="24"/>
          <w:szCs w:val="24"/>
        </w:rPr>
        <w:t>筛选期</w:t>
      </w:r>
      <w:bookmarkEnd w:id="197"/>
      <w:bookmarkEnd w:id="198"/>
      <w:bookmarkEnd w:id="199"/>
    </w:p>
    <w:p w14:paraId="483C3F81">
      <w:pPr>
        <w:spacing w:line="360" w:lineRule="auto"/>
        <w:ind w:firstLine="482" w:firstLineChars="200"/>
        <w:jc w:val="both"/>
        <w:rPr>
          <w:rFonts w:ascii="Times New Roman" w:hAnsi="Times New Roman" w:eastAsia="宋体" w:cs="Times New Roman"/>
          <w:b/>
          <w:sz w:val="24"/>
          <w:szCs w:val="24"/>
          <w:u w:val="single"/>
        </w:rPr>
      </w:pPr>
      <w:r>
        <w:rPr>
          <w:rFonts w:hint="eastAsia" w:ascii="Times New Roman" w:hAnsi="Times New Roman" w:eastAsia="宋体" w:cs="Times New Roman"/>
          <w:b/>
          <w:sz w:val="24"/>
          <w:szCs w:val="24"/>
          <w:u w:val="single"/>
        </w:rPr>
        <w:t>筛选访视（</w:t>
      </w:r>
      <w:r>
        <w:rPr>
          <w:rFonts w:ascii="Times New Roman" w:hAnsi="Times New Roman" w:eastAsia="宋体" w:cs="Times New Roman"/>
          <w:b/>
          <w:sz w:val="24"/>
          <w:szCs w:val="24"/>
          <w:u w:val="single"/>
        </w:rPr>
        <w:t>D-28~D-1</w:t>
      </w:r>
      <w:r>
        <w:rPr>
          <w:rFonts w:hint="eastAsia" w:ascii="Times New Roman" w:hAnsi="Times New Roman" w:eastAsia="宋体" w:cs="Times New Roman"/>
          <w:b/>
          <w:sz w:val="24"/>
          <w:szCs w:val="24"/>
          <w:u w:val="single"/>
        </w:rPr>
        <w:t>）</w:t>
      </w:r>
    </w:p>
    <w:p w14:paraId="4E9AA3FC">
      <w:pPr>
        <w:pStyle w:val="60"/>
        <w:numPr>
          <w:ilvl w:val="0"/>
          <w:numId w:val="37"/>
        </w:numPr>
        <w:ind w:firstLineChars="0"/>
        <w:rPr>
          <w:rFonts w:cs="Times New Roman"/>
          <w:bCs/>
          <w:sz w:val="24"/>
          <w:szCs w:val="24"/>
        </w:rPr>
      </w:pPr>
      <w:r>
        <w:rPr>
          <w:rFonts w:hint="eastAsia" w:cs="Times New Roman"/>
          <w:bCs/>
          <w:sz w:val="24"/>
          <w:szCs w:val="24"/>
        </w:rPr>
        <w:t>签署知情同意书</w:t>
      </w:r>
    </w:p>
    <w:p w14:paraId="60058FA7">
      <w:pPr>
        <w:pStyle w:val="60"/>
        <w:numPr>
          <w:ilvl w:val="0"/>
          <w:numId w:val="37"/>
        </w:numPr>
        <w:ind w:firstLineChars="0"/>
        <w:rPr>
          <w:rFonts w:cs="Times New Roman"/>
          <w:bCs/>
          <w:sz w:val="24"/>
          <w:szCs w:val="24"/>
        </w:rPr>
      </w:pPr>
      <w:r>
        <w:rPr>
          <w:rFonts w:hint="eastAsia" w:cs="Times New Roman"/>
          <w:bCs/>
          <w:sz w:val="24"/>
          <w:szCs w:val="24"/>
        </w:rPr>
        <w:t>采集人口学资料</w:t>
      </w:r>
    </w:p>
    <w:p w14:paraId="427A0BED">
      <w:pPr>
        <w:pStyle w:val="60"/>
        <w:numPr>
          <w:ilvl w:val="0"/>
          <w:numId w:val="37"/>
        </w:numPr>
        <w:ind w:firstLineChars="0"/>
        <w:rPr>
          <w:rFonts w:cs="Times New Roman"/>
          <w:bCs/>
          <w:sz w:val="24"/>
          <w:szCs w:val="24"/>
        </w:rPr>
      </w:pPr>
      <w:r>
        <w:rPr>
          <w:rFonts w:hint="eastAsia" w:cs="Times New Roman"/>
          <w:bCs/>
          <w:sz w:val="24"/>
          <w:szCs w:val="24"/>
        </w:rPr>
        <w:t>问询</w:t>
      </w:r>
      <w:r>
        <w:rPr>
          <w:rFonts w:hint="eastAsia" w:cs="Times New Roman"/>
          <w:sz w:val="24"/>
          <w:szCs w:val="24"/>
        </w:rPr>
        <w:t>既往和现病史、治疗史</w:t>
      </w:r>
    </w:p>
    <w:p w14:paraId="19C3C026">
      <w:pPr>
        <w:pStyle w:val="60"/>
        <w:numPr>
          <w:ilvl w:val="0"/>
          <w:numId w:val="37"/>
        </w:numPr>
        <w:ind w:firstLineChars="0"/>
        <w:rPr>
          <w:rFonts w:cs="Times New Roman"/>
          <w:bCs/>
          <w:sz w:val="24"/>
          <w:szCs w:val="24"/>
        </w:rPr>
      </w:pPr>
      <w:r>
        <w:rPr>
          <w:rFonts w:hint="eastAsia" w:cs="Times New Roman"/>
          <w:bCs/>
          <w:sz w:val="24"/>
          <w:szCs w:val="24"/>
        </w:rPr>
        <w:t>测量身高及体重</w:t>
      </w:r>
    </w:p>
    <w:p w14:paraId="24751FCA">
      <w:pPr>
        <w:pStyle w:val="60"/>
        <w:numPr>
          <w:ilvl w:val="0"/>
          <w:numId w:val="37"/>
        </w:numPr>
        <w:ind w:firstLineChars="0"/>
        <w:rPr>
          <w:rFonts w:cs="Times New Roman"/>
          <w:bCs/>
          <w:sz w:val="24"/>
          <w:szCs w:val="24"/>
        </w:rPr>
      </w:pPr>
      <w:r>
        <w:rPr>
          <w:rFonts w:hint="eastAsia" w:cs="Times New Roman"/>
          <w:bCs/>
          <w:sz w:val="24"/>
          <w:szCs w:val="24"/>
        </w:rPr>
        <w:t>测量生命体征</w:t>
      </w:r>
    </w:p>
    <w:p w14:paraId="5A980341">
      <w:pPr>
        <w:pStyle w:val="60"/>
        <w:numPr>
          <w:ilvl w:val="0"/>
          <w:numId w:val="37"/>
        </w:numPr>
        <w:ind w:firstLineChars="0"/>
        <w:rPr>
          <w:rFonts w:cs="Times New Roman"/>
          <w:sz w:val="24"/>
          <w:szCs w:val="24"/>
        </w:rPr>
      </w:pPr>
      <w:r>
        <w:rPr>
          <w:rFonts w:hint="eastAsia" w:cs="Times New Roman"/>
          <w:sz w:val="24"/>
          <w:szCs w:val="24"/>
        </w:rPr>
        <w:t>全面的体格检查</w:t>
      </w:r>
    </w:p>
    <w:p w14:paraId="4A24E300">
      <w:pPr>
        <w:pStyle w:val="60"/>
        <w:numPr>
          <w:ilvl w:val="0"/>
          <w:numId w:val="37"/>
        </w:numPr>
        <w:ind w:firstLineChars="0"/>
        <w:rPr>
          <w:rFonts w:cs="Times New Roman"/>
          <w:sz w:val="24"/>
          <w:szCs w:val="24"/>
        </w:rPr>
      </w:pPr>
      <w:r>
        <w:rPr>
          <w:rFonts w:hint="eastAsia" w:cs="Times New Roman"/>
          <w:sz w:val="24"/>
          <w:szCs w:val="24"/>
        </w:rPr>
        <w:t>实验室检查采血（血常规、尿常规、血生化（包括糖化血红蛋白）、凝血功能）</w:t>
      </w:r>
    </w:p>
    <w:p w14:paraId="45D3287A">
      <w:pPr>
        <w:pStyle w:val="60"/>
        <w:numPr>
          <w:ilvl w:val="0"/>
          <w:numId w:val="37"/>
        </w:numPr>
        <w:ind w:firstLineChars="0"/>
        <w:rPr>
          <w:rFonts w:cs="Times New Roman"/>
          <w:sz w:val="24"/>
          <w:szCs w:val="24"/>
        </w:rPr>
      </w:pPr>
      <w:r>
        <w:rPr>
          <w:rFonts w:hint="eastAsia" w:cs="Times New Roman"/>
          <w:sz w:val="24"/>
          <w:szCs w:val="24"/>
        </w:rPr>
        <w:t>血妊娠试验（有生育能力的女性）或卵泡刺激素检测（已绝经女性）</w:t>
      </w:r>
    </w:p>
    <w:p w14:paraId="6583850A">
      <w:pPr>
        <w:pStyle w:val="60"/>
        <w:numPr>
          <w:ilvl w:val="0"/>
          <w:numId w:val="37"/>
        </w:numPr>
        <w:ind w:firstLineChars="0"/>
        <w:rPr>
          <w:rFonts w:cs="Times New Roman"/>
          <w:sz w:val="24"/>
          <w:szCs w:val="24"/>
        </w:rPr>
      </w:pPr>
      <w:r>
        <w:rPr>
          <w:rFonts w:hint="eastAsia" w:cs="Times New Roman"/>
          <w:sz w:val="24"/>
          <w:szCs w:val="24"/>
        </w:rPr>
        <w:t>病毒学检查</w:t>
      </w:r>
    </w:p>
    <w:p w14:paraId="2502BB22">
      <w:pPr>
        <w:pStyle w:val="60"/>
        <w:numPr>
          <w:ilvl w:val="0"/>
          <w:numId w:val="37"/>
        </w:numPr>
        <w:ind w:firstLineChars="0"/>
        <w:rPr>
          <w:rFonts w:cs="Times New Roman"/>
          <w:sz w:val="24"/>
          <w:szCs w:val="24"/>
        </w:rPr>
      </w:pPr>
      <w:r>
        <w:rPr>
          <w:rFonts w:hint="eastAsia" w:cs="Times New Roman"/>
          <w:sz w:val="24"/>
          <w:szCs w:val="24"/>
        </w:rPr>
        <w:t>结核筛查</w:t>
      </w:r>
    </w:p>
    <w:p w14:paraId="18CAE884">
      <w:pPr>
        <w:pStyle w:val="60"/>
        <w:numPr>
          <w:ilvl w:val="0"/>
          <w:numId w:val="37"/>
        </w:numPr>
        <w:ind w:firstLineChars="0"/>
        <w:rPr>
          <w:rFonts w:cs="Times New Roman"/>
          <w:sz w:val="24"/>
          <w:szCs w:val="24"/>
        </w:rPr>
      </w:pPr>
      <w:r>
        <w:rPr>
          <w:rFonts w:hint="eastAsia" w:cs="Times New Roman"/>
          <w:sz w:val="24"/>
          <w:szCs w:val="24"/>
        </w:rPr>
        <w:t>胸部</w:t>
      </w:r>
      <w:r>
        <w:rPr>
          <w:rFonts w:cs="Times New Roman"/>
          <w:sz w:val="24"/>
          <w:szCs w:val="24"/>
        </w:rPr>
        <w:t>CT</w:t>
      </w:r>
      <w:r>
        <w:rPr>
          <w:rFonts w:hint="eastAsia" w:cs="Times New Roman"/>
          <w:sz w:val="24"/>
          <w:szCs w:val="24"/>
        </w:rPr>
        <w:t>平扫</w:t>
      </w:r>
    </w:p>
    <w:p w14:paraId="0E5F9859">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w:t>
      </w:r>
    </w:p>
    <w:p w14:paraId="7C1B532A">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p>
    <w:p w14:paraId="42E5919A">
      <w:pPr>
        <w:pStyle w:val="60"/>
        <w:numPr>
          <w:ilvl w:val="0"/>
          <w:numId w:val="37"/>
        </w:numPr>
        <w:ind w:firstLineChars="0"/>
        <w:rPr>
          <w:rFonts w:cs="Times New Roman"/>
          <w:sz w:val="24"/>
          <w:szCs w:val="24"/>
        </w:rPr>
      </w:pPr>
      <w:r>
        <w:rPr>
          <w:rFonts w:hint="eastAsia" w:cs="Times New Roman"/>
          <w:sz w:val="24"/>
          <w:szCs w:val="24"/>
        </w:rPr>
        <w:t>记录合并治疗</w:t>
      </w:r>
    </w:p>
    <w:p w14:paraId="1B325CFE">
      <w:pPr>
        <w:pStyle w:val="60"/>
        <w:numPr>
          <w:ilvl w:val="0"/>
          <w:numId w:val="37"/>
        </w:numPr>
        <w:ind w:firstLineChars="0"/>
        <w:rPr>
          <w:rFonts w:cs="Times New Roman"/>
          <w:sz w:val="24"/>
          <w:szCs w:val="24"/>
        </w:rPr>
      </w:pPr>
      <w:r>
        <w:rPr>
          <w:rFonts w:hint="eastAsia" w:cs="Times New Roman"/>
          <w:sz w:val="24"/>
          <w:szCs w:val="24"/>
        </w:rPr>
        <w:t>审核入排标准</w:t>
      </w:r>
    </w:p>
    <w:p w14:paraId="7808DD7A">
      <w:pPr>
        <w:spacing w:line="360" w:lineRule="auto"/>
        <w:ind w:firstLine="482" w:firstLineChars="200"/>
        <w:jc w:val="both"/>
        <w:rPr>
          <w:rFonts w:ascii="Times New Roman" w:hAnsi="Times New Roman" w:eastAsia="宋体" w:cs="Times New Roman"/>
          <w:b/>
          <w:sz w:val="24"/>
          <w:szCs w:val="24"/>
          <w:u w:val="single"/>
        </w:rPr>
      </w:pPr>
      <w:r>
        <w:rPr>
          <w:rFonts w:hint="eastAsia" w:ascii="Times New Roman" w:hAnsi="Times New Roman" w:eastAsia="宋体" w:cs="Times New Roman"/>
          <w:b/>
          <w:sz w:val="24"/>
          <w:szCs w:val="24"/>
          <w:u w:val="single"/>
        </w:rPr>
        <w:t>基线访视（</w:t>
      </w:r>
      <w:r>
        <w:rPr>
          <w:rFonts w:ascii="Times New Roman" w:hAnsi="Times New Roman" w:eastAsia="宋体" w:cs="Times New Roman"/>
          <w:b/>
          <w:sz w:val="24"/>
          <w:szCs w:val="24"/>
          <w:u w:val="single"/>
        </w:rPr>
        <w:t>D</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-7</w:t>
      </w:r>
      <w:r>
        <w:rPr>
          <w:rFonts w:hint="eastAsia" w:ascii="Times New Roman" w:hAnsi="Times New Roman" w:eastAsia="宋体" w:cs="Times New Roman"/>
          <w:b/>
          <w:sz w:val="24"/>
          <w:szCs w:val="24"/>
          <w:u w:val="single"/>
        </w:rPr>
        <w:t>）</w:t>
      </w:r>
    </w:p>
    <w:p w14:paraId="3C168F00">
      <w:pPr>
        <w:pStyle w:val="60"/>
        <w:numPr>
          <w:ilvl w:val="0"/>
          <w:numId w:val="37"/>
        </w:numPr>
        <w:ind w:firstLineChars="0"/>
        <w:rPr>
          <w:rFonts w:cs="Times New Roman"/>
          <w:sz w:val="24"/>
          <w:szCs w:val="24"/>
        </w:rPr>
      </w:pPr>
      <w:r>
        <w:rPr>
          <w:rFonts w:hint="eastAsia" w:cs="Times New Roman"/>
          <w:sz w:val="24"/>
          <w:szCs w:val="24"/>
        </w:rPr>
        <w:t>问询筛选访视以来的病史及诊治情况</w:t>
      </w:r>
    </w:p>
    <w:p w14:paraId="3BFAE453">
      <w:pPr>
        <w:pStyle w:val="60"/>
        <w:numPr>
          <w:ilvl w:val="0"/>
          <w:numId w:val="37"/>
        </w:numPr>
        <w:ind w:firstLineChars="0"/>
        <w:rPr>
          <w:rFonts w:cs="Times New Roman"/>
          <w:sz w:val="24"/>
          <w:szCs w:val="24"/>
        </w:rPr>
      </w:pPr>
      <w:r>
        <w:rPr>
          <w:rFonts w:hint="eastAsia" w:cs="Times New Roman"/>
          <w:sz w:val="24"/>
          <w:szCs w:val="24"/>
        </w:rPr>
        <w:t>测量体重</w:t>
      </w:r>
    </w:p>
    <w:p w14:paraId="185FC653">
      <w:pPr>
        <w:pStyle w:val="60"/>
        <w:numPr>
          <w:ilvl w:val="0"/>
          <w:numId w:val="37"/>
        </w:numPr>
        <w:ind w:firstLineChars="0"/>
        <w:rPr>
          <w:rFonts w:cs="Times New Roman"/>
          <w:sz w:val="24"/>
          <w:szCs w:val="24"/>
        </w:rPr>
      </w:pPr>
      <w:r>
        <w:rPr>
          <w:rFonts w:hint="eastAsia" w:cs="Times New Roman"/>
          <w:sz w:val="24"/>
          <w:szCs w:val="24"/>
        </w:rPr>
        <w:t>测量生命体征</w:t>
      </w:r>
    </w:p>
    <w:p w14:paraId="77103E6B">
      <w:pPr>
        <w:pStyle w:val="60"/>
        <w:numPr>
          <w:ilvl w:val="0"/>
          <w:numId w:val="37"/>
        </w:numPr>
        <w:ind w:firstLineChars="0"/>
        <w:rPr>
          <w:rFonts w:cs="Times New Roman"/>
          <w:sz w:val="24"/>
          <w:szCs w:val="24"/>
        </w:rPr>
      </w:pPr>
      <w:r>
        <w:rPr>
          <w:rFonts w:hint="eastAsia" w:cs="Times New Roman"/>
          <w:sz w:val="24"/>
          <w:szCs w:val="24"/>
        </w:rPr>
        <w:t>全面的体格检查</w:t>
      </w:r>
    </w:p>
    <w:p w14:paraId="46C5F4DE">
      <w:pPr>
        <w:pStyle w:val="60"/>
        <w:numPr>
          <w:ilvl w:val="0"/>
          <w:numId w:val="37"/>
        </w:numPr>
        <w:ind w:firstLineChars="0"/>
        <w:rPr>
          <w:rFonts w:cs="Times New Roman"/>
          <w:sz w:val="24"/>
          <w:szCs w:val="24"/>
        </w:rPr>
      </w:pPr>
      <w:r>
        <w:rPr>
          <w:rFonts w:hint="eastAsia" w:cs="Times New Roman"/>
          <w:sz w:val="24"/>
          <w:szCs w:val="24"/>
        </w:rPr>
        <w:t>实验室检查采血（血常规、尿常规、血生化、凝血功能）</w:t>
      </w:r>
    </w:p>
    <w:p w14:paraId="212071EB">
      <w:pPr>
        <w:pStyle w:val="60"/>
        <w:numPr>
          <w:ilvl w:val="0"/>
          <w:numId w:val="37"/>
        </w:numPr>
        <w:ind w:firstLineChars="0"/>
        <w:rPr>
          <w:rFonts w:cs="Times New Roman"/>
          <w:sz w:val="24"/>
          <w:szCs w:val="24"/>
        </w:rPr>
      </w:pPr>
      <w:r>
        <w:rPr>
          <w:rFonts w:hint="eastAsia" w:cs="Times New Roman"/>
          <w:sz w:val="24"/>
          <w:szCs w:val="24"/>
        </w:rPr>
        <w:t>血妊娠试验（有生育能力的女性）</w:t>
      </w:r>
    </w:p>
    <w:p w14:paraId="336464EE">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w:t>
      </w:r>
    </w:p>
    <w:p w14:paraId="1D9D24F8">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p>
    <w:p w14:paraId="72D0B9B8">
      <w:pPr>
        <w:pStyle w:val="60"/>
        <w:numPr>
          <w:ilvl w:val="0"/>
          <w:numId w:val="37"/>
        </w:numPr>
        <w:ind w:firstLineChars="0"/>
        <w:rPr>
          <w:rFonts w:cs="Times New Roman"/>
          <w:sz w:val="24"/>
          <w:szCs w:val="24"/>
        </w:rPr>
      </w:pPr>
      <w:r>
        <w:rPr>
          <w:rFonts w:hint="eastAsia" w:cs="Times New Roman"/>
          <w:sz w:val="24"/>
          <w:szCs w:val="24"/>
        </w:rPr>
        <w:t>记录合并治疗</w:t>
      </w:r>
    </w:p>
    <w:p w14:paraId="5A38BB6F">
      <w:pPr>
        <w:pStyle w:val="60"/>
        <w:numPr>
          <w:ilvl w:val="0"/>
          <w:numId w:val="37"/>
        </w:numPr>
        <w:ind w:firstLineChars="0"/>
        <w:rPr>
          <w:rFonts w:cs="Times New Roman"/>
          <w:sz w:val="24"/>
          <w:szCs w:val="24"/>
        </w:rPr>
      </w:pPr>
      <w:r>
        <w:rPr>
          <w:rFonts w:hint="eastAsia" w:cs="Times New Roman"/>
          <w:sz w:val="24"/>
          <w:szCs w:val="24"/>
        </w:rPr>
        <w:t>审核入排标准</w:t>
      </w:r>
    </w:p>
    <w:p w14:paraId="214B465F">
      <w:pPr>
        <w:pStyle w:val="60"/>
        <w:ind w:left="420" w:firstLine="0" w:firstLineChars="0"/>
        <w:rPr>
          <w:rFonts w:cs="Times New Roman"/>
          <w:sz w:val="24"/>
          <w:szCs w:val="24"/>
        </w:rPr>
      </w:pPr>
      <w:r>
        <w:rPr>
          <w:rFonts w:hint="eastAsia" w:cs="Times New Roman"/>
          <w:sz w:val="24"/>
          <w:szCs w:val="24"/>
        </w:rPr>
        <w:t>注：筛选期相关检查，经研究者评估如有必要可重复检查以确认</w:t>
      </w:r>
      <w:r>
        <w:rPr>
          <w:rStyle w:val="99"/>
          <w:rFonts w:hint="eastAsia" w:cs="Times New Roman"/>
          <w:sz w:val="24"/>
          <w:szCs w:val="24"/>
        </w:rPr>
        <w:t>参与者</w:t>
      </w:r>
      <w:r>
        <w:rPr>
          <w:rFonts w:hint="eastAsia" w:cs="Times New Roman"/>
          <w:sz w:val="24"/>
          <w:szCs w:val="24"/>
        </w:rPr>
        <w:t>入选资格。如果筛选访视和</w:t>
      </w:r>
      <w:r>
        <w:rPr>
          <w:rFonts w:cs="Times New Roman"/>
          <w:sz w:val="24"/>
          <w:szCs w:val="24"/>
        </w:rPr>
        <w:t>D1</w:t>
      </w:r>
      <w:r>
        <w:rPr>
          <w:rFonts w:hint="eastAsia" w:cs="Times New Roman"/>
          <w:sz w:val="24"/>
          <w:szCs w:val="24"/>
        </w:rPr>
        <w:t>访视间隔≤</w:t>
      </w:r>
      <w:r>
        <w:rPr>
          <w:rFonts w:cs="Times New Roman"/>
          <w:sz w:val="24"/>
          <w:szCs w:val="24"/>
        </w:rPr>
        <w:t>7</w:t>
      </w:r>
      <w:r>
        <w:rPr>
          <w:rFonts w:hint="eastAsia" w:cs="Times New Roman"/>
          <w:sz w:val="24"/>
          <w:szCs w:val="24"/>
        </w:rPr>
        <w:t>天，则筛选和基线访视可合并进行，两次访视中相同的评估事项可只进行一次。如果筛选访视和</w:t>
      </w:r>
      <w:r>
        <w:rPr>
          <w:rFonts w:cs="Times New Roman"/>
          <w:sz w:val="24"/>
          <w:szCs w:val="24"/>
        </w:rPr>
        <w:t>D1</w:t>
      </w:r>
      <w:r>
        <w:rPr>
          <w:rFonts w:hint="eastAsia" w:cs="Times New Roman"/>
          <w:sz w:val="24"/>
          <w:szCs w:val="24"/>
        </w:rPr>
        <w:t>访视间隔＞</w:t>
      </w:r>
      <w:r>
        <w:rPr>
          <w:rFonts w:cs="Times New Roman"/>
          <w:sz w:val="24"/>
          <w:szCs w:val="24"/>
        </w:rPr>
        <w:t>7</w:t>
      </w:r>
      <w:r>
        <w:rPr>
          <w:rFonts w:hint="eastAsia" w:cs="Times New Roman"/>
          <w:sz w:val="24"/>
          <w:szCs w:val="24"/>
        </w:rPr>
        <w:t>天，则需在</w:t>
      </w:r>
      <w:r>
        <w:rPr>
          <w:rFonts w:cs="Times New Roman"/>
          <w:sz w:val="24"/>
          <w:szCs w:val="24"/>
        </w:rPr>
        <w:t>D1</w:t>
      </w:r>
      <w:r>
        <w:rPr>
          <w:rFonts w:hint="eastAsia" w:cs="Times New Roman"/>
          <w:sz w:val="24"/>
          <w:szCs w:val="24"/>
        </w:rPr>
        <w:t>天前</w:t>
      </w:r>
      <w:r>
        <w:rPr>
          <w:rFonts w:cs="Times New Roman"/>
          <w:sz w:val="24"/>
          <w:szCs w:val="24"/>
        </w:rPr>
        <w:t>7</w:t>
      </w:r>
      <w:r>
        <w:rPr>
          <w:rFonts w:hint="eastAsia" w:cs="Times New Roman"/>
          <w:sz w:val="24"/>
          <w:szCs w:val="24"/>
        </w:rPr>
        <w:t>天内进行基线访视，</w:t>
      </w:r>
      <w:r>
        <w:rPr>
          <w:rFonts w:hint="eastAsia" w:cs="Times New Roman"/>
          <w:kern w:val="2"/>
          <w:sz w:val="24"/>
          <w:szCs w:val="24"/>
        </w:rPr>
        <w:t>以给药前最近一次检查值作为基线</w:t>
      </w:r>
      <w:r>
        <w:rPr>
          <w:rFonts w:hint="eastAsia" w:cs="Times New Roman"/>
          <w:sz w:val="24"/>
          <w:szCs w:val="24"/>
        </w:rPr>
        <w:t>。</w:t>
      </w:r>
    </w:p>
    <w:p w14:paraId="2DC4225B">
      <w:pPr>
        <w:pStyle w:val="116"/>
        <w:numPr>
          <w:ilvl w:val="3"/>
          <w:numId w:val="12"/>
        </w:numPr>
        <w:ind w:hanging="708"/>
        <w:jc w:val="left"/>
        <w:outlineLvl w:val="3"/>
        <w:rPr>
          <w:rFonts w:cs="Times New Roman"/>
          <w:sz w:val="24"/>
          <w:szCs w:val="24"/>
        </w:rPr>
      </w:pPr>
      <w:bookmarkStart w:id="200" w:name="_Toc215214093"/>
      <w:bookmarkStart w:id="201" w:name="_Toc217032281"/>
      <w:bookmarkStart w:id="202" w:name="_Toc215213383"/>
      <w:r>
        <w:rPr>
          <w:rFonts w:hint="eastAsia" w:cs="Times New Roman"/>
          <w:sz w:val="24"/>
          <w:szCs w:val="24"/>
        </w:rPr>
        <w:t>治疗期</w:t>
      </w:r>
      <w:bookmarkEnd w:id="200"/>
      <w:bookmarkEnd w:id="201"/>
      <w:bookmarkEnd w:id="202"/>
    </w:p>
    <w:p w14:paraId="15C4836B">
      <w:pPr>
        <w:spacing w:line="360" w:lineRule="auto"/>
        <w:ind w:firstLine="482" w:firstLineChars="200"/>
        <w:jc w:val="both"/>
        <w:rPr>
          <w:rFonts w:ascii="Times New Roman" w:hAnsi="Times New Roman" w:eastAsia="宋体" w:cs="Times New Roman"/>
          <w:b/>
          <w:sz w:val="24"/>
          <w:szCs w:val="24"/>
          <w:u w:val="single"/>
        </w:rPr>
      </w:pPr>
      <w:r>
        <w:rPr>
          <w:rFonts w:ascii="Times New Roman" w:hAnsi="Times New Roman" w:eastAsia="宋体" w:cs="Times New Roman"/>
          <w:b/>
          <w:sz w:val="24"/>
          <w:szCs w:val="24"/>
          <w:u w:val="single"/>
        </w:rPr>
        <w:t>W0</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D1</w:t>
      </w:r>
      <w:r>
        <w:rPr>
          <w:rFonts w:hint="eastAsia" w:ascii="Times New Roman" w:hAnsi="Times New Roman" w:eastAsia="宋体" w:cs="Times New Roman"/>
          <w:b/>
          <w:sz w:val="24"/>
          <w:szCs w:val="24"/>
          <w:u w:val="single"/>
        </w:rPr>
        <w:t>）访视</w:t>
      </w:r>
    </w:p>
    <w:p w14:paraId="0777EDFB">
      <w:pPr>
        <w:pStyle w:val="60"/>
        <w:numPr>
          <w:ilvl w:val="0"/>
          <w:numId w:val="37"/>
        </w:numPr>
        <w:ind w:firstLineChars="0"/>
        <w:rPr>
          <w:rFonts w:cs="Times New Roman"/>
          <w:sz w:val="24"/>
          <w:szCs w:val="24"/>
        </w:rPr>
      </w:pPr>
      <w:r>
        <w:rPr>
          <w:rFonts w:hint="eastAsia" w:cs="Times New Roman"/>
          <w:sz w:val="24"/>
          <w:szCs w:val="24"/>
        </w:rPr>
        <w:t>问询上次访视以来的病史及诊治情况</w:t>
      </w:r>
    </w:p>
    <w:p w14:paraId="23E45140">
      <w:pPr>
        <w:pStyle w:val="60"/>
        <w:numPr>
          <w:ilvl w:val="0"/>
          <w:numId w:val="37"/>
        </w:numPr>
        <w:ind w:firstLineChars="0"/>
        <w:rPr>
          <w:rFonts w:cs="Times New Roman"/>
          <w:sz w:val="24"/>
          <w:szCs w:val="24"/>
        </w:rPr>
      </w:pPr>
      <w:r>
        <w:rPr>
          <w:rFonts w:hint="eastAsia" w:cs="Times New Roman"/>
          <w:sz w:val="24"/>
          <w:szCs w:val="24"/>
        </w:rPr>
        <w:t>测量生命体征</w:t>
      </w:r>
    </w:p>
    <w:p w14:paraId="00BF88A6">
      <w:pPr>
        <w:pStyle w:val="60"/>
        <w:numPr>
          <w:ilvl w:val="0"/>
          <w:numId w:val="37"/>
        </w:numPr>
        <w:ind w:firstLineChars="0"/>
        <w:rPr>
          <w:rFonts w:cs="Times New Roman"/>
          <w:sz w:val="24"/>
          <w:szCs w:val="24"/>
        </w:rPr>
      </w:pPr>
      <w:r>
        <w:rPr>
          <w:rFonts w:hint="eastAsia" w:cs="Times New Roman"/>
          <w:sz w:val="24"/>
          <w:szCs w:val="24"/>
        </w:rPr>
        <w:t>症状导向的体格检查</w:t>
      </w:r>
    </w:p>
    <w:p w14:paraId="6791E16F">
      <w:pPr>
        <w:pStyle w:val="60"/>
        <w:numPr>
          <w:ilvl w:val="0"/>
          <w:numId w:val="37"/>
        </w:numPr>
        <w:ind w:firstLineChars="0"/>
        <w:rPr>
          <w:rFonts w:cs="Times New Roman"/>
          <w:sz w:val="24"/>
          <w:szCs w:val="24"/>
        </w:rPr>
      </w:pPr>
      <w:r>
        <w:rPr>
          <w:rFonts w:hint="eastAsia" w:cs="Times New Roman"/>
          <w:sz w:val="24"/>
          <w:szCs w:val="24"/>
        </w:rPr>
        <w:t>血</w:t>
      </w:r>
      <w:r>
        <w:rPr>
          <w:rFonts w:cs="Times New Roman"/>
          <w:sz w:val="24"/>
          <w:szCs w:val="24"/>
        </w:rPr>
        <w:t>/</w:t>
      </w:r>
      <w:r>
        <w:rPr>
          <w:rFonts w:hint="eastAsia" w:cs="Times New Roman"/>
          <w:sz w:val="24"/>
          <w:szCs w:val="24"/>
        </w:rPr>
        <w:t>尿妊娠试验（有生育能力的女性）</w:t>
      </w:r>
    </w:p>
    <w:p w14:paraId="6F0A7130">
      <w:pPr>
        <w:pStyle w:val="60"/>
        <w:numPr>
          <w:ilvl w:val="0"/>
          <w:numId w:val="37"/>
        </w:numPr>
        <w:ind w:firstLineChars="0"/>
        <w:rPr>
          <w:rFonts w:cs="Times New Roman"/>
          <w:sz w:val="24"/>
          <w:szCs w:val="24"/>
        </w:rPr>
      </w:pPr>
      <w:r>
        <w:rPr>
          <w:rFonts w:cs="Times New Roman"/>
          <w:sz w:val="24"/>
          <w:szCs w:val="24"/>
        </w:rPr>
        <w:t>IL-17A</w:t>
      </w:r>
      <w:r>
        <w:rPr>
          <w:rFonts w:hint="eastAsia" w:cs="Times New Roman"/>
          <w:sz w:val="24"/>
          <w:szCs w:val="24"/>
        </w:rPr>
        <w:t>采血</w:t>
      </w:r>
    </w:p>
    <w:p w14:paraId="3E259C0D">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r>
        <w:rPr>
          <w:rFonts w:hint="eastAsia" w:cs="Times New Roman"/>
          <w:sz w:val="24"/>
          <w:szCs w:val="24"/>
        </w:rPr>
        <w:t>、</w:t>
      </w:r>
      <w:r>
        <w:rPr>
          <w:rFonts w:cs="Times New Roman"/>
          <w:sz w:val="24"/>
          <w:szCs w:val="24"/>
        </w:rPr>
        <w:t>DLQI</w:t>
      </w:r>
    </w:p>
    <w:p w14:paraId="7E135E64">
      <w:pPr>
        <w:pStyle w:val="60"/>
        <w:numPr>
          <w:ilvl w:val="0"/>
          <w:numId w:val="37"/>
        </w:numPr>
        <w:ind w:firstLineChars="0"/>
        <w:rPr>
          <w:rFonts w:cs="Times New Roman"/>
          <w:sz w:val="24"/>
          <w:szCs w:val="24"/>
        </w:rPr>
      </w:pPr>
      <w:r>
        <w:rPr>
          <w:rFonts w:hint="eastAsia" w:cs="Times New Roman"/>
          <w:sz w:val="24"/>
          <w:szCs w:val="24"/>
        </w:rPr>
        <w:t>获取皮损照片</w:t>
      </w:r>
    </w:p>
    <w:p w14:paraId="5809F8A5">
      <w:pPr>
        <w:pStyle w:val="60"/>
        <w:numPr>
          <w:ilvl w:val="0"/>
          <w:numId w:val="37"/>
        </w:numPr>
        <w:ind w:firstLineChars="0"/>
        <w:rPr>
          <w:rFonts w:cs="Times New Roman"/>
          <w:sz w:val="24"/>
          <w:szCs w:val="24"/>
        </w:rPr>
      </w:pPr>
      <w:r>
        <w:rPr>
          <w:rFonts w:hint="eastAsia" w:cs="Times New Roman"/>
          <w:sz w:val="24"/>
          <w:szCs w:val="24"/>
        </w:rPr>
        <w:t>审核入排标准</w:t>
      </w:r>
    </w:p>
    <w:p w14:paraId="27DBFAD8">
      <w:pPr>
        <w:pStyle w:val="60"/>
        <w:numPr>
          <w:ilvl w:val="0"/>
          <w:numId w:val="37"/>
        </w:numPr>
        <w:ind w:firstLineChars="0"/>
        <w:rPr>
          <w:rFonts w:cs="Times New Roman"/>
          <w:sz w:val="24"/>
          <w:szCs w:val="24"/>
        </w:rPr>
      </w:pPr>
      <w:r>
        <w:rPr>
          <w:rFonts w:hint="eastAsia" w:cs="Times New Roman"/>
          <w:sz w:val="24"/>
          <w:szCs w:val="24"/>
        </w:rPr>
        <w:t>随机</w:t>
      </w:r>
    </w:p>
    <w:p w14:paraId="66D21BE5">
      <w:pPr>
        <w:pStyle w:val="60"/>
        <w:numPr>
          <w:ilvl w:val="0"/>
          <w:numId w:val="37"/>
        </w:numPr>
        <w:ind w:firstLineChars="0"/>
        <w:rPr>
          <w:rFonts w:cs="Times New Roman"/>
          <w:sz w:val="24"/>
          <w:szCs w:val="24"/>
        </w:rPr>
      </w:pPr>
      <w:r>
        <w:rPr>
          <w:rFonts w:hint="eastAsia" w:cs="Times New Roman"/>
          <w:sz w:val="24"/>
          <w:szCs w:val="24"/>
        </w:rPr>
        <w:t>服用试验用药品</w:t>
      </w:r>
    </w:p>
    <w:p w14:paraId="453AD601">
      <w:pPr>
        <w:pStyle w:val="60"/>
        <w:numPr>
          <w:ilvl w:val="0"/>
          <w:numId w:val="37"/>
        </w:numPr>
        <w:ind w:firstLineChars="0"/>
        <w:rPr>
          <w:rFonts w:cs="Times New Roman"/>
          <w:sz w:val="24"/>
          <w:szCs w:val="24"/>
        </w:rPr>
      </w:pPr>
      <w:r>
        <w:rPr>
          <w:rFonts w:hint="eastAsia" w:cs="Times New Roman"/>
          <w:sz w:val="24"/>
          <w:szCs w:val="24"/>
        </w:rPr>
        <w:t>分发试验用药品</w:t>
      </w:r>
    </w:p>
    <w:p w14:paraId="05CB2DD9">
      <w:pPr>
        <w:pStyle w:val="60"/>
        <w:numPr>
          <w:ilvl w:val="0"/>
          <w:numId w:val="37"/>
        </w:numPr>
        <w:ind w:firstLineChars="0"/>
        <w:rPr>
          <w:rFonts w:cs="Times New Roman"/>
          <w:sz w:val="24"/>
          <w:szCs w:val="24"/>
        </w:rPr>
      </w:pPr>
      <w:r>
        <w:rPr>
          <w:rFonts w:hint="eastAsia" w:cs="Times New Roman"/>
          <w:sz w:val="24"/>
          <w:szCs w:val="24"/>
        </w:rPr>
        <w:t>发放参与者日记卡</w:t>
      </w:r>
    </w:p>
    <w:p w14:paraId="77043E7E">
      <w:pPr>
        <w:pStyle w:val="60"/>
        <w:numPr>
          <w:ilvl w:val="0"/>
          <w:numId w:val="37"/>
        </w:numPr>
        <w:ind w:firstLineChars="0"/>
        <w:rPr>
          <w:rFonts w:cs="Times New Roman"/>
          <w:sz w:val="24"/>
          <w:szCs w:val="24"/>
        </w:rPr>
      </w:pPr>
      <w:r>
        <w:rPr>
          <w:rFonts w:hint="eastAsia" w:cs="Times New Roman"/>
          <w:sz w:val="24"/>
          <w:szCs w:val="24"/>
        </w:rPr>
        <w:t>记录不良事件</w:t>
      </w:r>
    </w:p>
    <w:p w14:paraId="21937F83">
      <w:pPr>
        <w:pStyle w:val="60"/>
        <w:numPr>
          <w:ilvl w:val="0"/>
          <w:numId w:val="37"/>
        </w:numPr>
        <w:ind w:firstLineChars="0"/>
        <w:rPr>
          <w:rFonts w:cs="Times New Roman"/>
          <w:sz w:val="24"/>
          <w:szCs w:val="24"/>
        </w:rPr>
      </w:pPr>
      <w:r>
        <w:rPr>
          <w:rFonts w:hint="eastAsia" w:cs="Times New Roman"/>
          <w:sz w:val="24"/>
          <w:szCs w:val="24"/>
        </w:rPr>
        <w:t>记录合并治疗</w:t>
      </w:r>
    </w:p>
    <w:p w14:paraId="6C58FFB8">
      <w:pPr>
        <w:pStyle w:val="60"/>
        <w:ind w:left="420" w:firstLine="0" w:firstLineChars="0"/>
        <w:rPr>
          <w:rFonts w:cs="Times New Roman"/>
          <w:sz w:val="24"/>
          <w:szCs w:val="24"/>
        </w:rPr>
      </w:pPr>
      <w:r>
        <w:rPr>
          <w:rFonts w:hint="eastAsia" w:cs="Times New Roman"/>
          <w:kern w:val="2"/>
          <w:sz w:val="24"/>
          <w:szCs w:val="24"/>
        </w:rPr>
        <w:t>注：生命体征、疗效指标（</w:t>
      </w:r>
      <w:r>
        <w:rPr>
          <w:rFonts w:cs="Times New Roman"/>
          <w:kern w:val="2"/>
          <w:sz w:val="24"/>
          <w:szCs w:val="24"/>
        </w:rPr>
        <w:t>PASI</w:t>
      </w:r>
      <w:r>
        <w:rPr>
          <w:rFonts w:hint="eastAsia" w:cs="Times New Roman"/>
          <w:kern w:val="2"/>
          <w:sz w:val="24"/>
          <w:szCs w:val="24"/>
        </w:rPr>
        <w:t>、</w:t>
      </w:r>
      <w:r>
        <w:rPr>
          <w:rFonts w:cs="Times New Roman"/>
          <w:kern w:val="2"/>
          <w:sz w:val="24"/>
          <w:szCs w:val="24"/>
        </w:rPr>
        <w:t>PGA</w:t>
      </w:r>
      <w:r>
        <w:rPr>
          <w:rFonts w:hint="eastAsia" w:cs="Times New Roman"/>
          <w:kern w:val="2"/>
          <w:sz w:val="24"/>
          <w:szCs w:val="24"/>
        </w:rPr>
        <w:t>、</w:t>
      </w:r>
      <w:r>
        <w:rPr>
          <w:rFonts w:cs="Times New Roman"/>
          <w:kern w:val="2"/>
          <w:sz w:val="24"/>
          <w:szCs w:val="24"/>
        </w:rPr>
        <w:t>BSA</w:t>
      </w:r>
      <w:r>
        <w:rPr>
          <w:rFonts w:hint="eastAsia" w:cs="Times New Roman"/>
          <w:kern w:val="2"/>
          <w:sz w:val="24"/>
          <w:szCs w:val="24"/>
        </w:rPr>
        <w:t>、</w:t>
      </w:r>
      <w:r>
        <w:rPr>
          <w:rFonts w:cs="Times New Roman"/>
          <w:kern w:val="2"/>
          <w:sz w:val="24"/>
          <w:szCs w:val="24"/>
        </w:rPr>
        <w:t>DLQI</w:t>
      </w:r>
      <w:r>
        <w:rPr>
          <w:rFonts w:hint="eastAsia" w:cs="Times New Roman"/>
          <w:kern w:val="2"/>
          <w:sz w:val="24"/>
          <w:szCs w:val="24"/>
        </w:rPr>
        <w:t>）、皮损照片以</w:t>
      </w:r>
      <w:r>
        <w:rPr>
          <w:rFonts w:cs="Times New Roman"/>
          <w:kern w:val="2"/>
          <w:sz w:val="24"/>
          <w:szCs w:val="24"/>
        </w:rPr>
        <w:t>D1</w:t>
      </w:r>
      <w:r>
        <w:rPr>
          <w:rFonts w:hint="eastAsia" w:cs="Times New Roman"/>
          <w:kern w:val="2"/>
          <w:sz w:val="24"/>
          <w:szCs w:val="24"/>
        </w:rPr>
        <w:t>给药前结果作为基线值，基线需再次审查入选和排除标准，对符合入选排除标准的参与者可进行随机分组，同时需要记录合并用药及不良事件。</w:t>
      </w:r>
    </w:p>
    <w:p w14:paraId="04824F27">
      <w:pPr>
        <w:spacing w:line="360" w:lineRule="auto"/>
        <w:ind w:firstLine="482" w:firstLineChars="200"/>
        <w:jc w:val="both"/>
        <w:rPr>
          <w:rFonts w:ascii="Times New Roman" w:hAnsi="Times New Roman" w:eastAsia="宋体" w:cs="Times New Roman"/>
          <w:b/>
          <w:sz w:val="24"/>
          <w:szCs w:val="24"/>
          <w:u w:val="single"/>
        </w:rPr>
      </w:pPr>
      <w:r>
        <w:rPr>
          <w:rFonts w:ascii="Times New Roman" w:hAnsi="Times New Roman" w:eastAsia="宋体" w:cs="Times New Roman"/>
          <w:b/>
          <w:sz w:val="24"/>
          <w:szCs w:val="24"/>
          <w:u w:val="single"/>
        </w:rPr>
        <w:t>W2</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W4</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W8</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W12</w:t>
      </w:r>
      <w:r>
        <w:rPr>
          <w:rFonts w:hint="eastAsia" w:ascii="Times New Roman" w:hAnsi="Times New Roman" w:eastAsia="宋体" w:cs="Times New Roman"/>
          <w:b/>
          <w:sz w:val="24"/>
          <w:szCs w:val="24"/>
          <w:u w:val="single"/>
        </w:rPr>
        <w:t>访视</w:t>
      </w:r>
    </w:p>
    <w:p w14:paraId="1BCB1801">
      <w:pPr>
        <w:pStyle w:val="60"/>
        <w:numPr>
          <w:ilvl w:val="0"/>
          <w:numId w:val="37"/>
        </w:numPr>
        <w:ind w:firstLineChars="0"/>
        <w:rPr>
          <w:rFonts w:cs="Times New Roman"/>
          <w:sz w:val="24"/>
          <w:szCs w:val="24"/>
        </w:rPr>
      </w:pPr>
      <w:r>
        <w:rPr>
          <w:rFonts w:hint="eastAsia" w:cs="Times New Roman"/>
          <w:sz w:val="24"/>
          <w:szCs w:val="24"/>
        </w:rPr>
        <w:t>测量体重（</w:t>
      </w:r>
      <w:r>
        <w:rPr>
          <w:rFonts w:cs="Times New Roman"/>
          <w:sz w:val="24"/>
          <w:szCs w:val="24"/>
        </w:rPr>
        <w:t>W2</w:t>
      </w:r>
      <w:r>
        <w:rPr>
          <w:rFonts w:hint="eastAsia" w:cs="Times New Roman"/>
          <w:sz w:val="24"/>
          <w:szCs w:val="24"/>
        </w:rPr>
        <w:t>访视除外）</w:t>
      </w:r>
    </w:p>
    <w:p w14:paraId="332B35F4">
      <w:pPr>
        <w:pStyle w:val="60"/>
        <w:numPr>
          <w:ilvl w:val="0"/>
          <w:numId w:val="37"/>
        </w:numPr>
        <w:ind w:firstLineChars="0"/>
        <w:rPr>
          <w:rFonts w:cs="Times New Roman"/>
          <w:sz w:val="24"/>
          <w:szCs w:val="24"/>
        </w:rPr>
      </w:pPr>
      <w:r>
        <w:rPr>
          <w:rFonts w:hint="eastAsia" w:cs="Times New Roman"/>
          <w:sz w:val="24"/>
          <w:szCs w:val="24"/>
        </w:rPr>
        <w:t>测量生命体征</w:t>
      </w:r>
    </w:p>
    <w:p w14:paraId="69A2CEAE">
      <w:pPr>
        <w:pStyle w:val="60"/>
        <w:numPr>
          <w:ilvl w:val="0"/>
          <w:numId w:val="37"/>
        </w:numPr>
        <w:ind w:firstLineChars="0"/>
        <w:rPr>
          <w:rFonts w:cs="Times New Roman"/>
          <w:sz w:val="24"/>
          <w:szCs w:val="24"/>
        </w:rPr>
      </w:pPr>
      <w:r>
        <w:rPr>
          <w:rFonts w:hint="eastAsia" w:cs="Times New Roman"/>
          <w:sz w:val="24"/>
          <w:szCs w:val="24"/>
        </w:rPr>
        <w:t>全面的体格检查（</w:t>
      </w:r>
      <w:r>
        <w:rPr>
          <w:rFonts w:cs="Times New Roman"/>
          <w:sz w:val="24"/>
          <w:szCs w:val="24"/>
        </w:rPr>
        <w:t>W12</w:t>
      </w:r>
      <w:r>
        <w:rPr>
          <w:rFonts w:hint="eastAsia" w:cs="Times New Roman"/>
          <w:sz w:val="24"/>
          <w:szCs w:val="24"/>
        </w:rPr>
        <w:t>访视进行全面的体格检查，其余访视为症状导向的体格检查）</w:t>
      </w:r>
    </w:p>
    <w:p w14:paraId="39BD45F2">
      <w:pPr>
        <w:pStyle w:val="60"/>
        <w:numPr>
          <w:ilvl w:val="0"/>
          <w:numId w:val="37"/>
        </w:numPr>
        <w:ind w:firstLineChars="0"/>
        <w:rPr>
          <w:rFonts w:cs="Times New Roman"/>
          <w:sz w:val="24"/>
          <w:szCs w:val="24"/>
        </w:rPr>
      </w:pPr>
      <w:r>
        <w:rPr>
          <w:rFonts w:hint="eastAsia" w:cs="Times New Roman"/>
          <w:sz w:val="24"/>
          <w:szCs w:val="24"/>
        </w:rPr>
        <w:t>实验室检查采血（血常规、尿常规、血生化、凝血功能，糖化血红蛋白仅在</w:t>
      </w:r>
      <w:r>
        <w:rPr>
          <w:rFonts w:cs="Times New Roman"/>
          <w:sz w:val="24"/>
          <w:szCs w:val="24"/>
        </w:rPr>
        <w:t>12</w:t>
      </w:r>
      <w:r>
        <w:rPr>
          <w:rFonts w:hint="eastAsia" w:cs="Times New Roman"/>
          <w:sz w:val="24"/>
          <w:szCs w:val="24"/>
        </w:rPr>
        <w:t>周访视进行）</w:t>
      </w:r>
    </w:p>
    <w:p w14:paraId="7C5BC551">
      <w:pPr>
        <w:pStyle w:val="60"/>
        <w:numPr>
          <w:ilvl w:val="0"/>
          <w:numId w:val="37"/>
        </w:numPr>
        <w:ind w:firstLineChars="0"/>
        <w:rPr>
          <w:rFonts w:cs="Times New Roman"/>
          <w:sz w:val="24"/>
          <w:szCs w:val="24"/>
        </w:rPr>
      </w:pPr>
      <w:r>
        <w:rPr>
          <w:rFonts w:hint="eastAsia" w:cs="Times New Roman"/>
          <w:sz w:val="24"/>
          <w:szCs w:val="24"/>
        </w:rPr>
        <w:t>血</w:t>
      </w:r>
      <w:r>
        <w:rPr>
          <w:rFonts w:cs="Times New Roman"/>
          <w:sz w:val="24"/>
          <w:szCs w:val="24"/>
        </w:rPr>
        <w:t>/</w:t>
      </w:r>
      <w:r>
        <w:rPr>
          <w:rFonts w:hint="eastAsia" w:cs="Times New Roman"/>
          <w:sz w:val="24"/>
          <w:szCs w:val="24"/>
        </w:rPr>
        <w:t>尿妊娠试验（有生育能力的女性，</w:t>
      </w:r>
      <w:r>
        <w:rPr>
          <w:rFonts w:cs="Times New Roman"/>
          <w:sz w:val="24"/>
          <w:szCs w:val="24"/>
        </w:rPr>
        <w:t>W12</w:t>
      </w:r>
      <w:r>
        <w:rPr>
          <w:rFonts w:hint="eastAsia" w:cs="Times New Roman"/>
          <w:sz w:val="24"/>
          <w:szCs w:val="24"/>
        </w:rPr>
        <w:t>访视必须为血妊娠试验）</w:t>
      </w:r>
    </w:p>
    <w:p w14:paraId="109AD823">
      <w:pPr>
        <w:pStyle w:val="60"/>
        <w:numPr>
          <w:ilvl w:val="0"/>
          <w:numId w:val="37"/>
        </w:numPr>
        <w:ind w:firstLineChars="0"/>
        <w:rPr>
          <w:rFonts w:cs="Times New Roman"/>
          <w:sz w:val="24"/>
          <w:szCs w:val="24"/>
        </w:rPr>
      </w:pPr>
      <w:r>
        <w:rPr>
          <w:rFonts w:cs="Times New Roman"/>
          <w:sz w:val="24"/>
          <w:szCs w:val="24"/>
        </w:rPr>
        <w:t>PK</w:t>
      </w:r>
      <w:r>
        <w:rPr>
          <w:rFonts w:hint="eastAsia" w:cs="Times New Roman"/>
          <w:sz w:val="24"/>
          <w:szCs w:val="24"/>
        </w:rPr>
        <w:t>采血</w:t>
      </w:r>
    </w:p>
    <w:p w14:paraId="22C6A3C0">
      <w:pPr>
        <w:pStyle w:val="60"/>
        <w:numPr>
          <w:ilvl w:val="0"/>
          <w:numId w:val="37"/>
        </w:numPr>
        <w:ind w:firstLineChars="0"/>
        <w:rPr>
          <w:rFonts w:cs="Times New Roman"/>
          <w:sz w:val="24"/>
          <w:szCs w:val="24"/>
        </w:rPr>
      </w:pPr>
      <w:r>
        <w:rPr>
          <w:rFonts w:cs="Times New Roman"/>
          <w:sz w:val="24"/>
          <w:szCs w:val="24"/>
        </w:rPr>
        <w:t>IL-17A</w:t>
      </w:r>
      <w:r>
        <w:rPr>
          <w:rFonts w:hint="eastAsia" w:cs="Times New Roman"/>
          <w:sz w:val="24"/>
          <w:szCs w:val="24"/>
        </w:rPr>
        <w:t>采血</w:t>
      </w:r>
    </w:p>
    <w:p w14:paraId="7189459D">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w:t>
      </w:r>
    </w:p>
    <w:p w14:paraId="23F4CF63">
      <w:pPr>
        <w:pStyle w:val="60"/>
        <w:numPr>
          <w:ilvl w:val="0"/>
          <w:numId w:val="37"/>
        </w:numPr>
        <w:ind w:firstLineChars="0"/>
        <w:rPr>
          <w:rFonts w:cs="Times New Roman"/>
          <w:sz w:val="24"/>
          <w:szCs w:val="24"/>
        </w:rPr>
      </w:pPr>
      <w:r>
        <w:rPr>
          <w:rFonts w:hint="eastAsia" w:cs="Times New Roman"/>
          <w:sz w:val="24"/>
          <w:szCs w:val="24"/>
        </w:rPr>
        <w:t>服用试验用药品</w:t>
      </w:r>
      <w:r>
        <w:rPr>
          <w:rFonts w:cs="Times New Roman"/>
          <w:sz w:val="24"/>
          <w:szCs w:val="24"/>
        </w:rPr>
        <w:t xml:space="preserve"> </w:t>
      </w:r>
      <w:r>
        <w:rPr>
          <w:rFonts w:hint="eastAsia" w:cs="Times New Roman"/>
          <w:sz w:val="24"/>
          <w:szCs w:val="24"/>
        </w:rPr>
        <w:t>（访视当天用药需要在研究中心完成）</w:t>
      </w:r>
    </w:p>
    <w:p w14:paraId="428359B2">
      <w:pPr>
        <w:pStyle w:val="60"/>
        <w:numPr>
          <w:ilvl w:val="0"/>
          <w:numId w:val="37"/>
        </w:numPr>
        <w:ind w:firstLineChars="0"/>
        <w:rPr>
          <w:rFonts w:cs="Times New Roman"/>
          <w:sz w:val="24"/>
          <w:szCs w:val="24"/>
        </w:rPr>
      </w:pPr>
      <w:r>
        <w:rPr>
          <w:rFonts w:hint="eastAsia" w:cs="Times New Roman"/>
          <w:sz w:val="24"/>
          <w:szCs w:val="24"/>
        </w:rPr>
        <w:t>分发</w:t>
      </w:r>
      <w:r>
        <w:rPr>
          <w:rFonts w:cs="Times New Roman"/>
          <w:sz w:val="24"/>
          <w:szCs w:val="24"/>
        </w:rPr>
        <w:t>/</w:t>
      </w:r>
      <w:r>
        <w:rPr>
          <w:rFonts w:hint="eastAsia" w:cs="Times New Roman"/>
          <w:sz w:val="24"/>
          <w:szCs w:val="24"/>
        </w:rPr>
        <w:t>回收试验用药品（</w:t>
      </w:r>
      <w:r>
        <w:rPr>
          <w:rFonts w:cs="Times New Roman"/>
          <w:sz w:val="24"/>
          <w:szCs w:val="24"/>
        </w:rPr>
        <w:t>W12</w:t>
      </w:r>
      <w:r>
        <w:rPr>
          <w:rFonts w:hint="eastAsia" w:cs="Times New Roman"/>
          <w:sz w:val="24"/>
          <w:szCs w:val="24"/>
        </w:rPr>
        <w:t>访视仅回收试验用药品，不再分发试验用药品）</w:t>
      </w:r>
    </w:p>
    <w:p w14:paraId="614E6100">
      <w:pPr>
        <w:pStyle w:val="60"/>
        <w:numPr>
          <w:ilvl w:val="0"/>
          <w:numId w:val="37"/>
        </w:numPr>
        <w:ind w:firstLineChars="0"/>
        <w:rPr>
          <w:rFonts w:cs="Times New Roman"/>
          <w:sz w:val="24"/>
          <w:szCs w:val="24"/>
        </w:rPr>
      </w:pPr>
      <w:r>
        <w:rPr>
          <w:rFonts w:hint="eastAsia" w:cs="Times New Roman"/>
          <w:sz w:val="24"/>
          <w:szCs w:val="24"/>
        </w:rPr>
        <w:t>分发</w:t>
      </w:r>
      <w:r>
        <w:rPr>
          <w:rFonts w:cs="Times New Roman"/>
          <w:sz w:val="24"/>
          <w:szCs w:val="24"/>
        </w:rPr>
        <w:t>/</w:t>
      </w:r>
      <w:r>
        <w:rPr>
          <w:rFonts w:hint="eastAsia" w:cs="Times New Roman"/>
          <w:sz w:val="24"/>
          <w:szCs w:val="24"/>
        </w:rPr>
        <w:t>回收参与者日记卡（</w:t>
      </w:r>
      <w:r>
        <w:rPr>
          <w:rFonts w:cs="Times New Roman"/>
          <w:sz w:val="24"/>
          <w:szCs w:val="24"/>
        </w:rPr>
        <w:t>W12</w:t>
      </w:r>
      <w:r>
        <w:rPr>
          <w:rFonts w:hint="eastAsia" w:cs="Times New Roman"/>
          <w:sz w:val="24"/>
          <w:szCs w:val="24"/>
        </w:rPr>
        <w:t>访视仅回收日记卡，不再分发日记卡）</w:t>
      </w:r>
    </w:p>
    <w:p w14:paraId="32188044">
      <w:pPr>
        <w:pStyle w:val="60"/>
        <w:numPr>
          <w:ilvl w:val="0"/>
          <w:numId w:val="37"/>
        </w:numPr>
        <w:ind w:firstLineChars="0"/>
        <w:rPr>
          <w:rFonts w:cs="Times New Roman"/>
          <w:sz w:val="24"/>
          <w:szCs w:val="24"/>
        </w:rPr>
      </w:pPr>
      <w:r>
        <w:rPr>
          <w:rFonts w:hint="eastAsia" w:cs="Times New Roman"/>
          <w:sz w:val="24"/>
          <w:szCs w:val="24"/>
        </w:rPr>
        <w:t>用药依从性评估</w:t>
      </w:r>
    </w:p>
    <w:p w14:paraId="1EE3350A">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r>
        <w:rPr>
          <w:rFonts w:hint="eastAsia" w:cs="Times New Roman"/>
          <w:sz w:val="24"/>
          <w:szCs w:val="24"/>
        </w:rPr>
        <w:t>、</w:t>
      </w:r>
      <w:r>
        <w:rPr>
          <w:rFonts w:cs="Times New Roman"/>
          <w:sz w:val="24"/>
          <w:szCs w:val="24"/>
        </w:rPr>
        <w:t>DLQI</w:t>
      </w:r>
    </w:p>
    <w:p w14:paraId="29833797">
      <w:pPr>
        <w:pStyle w:val="60"/>
        <w:numPr>
          <w:ilvl w:val="0"/>
          <w:numId w:val="37"/>
        </w:numPr>
        <w:ind w:firstLineChars="0"/>
        <w:rPr>
          <w:rFonts w:cs="Times New Roman"/>
          <w:sz w:val="24"/>
          <w:szCs w:val="24"/>
        </w:rPr>
      </w:pPr>
      <w:r>
        <w:rPr>
          <w:rFonts w:hint="eastAsia" w:cs="Times New Roman"/>
          <w:sz w:val="24"/>
          <w:szCs w:val="24"/>
        </w:rPr>
        <w:t>获取皮损照片</w:t>
      </w:r>
    </w:p>
    <w:p w14:paraId="25BD511F">
      <w:pPr>
        <w:pStyle w:val="60"/>
        <w:numPr>
          <w:ilvl w:val="0"/>
          <w:numId w:val="37"/>
        </w:numPr>
        <w:ind w:firstLineChars="0"/>
        <w:rPr>
          <w:rFonts w:cs="Times New Roman"/>
          <w:sz w:val="24"/>
          <w:szCs w:val="24"/>
        </w:rPr>
      </w:pPr>
      <w:r>
        <w:rPr>
          <w:rFonts w:hint="eastAsia" w:cs="Times New Roman"/>
          <w:sz w:val="24"/>
          <w:szCs w:val="24"/>
        </w:rPr>
        <w:t>记录不良事件</w:t>
      </w:r>
    </w:p>
    <w:p w14:paraId="79845C44">
      <w:pPr>
        <w:pStyle w:val="60"/>
        <w:numPr>
          <w:ilvl w:val="0"/>
          <w:numId w:val="37"/>
        </w:numPr>
        <w:ind w:firstLineChars="0"/>
        <w:rPr>
          <w:rFonts w:cs="Times New Roman"/>
          <w:sz w:val="24"/>
          <w:szCs w:val="24"/>
        </w:rPr>
      </w:pPr>
      <w:r>
        <w:rPr>
          <w:rFonts w:hint="eastAsia" w:cs="Times New Roman"/>
          <w:sz w:val="24"/>
          <w:szCs w:val="24"/>
        </w:rPr>
        <w:t>记录合并治疗</w:t>
      </w:r>
    </w:p>
    <w:p w14:paraId="655799E9">
      <w:pPr>
        <w:pStyle w:val="116"/>
        <w:numPr>
          <w:ilvl w:val="3"/>
          <w:numId w:val="12"/>
        </w:numPr>
        <w:ind w:hanging="708"/>
        <w:jc w:val="left"/>
        <w:outlineLvl w:val="3"/>
        <w:rPr>
          <w:rFonts w:cs="Times New Roman"/>
          <w:sz w:val="24"/>
          <w:szCs w:val="24"/>
        </w:rPr>
      </w:pPr>
      <w:bookmarkStart w:id="203" w:name="_Toc215214094"/>
      <w:bookmarkStart w:id="204" w:name="_Toc215213384"/>
      <w:bookmarkStart w:id="205" w:name="_Toc217032282"/>
      <w:r>
        <w:rPr>
          <w:rFonts w:hint="eastAsia" w:cs="Times New Roman"/>
          <w:sz w:val="24"/>
          <w:szCs w:val="24"/>
        </w:rPr>
        <w:t>随访期（</w:t>
      </w:r>
      <w:r>
        <w:rPr>
          <w:rFonts w:cs="Times New Roman"/>
          <w:sz w:val="24"/>
          <w:szCs w:val="24"/>
        </w:rPr>
        <w:t>W16</w:t>
      </w:r>
      <w:r>
        <w:rPr>
          <w:rFonts w:hint="eastAsia" w:cs="Times New Roman"/>
          <w:sz w:val="24"/>
          <w:szCs w:val="24"/>
        </w:rPr>
        <w:t>）</w:t>
      </w:r>
      <w:bookmarkEnd w:id="203"/>
      <w:bookmarkEnd w:id="204"/>
      <w:bookmarkEnd w:id="205"/>
    </w:p>
    <w:p w14:paraId="1C6F4E84">
      <w:pPr>
        <w:pStyle w:val="60"/>
        <w:numPr>
          <w:ilvl w:val="0"/>
          <w:numId w:val="37"/>
        </w:numPr>
        <w:ind w:firstLineChars="0"/>
        <w:rPr>
          <w:rFonts w:cs="Times New Roman"/>
          <w:sz w:val="24"/>
          <w:szCs w:val="24"/>
        </w:rPr>
      </w:pPr>
      <w:r>
        <w:rPr>
          <w:rFonts w:hint="eastAsia" w:cs="Times New Roman"/>
          <w:sz w:val="24"/>
          <w:szCs w:val="24"/>
        </w:rPr>
        <w:t>测量体重</w:t>
      </w:r>
    </w:p>
    <w:p w14:paraId="31C2FB68">
      <w:pPr>
        <w:pStyle w:val="60"/>
        <w:numPr>
          <w:ilvl w:val="0"/>
          <w:numId w:val="37"/>
        </w:numPr>
        <w:ind w:firstLineChars="0"/>
        <w:rPr>
          <w:rFonts w:cs="Times New Roman"/>
          <w:sz w:val="24"/>
          <w:szCs w:val="24"/>
        </w:rPr>
      </w:pPr>
      <w:r>
        <w:rPr>
          <w:rFonts w:hint="eastAsia" w:cs="Times New Roman"/>
          <w:sz w:val="24"/>
          <w:szCs w:val="24"/>
        </w:rPr>
        <w:t>测量生命体征</w:t>
      </w:r>
    </w:p>
    <w:p w14:paraId="3654EAC1">
      <w:pPr>
        <w:pStyle w:val="60"/>
        <w:numPr>
          <w:ilvl w:val="0"/>
          <w:numId w:val="37"/>
        </w:numPr>
        <w:ind w:firstLineChars="0"/>
        <w:rPr>
          <w:rFonts w:cs="Times New Roman"/>
          <w:sz w:val="24"/>
          <w:szCs w:val="24"/>
        </w:rPr>
      </w:pPr>
      <w:r>
        <w:rPr>
          <w:rFonts w:hint="eastAsia" w:cs="Times New Roman"/>
          <w:sz w:val="24"/>
          <w:szCs w:val="24"/>
        </w:rPr>
        <w:t>全面的体格检查</w:t>
      </w:r>
    </w:p>
    <w:p w14:paraId="18253959">
      <w:pPr>
        <w:pStyle w:val="60"/>
        <w:numPr>
          <w:ilvl w:val="0"/>
          <w:numId w:val="37"/>
        </w:numPr>
        <w:ind w:firstLineChars="0"/>
        <w:rPr>
          <w:rFonts w:cs="Times New Roman"/>
          <w:sz w:val="24"/>
          <w:szCs w:val="24"/>
        </w:rPr>
      </w:pPr>
      <w:r>
        <w:rPr>
          <w:rFonts w:hint="eastAsia" w:cs="Times New Roman"/>
          <w:sz w:val="24"/>
          <w:szCs w:val="24"/>
        </w:rPr>
        <w:t>实验室检查采血（血常规、尿常规、血生化、凝血功能）</w:t>
      </w:r>
    </w:p>
    <w:p w14:paraId="5F1D1E50">
      <w:pPr>
        <w:pStyle w:val="60"/>
        <w:numPr>
          <w:ilvl w:val="0"/>
          <w:numId w:val="37"/>
        </w:numPr>
        <w:ind w:firstLineChars="0"/>
        <w:rPr>
          <w:rFonts w:cs="Times New Roman"/>
          <w:sz w:val="24"/>
          <w:szCs w:val="24"/>
        </w:rPr>
      </w:pPr>
      <w:r>
        <w:rPr>
          <w:rFonts w:hint="eastAsia" w:cs="Times New Roman"/>
          <w:sz w:val="24"/>
          <w:szCs w:val="24"/>
        </w:rPr>
        <w:t>血妊娠试验（有生育能力的女性）</w:t>
      </w:r>
    </w:p>
    <w:p w14:paraId="00D8916B">
      <w:pPr>
        <w:pStyle w:val="60"/>
        <w:numPr>
          <w:ilvl w:val="0"/>
          <w:numId w:val="37"/>
        </w:numPr>
        <w:ind w:firstLineChars="0"/>
        <w:rPr>
          <w:rFonts w:cs="Times New Roman"/>
          <w:sz w:val="24"/>
          <w:szCs w:val="24"/>
        </w:rPr>
      </w:pPr>
      <w:r>
        <w:rPr>
          <w:rFonts w:cs="Times New Roman"/>
          <w:sz w:val="24"/>
          <w:szCs w:val="24"/>
        </w:rPr>
        <w:t>IL-17A采血</w:t>
      </w:r>
    </w:p>
    <w:p w14:paraId="4AA49A95">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w:t>
      </w:r>
    </w:p>
    <w:p w14:paraId="7BE3182C">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r>
        <w:rPr>
          <w:rFonts w:hint="eastAsia" w:cs="Times New Roman"/>
          <w:sz w:val="24"/>
          <w:szCs w:val="24"/>
        </w:rPr>
        <w:t>、</w:t>
      </w:r>
      <w:r>
        <w:rPr>
          <w:rFonts w:cs="Times New Roman"/>
          <w:sz w:val="24"/>
          <w:szCs w:val="24"/>
        </w:rPr>
        <w:t>DLQI</w:t>
      </w:r>
    </w:p>
    <w:p w14:paraId="29DE8EC4">
      <w:pPr>
        <w:pStyle w:val="60"/>
        <w:numPr>
          <w:ilvl w:val="0"/>
          <w:numId w:val="37"/>
        </w:numPr>
        <w:ind w:firstLineChars="0"/>
        <w:rPr>
          <w:rFonts w:cs="Times New Roman"/>
          <w:sz w:val="24"/>
          <w:szCs w:val="24"/>
        </w:rPr>
      </w:pPr>
      <w:r>
        <w:rPr>
          <w:rFonts w:hint="eastAsia" w:cs="Times New Roman"/>
          <w:sz w:val="24"/>
          <w:szCs w:val="24"/>
        </w:rPr>
        <w:t>获取皮损照片</w:t>
      </w:r>
    </w:p>
    <w:p w14:paraId="435C7C31">
      <w:pPr>
        <w:pStyle w:val="60"/>
        <w:numPr>
          <w:ilvl w:val="0"/>
          <w:numId w:val="37"/>
        </w:numPr>
        <w:ind w:firstLineChars="0"/>
        <w:rPr>
          <w:rFonts w:cs="Times New Roman"/>
          <w:sz w:val="24"/>
          <w:szCs w:val="24"/>
        </w:rPr>
      </w:pPr>
      <w:r>
        <w:rPr>
          <w:rFonts w:hint="eastAsia" w:cs="Times New Roman"/>
          <w:sz w:val="24"/>
          <w:szCs w:val="24"/>
        </w:rPr>
        <w:t>记录不良事件</w:t>
      </w:r>
    </w:p>
    <w:p w14:paraId="0408AE59">
      <w:pPr>
        <w:pStyle w:val="60"/>
        <w:numPr>
          <w:ilvl w:val="0"/>
          <w:numId w:val="37"/>
        </w:numPr>
        <w:ind w:firstLineChars="0"/>
        <w:rPr>
          <w:rFonts w:cs="Times New Roman"/>
          <w:sz w:val="24"/>
          <w:szCs w:val="24"/>
        </w:rPr>
      </w:pPr>
      <w:r>
        <w:rPr>
          <w:rFonts w:hint="eastAsia" w:cs="Times New Roman"/>
          <w:sz w:val="24"/>
          <w:szCs w:val="24"/>
        </w:rPr>
        <w:t>记录合并治疗</w:t>
      </w:r>
    </w:p>
    <w:p w14:paraId="0DD9A270">
      <w:pPr>
        <w:pStyle w:val="116"/>
        <w:numPr>
          <w:ilvl w:val="3"/>
          <w:numId w:val="12"/>
        </w:numPr>
        <w:ind w:hanging="708"/>
        <w:jc w:val="left"/>
        <w:outlineLvl w:val="3"/>
        <w:rPr>
          <w:rFonts w:cs="Times New Roman"/>
          <w:sz w:val="24"/>
          <w:szCs w:val="24"/>
        </w:rPr>
      </w:pPr>
      <w:bookmarkStart w:id="206" w:name="_Toc215213385"/>
      <w:bookmarkStart w:id="207" w:name="_Toc215214095"/>
      <w:bookmarkStart w:id="208" w:name="_Toc217032283"/>
      <w:r>
        <w:rPr>
          <w:rFonts w:hint="eastAsia" w:cs="Times New Roman"/>
          <w:sz w:val="24"/>
          <w:szCs w:val="24"/>
        </w:rPr>
        <w:t>提前退出访视（末次给药后</w:t>
      </w:r>
      <w:r>
        <w:rPr>
          <w:rFonts w:cs="Times New Roman"/>
          <w:sz w:val="24"/>
          <w:szCs w:val="24"/>
        </w:rPr>
        <w:t>7</w:t>
      </w:r>
      <w:r>
        <w:rPr>
          <w:rFonts w:hint="eastAsia" w:cs="Times New Roman"/>
          <w:sz w:val="24"/>
          <w:szCs w:val="24"/>
        </w:rPr>
        <w:t>天内）</w:t>
      </w:r>
      <w:bookmarkEnd w:id="206"/>
      <w:bookmarkEnd w:id="207"/>
      <w:bookmarkEnd w:id="208"/>
    </w:p>
    <w:p w14:paraId="29E5AA2A">
      <w:pPr>
        <w:pStyle w:val="60"/>
        <w:numPr>
          <w:ilvl w:val="0"/>
          <w:numId w:val="37"/>
        </w:numPr>
        <w:ind w:firstLineChars="0"/>
        <w:rPr>
          <w:rFonts w:cs="Times New Roman"/>
          <w:sz w:val="24"/>
          <w:szCs w:val="24"/>
        </w:rPr>
      </w:pPr>
      <w:r>
        <w:rPr>
          <w:rFonts w:hint="eastAsia" w:cs="Times New Roman"/>
          <w:sz w:val="24"/>
          <w:szCs w:val="24"/>
        </w:rPr>
        <w:t>测量体重</w:t>
      </w:r>
    </w:p>
    <w:p w14:paraId="275A163A">
      <w:pPr>
        <w:pStyle w:val="60"/>
        <w:numPr>
          <w:ilvl w:val="0"/>
          <w:numId w:val="37"/>
        </w:numPr>
        <w:ind w:firstLineChars="0"/>
        <w:rPr>
          <w:rFonts w:cs="Times New Roman"/>
          <w:sz w:val="24"/>
          <w:szCs w:val="24"/>
        </w:rPr>
      </w:pPr>
      <w:r>
        <w:rPr>
          <w:rFonts w:hint="eastAsia" w:cs="Times New Roman"/>
          <w:sz w:val="24"/>
          <w:szCs w:val="24"/>
        </w:rPr>
        <w:t>测量生命体征</w:t>
      </w:r>
    </w:p>
    <w:p w14:paraId="3B6A68B9">
      <w:pPr>
        <w:pStyle w:val="60"/>
        <w:numPr>
          <w:ilvl w:val="0"/>
          <w:numId w:val="37"/>
        </w:numPr>
        <w:ind w:firstLineChars="0"/>
        <w:rPr>
          <w:rFonts w:cs="Times New Roman"/>
          <w:sz w:val="24"/>
          <w:szCs w:val="24"/>
        </w:rPr>
      </w:pPr>
      <w:r>
        <w:rPr>
          <w:rFonts w:hint="eastAsia" w:cs="Times New Roman"/>
          <w:sz w:val="24"/>
          <w:szCs w:val="24"/>
        </w:rPr>
        <w:t>全面的体格检查</w:t>
      </w:r>
    </w:p>
    <w:p w14:paraId="543B442F">
      <w:pPr>
        <w:pStyle w:val="60"/>
        <w:numPr>
          <w:ilvl w:val="0"/>
          <w:numId w:val="37"/>
        </w:numPr>
        <w:ind w:firstLineChars="0"/>
        <w:rPr>
          <w:rFonts w:cs="Times New Roman"/>
          <w:sz w:val="24"/>
          <w:szCs w:val="24"/>
        </w:rPr>
      </w:pPr>
      <w:r>
        <w:rPr>
          <w:rFonts w:hint="eastAsia" w:cs="Times New Roman"/>
          <w:sz w:val="24"/>
          <w:szCs w:val="24"/>
        </w:rPr>
        <w:t>实验室检查采血（血常规、尿常规、血生化、凝血功能）</w:t>
      </w:r>
    </w:p>
    <w:p w14:paraId="1C790526">
      <w:pPr>
        <w:pStyle w:val="60"/>
        <w:numPr>
          <w:ilvl w:val="0"/>
          <w:numId w:val="37"/>
        </w:numPr>
        <w:ind w:firstLineChars="0"/>
        <w:rPr>
          <w:rFonts w:cs="Times New Roman"/>
          <w:sz w:val="24"/>
          <w:szCs w:val="24"/>
        </w:rPr>
      </w:pPr>
      <w:r>
        <w:rPr>
          <w:rFonts w:hint="eastAsia" w:cs="Times New Roman"/>
          <w:sz w:val="24"/>
          <w:szCs w:val="24"/>
        </w:rPr>
        <w:t>血</w:t>
      </w:r>
      <w:r>
        <w:rPr>
          <w:rFonts w:cs="Times New Roman"/>
          <w:sz w:val="24"/>
          <w:szCs w:val="24"/>
        </w:rPr>
        <w:t>/</w:t>
      </w:r>
      <w:r>
        <w:rPr>
          <w:rFonts w:hint="eastAsia" w:cs="Times New Roman"/>
          <w:sz w:val="24"/>
          <w:szCs w:val="24"/>
        </w:rPr>
        <w:t>尿妊娠试验（有生育能力的女性）</w:t>
      </w:r>
    </w:p>
    <w:p w14:paraId="19F403B7">
      <w:pPr>
        <w:pStyle w:val="60"/>
        <w:numPr>
          <w:ilvl w:val="0"/>
          <w:numId w:val="37"/>
        </w:numPr>
        <w:ind w:firstLineChars="0"/>
        <w:rPr>
          <w:rFonts w:cs="Times New Roman"/>
          <w:sz w:val="24"/>
          <w:szCs w:val="24"/>
        </w:rPr>
      </w:pPr>
      <w:r>
        <w:rPr>
          <w:rFonts w:cs="Times New Roman"/>
          <w:sz w:val="24"/>
          <w:szCs w:val="24"/>
        </w:rPr>
        <w:t>PK</w:t>
      </w:r>
      <w:r>
        <w:rPr>
          <w:rFonts w:hint="eastAsia" w:cs="Times New Roman"/>
          <w:sz w:val="24"/>
          <w:szCs w:val="24"/>
        </w:rPr>
        <w:t>采血</w:t>
      </w:r>
    </w:p>
    <w:p w14:paraId="2909DCE8">
      <w:pPr>
        <w:pStyle w:val="60"/>
        <w:numPr>
          <w:ilvl w:val="0"/>
          <w:numId w:val="37"/>
        </w:numPr>
        <w:ind w:firstLineChars="0"/>
        <w:rPr>
          <w:rFonts w:cs="Times New Roman"/>
          <w:sz w:val="24"/>
          <w:szCs w:val="24"/>
        </w:rPr>
      </w:pPr>
      <w:r>
        <w:rPr>
          <w:rFonts w:cs="Times New Roman"/>
          <w:sz w:val="24"/>
          <w:szCs w:val="24"/>
        </w:rPr>
        <w:t>IL-17A采血</w:t>
      </w:r>
    </w:p>
    <w:p w14:paraId="37D6C63A">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w:t>
      </w:r>
    </w:p>
    <w:p w14:paraId="427C667C">
      <w:pPr>
        <w:pStyle w:val="60"/>
        <w:numPr>
          <w:ilvl w:val="0"/>
          <w:numId w:val="37"/>
        </w:numPr>
        <w:ind w:firstLineChars="0"/>
        <w:rPr>
          <w:rFonts w:cs="Times New Roman"/>
          <w:sz w:val="24"/>
          <w:szCs w:val="24"/>
        </w:rPr>
      </w:pPr>
      <w:r>
        <w:rPr>
          <w:rFonts w:hint="eastAsia" w:cs="Times New Roman"/>
          <w:sz w:val="24"/>
          <w:szCs w:val="24"/>
        </w:rPr>
        <w:t>回收试验用药品</w:t>
      </w:r>
    </w:p>
    <w:p w14:paraId="1DB89C9C">
      <w:pPr>
        <w:pStyle w:val="60"/>
        <w:numPr>
          <w:ilvl w:val="0"/>
          <w:numId w:val="37"/>
        </w:numPr>
        <w:ind w:firstLineChars="0"/>
        <w:rPr>
          <w:rFonts w:cs="Times New Roman"/>
          <w:sz w:val="24"/>
          <w:szCs w:val="24"/>
        </w:rPr>
      </w:pPr>
      <w:r>
        <w:rPr>
          <w:rFonts w:hint="eastAsia" w:cs="Times New Roman"/>
          <w:sz w:val="24"/>
          <w:szCs w:val="24"/>
        </w:rPr>
        <w:t>回收参与者日记卡</w:t>
      </w:r>
    </w:p>
    <w:p w14:paraId="628504AB">
      <w:pPr>
        <w:pStyle w:val="60"/>
        <w:numPr>
          <w:ilvl w:val="0"/>
          <w:numId w:val="37"/>
        </w:numPr>
        <w:ind w:firstLineChars="0"/>
        <w:rPr>
          <w:rFonts w:cs="Times New Roman"/>
          <w:sz w:val="24"/>
          <w:szCs w:val="24"/>
        </w:rPr>
      </w:pPr>
      <w:r>
        <w:rPr>
          <w:rFonts w:hint="eastAsia" w:cs="Times New Roman"/>
          <w:sz w:val="24"/>
          <w:szCs w:val="24"/>
        </w:rPr>
        <w:t>用药依从性评估</w:t>
      </w:r>
    </w:p>
    <w:p w14:paraId="27417C34">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r>
        <w:rPr>
          <w:rFonts w:hint="eastAsia" w:cs="Times New Roman"/>
          <w:sz w:val="24"/>
          <w:szCs w:val="24"/>
        </w:rPr>
        <w:t>、</w:t>
      </w:r>
      <w:r>
        <w:rPr>
          <w:rFonts w:cs="Times New Roman"/>
          <w:sz w:val="24"/>
          <w:szCs w:val="24"/>
        </w:rPr>
        <w:t>DLQI</w:t>
      </w:r>
    </w:p>
    <w:p w14:paraId="74C6555F">
      <w:pPr>
        <w:pStyle w:val="60"/>
        <w:numPr>
          <w:ilvl w:val="0"/>
          <w:numId w:val="37"/>
        </w:numPr>
        <w:ind w:firstLineChars="0"/>
        <w:rPr>
          <w:rFonts w:cs="Times New Roman"/>
          <w:sz w:val="24"/>
          <w:szCs w:val="24"/>
        </w:rPr>
      </w:pPr>
      <w:r>
        <w:rPr>
          <w:rFonts w:hint="eastAsia" w:cs="Times New Roman"/>
          <w:sz w:val="24"/>
          <w:szCs w:val="24"/>
        </w:rPr>
        <w:t>获取皮损照片</w:t>
      </w:r>
    </w:p>
    <w:p w14:paraId="477ACDF1">
      <w:pPr>
        <w:pStyle w:val="60"/>
        <w:numPr>
          <w:ilvl w:val="0"/>
          <w:numId w:val="37"/>
        </w:numPr>
        <w:ind w:firstLineChars="0"/>
        <w:rPr>
          <w:rFonts w:cs="Times New Roman"/>
          <w:sz w:val="24"/>
          <w:szCs w:val="24"/>
        </w:rPr>
      </w:pPr>
      <w:r>
        <w:rPr>
          <w:rFonts w:hint="eastAsia" w:cs="Times New Roman"/>
          <w:sz w:val="24"/>
          <w:szCs w:val="24"/>
        </w:rPr>
        <w:t>记录不良事件</w:t>
      </w:r>
    </w:p>
    <w:p w14:paraId="0AA0573A">
      <w:pPr>
        <w:pStyle w:val="60"/>
        <w:numPr>
          <w:ilvl w:val="0"/>
          <w:numId w:val="37"/>
        </w:numPr>
        <w:ind w:firstLineChars="0"/>
        <w:rPr>
          <w:rFonts w:cs="Times New Roman"/>
          <w:b/>
          <w:sz w:val="24"/>
          <w:szCs w:val="24"/>
          <w:u w:val="single"/>
        </w:rPr>
      </w:pPr>
      <w:r>
        <w:rPr>
          <w:rFonts w:hint="eastAsia" w:cs="Times New Roman"/>
          <w:sz w:val="24"/>
          <w:szCs w:val="24"/>
        </w:rPr>
        <w:t>记录合并治疗</w:t>
      </w:r>
    </w:p>
    <w:p w14:paraId="7E7D1C5D">
      <w:pPr>
        <w:pStyle w:val="116"/>
        <w:numPr>
          <w:ilvl w:val="3"/>
          <w:numId w:val="12"/>
        </w:numPr>
        <w:ind w:hanging="708"/>
        <w:jc w:val="left"/>
        <w:outlineLvl w:val="3"/>
        <w:rPr>
          <w:rFonts w:cs="Times New Roman"/>
          <w:sz w:val="24"/>
          <w:szCs w:val="24"/>
        </w:rPr>
      </w:pPr>
      <w:bookmarkStart w:id="209" w:name="_Toc215213386"/>
      <w:bookmarkStart w:id="210" w:name="_Toc217032284"/>
      <w:bookmarkStart w:id="211" w:name="_Toc215214096"/>
      <w:r>
        <w:rPr>
          <w:rFonts w:hint="eastAsia" w:cs="Times New Roman"/>
          <w:sz w:val="24"/>
          <w:szCs w:val="24"/>
        </w:rPr>
        <w:t>计划外访视</w:t>
      </w:r>
      <w:r>
        <w:rPr>
          <w:rFonts w:cs="Times New Roman"/>
          <w:sz w:val="24"/>
          <w:szCs w:val="24"/>
        </w:rPr>
        <w:t>/</w:t>
      </w:r>
      <w:r>
        <w:rPr>
          <w:rFonts w:hint="eastAsia" w:cs="Times New Roman"/>
          <w:sz w:val="24"/>
          <w:szCs w:val="24"/>
        </w:rPr>
        <w:t>检查</w:t>
      </w:r>
      <w:bookmarkEnd w:id="209"/>
      <w:bookmarkEnd w:id="210"/>
      <w:bookmarkEnd w:id="211"/>
    </w:p>
    <w:p w14:paraId="3D2E5D3A">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研究者可以根据参与者的情况安排计划外的访视或检查，尤其当参与者出现不良事件时。计划外访视及该访视进行的计划外检查将记录在原始资料上，并且同时记录进行该计划外访视（或检查）的原因。</w:t>
      </w:r>
    </w:p>
    <w:p w14:paraId="5008B54E">
      <w:pPr>
        <w:pStyle w:val="60"/>
        <w:numPr>
          <w:ilvl w:val="0"/>
          <w:numId w:val="37"/>
        </w:numPr>
        <w:ind w:firstLineChars="0"/>
        <w:rPr>
          <w:rFonts w:cs="Times New Roman"/>
          <w:sz w:val="24"/>
          <w:szCs w:val="24"/>
        </w:rPr>
      </w:pPr>
      <w:r>
        <w:rPr>
          <w:rFonts w:hint="eastAsia" w:cs="Times New Roman"/>
          <w:sz w:val="24"/>
          <w:szCs w:val="24"/>
        </w:rPr>
        <w:t>记录不良事件</w:t>
      </w:r>
    </w:p>
    <w:p w14:paraId="3DBBF19B">
      <w:pPr>
        <w:pStyle w:val="60"/>
        <w:numPr>
          <w:ilvl w:val="0"/>
          <w:numId w:val="37"/>
        </w:numPr>
        <w:ind w:firstLineChars="0"/>
        <w:rPr>
          <w:rFonts w:cs="Times New Roman"/>
          <w:sz w:val="24"/>
          <w:szCs w:val="24"/>
        </w:rPr>
      </w:pPr>
      <w:r>
        <w:rPr>
          <w:rFonts w:hint="eastAsia" w:cs="Times New Roman"/>
          <w:sz w:val="24"/>
          <w:szCs w:val="24"/>
        </w:rPr>
        <w:t>记录合并治疗</w:t>
      </w:r>
    </w:p>
    <w:p w14:paraId="04651F66">
      <w:pPr>
        <w:pStyle w:val="116"/>
        <w:numPr>
          <w:ilvl w:val="2"/>
          <w:numId w:val="12"/>
        </w:numPr>
        <w:jc w:val="left"/>
        <w:outlineLvl w:val="2"/>
        <w:rPr>
          <w:rFonts w:cs="Times New Roman"/>
          <w:sz w:val="24"/>
          <w:szCs w:val="24"/>
        </w:rPr>
      </w:pPr>
      <w:bookmarkStart w:id="212" w:name="_Toc217032285"/>
      <w:r>
        <w:rPr>
          <w:rFonts w:hint="eastAsia" w:cs="Times New Roman"/>
          <w:sz w:val="24"/>
          <w:szCs w:val="24"/>
        </w:rPr>
        <w:t>Ⅲ期临床研究阶段</w:t>
      </w:r>
      <w:bookmarkEnd w:id="212"/>
    </w:p>
    <w:p w14:paraId="4456DC6B">
      <w:pPr>
        <w:pStyle w:val="116"/>
        <w:numPr>
          <w:ilvl w:val="3"/>
          <w:numId w:val="12"/>
        </w:numPr>
        <w:ind w:hanging="708"/>
        <w:jc w:val="left"/>
        <w:outlineLvl w:val="3"/>
        <w:rPr>
          <w:rFonts w:cs="Times New Roman"/>
          <w:sz w:val="24"/>
          <w:szCs w:val="24"/>
        </w:rPr>
      </w:pPr>
      <w:bookmarkStart w:id="213" w:name="_Toc215213388"/>
      <w:bookmarkStart w:id="214" w:name="_Toc217032286"/>
      <w:bookmarkStart w:id="215" w:name="_Toc215214098"/>
      <w:r>
        <w:rPr>
          <w:rFonts w:hint="eastAsia" w:cs="Times New Roman"/>
          <w:sz w:val="24"/>
          <w:szCs w:val="24"/>
        </w:rPr>
        <w:t>筛选期</w:t>
      </w:r>
      <w:bookmarkEnd w:id="213"/>
      <w:bookmarkEnd w:id="214"/>
      <w:bookmarkEnd w:id="215"/>
    </w:p>
    <w:p w14:paraId="22AB8CE6">
      <w:pPr>
        <w:pStyle w:val="60"/>
        <w:numPr>
          <w:ilvl w:val="0"/>
          <w:numId w:val="37"/>
        </w:numPr>
        <w:ind w:firstLineChars="0"/>
        <w:rPr>
          <w:rFonts w:cs="Times New Roman"/>
          <w:sz w:val="24"/>
          <w:szCs w:val="24"/>
        </w:rPr>
      </w:pPr>
      <w:r>
        <w:rPr>
          <w:rFonts w:hint="eastAsia" w:cs="Times New Roman"/>
          <w:sz w:val="24"/>
          <w:szCs w:val="24"/>
        </w:rPr>
        <w:t>与Ⅱ期临床研究试验一致，详见</w:t>
      </w:r>
      <w:r>
        <w:rPr>
          <w:rFonts w:cs="Times New Roman"/>
          <w:sz w:val="24"/>
          <w:szCs w:val="24"/>
        </w:rPr>
        <w:t>7.2.1.1</w:t>
      </w:r>
    </w:p>
    <w:p w14:paraId="5CD2A816">
      <w:pPr>
        <w:pStyle w:val="116"/>
        <w:numPr>
          <w:ilvl w:val="3"/>
          <w:numId w:val="12"/>
        </w:numPr>
        <w:ind w:hanging="708"/>
        <w:jc w:val="left"/>
        <w:outlineLvl w:val="3"/>
        <w:rPr>
          <w:rFonts w:cs="Times New Roman"/>
          <w:sz w:val="24"/>
          <w:szCs w:val="24"/>
        </w:rPr>
      </w:pPr>
      <w:bookmarkStart w:id="216" w:name="_Toc215213389"/>
      <w:bookmarkStart w:id="217" w:name="_Toc215214099"/>
      <w:bookmarkStart w:id="218" w:name="_Toc217032287"/>
      <w:r>
        <w:rPr>
          <w:rFonts w:hint="eastAsia" w:cs="Times New Roman"/>
          <w:sz w:val="24"/>
          <w:szCs w:val="24"/>
        </w:rPr>
        <w:t>治疗期</w:t>
      </w:r>
      <w:bookmarkEnd w:id="216"/>
      <w:bookmarkEnd w:id="217"/>
      <w:bookmarkEnd w:id="218"/>
    </w:p>
    <w:p w14:paraId="78A1DDB3">
      <w:pPr>
        <w:spacing w:line="360" w:lineRule="auto"/>
        <w:ind w:firstLine="482" w:firstLineChars="200"/>
        <w:jc w:val="both"/>
        <w:rPr>
          <w:rFonts w:ascii="Times New Roman" w:hAnsi="Times New Roman" w:eastAsia="宋体" w:cs="Times New Roman"/>
          <w:b/>
          <w:sz w:val="24"/>
          <w:szCs w:val="24"/>
          <w:u w:val="single"/>
        </w:rPr>
      </w:pPr>
      <w:r>
        <w:rPr>
          <w:rFonts w:hint="eastAsia" w:ascii="Times New Roman" w:hAnsi="Times New Roman" w:eastAsia="宋体" w:cs="Times New Roman"/>
          <w:b/>
          <w:sz w:val="24"/>
          <w:szCs w:val="24"/>
          <w:u w:val="single"/>
        </w:rPr>
        <w:t>Ⅲ期基础期（</w:t>
      </w:r>
      <w:r>
        <w:rPr>
          <w:rFonts w:ascii="Times New Roman" w:hAnsi="Times New Roman" w:eastAsia="宋体" w:cs="Times New Roman"/>
          <w:b/>
          <w:sz w:val="24"/>
          <w:szCs w:val="24"/>
          <w:u w:val="single"/>
        </w:rPr>
        <w:t>W2</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W4</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W8</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W12</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W16</w:t>
      </w:r>
      <w:r>
        <w:rPr>
          <w:rFonts w:hint="eastAsia" w:ascii="Times New Roman" w:hAnsi="Times New Roman" w:eastAsia="宋体" w:cs="Times New Roman"/>
          <w:b/>
          <w:sz w:val="24"/>
          <w:szCs w:val="24"/>
          <w:u w:val="single"/>
        </w:rPr>
        <w:t>）</w:t>
      </w:r>
    </w:p>
    <w:p w14:paraId="55A85B48">
      <w:pPr>
        <w:pStyle w:val="60"/>
        <w:numPr>
          <w:ilvl w:val="0"/>
          <w:numId w:val="37"/>
        </w:numPr>
        <w:ind w:firstLineChars="0"/>
        <w:rPr>
          <w:rFonts w:cs="Times New Roman"/>
          <w:sz w:val="24"/>
          <w:szCs w:val="24"/>
        </w:rPr>
      </w:pPr>
      <w:r>
        <w:rPr>
          <w:rFonts w:hint="eastAsia" w:cs="Times New Roman"/>
          <w:sz w:val="24"/>
          <w:szCs w:val="24"/>
        </w:rPr>
        <w:t>测量体重（</w:t>
      </w:r>
      <w:r>
        <w:rPr>
          <w:rFonts w:cs="Times New Roman"/>
          <w:sz w:val="24"/>
          <w:szCs w:val="24"/>
        </w:rPr>
        <w:t>W2</w:t>
      </w:r>
      <w:r>
        <w:rPr>
          <w:rFonts w:hint="eastAsia" w:cs="Times New Roman"/>
          <w:sz w:val="24"/>
          <w:szCs w:val="24"/>
        </w:rPr>
        <w:t>除外）</w:t>
      </w:r>
    </w:p>
    <w:p w14:paraId="6DA3AD1F">
      <w:pPr>
        <w:pStyle w:val="60"/>
        <w:numPr>
          <w:ilvl w:val="0"/>
          <w:numId w:val="37"/>
        </w:numPr>
        <w:ind w:firstLineChars="0"/>
        <w:rPr>
          <w:rFonts w:cs="Times New Roman"/>
          <w:sz w:val="24"/>
          <w:szCs w:val="24"/>
        </w:rPr>
      </w:pPr>
      <w:r>
        <w:rPr>
          <w:rFonts w:hint="eastAsia" w:cs="Times New Roman"/>
          <w:sz w:val="24"/>
          <w:szCs w:val="24"/>
        </w:rPr>
        <w:t>测量生命体征</w:t>
      </w:r>
    </w:p>
    <w:p w14:paraId="779B82EC">
      <w:pPr>
        <w:pStyle w:val="60"/>
        <w:numPr>
          <w:ilvl w:val="0"/>
          <w:numId w:val="37"/>
        </w:numPr>
        <w:ind w:firstLineChars="0"/>
        <w:rPr>
          <w:rFonts w:cs="Times New Roman"/>
          <w:sz w:val="24"/>
          <w:szCs w:val="24"/>
        </w:rPr>
      </w:pPr>
      <w:r>
        <w:rPr>
          <w:rFonts w:hint="eastAsia" w:cs="Times New Roman"/>
          <w:sz w:val="24"/>
          <w:szCs w:val="24"/>
        </w:rPr>
        <w:t>全面的体格检查（</w:t>
      </w:r>
      <w:r>
        <w:rPr>
          <w:rFonts w:cs="Times New Roman"/>
          <w:sz w:val="24"/>
          <w:szCs w:val="24"/>
        </w:rPr>
        <w:t xml:space="preserve"> W16</w:t>
      </w:r>
      <w:r>
        <w:rPr>
          <w:rFonts w:hint="eastAsia" w:cs="Times New Roman"/>
          <w:sz w:val="24"/>
          <w:szCs w:val="24"/>
        </w:rPr>
        <w:t>进行全面的体格检查，其余访视为症状导向的体格检查）</w:t>
      </w:r>
    </w:p>
    <w:p w14:paraId="0E1B9E67">
      <w:pPr>
        <w:pStyle w:val="60"/>
        <w:numPr>
          <w:ilvl w:val="0"/>
          <w:numId w:val="37"/>
        </w:numPr>
        <w:ind w:firstLineChars="0"/>
        <w:rPr>
          <w:rFonts w:cs="Times New Roman"/>
          <w:sz w:val="24"/>
          <w:szCs w:val="24"/>
        </w:rPr>
      </w:pPr>
      <w:r>
        <w:rPr>
          <w:rFonts w:hint="eastAsia" w:cs="Times New Roman"/>
          <w:sz w:val="24"/>
          <w:szCs w:val="24"/>
        </w:rPr>
        <w:t>实验室检查采血（血常规、尿常规、血生化、凝血功能，其中，糖化血红蛋白仅在</w:t>
      </w:r>
      <w:r>
        <w:rPr>
          <w:rFonts w:cs="Times New Roman"/>
          <w:sz w:val="24"/>
          <w:szCs w:val="24"/>
        </w:rPr>
        <w:t>16</w:t>
      </w:r>
      <w:r>
        <w:rPr>
          <w:rFonts w:hint="eastAsia" w:cs="Times New Roman"/>
          <w:sz w:val="24"/>
          <w:szCs w:val="24"/>
        </w:rPr>
        <w:t>周访视进行）</w:t>
      </w:r>
    </w:p>
    <w:p w14:paraId="4EAF162D">
      <w:pPr>
        <w:pStyle w:val="60"/>
        <w:numPr>
          <w:ilvl w:val="0"/>
          <w:numId w:val="37"/>
        </w:numPr>
        <w:ind w:firstLineChars="0"/>
        <w:rPr>
          <w:rFonts w:cs="Times New Roman"/>
          <w:sz w:val="24"/>
          <w:szCs w:val="24"/>
        </w:rPr>
      </w:pPr>
      <w:r>
        <w:rPr>
          <w:rFonts w:hint="eastAsia" w:cs="Times New Roman"/>
          <w:sz w:val="24"/>
          <w:szCs w:val="24"/>
        </w:rPr>
        <w:t>血</w:t>
      </w:r>
      <w:r>
        <w:rPr>
          <w:rFonts w:cs="Times New Roman"/>
          <w:sz w:val="24"/>
          <w:szCs w:val="24"/>
        </w:rPr>
        <w:t>/</w:t>
      </w:r>
      <w:r>
        <w:rPr>
          <w:rFonts w:hint="eastAsia" w:cs="Times New Roman"/>
          <w:sz w:val="24"/>
          <w:szCs w:val="24"/>
        </w:rPr>
        <w:t>尿妊娠试验（有生育能力的女性，</w:t>
      </w:r>
      <w:r>
        <w:rPr>
          <w:rFonts w:cs="Times New Roman"/>
          <w:sz w:val="24"/>
          <w:szCs w:val="24"/>
        </w:rPr>
        <w:t>W16</w:t>
      </w:r>
      <w:r>
        <w:rPr>
          <w:rFonts w:hint="eastAsia" w:cs="Times New Roman"/>
          <w:sz w:val="24"/>
          <w:szCs w:val="24"/>
        </w:rPr>
        <w:t>必须为血妊娠试验）</w:t>
      </w:r>
    </w:p>
    <w:p w14:paraId="3F848FD2">
      <w:pPr>
        <w:pStyle w:val="60"/>
        <w:numPr>
          <w:ilvl w:val="0"/>
          <w:numId w:val="37"/>
        </w:numPr>
        <w:ind w:firstLineChars="0"/>
        <w:rPr>
          <w:rFonts w:cs="Times New Roman"/>
          <w:sz w:val="24"/>
          <w:szCs w:val="24"/>
        </w:rPr>
      </w:pPr>
      <w:r>
        <w:rPr>
          <w:rFonts w:cs="Times New Roman"/>
          <w:sz w:val="24"/>
          <w:szCs w:val="24"/>
        </w:rPr>
        <w:t>PK</w:t>
      </w:r>
      <w:r>
        <w:rPr>
          <w:rFonts w:hint="eastAsia" w:cs="Times New Roman"/>
          <w:sz w:val="24"/>
          <w:szCs w:val="24"/>
        </w:rPr>
        <w:t>采血</w:t>
      </w:r>
    </w:p>
    <w:p w14:paraId="45B5A1DC">
      <w:pPr>
        <w:pStyle w:val="60"/>
        <w:numPr>
          <w:ilvl w:val="0"/>
          <w:numId w:val="37"/>
        </w:numPr>
        <w:ind w:firstLineChars="0"/>
        <w:rPr>
          <w:rFonts w:cs="Times New Roman"/>
        </w:rPr>
      </w:pPr>
      <w:r>
        <w:rPr>
          <w:rFonts w:cs="Times New Roman"/>
          <w:sz w:val="24"/>
          <w:szCs w:val="24"/>
        </w:rPr>
        <w:t>IL-17A采血</w:t>
      </w:r>
    </w:p>
    <w:p w14:paraId="668FB0E9">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导联心电图检查（仅</w:t>
      </w:r>
      <w:r>
        <w:rPr>
          <w:rFonts w:cs="Times New Roman"/>
          <w:sz w:val="24"/>
          <w:szCs w:val="24"/>
        </w:rPr>
        <w:t>W16</w:t>
      </w:r>
      <w:r>
        <w:rPr>
          <w:rFonts w:hint="eastAsia" w:cs="Times New Roman"/>
          <w:sz w:val="24"/>
          <w:szCs w:val="24"/>
        </w:rPr>
        <w:t>进行）</w:t>
      </w:r>
    </w:p>
    <w:p w14:paraId="4BD5F260">
      <w:pPr>
        <w:pStyle w:val="60"/>
        <w:numPr>
          <w:ilvl w:val="0"/>
          <w:numId w:val="37"/>
        </w:numPr>
        <w:ind w:firstLineChars="0"/>
        <w:rPr>
          <w:rFonts w:cs="Times New Roman"/>
          <w:sz w:val="24"/>
          <w:szCs w:val="24"/>
        </w:rPr>
      </w:pPr>
      <w:r>
        <w:rPr>
          <w:rFonts w:hint="eastAsia" w:cs="Times New Roman"/>
          <w:sz w:val="24"/>
          <w:szCs w:val="24"/>
        </w:rPr>
        <w:t>服用试验用药品</w:t>
      </w:r>
      <w:r>
        <w:rPr>
          <w:rFonts w:cs="Times New Roman"/>
          <w:sz w:val="24"/>
          <w:szCs w:val="24"/>
        </w:rPr>
        <w:t xml:space="preserve"> </w:t>
      </w:r>
      <w:r>
        <w:rPr>
          <w:rFonts w:hint="eastAsia" w:cs="Times New Roman"/>
          <w:sz w:val="24"/>
          <w:szCs w:val="24"/>
        </w:rPr>
        <w:t>（</w:t>
      </w:r>
      <w:r>
        <w:rPr>
          <w:rFonts w:cs="Times New Roman"/>
          <w:sz w:val="24"/>
          <w:szCs w:val="24"/>
        </w:rPr>
        <w:t>W16</w:t>
      </w:r>
      <w:r>
        <w:rPr>
          <w:rFonts w:hint="eastAsia" w:cs="Times New Roman"/>
          <w:sz w:val="24"/>
          <w:szCs w:val="24"/>
        </w:rPr>
        <w:t>访视当天无需用药，其余访视当天用药需要在研究中心完成）</w:t>
      </w:r>
    </w:p>
    <w:p w14:paraId="62A3C9CE">
      <w:pPr>
        <w:pStyle w:val="60"/>
        <w:numPr>
          <w:ilvl w:val="0"/>
          <w:numId w:val="37"/>
        </w:numPr>
        <w:ind w:firstLineChars="0"/>
        <w:rPr>
          <w:rFonts w:cs="Times New Roman"/>
          <w:sz w:val="24"/>
          <w:szCs w:val="24"/>
        </w:rPr>
      </w:pPr>
      <w:r>
        <w:rPr>
          <w:rFonts w:hint="eastAsia" w:cs="Times New Roman"/>
          <w:sz w:val="24"/>
          <w:szCs w:val="24"/>
        </w:rPr>
        <w:t>分发</w:t>
      </w:r>
      <w:r>
        <w:rPr>
          <w:rFonts w:cs="Times New Roman"/>
          <w:sz w:val="24"/>
          <w:szCs w:val="24"/>
        </w:rPr>
        <w:t>/</w:t>
      </w:r>
      <w:r>
        <w:rPr>
          <w:rFonts w:hint="eastAsia" w:cs="Times New Roman"/>
          <w:sz w:val="24"/>
          <w:szCs w:val="24"/>
        </w:rPr>
        <w:t>回收试验用药品（</w:t>
      </w:r>
      <w:r>
        <w:rPr>
          <w:rFonts w:cs="Times New Roman"/>
          <w:sz w:val="24"/>
          <w:szCs w:val="24"/>
        </w:rPr>
        <w:t>W16</w:t>
      </w:r>
      <w:r>
        <w:rPr>
          <w:rFonts w:hint="eastAsia" w:cs="Times New Roman"/>
          <w:sz w:val="24"/>
          <w:szCs w:val="24"/>
        </w:rPr>
        <w:t>仅回收试验用药品，不再分发试验用药品）</w:t>
      </w:r>
    </w:p>
    <w:p w14:paraId="06C59FAE">
      <w:pPr>
        <w:pStyle w:val="60"/>
        <w:numPr>
          <w:ilvl w:val="0"/>
          <w:numId w:val="37"/>
        </w:numPr>
        <w:ind w:firstLineChars="0"/>
        <w:rPr>
          <w:rFonts w:cs="Times New Roman"/>
          <w:sz w:val="24"/>
          <w:szCs w:val="24"/>
        </w:rPr>
      </w:pPr>
      <w:r>
        <w:rPr>
          <w:rFonts w:hint="eastAsia" w:cs="Times New Roman"/>
          <w:sz w:val="24"/>
          <w:szCs w:val="24"/>
        </w:rPr>
        <w:t>分发</w:t>
      </w:r>
      <w:r>
        <w:rPr>
          <w:rFonts w:cs="Times New Roman"/>
          <w:sz w:val="24"/>
          <w:szCs w:val="24"/>
        </w:rPr>
        <w:t>/</w:t>
      </w:r>
      <w:r>
        <w:rPr>
          <w:rFonts w:hint="eastAsia" w:cs="Times New Roman"/>
          <w:sz w:val="24"/>
          <w:szCs w:val="24"/>
        </w:rPr>
        <w:t>回收参与者日记卡（</w:t>
      </w:r>
      <w:r>
        <w:rPr>
          <w:rFonts w:cs="Times New Roman"/>
          <w:sz w:val="24"/>
          <w:szCs w:val="24"/>
        </w:rPr>
        <w:t>W16</w:t>
      </w:r>
      <w:r>
        <w:rPr>
          <w:rFonts w:hint="eastAsia" w:cs="Times New Roman"/>
          <w:sz w:val="24"/>
          <w:szCs w:val="24"/>
        </w:rPr>
        <w:t>仅回收日记卡，不再分发日记卡）</w:t>
      </w:r>
    </w:p>
    <w:p w14:paraId="3A3FD15B">
      <w:pPr>
        <w:pStyle w:val="60"/>
        <w:numPr>
          <w:ilvl w:val="0"/>
          <w:numId w:val="37"/>
        </w:numPr>
        <w:ind w:firstLineChars="0"/>
        <w:rPr>
          <w:rFonts w:cs="Times New Roman"/>
          <w:sz w:val="24"/>
          <w:szCs w:val="24"/>
        </w:rPr>
      </w:pPr>
      <w:r>
        <w:rPr>
          <w:rFonts w:hint="eastAsia" w:cs="Times New Roman"/>
          <w:sz w:val="24"/>
          <w:szCs w:val="24"/>
        </w:rPr>
        <w:t>用药依从性评估</w:t>
      </w:r>
    </w:p>
    <w:p w14:paraId="484F1FF4">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r>
        <w:rPr>
          <w:rFonts w:hint="eastAsia" w:cs="Times New Roman"/>
          <w:sz w:val="24"/>
          <w:szCs w:val="24"/>
        </w:rPr>
        <w:t>、</w:t>
      </w:r>
      <w:r>
        <w:rPr>
          <w:rFonts w:cs="Times New Roman"/>
          <w:sz w:val="24"/>
          <w:szCs w:val="24"/>
        </w:rPr>
        <w:t>DLQI</w:t>
      </w:r>
    </w:p>
    <w:p w14:paraId="1E87888B">
      <w:pPr>
        <w:pStyle w:val="60"/>
        <w:numPr>
          <w:ilvl w:val="0"/>
          <w:numId w:val="37"/>
        </w:numPr>
        <w:ind w:firstLineChars="0"/>
        <w:rPr>
          <w:rFonts w:cs="Times New Roman"/>
          <w:sz w:val="24"/>
          <w:szCs w:val="24"/>
        </w:rPr>
      </w:pPr>
      <w:r>
        <w:rPr>
          <w:rFonts w:hint="eastAsia" w:cs="Times New Roman"/>
          <w:sz w:val="24"/>
          <w:szCs w:val="24"/>
        </w:rPr>
        <w:t>获取皮损照片</w:t>
      </w:r>
    </w:p>
    <w:p w14:paraId="2E883BB6">
      <w:pPr>
        <w:pStyle w:val="60"/>
        <w:numPr>
          <w:ilvl w:val="0"/>
          <w:numId w:val="37"/>
        </w:numPr>
        <w:ind w:firstLineChars="0"/>
        <w:rPr>
          <w:rFonts w:cs="Times New Roman"/>
          <w:sz w:val="24"/>
          <w:szCs w:val="24"/>
        </w:rPr>
      </w:pPr>
      <w:r>
        <w:rPr>
          <w:rFonts w:hint="eastAsia" w:cs="Times New Roman"/>
          <w:sz w:val="24"/>
          <w:szCs w:val="24"/>
        </w:rPr>
        <w:t>记录不良事件</w:t>
      </w:r>
    </w:p>
    <w:p w14:paraId="16CFA3B2">
      <w:pPr>
        <w:pStyle w:val="60"/>
        <w:numPr>
          <w:ilvl w:val="0"/>
          <w:numId w:val="37"/>
        </w:numPr>
        <w:ind w:firstLineChars="0"/>
        <w:rPr>
          <w:rFonts w:cs="Times New Roman"/>
          <w:sz w:val="24"/>
          <w:szCs w:val="24"/>
        </w:rPr>
      </w:pPr>
      <w:r>
        <w:rPr>
          <w:rFonts w:hint="eastAsia" w:cs="Times New Roman"/>
          <w:sz w:val="24"/>
          <w:szCs w:val="24"/>
        </w:rPr>
        <w:t>记录合并治疗</w:t>
      </w:r>
    </w:p>
    <w:p w14:paraId="72A49EA5">
      <w:pPr>
        <w:spacing w:line="360" w:lineRule="auto"/>
        <w:ind w:firstLine="482" w:firstLineChars="200"/>
        <w:jc w:val="both"/>
        <w:rPr>
          <w:rFonts w:ascii="Times New Roman" w:hAnsi="Times New Roman" w:eastAsia="宋体" w:cs="Times New Roman"/>
          <w:b/>
          <w:sz w:val="24"/>
          <w:szCs w:val="24"/>
          <w:u w:val="single"/>
        </w:rPr>
      </w:pPr>
      <w:r>
        <w:rPr>
          <w:rFonts w:hint="eastAsia" w:ascii="Times New Roman" w:hAnsi="Times New Roman" w:eastAsia="宋体" w:cs="Times New Roman"/>
          <w:b/>
          <w:sz w:val="24"/>
          <w:szCs w:val="24"/>
          <w:u w:val="single"/>
        </w:rPr>
        <w:t>Ⅲ期扩展期（</w:t>
      </w:r>
      <w:r>
        <w:rPr>
          <w:rFonts w:ascii="Times New Roman" w:hAnsi="Times New Roman" w:eastAsia="宋体" w:cs="Times New Roman"/>
          <w:b/>
          <w:sz w:val="24"/>
          <w:szCs w:val="24"/>
          <w:u w:val="single"/>
        </w:rPr>
        <w:t>W20</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W24</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W28</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W32</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W36</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W40</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W44</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W48</w:t>
      </w:r>
      <w:r>
        <w:rPr>
          <w:rFonts w:hint="eastAsia" w:ascii="Times New Roman" w:hAnsi="Times New Roman" w:eastAsia="宋体" w:cs="Times New Roman"/>
          <w:b/>
          <w:sz w:val="24"/>
          <w:szCs w:val="24"/>
          <w:u w:val="single"/>
        </w:rPr>
        <w:t>、</w:t>
      </w:r>
      <w:r>
        <w:rPr>
          <w:rFonts w:ascii="Times New Roman" w:hAnsi="Times New Roman" w:eastAsia="宋体" w:cs="Times New Roman"/>
          <w:b/>
          <w:sz w:val="24"/>
          <w:szCs w:val="24"/>
          <w:u w:val="single"/>
        </w:rPr>
        <w:t>W52</w:t>
      </w:r>
      <w:r>
        <w:rPr>
          <w:rFonts w:hint="eastAsia" w:ascii="Times New Roman" w:hAnsi="Times New Roman" w:eastAsia="宋体" w:cs="Times New Roman"/>
          <w:b/>
          <w:sz w:val="24"/>
          <w:szCs w:val="24"/>
          <w:u w:val="single"/>
        </w:rPr>
        <w:t>）</w:t>
      </w:r>
    </w:p>
    <w:p w14:paraId="48475ECB">
      <w:pPr>
        <w:pStyle w:val="60"/>
        <w:numPr>
          <w:ilvl w:val="0"/>
          <w:numId w:val="37"/>
        </w:numPr>
        <w:ind w:firstLineChars="0"/>
        <w:rPr>
          <w:rFonts w:cs="Times New Roman"/>
          <w:sz w:val="24"/>
          <w:szCs w:val="24"/>
        </w:rPr>
      </w:pPr>
      <w:r>
        <w:rPr>
          <w:rFonts w:hint="eastAsia" w:cs="Times New Roman"/>
          <w:sz w:val="24"/>
          <w:szCs w:val="24"/>
        </w:rPr>
        <w:t>测量体重（仅</w:t>
      </w:r>
      <w:r>
        <w:rPr>
          <w:rFonts w:cs="Times New Roman"/>
          <w:sz w:val="24"/>
          <w:szCs w:val="24"/>
        </w:rPr>
        <w:t>W20</w:t>
      </w:r>
      <w:r>
        <w:rPr>
          <w:rFonts w:hint="eastAsia" w:cs="Times New Roman"/>
          <w:sz w:val="24"/>
          <w:szCs w:val="24"/>
        </w:rPr>
        <w:t>、</w:t>
      </w:r>
      <w:r>
        <w:rPr>
          <w:rFonts w:cs="Times New Roman"/>
          <w:sz w:val="24"/>
          <w:szCs w:val="24"/>
        </w:rPr>
        <w:t>W28</w:t>
      </w:r>
      <w:r>
        <w:rPr>
          <w:rFonts w:hint="eastAsia" w:cs="Times New Roman"/>
          <w:sz w:val="24"/>
          <w:szCs w:val="24"/>
        </w:rPr>
        <w:t>、</w:t>
      </w:r>
      <w:r>
        <w:rPr>
          <w:rFonts w:cs="Times New Roman"/>
          <w:sz w:val="24"/>
          <w:szCs w:val="24"/>
        </w:rPr>
        <w:t>W36</w:t>
      </w:r>
      <w:r>
        <w:rPr>
          <w:rFonts w:hint="eastAsia" w:cs="Times New Roman"/>
          <w:sz w:val="24"/>
          <w:szCs w:val="24"/>
        </w:rPr>
        <w:t>、</w:t>
      </w:r>
      <w:r>
        <w:rPr>
          <w:rFonts w:cs="Times New Roman"/>
          <w:sz w:val="24"/>
          <w:szCs w:val="24"/>
        </w:rPr>
        <w:t>W44</w:t>
      </w:r>
      <w:r>
        <w:rPr>
          <w:rFonts w:hint="eastAsia" w:cs="Times New Roman"/>
          <w:sz w:val="24"/>
          <w:szCs w:val="24"/>
        </w:rPr>
        <w:t>、</w:t>
      </w:r>
      <w:r>
        <w:rPr>
          <w:rFonts w:cs="Times New Roman"/>
          <w:sz w:val="24"/>
          <w:szCs w:val="24"/>
        </w:rPr>
        <w:t>W52</w:t>
      </w:r>
      <w:r>
        <w:rPr>
          <w:rFonts w:hint="eastAsia" w:cs="Times New Roman"/>
          <w:sz w:val="24"/>
          <w:szCs w:val="24"/>
        </w:rPr>
        <w:t>访视进行）</w:t>
      </w:r>
    </w:p>
    <w:p w14:paraId="6BD04579">
      <w:pPr>
        <w:pStyle w:val="60"/>
        <w:numPr>
          <w:ilvl w:val="0"/>
          <w:numId w:val="37"/>
        </w:numPr>
        <w:ind w:firstLineChars="0"/>
        <w:rPr>
          <w:rFonts w:cs="Times New Roman"/>
          <w:sz w:val="24"/>
          <w:szCs w:val="24"/>
        </w:rPr>
      </w:pPr>
      <w:r>
        <w:rPr>
          <w:rFonts w:hint="eastAsia" w:cs="Times New Roman"/>
          <w:sz w:val="24"/>
          <w:szCs w:val="24"/>
        </w:rPr>
        <w:t>测量生命体征</w:t>
      </w:r>
    </w:p>
    <w:p w14:paraId="6DEE7E18">
      <w:pPr>
        <w:pStyle w:val="60"/>
        <w:numPr>
          <w:ilvl w:val="0"/>
          <w:numId w:val="37"/>
        </w:numPr>
        <w:ind w:firstLineChars="0"/>
        <w:rPr>
          <w:rFonts w:cs="Times New Roman"/>
          <w:sz w:val="24"/>
          <w:szCs w:val="24"/>
        </w:rPr>
      </w:pPr>
      <w:r>
        <w:rPr>
          <w:rFonts w:hint="eastAsia" w:cs="Times New Roman"/>
          <w:sz w:val="24"/>
          <w:szCs w:val="24"/>
        </w:rPr>
        <w:t>全面的体格检查（</w:t>
      </w:r>
      <w:r>
        <w:rPr>
          <w:rFonts w:cs="Times New Roman"/>
          <w:sz w:val="24"/>
          <w:szCs w:val="24"/>
        </w:rPr>
        <w:t>W52</w:t>
      </w:r>
      <w:r>
        <w:rPr>
          <w:rFonts w:hint="eastAsia" w:cs="Times New Roman"/>
          <w:sz w:val="24"/>
          <w:szCs w:val="24"/>
        </w:rPr>
        <w:t>进行全面的体格检查，其余访视为症状导向的体格检查）</w:t>
      </w:r>
    </w:p>
    <w:p w14:paraId="233F1A85">
      <w:pPr>
        <w:pStyle w:val="60"/>
        <w:numPr>
          <w:ilvl w:val="0"/>
          <w:numId w:val="37"/>
        </w:numPr>
        <w:ind w:firstLineChars="0"/>
        <w:rPr>
          <w:rFonts w:cs="Times New Roman"/>
          <w:sz w:val="24"/>
          <w:szCs w:val="24"/>
        </w:rPr>
      </w:pPr>
      <w:r>
        <w:rPr>
          <w:rFonts w:hint="eastAsia" w:cs="Times New Roman"/>
          <w:sz w:val="24"/>
          <w:szCs w:val="24"/>
        </w:rPr>
        <w:t>实验室检查采血（血常规、尿常规、血生化、凝血功能，其中糖化血红蛋白仅在</w:t>
      </w:r>
      <w:r>
        <w:rPr>
          <w:rFonts w:cs="Times New Roman"/>
          <w:sz w:val="24"/>
          <w:szCs w:val="24"/>
        </w:rPr>
        <w:t>52</w:t>
      </w:r>
      <w:r>
        <w:rPr>
          <w:rFonts w:hint="eastAsia" w:cs="Times New Roman"/>
          <w:sz w:val="24"/>
          <w:szCs w:val="24"/>
        </w:rPr>
        <w:t>周进行）</w:t>
      </w:r>
    </w:p>
    <w:p w14:paraId="122FC624">
      <w:pPr>
        <w:pStyle w:val="60"/>
        <w:numPr>
          <w:ilvl w:val="0"/>
          <w:numId w:val="37"/>
        </w:numPr>
        <w:ind w:firstLineChars="0"/>
        <w:rPr>
          <w:rFonts w:cs="Times New Roman"/>
          <w:sz w:val="24"/>
          <w:szCs w:val="24"/>
        </w:rPr>
      </w:pPr>
      <w:r>
        <w:rPr>
          <w:rFonts w:hint="eastAsia" w:cs="Times New Roman"/>
          <w:sz w:val="24"/>
          <w:szCs w:val="24"/>
        </w:rPr>
        <w:t>血</w:t>
      </w:r>
      <w:r>
        <w:rPr>
          <w:rFonts w:cs="Times New Roman"/>
          <w:sz w:val="24"/>
          <w:szCs w:val="24"/>
        </w:rPr>
        <w:t>/</w:t>
      </w:r>
      <w:r>
        <w:rPr>
          <w:rFonts w:hint="eastAsia" w:cs="Times New Roman"/>
          <w:sz w:val="24"/>
          <w:szCs w:val="24"/>
        </w:rPr>
        <w:t>尿妊娠试验（有生育能力的女性，</w:t>
      </w:r>
      <w:r>
        <w:rPr>
          <w:rFonts w:cs="Times New Roman"/>
          <w:sz w:val="24"/>
          <w:szCs w:val="24"/>
        </w:rPr>
        <w:t>W52</w:t>
      </w:r>
      <w:r>
        <w:rPr>
          <w:rFonts w:hint="eastAsia" w:cs="Times New Roman"/>
          <w:sz w:val="24"/>
          <w:szCs w:val="24"/>
        </w:rPr>
        <w:t>必须为血妊娠试验）</w:t>
      </w:r>
    </w:p>
    <w:p w14:paraId="408CBBAB">
      <w:pPr>
        <w:pStyle w:val="60"/>
        <w:numPr>
          <w:ilvl w:val="0"/>
          <w:numId w:val="37"/>
        </w:numPr>
        <w:ind w:firstLineChars="0"/>
        <w:rPr>
          <w:rFonts w:cs="Times New Roman"/>
          <w:sz w:val="24"/>
          <w:szCs w:val="24"/>
        </w:rPr>
      </w:pPr>
      <w:r>
        <w:rPr>
          <w:rFonts w:cs="Times New Roman"/>
          <w:sz w:val="24"/>
          <w:szCs w:val="24"/>
        </w:rPr>
        <w:t>PK/IL-17A</w:t>
      </w:r>
      <w:r>
        <w:rPr>
          <w:rFonts w:hint="eastAsia" w:cs="Times New Roman"/>
          <w:sz w:val="24"/>
          <w:szCs w:val="24"/>
        </w:rPr>
        <w:t>采血（仅</w:t>
      </w:r>
      <w:r>
        <w:rPr>
          <w:rFonts w:cs="Times New Roman"/>
          <w:sz w:val="24"/>
          <w:szCs w:val="24"/>
        </w:rPr>
        <w:t>W20</w:t>
      </w:r>
      <w:r>
        <w:rPr>
          <w:rFonts w:hint="eastAsia" w:cs="Times New Roman"/>
          <w:sz w:val="24"/>
          <w:szCs w:val="24"/>
        </w:rPr>
        <w:t>、</w:t>
      </w:r>
      <w:r>
        <w:rPr>
          <w:rFonts w:cs="Times New Roman"/>
          <w:sz w:val="24"/>
          <w:szCs w:val="24"/>
        </w:rPr>
        <w:t>W28</w:t>
      </w:r>
      <w:r>
        <w:rPr>
          <w:rFonts w:hint="eastAsia" w:cs="Times New Roman"/>
          <w:sz w:val="24"/>
          <w:szCs w:val="24"/>
        </w:rPr>
        <w:t>、</w:t>
      </w:r>
      <w:r>
        <w:rPr>
          <w:rFonts w:cs="Times New Roman"/>
          <w:sz w:val="24"/>
          <w:szCs w:val="24"/>
        </w:rPr>
        <w:t>W36</w:t>
      </w:r>
      <w:r>
        <w:rPr>
          <w:rFonts w:hint="eastAsia" w:cs="Times New Roman"/>
          <w:sz w:val="24"/>
          <w:szCs w:val="24"/>
        </w:rPr>
        <w:t>、</w:t>
      </w:r>
      <w:r>
        <w:rPr>
          <w:rFonts w:cs="Times New Roman"/>
          <w:sz w:val="24"/>
          <w:szCs w:val="24"/>
        </w:rPr>
        <w:t>W44</w:t>
      </w:r>
      <w:r>
        <w:rPr>
          <w:rFonts w:hint="eastAsia" w:cs="Times New Roman"/>
          <w:sz w:val="24"/>
          <w:szCs w:val="24"/>
        </w:rPr>
        <w:t>、</w:t>
      </w:r>
      <w:r>
        <w:rPr>
          <w:rFonts w:cs="Times New Roman"/>
          <w:sz w:val="24"/>
          <w:szCs w:val="24"/>
        </w:rPr>
        <w:t>W52</w:t>
      </w:r>
      <w:r>
        <w:rPr>
          <w:rFonts w:hint="eastAsia" w:cs="Times New Roman"/>
          <w:sz w:val="24"/>
          <w:szCs w:val="24"/>
        </w:rPr>
        <w:t>访视进行）</w:t>
      </w:r>
    </w:p>
    <w:p w14:paraId="68F98453">
      <w:pPr>
        <w:pStyle w:val="60"/>
        <w:numPr>
          <w:ilvl w:val="0"/>
          <w:numId w:val="37"/>
        </w:numPr>
        <w:ind w:firstLineChars="0"/>
        <w:rPr>
          <w:rFonts w:cs="Times New Roman"/>
          <w:sz w:val="24"/>
          <w:szCs w:val="24"/>
        </w:rPr>
      </w:pPr>
      <w:r>
        <w:rPr>
          <w:rFonts w:cs="Times New Roman"/>
          <w:sz w:val="24"/>
          <w:szCs w:val="24"/>
        </w:rPr>
        <w:t>12-</w:t>
      </w:r>
      <w:r>
        <w:rPr>
          <w:rFonts w:hint="eastAsia" w:cs="Times New Roman"/>
          <w:sz w:val="24"/>
          <w:szCs w:val="24"/>
        </w:rPr>
        <w:t>导联心电图检查（仅</w:t>
      </w:r>
      <w:r>
        <w:rPr>
          <w:rFonts w:cs="Times New Roman"/>
          <w:sz w:val="24"/>
          <w:szCs w:val="24"/>
        </w:rPr>
        <w:t>W24</w:t>
      </w:r>
      <w:r>
        <w:rPr>
          <w:rFonts w:hint="eastAsia" w:cs="Times New Roman"/>
          <w:sz w:val="24"/>
          <w:szCs w:val="24"/>
        </w:rPr>
        <w:t>、</w:t>
      </w:r>
      <w:r>
        <w:rPr>
          <w:rFonts w:cs="Times New Roman"/>
          <w:sz w:val="24"/>
          <w:szCs w:val="24"/>
        </w:rPr>
        <w:t>W52</w:t>
      </w:r>
      <w:r>
        <w:rPr>
          <w:rFonts w:hint="eastAsia" w:cs="Times New Roman"/>
          <w:sz w:val="24"/>
          <w:szCs w:val="24"/>
        </w:rPr>
        <w:t>访视进行）</w:t>
      </w:r>
    </w:p>
    <w:p w14:paraId="277C205B">
      <w:pPr>
        <w:pStyle w:val="60"/>
        <w:numPr>
          <w:ilvl w:val="0"/>
          <w:numId w:val="37"/>
        </w:numPr>
        <w:ind w:firstLineChars="0"/>
        <w:rPr>
          <w:rFonts w:cs="Times New Roman"/>
          <w:sz w:val="24"/>
          <w:szCs w:val="24"/>
        </w:rPr>
      </w:pPr>
      <w:r>
        <w:rPr>
          <w:rFonts w:hint="eastAsia" w:cs="Times New Roman"/>
          <w:sz w:val="24"/>
          <w:szCs w:val="24"/>
        </w:rPr>
        <w:t>服用试验用药品（访视当天用药需要在研究中心完成）</w:t>
      </w:r>
    </w:p>
    <w:p w14:paraId="7FEBDCAD">
      <w:pPr>
        <w:pStyle w:val="60"/>
        <w:numPr>
          <w:ilvl w:val="0"/>
          <w:numId w:val="37"/>
        </w:numPr>
        <w:ind w:firstLineChars="0"/>
        <w:rPr>
          <w:rFonts w:cs="Times New Roman"/>
          <w:sz w:val="24"/>
          <w:szCs w:val="24"/>
        </w:rPr>
      </w:pPr>
      <w:r>
        <w:rPr>
          <w:rFonts w:hint="eastAsia" w:cs="Times New Roman"/>
          <w:sz w:val="24"/>
          <w:szCs w:val="24"/>
        </w:rPr>
        <w:t>分发</w:t>
      </w:r>
      <w:r>
        <w:rPr>
          <w:rFonts w:cs="Times New Roman"/>
          <w:sz w:val="24"/>
          <w:szCs w:val="24"/>
        </w:rPr>
        <w:t>/</w:t>
      </w:r>
      <w:r>
        <w:rPr>
          <w:rFonts w:hint="eastAsia" w:cs="Times New Roman"/>
          <w:sz w:val="24"/>
          <w:szCs w:val="24"/>
        </w:rPr>
        <w:t>回收试验用药品（</w:t>
      </w:r>
      <w:r>
        <w:rPr>
          <w:rFonts w:cs="Times New Roman"/>
          <w:sz w:val="24"/>
          <w:szCs w:val="24"/>
        </w:rPr>
        <w:t>W52</w:t>
      </w:r>
      <w:r>
        <w:rPr>
          <w:rFonts w:hint="eastAsia" w:cs="Times New Roman"/>
          <w:sz w:val="24"/>
          <w:szCs w:val="24"/>
        </w:rPr>
        <w:t>仅回收试验用药品，不再分发试验用药品）</w:t>
      </w:r>
    </w:p>
    <w:p w14:paraId="46B8A750">
      <w:pPr>
        <w:pStyle w:val="60"/>
        <w:numPr>
          <w:ilvl w:val="0"/>
          <w:numId w:val="37"/>
        </w:numPr>
        <w:ind w:firstLineChars="0"/>
        <w:rPr>
          <w:rFonts w:cs="Times New Roman"/>
          <w:sz w:val="24"/>
          <w:szCs w:val="24"/>
        </w:rPr>
      </w:pPr>
      <w:r>
        <w:rPr>
          <w:rFonts w:hint="eastAsia" w:cs="Times New Roman"/>
          <w:sz w:val="24"/>
          <w:szCs w:val="24"/>
        </w:rPr>
        <w:t>分发</w:t>
      </w:r>
      <w:r>
        <w:rPr>
          <w:rFonts w:cs="Times New Roman"/>
          <w:sz w:val="24"/>
          <w:szCs w:val="24"/>
        </w:rPr>
        <w:t>/</w:t>
      </w:r>
      <w:r>
        <w:rPr>
          <w:rFonts w:hint="eastAsia" w:cs="Times New Roman"/>
          <w:sz w:val="24"/>
          <w:szCs w:val="24"/>
        </w:rPr>
        <w:t>回收参与者日记卡（</w:t>
      </w:r>
      <w:r>
        <w:rPr>
          <w:rFonts w:cs="Times New Roman"/>
          <w:sz w:val="24"/>
          <w:szCs w:val="24"/>
        </w:rPr>
        <w:t>W52</w:t>
      </w:r>
      <w:r>
        <w:rPr>
          <w:rFonts w:hint="eastAsia" w:cs="Times New Roman"/>
          <w:sz w:val="24"/>
          <w:szCs w:val="24"/>
        </w:rPr>
        <w:t>仅回收日记卡，不再分发日记卡）</w:t>
      </w:r>
    </w:p>
    <w:p w14:paraId="0918BD9A">
      <w:pPr>
        <w:pStyle w:val="60"/>
        <w:numPr>
          <w:ilvl w:val="0"/>
          <w:numId w:val="37"/>
        </w:numPr>
        <w:ind w:firstLineChars="0"/>
        <w:rPr>
          <w:rFonts w:cs="Times New Roman"/>
          <w:sz w:val="24"/>
          <w:szCs w:val="24"/>
        </w:rPr>
      </w:pPr>
      <w:r>
        <w:rPr>
          <w:rFonts w:hint="eastAsia" w:cs="Times New Roman"/>
          <w:sz w:val="24"/>
          <w:szCs w:val="24"/>
        </w:rPr>
        <w:t>用药依从性评估</w:t>
      </w:r>
    </w:p>
    <w:p w14:paraId="3E0135EA">
      <w:pPr>
        <w:pStyle w:val="60"/>
        <w:numPr>
          <w:ilvl w:val="0"/>
          <w:numId w:val="37"/>
        </w:numPr>
        <w:ind w:firstLineChars="0"/>
        <w:rPr>
          <w:rFonts w:cs="Times New Roman"/>
          <w:sz w:val="24"/>
          <w:szCs w:val="24"/>
        </w:rPr>
      </w:pPr>
      <w:r>
        <w:rPr>
          <w:rFonts w:hint="eastAsia" w:cs="Times New Roman"/>
          <w:sz w:val="24"/>
          <w:szCs w:val="24"/>
        </w:rPr>
        <w:t>评估</w:t>
      </w:r>
      <w:r>
        <w:rPr>
          <w:rFonts w:cs="Times New Roman"/>
          <w:sz w:val="24"/>
          <w:szCs w:val="24"/>
        </w:rPr>
        <w:t>PASI</w:t>
      </w:r>
      <w:r>
        <w:rPr>
          <w:rFonts w:hint="eastAsia" w:cs="Times New Roman"/>
          <w:sz w:val="24"/>
          <w:szCs w:val="24"/>
        </w:rPr>
        <w:t>、</w:t>
      </w:r>
      <w:r>
        <w:rPr>
          <w:rFonts w:cs="Times New Roman"/>
          <w:sz w:val="24"/>
          <w:szCs w:val="24"/>
        </w:rPr>
        <w:t>PGA</w:t>
      </w:r>
      <w:r>
        <w:rPr>
          <w:rFonts w:hint="eastAsia" w:cs="Times New Roman"/>
          <w:sz w:val="24"/>
          <w:szCs w:val="24"/>
        </w:rPr>
        <w:t>、</w:t>
      </w:r>
      <w:r>
        <w:rPr>
          <w:rFonts w:cs="Times New Roman"/>
          <w:sz w:val="24"/>
          <w:szCs w:val="24"/>
        </w:rPr>
        <w:t>BSA</w:t>
      </w:r>
      <w:r>
        <w:rPr>
          <w:rFonts w:hint="eastAsia" w:cs="Times New Roman"/>
          <w:sz w:val="24"/>
          <w:szCs w:val="24"/>
        </w:rPr>
        <w:t>、</w:t>
      </w:r>
      <w:r>
        <w:rPr>
          <w:rFonts w:cs="Times New Roman"/>
          <w:sz w:val="24"/>
          <w:szCs w:val="24"/>
        </w:rPr>
        <w:t>DLQI</w:t>
      </w:r>
    </w:p>
    <w:p w14:paraId="43D14B77">
      <w:pPr>
        <w:pStyle w:val="60"/>
        <w:numPr>
          <w:ilvl w:val="0"/>
          <w:numId w:val="37"/>
        </w:numPr>
        <w:ind w:firstLineChars="0"/>
        <w:rPr>
          <w:rFonts w:cs="Times New Roman"/>
          <w:sz w:val="24"/>
          <w:szCs w:val="24"/>
        </w:rPr>
      </w:pPr>
      <w:r>
        <w:rPr>
          <w:rFonts w:hint="eastAsia" w:cs="Times New Roman"/>
          <w:sz w:val="24"/>
          <w:szCs w:val="24"/>
        </w:rPr>
        <w:t>获取皮损照片</w:t>
      </w:r>
    </w:p>
    <w:p w14:paraId="0AE83022">
      <w:pPr>
        <w:pStyle w:val="60"/>
        <w:numPr>
          <w:ilvl w:val="0"/>
          <w:numId w:val="37"/>
        </w:numPr>
        <w:ind w:firstLineChars="0"/>
        <w:rPr>
          <w:rFonts w:cs="Times New Roman"/>
          <w:sz w:val="24"/>
          <w:szCs w:val="24"/>
        </w:rPr>
      </w:pPr>
      <w:r>
        <w:rPr>
          <w:rFonts w:hint="eastAsia" w:cs="Times New Roman"/>
          <w:sz w:val="24"/>
          <w:szCs w:val="24"/>
        </w:rPr>
        <w:t>记录不良事件</w:t>
      </w:r>
    </w:p>
    <w:p w14:paraId="1587DCED">
      <w:pPr>
        <w:pStyle w:val="60"/>
        <w:numPr>
          <w:ilvl w:val="0"/>
          <w:numId w:val="37"/>
        </w:numPr>
        <w:ind w:firstLineChars="0"/>
        <w:rPr>
          <w:rFonts w:cs="Times New Roman"/>
          <w:sz w:val="24"/>
          <w:szCs w:val="24"/>
        </w:rPr>
      </w:pPr>
      <w:r>
        <w:rPr>
          <w:rFonts w:hint="eastAsia" w:cs="Times New Roman"/>
          <w:sz w:val="24"/>
          <w:szCs w:val="24"/>
        </w:rPr>
        <w:t>记录合并治疗</w:t>
      </w:r>
    </w:p>
    <w:p w14:paraId="3847BD3C">
      <w:pPr>
        <w:pStyle w:val="116"/>
        <w:numPr>
          <w:ilvl w:val="3"/>
          <w:numId w:val="12"/>
        </w:numPr>
        <w:ind w:hanging="708"/>
        <w:jc w:val="left"/>
        <w:outlineLvl w:val="3"/>
        <w:rPr>
          <w:rFonts w:cs="Times New Roman"/>
          <w:sz w:val="24"/>
          <w:szCs w:val="24"/>
        </w:rPr>
      </w:pPr>
      <w:bookmarkStart w:id="219" w:name="_Toc215214100"/>
      <w:bookmarkStart w:id="220" w:name="_Toc215213390"/>
      <w:bookmarkStart w:id="221" w:name="_Toc217032288"/>
      <w:r>
        <w:rPr>
          <w:rFonts w:hint="eastAsia" w:cs="Times New Roman"/>
          <w:sz w:val="24"/>
          <w:szCs w:val="24"/>
        </w:rPr>
        <w:t>安全性随访（</w:t>
      </w:r>
      <w:r>
        <w:rPr>
          <w:rFonts w:cs="Times New Roman"/>
          <w:sz w:val="24"/>
          <w:szCs w:val="24"/>
        </w:rPr>
        <w:t>W56</w:t>
      </w:r>
      <w:r>
        <w:rPr>
          <w:rFonts w:hint="eastAsia" w:cs="Times New Roman"/>
          <w:sz w:val="24"/>
          <w:szCs w:val="24"/>
        </w:rPr>
        <w:t>）</w:t>
      </w:r>
      <w:bookmarkEnd w:id="219"/>
      <w:bookmarkEnd w:id="220"/>
      <w:bookmarkEnd w:id="221"/>
    </w:p>
    <w:p w14:paraId="186C1984">
      <w:pPr>
        <w:pStyle w:val="60"/>
        <w:numPr>
          <w:ilvl w:val="0"/>
          <w:numId w:val="37"/>
        </w:numPr>
        <w:ind w:firstLineChars="0"/>
        <w:rPr>
          <w:rFonts w:cs="Times New Roman"/>
          <w:sz w:val="24"/>
          <w:szCs w:val="24"/>
        </w:rPr>
      </w:pPr>
      <w:r>
        <w:rPr>
          <w:rFonts w:hint="eastAsia" w:cs="Times New Roman"/>
          <w:sz w:val="24"/>
          <w:szCs w:val="24"/>
        </w:rPr>
        <w:t>记录不良事件</w:t>
      </w:r>
    </w:p>
    <w:p w14:paraId="67F9A8E4">
      <w:pPr>
        <w:pStyle w:val="60"/>
        <w:numPr>
          <w:ilvl w:val="0"/>
          <w:numId w:val="37"/>
        </w:numPr>
        <w:ind w:firstLineChars="0"/>
        <w:rPr>
          <w:rFonts w:cs="Times New Roman"/>
          <w:sz w:val="24"/>
          <w:szCs w:val="24"/>
        </w:rPr>
      </w:pPr>
      <w:r>
        <w:rPr>
          <w:rFonts w:hint="eastAsia" w:cs="Times New Roman"/>
          <w:sz w:val="24"/>
          <w:szCs w:val="24"/>
        </w:rPr>
        <w:t>记录合并治疗</w:t>
      </w:r>
    </w:p>
    <w:p w14:paraId="4AAE8C5D">
      <w:pPr>
        <w:pStyle w:val="60"/>
        <w:numPr>
          <w:ilvl w:val="0"/>
          <w:numId w:val="37"/>
        </w:numPr>
        <w:ind w:firstLineChars="0"/>
        <w:rPr>
          <w:rFonts w:cs="Times New Roman"/>
          <w:sz w:val="24"/>
          <w:szCs w:val="24"/>
        </w:rPr>
      </w:pPr>
      <w:r>
        <w:rPr>
          <w:rFonts w:hint="eastAsia" w:cs="Times New Roman"/>
          <w:sz w:val="24"/>
          <w:szCs w:val="24"/>
        </w:rPr>
        <w:t>注：如研究者认为有必要，根据参与者的情况安排返院访视或检查，尤其当参与者出现不良事件时。可作为计划外访视进行，计划外访视及该访视进行的计划外检查将记录在原始资料上，并且同时记录进行该计划外访视（或检查）的原因。</w:t>
      </w:r>
    </w:p>
    <w:p w14:paraId="62B8355A">
      <w:pPr>
        <w:pStyle w:val="116"/>
        <w:numPr>
          <w:ilvl w:val="3"/>
          <w:numId w:val="12"/>
        </w:numPr>
        <w:ind w:hanging="708"/>
        <w:jc w:val="left"/>
        <w:outlineLvl w:val="3"/>
        <w:rPr>
          <w:rFonts w:cs="Times New Roman"/>
          <w:sz w:val="24"/>
          <w:szCs w:val="24"/>
        </w:rPr>
      </w:pPr>
      <w:bookmarkStart w:id="222" w:name="_Toc215213391"/>
      <w:bookmarkStart w:id="223" w:name="_Toc217032289"/>
      <w:bookmarkStart w:id="224" w:name="_Toc215214101"/>
      <w:r>
        <w:rPr>
          <w:rFonts w:hint="eastAsia" w:cs="Times New Roman"/>
          <w:sz w:val="24"/>
          <w:szCs w:val="24"/>
        </w:rPr>
        <w:t>提前退出访视（末次给药后</w:t>
      </w:r>
      <w:r>
        <w:rPr>
          <w:rFonts w:cs="Times New Roman"/>
          <w:sz w:val="24"/>
          <w:szCs w:val="24"/>
        </w:rPr>
        <w:t>7</w:t>
      </w:r>
      <w:r>
        <w:rPr>
          <w:rFonts w:hint="eastAsia" w:cs="Times New Roman"/>
          <w:sz w:val="24"/>
          <w:szCs w:val="24"/>
        </w:rPr>
        <w:t>天内）</w:t>
      </w:r>
      <w:bookmarkEnd w:id="222"/>
      <w:bookmarkEnd w:id="223"/>
      <w:bookmarkEnd w:id="224"/>
    </w:p>
    <w:p w14:paraId="563CCF85">
      <w:pPr>
        <w:pStyle w:val="60"/>
        <w:numPr>
          <w:ilvl w:val="0"/>
          <w:numId w:val="37"/>
        </w:numPr>
        <w:ind w:firstLineChars="0"/>
        <w:rPr>
          <w:rFonts w:cs="Times New Roman"/>
          <w:sz w:val="24"/>
          <w:szCs w:val="24"/>
        </w:rPr>
      </w:pPr>
      <w:r>
        <w:rPr>
          <w:rFonts w:hint="eastAsia" w:cs="Times New Roman"/>
          <w:sz w:val="24"/>
          <w:szCs w:val="24"/>
        </w:rPr>
        <w:t>与Ⅱ期临床研究试验一致，详见</w:t>
      </w:r>
      <w:r>
        <w:rPr>
          <w:rFonts w:cs="Times New Roman"/>
          <w:sz w:val="24"/>
          <w:szCs w:val="24"/>
        </w:rPr>
        <w:t>7.2.1.4</w:t>
      </w:r>
    </w:p>
    <w:p w14:paraId="25D25E59">
      <w:pPr>
        <w:pStyle w:val="116"/>
        <w:numPr>
          <w:ilvl w:val="3"/>
          <w:numId w:val="12"/>
        </w:numPr>
        <w:ind w:hanging="708"/>
        <w:jc w:val="left"/>
        <w:outlineLvl w:val="3"/>
        <w:rPr>
          <w:rFonts w:cs="Times New Roman"/>
          <w:sz w:val="24"/>
          <w:szCs w:val="24"/>
        </w:rPr>
      </w:pPr>
      <w:bookmarkStart w:id="225" w:name="_Toc215213392"/>
      <w:bookmarkStart w:id="226" w:name="_Toc215214102"/>
      <w:bookmarkStart w:id="227" w:name="_Toc217032290"/>
      <w:r>
        <w:rPr>
          <w:rFonts w:hint="eastAsia" w:cs="Times New Roman"/>
          <w:sz w:val="24"/>
          <w:szCs w:val="24"/>
        </w:rPr>
        <w:t>计划外访视</w:t>
      </w:r>
      <w:r>
        <w:rPr>
          <w:rFonts w:cs="Times New Roman"/>
          <w:sz w:val="24"/>
          <w:szCs w:val="24"/>
        </w:rPr>
        <w:t>/</w:t>
      </w:r>
      <w:r>
        <w:rPr>
          <w:rFonts w:hint="eastAsia" w:cs="Times New Roman"/>
          <w:sz w:val="24"/>
          <w:szCs w:val="24"/>
        </w:rPr>
        <w:t>检查</w:t>
      </w:r>
      <w:bookmarkEnd w:id="225"/>
      <w:bookmarkEnd w:id="226"/>
      <w:bookmarkEnd w:id="227"/>
    </w:p>
    <w:p w14:paraId="566B2329">
      <w:pPr>
        <w:pStyle w:val="60"/>
        <w:numPr>
          <w:ilvl w:val="0"/>
          <w:numId w:val="37"/>
        </w:numPr>
        <w:ind w:firstLineChars="0"/>
        <w:rPr>
          <w:rFonts w:cs="Times New Roman"/>
          <w:sz w:val="24"/>
          <w:szCs w:val="24"/>
        </w:rPr>
      </w:pPr>
      <w:r>
        <w:rPr>
          <w:rFonts w:hint="eastAsia" w:cs="Times New Roman"/>
          <w:sz w:val="24"/>
          <w:szCs w:val="24"/>
        </w:rPr>
        <w:t>与Ⅱ期临床研究试验一致，详见</w:t>
      </w:r>
      <w:r>
        <w:rPr>
          <w:rFonts w:cs="Times New Roman"/>
          <w:sz w:val="24"/>
          <w:szCs w:val="24"/>
        </w:rPr>
        <w:t>7.2.1.5</w:t>
      </w:r>
    </w:p>
    <w:p w14:paraId="656613B7">
      <w:pPr>
        <w:pStyle w:val="116"/>
        <w:numPr>
          <w:ilvl w:val="1"/>
          <w:numId w:val="12"/>
        </w:numPr>
        <w:jc w:val="left"/>
        <w:rPr>
          <w:rFonts w:cs="Times New Roman"/>
          <w:sz w:val="24"/>
          <w:szCs w:val="24"/>
        </w:rPr>
      </w:pPr>
      <w:bookmarkStart w:id="228" w:name="_Toc217032291"/>
      <w:r>
        <w:rPr>
          <w:rFonts w:hint="eastAsia" w:cs="Times New Roman"/>
          <w:sz w:val="24"/>
          <w:szCs w:val="24"/>
        </w:rPr>
        <w:t>安全性评估</w:t>
      </w:r>
      <w:bookmarkEnd w:id="228"/>
    </w:p>
    <w:p w14:paraId="4F279DF7">
      <w:pPr>
        <w:pStyle w:val="116"/>
        <w:numPr>
          <w:ilvl w:val="2"/>
          <w:numId w:val="12"/>
        </w:numPr>
        <w:jc w:val="left"/>
        <w:outlineLvl w:val="2"/>
        <w:rPr>
          <w:rFonts w:cs="Times New Roman"/>
          <w:sz w:val="24"/>
          <w:szCs w:val="24"/>
        </w:rPr>
      </w:pPr>
      <w:bookmarkStart w:id="229" w:name="_Toc217032292"/>
      <w:r>
        <w:rPr>
          <w:rFonts w:hint="eastAsia" w:cs="Times New Roman"/>
          <w:sz w:val="24"/>
          <w:szCs w:val="24"/>
        </w:rPr>
        <w:t>安全性指标</w:t>
      </w:r>
      <w:bookmarkEnd w:id="229"/>
    </w:p>
    <w:p w14:paraId="6F7AA946">
      <w:pPr>
        <w:pStyle w:val="60"/>
        <w:numPr>
          <w:ilvl w:val="0"/>
          <w:numId w:val="37"/>
        </w:numPr>
        <w:ind w:firstLineChars="0"/>
        <w:rPr>
          <w:rFonts w:cs="Times New Roman"/>
          <w:sz w:val="24"/>
          <w:szCs w:val="24"/>
        </w:rPr>
      </w:pPr>
      <w:r>
        <w:rPr>
          <w:rFonts w:hint="eastAsia" w:cs="Times New Roman"/>
          <w:sz w:val="24"/>
          <w:szCs w:val="24"/>
        </w:rPr>
        <w:t>不良事件、治疗期出现的不良事件和严重不良事件的发生率；</w:t>
      </w:r>
    </w:p>
    <w:p w14:paraId="1A22218F">
      <w:pPr>
        <w:pStyle w:val="60"/>
        <w:numPr>
          <w:ilvl w:val="0"/>
          <w:numId w:val="37"/>
        </w:numPr>
        <w:ind w:firstLineChars="0"/>
        <w:rPr>
          <w:rFonts w:cs="Times New Roman"/>
          <w:bCs/>
          <w:sz w:val="24"/>
          <w:szCs w:val="24"/>
        </w:rPr>
      </w:pPr>
      <w:r>
        <w:rPr>
          <w:rFonts w:hint="eastAsia" w:cs="Times New Roman"/>
          <w:sz w:val="24"/>
          <w:szCs w:val="24"/>
        </w:rPr>
        <w:t>常规安全性参数，包括实验室检查、生命体征测量、</w:t>
      </w:r>
      <w:r>
        <w:rPr>
          <w:rFonts w:cs="Times New Roman"/>
          <w:sz w:val="24"/>
          <w:szCs w:val="24"/>
        </w:rPr>
        <w:t>12</w:t>
      </w:r>
      <w:r>
        <w:rPr>
          <w:rFonts w:hint="eastAsia" w:cs="Times New Roman"/>
          <w:sz w:val="24"/>
          <w:szCs w:val="24"/>
        </w:rPr>
        <w:t>导联心电图（</w:t>
      </w:r>
      <w:r>
        <w:rPr>
          <w:rFonts w:cs="Times New Roman"/>
          <w:sz w:val="24"/>
          <w:szCs w:val="24"/>
        </w:rPr>
        <w:t>ECG</w:t>
      </w:r>
      <w:r>
        <w:rPr>
          <w:rFonts w:hint="eastAsia" w:cs="Times New Roman"/>
          <w:sz w:val="24"/>
          <w:szCs w:val="24"/>
        </w:rPr>
        <w:t>）和体格检查等。</w:t>
      </w:r>
    </w:p>
    <w:p w14:paraId="1A59C5B9">
      <w:pPr>
        <w:pStyle w:val="116"/>
        <w:numPr>
          <w:ilvl w:val="2"/>
          <w:numId w:val="12"/>
        </w:numPr>
        <w:jc w:val="left"/>
        <w:outlineLvl w:val="2"/>
        <w:rPr>
          <w:rFonts w:cs="Times New Roman"/>
          <w:sz w:val="24"/>
          <w:szCs w:val="24"/>
        </w:rPr>
      </w:pPr>
      <w:bookmarkStart w:id="230" w:name="_Toc217032293"/>
      <w:r>
        <w:rPr>
          <w:rFonts w:hint="eastAsia" w:cs="Times New Roman"/>
          <w:sz w:val="24"/>
          <w:szCs w:val="24"/>
        </w:rPr>
        <w:t>术语定义</w:t>
      </w:r>
      <w:bookmarkEnd w:id="230"/>
    </w:p>
    <w:p w14:paraId="62390D0F">
      <w:pPr>
        <w:pStyle w:val="116"/>
        <w:numPr>
          <w:ilvl w:val="3"/>
          <w:numId w:val="12"/>
        </w:numPr>
        <w:ind w:hanging="708"/>
        <w:jc w:val="left"/>
        <w:outlineLvl w:val="3"/>
        <w:rPr>
          <w:rFonts w:cs="Times New Roman"/>
          <w:sz w:val="24"/>
          <w:szCs w:val="24"/>
        </w:rPr>
      </w:pPr>
      <w:bookmarkStart w:id="231" w:name="_Toc215213396"/>
      <w:bookmarkStart w:id="232" w:name="_Toc215214106"/>
      <w:bookmarkStart w:id="233" w:name="_Toc217032294"/>
      <w:r>
        <w:rPr>
          <w:rFonts w:hint="eastAsia" w:cs="Times New Roman"/>
          <w:sz w:val="24"/>
          <w:szCs w:val="24"/>
        </w:rPr>
        <w:t>不良事件（</w:t>
      </w:r>
      <w:r>
        <w:rPr>
          <w:rFonts w:cs="Times New Roman"/>
          <w:sz w:val="24"/>
          <w:szCs w:val="24"/>
        </w:rPr>
        <w:t>AE</w:t>
      </w:r>
      <w:r>
        <w:rPr>
          <w:rFonts w:hint="eastAsia" w:cs="Times New Roman"/>
          <w:sz w:val="24"/>
          <w:szCs w:val="24"/>
        </w:rPr>
        <w:t>）</w:t>
      </w:r>
      <w:bookmarkEnd w:id="231"/>
      <w:bookmarkEnd w:id="232"/>
      <w:bookmarkEnd w:id="233"/>
    </w:p>
    <w:p w14:paraId="7F404184">
      <w:pPr>
        <w:pStyle w:val="60"/>
        <w:ind w:firstLine="480"/>
        <w:rPr>
          <w:rStyle w:val="99"/>
          <w:rFonts w:cs="Times New Roman"/>
          <w:sz w:val="24"/>
          <w:szCs w:val="24"/>
        </w:rPr>
      </w:pPr>
      <w:r>
        <w:rPr>
          <w:rStyle w:val="99"/>
          <w:rFonts w:hint="eastAsia" w:cs="Times New Roman"/>
          <w:sz w:val="24"/>
          <w:szCs w:val="24"/>
        </w:rPr>
        <w:t>不良事件（</w:t>
      </w:r>
      <w:r>
        <w:rPr>
          <w:rStyle w:val="99"/>
          <w:rFonts w:cs="Times New Roman"/>
          <w:sz w:val="24"/>
          <w:szCs w:val="24"/>
        </w:rPr>
        <w:t>AE</w:t>
      </w:r>
      <w:r>
        <w:rPr>
          <w:rStyle w:val="99"/>
          <w:rFonts w:hint="eastAsia" w:cs="Times New Roman"/>
          <w:sz w:val="24"/>
          <w:szCs w:val="24"/>
        </w:rPr>
        <w:t>）指临床试验参与者在接受试验用药品之后出现的所有不良医学事件，可以表现为症状体征、疾病和</w:t>
      </w:r>
      <w:r>
        <w:rPr>
          <w:rStyle w:val="99"/>
          <w:rFonts w:cs="Times New Roman"/>
          <w:sz w:val="24"/>
          <w:szCs w:val="24"/>
        </w:rPr>
        <w:t>/</w:t>
      </w:r>
      <w:r>
        <w:rPr>
          <w:rStyle w:val="99"/>
          <w:rFonts w:hint="eastAsia" w:cs="Times New Roman"/>
          <w:sz w:val="24"/>
          <w:szCs w:val="24"/>
        </w:rPr>
        <w:t>或有临床意义的实验室检查异常，但不一定与试验用药品有因果关系。</w:t>
      </w:r>
    </w:p>
    <w:p w14:paraId="56813947">
      <w:pPr>
        <w:spacing w:line="360" w:lineRule="auto"/>
        <w:ind w:firstLine="482" w:firstLineChars="200"/>
        <w:jc w:val="both"/>
        <w:rPr>
          <w:rFonts w:ascii="Times New Roman" w:hAnsi="Times New Roman" w:eastAsia="宋体" w:cs="Times New Roman"/>
          <w:sz w:val="24"/>
          <w:szCs w:val="24"/>
        </w:rPr>
      </w:pPr>
      <w:r>
        <w:rPr>
          <w:rFonts w:hint="eastAsia" w:ascii="Times New Roman" w:hAnsi="Times New Roman" w:eastAsia="宋体" w:cs="Times New Roman"/>
          <w:b/>
          <w:bCs/>
          <w:kern w:val="2"/>
          <w:sz w:val="24"/>
          <w:szCs w:val="24"/>
        </w:rPr>
        <w:t>但下列情况不应作为</w:t>
      </w:r>
      <w:r>
        <w:rPr>
          <w:rFonts w:ascii="Times New Roman" w:hAnsi="Times New Roman" w:eastAsia="宋体" w:cs="Times New Roman"/>
          <w:b/>
          <w:bCs/>
          <w:kern w:val="2"/>
          <w:sz w:val="24"/>
          <w:szCs w:val="24"/>
        </w:rPr>
        <w:t>AE</w:t>
      </w:r>
      <w:r>
        <w:rPr>
          <w:rFonts w:hint="eastAsia" w:ascii="Times New Roman" w:hAnsi="Times New Roman" w:eastAsia="宋体" w:cs="Times New Roman"/>
          <w:b/>
          <w:bCs/>
          <w:kern w:val="2"/>
          <w:sz w:val="24"/>
          <w:szCs w:val="24"/>
        </w:rPr>
        <w:t>记录：</w:t>
      </w:r>
    </w:p>
    <w:p w14:paraId="26E6D846">
      <w:pPr>
        <w:pStyle w:val="60"/>
        <w:numPr>
          <w:ilvl w:val="0"/>
          <w:numId w:val="37"/>
        </w:numPr>
        <w:ind w:firstLineChars="0"/>
        <w:rPr>
          <w:rFonts w:cs="Times New Roman"/>
          <w:sz w:val="24"/>
          <w:szCs w:val="24"/>
        </w:rPr>
      </w:pPr>
      <w:r>
        <w:rPr>
          <w:rFonts w:hint="eastAsia" w:cs="Times New Roman"/>
          <w:sz w:val="24"/>
          <w:szCs w:val="24"/>
        </w:rPr>
        <w:t>筛选时发现的已存在的情况（例如筛选时实验室检查、心电图检查、生命体征、体格检查等结果显示具有临床意义的异常，但经由研究者判断该异常在</w:t>
      </w:r>
      <w:r>
        <w:rPr>
          <w:rStyle w:val="99"/>
          <w:rFonts w:hint="eastAsia" w:cs="Times New Roman"/>
          <w:sz w:val="24"/>
          <w:szCs w:val="24"/>
        </w:rPr>
        <w:t>参与者</w:t>
      </w:r>
      <w:r>
        <w:rPr>
          <w:rFonts w:hint="eastAsia" w:cs="Times New Roman"/>
          <w:sz w:val="24"/>
          <w:szCs w:val="24"/>
        </w:rPr>
        <w:t>知情同意前已存在）；该种情况应作为病史</w:t>
      </w:r>
      <w:r>
        <w:rPr>
          <w:rFonts w:cs="Times New Roman"/>
          <w:sz w:val="24"/>
          <w:szCs w:val="24"/>
        </w:rPr>
        <w:t>/</w:t>
      </w:r>
      <w:r>
        <w:rPr>
          <w:rFonts w:hint="eastAsia" w:cs="Times New Roman"/>
          <w:sz w:val="24"/>
          <w:szCs w:val="24"/>
        </w:rPr>
        <w:t>伴随疾病进行记录。</w:t>
      </w:r>
    </w:p>
    <w:p w14:paraId="4F530E03">
      <w:pPr>
        <w:pStyle w:val="60"/>
        <w:numPr>
          <w:ilvl w:val="0"/>
          <w:numId w:val="37"/>
        </w:numPr>
        <w:ind w:firstLineChars="0"/>
        <w:rPr>
          <w:rFonts w:cs="Times New Roman"/>
          <w:sz w:val="24"/>
          <w:szCs w:val="24"/>
        </w:rPr>
      </w:pPr>
      <w:r>
        <w:rPr>
          <w:rFonts w:hint="eastAsia" w:cs="Times New Roman"/>
          <w:sz w:val="24"/>
          <w:szCs w:val="24"/>
        </w:rPr>
        <w:t>计划的住院</w:t>
      </w:r>
      <w:r>
        <w:rPr>
          <w:rFonts w:cs="Times New Roman"/>
          <w:sz w:val="24"/>
          <w:szCs w:val="24"/>
        </w:rPr>
        <w:t>/</w:t>
      </w:r>
      <w:r>
        <w:rPr>
          <w:rFonts w:hint="eastAsia" w:cs="Times New Roman"/>
          <w:sz w:val="24"/>
          <w:szCs w:val="24"/>
        </w:rPr>
        <w:t>手术；除非计划住院</w:t>
      </w:r>
      <w:r>
        <w:rPr>
          <w:rFonts w:cs="Times New Roman"/>
          <w:sz w:val="24"/>
          <w:szCs w:val="24"/>
        </w:rPr>
        <w:t>/</w:t>
      </w:r>
      <w:r>
        <w:rPr>
          <w:rFonts w:hint="eastAsia" w:cs="Times New Roman"/>
          <w:sz w:val="24"/>
          <w:szCs w:val="24"/>
        </w:rPr>
        <w:t>手术的情况较原有情况加重。</w:t>
      </w:r>
    </w:p>
    <w:p w14:paraId="092D29E3">
      <w:pPr>
        <w:pStyle w:val="60"/>
        <w:numPr>
          <w:ilvl w:val="0"/>
          <w:numId w:val="37"/>
        </w:numPr>
        <w:ind w:firstLineChars="0"/>
        <w:rPr>
          <w:rFonts w:cs="Times New Roman"/>
          <w:sz w:val="24"/>
          <w:szCs w:val="24"/>
        </w:rPr>
      </w:pPr>
      <w:r>
        <w:rPr>
          <w:rFonts w:hint="eastAsia" w:cs="Times New Roman"/>
          <w:sz w:val="24"/>
          <w:szCs w:val="24"/>
        </w:rPr>
        <w:t>内科和外科侵入性检查（如肝脏活检、内镜检查等）；但导致需实施这些检查的疾病可能为不良事件。</w:t>
      </w:r>
    </w:p>
    <w:p w14:paraId="28F0F204">
      <w:pPr>
        <w:pStyle w:val="60"/>
        <w:numPr>
          <w:ilvl w:val="0"/>
          <w:numId w:val="37"/>
        </w:numPr>
        <w:ind w:firstLineChars="0"/>
        <w:rPr>
          <w:rFonts w:cs="Times New Roman"/>
          <w:sz w:val="24"/>
          <w:szCs w:val="24"/>
        </w:rPr>
      </w:pPr>
      <w:r>
        <w:rPr>
          <w:rFonts w:hint="eastAsia" w:cs="Times New Roman"/>
          <w:sz w:val="24"/>
          <w:szCs w:val="24"/>
        </w:rPr>
        <w:t>研究的疾病预期进展和</w:t>
      </w:r>
      <w:r>
        <w:rPr>
          <w:rFonts w:cs="Times New Roman"/>
          <w:sz w:val="24"/>
          <w:szCs w:val="24"/>
        </w:rPr>
        <w:t>/</w:t>
      </w:r>
      <w:r>
        <w:rPr>
          <w:rFonts w:hint="eastAsia" w:cs="Times New Roman"/>
          <w:sz w:val="24"/>
          <w:szCs w:val="24"/>
        </w:rPr>
        <w:t>或研究疾病的症状与体征出现预期进展；除非严重程度或发生频率高于预期。</w:t>
      </w:r>
    </w:p>
    <w:p w14:paraId="7FE1F9FB">
      <w:pPr>
        <w:pStyle w:val="60"/>
        <w:numPr>
          <w:ilvl w:val="0"/>
          <w:numId w:val="37"/>
        </w:numPr>
        <w:ind w:firstLineChars="0"/>
        <w:rPr>
          <w:rFonts w:cs="Times New Roman"/>
          <w:sz w:val="24"/>
          <w:szCs w:val="24"/>
        </w:rPr>
      </w:pPr>
      <w:r>
        <w:rPr>
          <w:rFonts w:hint="eastAsia" w:cs="Times New Roman"/>
          <w:sz w:val="24"/>
          <w:szCs w:val="24"/>
        </w:rPr>
        <w:t>筛选时已存在的伴随疾病或原有症状、体征等出现预期的周期性波动，但并未恶化。</w:t>
      </w:r>
    </w:p>
    <w:p w14:paraId="02446A0B">
      <w:pPr>
        <w:pStyle w:val="116"/>
        <w:numPr>
          <w:ilvl w:val="3"/>
          <w:numId w:val="12"/>
        </w:numPr>
        <w:ind w:hanging="708"/>
        <w:outlineLvl w:val="3"/>
        <w:rPr>
          <w:rFonts w:cs="Times New Roman"/>
          <w:sz w:val="24"/>
          <w:szCs w:val="24"/>
        </w:rPr>
      </w:pPr>
      <w:bookmarkStart w:id="234" w:name="_Toc215213397"/>
      <w:bookmarkStart w:id="235" w:name="_Toc215214107"/>
      <w:bookmarkStart w:id="236" w:name="_Toc217032295"/>
      <w:r>
        <w:rPr>
          <w:rFonts w:hint="eastAsia" w:cs="Times New Roman"/>
          <w:sz w:val="24"/>
          <w:szCs w:val="24"/>
        </w:rPr>
        <w:t>治疗期出现的不良事件（</w:t>
      </w:r>
      <w:r>
        <w:rPr>
          <w:rFonts w:cs="Times New Roman"/>
          <w:sz w:val="24"/>
          <w:szCs w:val="24"/>
        </w:rPr>
        <w:t>TEAE</w:t>
      </w:r>
      <w:r>
        <w:rPr>
          <w:rFonts w:hint="eastAsia" w:cs="Times New Roman"/>
          <w:sz w:val="24"/>
          <w:szCs w:val="24"/>
        </w:rPr>
        <w:t>）</w:t>
      </w:r>
      <w:bookmarkEnd w:id="234"/>
      <w:bookmarkEnd w:id="235"/>
      <w:bookmarkEnd w:id="236"/>
    </w:p>
    <w:p w14:paraId="7C80229E">
      <w:pPr>
        <w:shd w:val="clear" w:color="auto" w:fill="FFFFFF"/>
        <w:spacing w:line="360" w:lineRule="auto"/>
        <w:ind w:firstLine="480" w:firstLineChars="200"/>
        <w:jc w:val="both"/>
        <w:rPr>
          <w:rFonts w:ascii="Times New Roman" w:hAnsi="Times New Roman" w:cs="Times New Roman"/>
          <w:sz w:val="24"/>
          <w:szCs w:val="24"/>
        </w:rPr>
      </w:pPr>
      <w:r>
        <w:rPr>
          <w:rStyle w:val="139"/>
          <w:rFonts w:hint="eastAsia" w:ascii="Times New Roman" w:hAnsi="Times New Roman" w:eastAsia="宋体" w:cs="Times New Roman"/>
          <w:b w:val="0"/>
          <w:i w:val="0"/>
          <w:iCs w:val="0"/>
          <w:sz w:val="24"/>
          <w:szCs w:val="24"/>
        </w:rPr>
        <w:t>治疗期出现的不良事件（</w:t>
      </w:r>
      <w:r>
        <w:rPr>
          <w:rStyle w:val="139"/>
          <w:rFonts w:ascii="Times New Roman" w:hAnsi="Times New Roman" w:eastAsia="宋体" w:cs="Times New Roman"/>
          <w:b w:val="0"/>
          <w:i w:val="0"/>
          <w:iCs w:val="0"/>
          <w:sz w:val="24"/>
          <w:szCs w:val="24"/>
        </w:rPr>
        <w:t>TEAE</w:t>
      </w:r>
      <w:r>
        <w:rPr>
          <w:rStyle w:val="139"/>
          <w:rFonts w:hint="eastAsia" w:ascii="Times New Roman" w:hAnsi="Times New Roman" w:eastAsia="宋体" w:cs="Times New Roman"/>
          <w:b w:val="0"/>
          <w:i w:val="0"/>
          <w:iCs w:val="0"/>
          <w:sz w:val="24"/>
          <w:szCs w:val="24"/>
        </w:rPr>
        <w:t>）是指在给药后出现的任何不利的医学事件。</w:t>
      </w:r>
      <w:r>
        <w:rPr>
          <w:rStyle w:val="139"/>
          <w:rFonts w:ascii="Times New Roman" w:hAnsi="Times New Roman" w:eastAsia="宋体" w:cs="Times New Roman"/>
          <w:b w:val="0"/>
          <w:i w:val="0"/>
          <w:iCs w:val="0"/>
          <w:sz w:val="24"/>
          <w:szCs w:val="24"/>
        </w:rPr>
        <w:t xml:space="preserve">ICH E9 </w:t>
      </w:r>
      <w:r>
        <w:rPr>
          <w:rStyle w:val="139"/>
          <w:rFonts w:hint="eastAsia" w:ascii="Times New Roman" w:hAnsi="Times New Roman" w:eastAsia="宋体" w:cs="Times New Roman"/>
          <w:b w:val="0"/>
          <w:i w:val="0"/>
          <w:iCs w:val="0"/>
          <w:sz w:val="24"/>
          <w:szCs w:val="24"/>
        </w:rPr>
        <w:t>指南</w:t>
      </w:r>
      <w:r>
        <w:rPr>
          <w:rStyle w:val="139"/>
          <w:rFonts w:ascii="Times New Roman" w:hAnsi="Times New Roman" w:eastAsia="宋体" w:cs="Times New Roman"/>
          <w:b w:val="0"/>
          <w:i w:val="0"/>
          <w:iCs w:val="0"/>
          <w:sz w:val="24"/>
          <w:szCs w:val="24"/>
        </w:rPr>
        <w:t>“</w:t>
      </w:r>
      <w:r>
        <w:rPr>
          <w:rStyle w:val="139"/>
          <w:rFonts w:hint="eastAsia" w:ascii="Times New Roman" w:hAnsi="Times New Roman" w:eastAsia="宋体" w:cs="Times New Roman"/>
          <w:b w:val="0"/>
          <w:i w:val="0"/>
          <w:iCs w:val="0"/>
          <w:sz w:val="24"/>
          <w:szCs w:val="24"/>
        </w:rPr>
        <w:t>临床试验统计原则</w:t>
      </w:r>
      <w:r>
        <w:rPr>
          <w:rStyle w:val="139"/>
          <w:rFonts w:ascii="Times New Roman" w:hAnsi="Times New Roman" w:eastAsia="宋体" w:cs="Times New Roman"/>
          <w:b w:val="0"/>
          <w:i w:val="0"/>
          <w:iCs w:val="0"/>
          <w:sz w:val="24"/>
          <w:szCs w:val="24"/>
        </w:rPr>
        <w:t>”</w:t>
      </w:r>
      <w:r>
        <w:rPr>
          <w:rStyle w:val="139"/>
          <w:rFonts w:hint="eastAsia" w:ascii="Times New Roman" w:hAnsi="Times New Roman" w:eastAsia="宋体" w:cs="Times New Roman"/>
          <w:b w:val="0"/>
          <w:i w:val="0"/>
          <w:iCs w:val="0"/>
          <w:sz w:val="24"/>
          <w:szCs w:val="24"/>
        </w:rPr>
        <w:t>将</w:t>
      </w:r>
      <w:r>
        <w:rPr>
          <w:rStyle w:val="139"/>
          <w:rFonts w:ascii="Times New Roman" w:hAnsi="Times New Roman" w:eastAsia="宋体" w:cs="Times New Roman"/>
          <w:b w:val="0"/>
          <w:i w:val="0"/>
          <w:iCs w:val="0"/>
          <w:sz w:val="24"/>
          <w:szCs w:val="24"/>
        </w:rPr>
        <w:t>“</w:t>
      </w:r>
      <w:r>
        <w:rPr>
          <w:rStyle w:val="139"/>
          <w:rFonts w:hint="eastAsia" w:ascii="Times New Roman" w:hAnsi="Times New Roman" w:eastAsia="宋体" w:cs="Times New Roman"/>
          <w:b w:val="0"/>
          <w:i w:val="0"/>
          <w:iCs w:val="0"/>
          <w:sz w:val="24"/>
          <w:szCs w:val="24"/>
        </w:rPr>
        <w:t>治疗期不良事件</w:t>
      </w:r>
      <w:r>
        <w:rPr>
          <w:rStyle w:val="139"/>
          <w:rFonts w:ascii="Times New Roman" w:hAnsi="Times New Roman" w:eastAsia="宋体" w:cs="Times New Roman"/>
          <w:b w:val="0"/>
          <w:i w:val="0"/>
          <w:iCs w:val="0"/>
          <w:sz w:val="24"/>
          <w:szCs w:val="24"/>
        </w:rPr>
        <w:t>”</w:t>
      </w:r>
      <w:r>
        <w:rPr>
          <w:rStyle w:val="139"/>
          <w:rFonts w:hint="eastAsia" w:ascii="Times New Roman" w:hAnsi="Times New Roman" w:eastAsia="宋体" w:cs="Times New Roman"/>
          <w:b w:val="0"/>
          <w:i w:val="0"/>
          <w:iCs w:val="0"/>
          <w:sz w:val="24"/>
          <w:szCs w:val="24"/>
        </w:rPr>
        <w:t>定义为：</w:t>
      </w:r>
      <w:r>
        <w:rPr>
          <w:rStyle w:val="139"/>
          <w:rFonts w:ascii="Times New Roman" w:hAnsi="Times New Roman" w:eastAsia="宋体" w:cs="Times New Roman"/>
          <w:b w:val="0"/>
          <w:i w:val="0"/>
          <w:iCs w:val="0"/>
          <w:sz w:val="24"/>
          <w:szCs w:val="24"/>
        </w:rPr>
        <w:t>“</w:t>
      </w:r>
      <w:r>
        <w:rPr>
          <w:rStyle w:val="139"/>
          <w:rFonts w:hint="eastAsia" w:ascii="Times New Roman" w:hAnsi="Times New Roman" w:eastAsia="宋体" w:cs="Times New Roman"/>
          <w:b w:val="0"/>
          <w:i w:val="0"/>
          <w:iCs w:val="0"/>
          <w:sz w:val="24"/>
          <w:szCs w:val="24"/>
        </w:rPr>
        <w:t>在治疗过程中出现的事件，在治疗前并未出现或相对于治疗前发生恶化</w:t>
      </w:r>
      <w:r>
        <w:rPr>
          <w:rStyle w:val="139"/>
          <w:rFonts w:ascii="Times New Roman" w:hAnsi="Times New Roman" w:eastAsia="宋体" w:cs="Times New Roman"/>
          <w:b w:val="0"/>
          <w:i w:val="0"/>
          <w:iCs w:val="0"/>
          <w:sz w:val="24"/>
          <w:szCs w:val="24"/>
        </w:rPr>
        <w:t>”</w:t>
      </w:r>
      <w:r>
        <w:rPr>
          <w:rStyle w:val="139"/>
          <w:rFonts w:hint="eastAsia" w:ascii="Times New Roman" w:hAnsi="Times New Roman" w:eastAsia="宋体" w:cs="Times New Roman"/>
          <w:b w:val="0"/>
          <w:i w:val="0"/>
          <w:iCs w:val="0"/>
          <w:sz w:val="24"/>
          <w:szCs w:val="24"/>
        </w:rPr>
        <w:t>。</w:t>
      </w:r>
    </w:p>
    <w:p w14:paraId="73D2914F">
      <w:pPr>
        <w:pStyle w:val="116"/>
        <w:numPr>
          <w:ilvl w:val="3"/>
          <w:numId w:val="12"/>
        </w:numPr>
        <w:ind w:hanging="708"/>
        <w:jc w:val="left"/>
        <w:outlineLvl w:val="3"/>
        <w:rPr>
          <w:rFonts w:cs="Times New Roman"/>
          <w:sz w:val="24"/>
          <w:szCs w:val="24"/>
        </w:rPr>
      </w:pPr>
      <w:bookmarkStart w:id="237" w:name="_Toc217032296"/>
      <w:bookmarkStart w:id="238" w:name="_Toc215214108"/>
      <w:bookmarkStart w:id="239" w:name="_Toc215213398"/>
      <w:r>
        <w:rPr>
          <w:rFonts w:hint="eastAsia" w:cs="Times New Roman"/>
          <w:sz w:val="24"/>
          <w:szCs w:val="24"/>
        </w:rPr>
        <w:t>严重不良事件（</w:t>
      </w:r>
      <w:r>
        <w:rPr>
          <w:rFonts w:cs="Times New Roman"/>
          <w:sz w:val="24"/>
          <w:szCs w:val="24"/>
        </w:rPr>
        <w:t>SAE</w:t>
      </w:r>
      <w:r>
        <w:rPr>
          <w:rFonts w:hint="eastAsia" w:cs="Times New Roman"/>
          <w:sz w:val="24"/>
          <w:szCs w:val="24"/>
        </w:rPr>
        <w:t>）</w:t>
      </w:r>
      <w:bookmarkEnd w:id="237"/>
      <w:bookmarkEnd w:id="238"/>
      <w:bookmarkEnd w:id="239"/>
    </w:p>
    <w:p w14:paraId="1413F50A">
      <w:pPr>
        <w:shd w:val="clear" w:color="auto" w:fill="FFFFFF"/>
        <w:spacing w:line="360" w:lineRule="auto"/>
        <w:ind w:firstLine="480" w:firstLineChars="200"/>
        <w:jc w:val="both"/>
        <w:rPr>
          <w:rStyle w:val="139"/>
          <w:rFonts w:ascii="Times New Roman" w:hAnsi="Times New Roman" w:eastAsia="宋体" w:cs="Times New Roman"/>
          <w:b w:val="0"/>
          <w:i w:val="0"/>
          <w:iCs w:val="0"/>
          <w:sz w:val="24"/>
          <w:szCs w:val="24"/>
        </w:rPr>
      </w:pPr>
      <w:r>
        <w:rPr>
          <w:rStyle w:val="139"/>
          <w:rFonts w:hint="eastAsia" w:ascii="Times New Roman" w:hAnsi="Times New Roman" w:eastAsia="宋体" w:cs="Times New Roman"/>
          <w:b w:val="0"/>
          <w:i w:val="0"/>
          <w:iCs w:val="0"/>
          <w:sz w:val="24"/>
          <w:szCs w:val="24"/>
        </w:rPr>
        <w:t>严重不良事件，指参与者接受试验用药品后出现死亡、危及生命、永久或者严重的残疾或者功能丧失、参与者需要住院治疗或者延长住院时间，以及先天性异常或者出生缺陷等不良医学事件。</w:t>
      </w:r>
    </w:p>
    <w:p w14:paraId="26F8533D">
      <w:pPr>
        <w:shd w:val="clear" w:color="auto" w:fill="FFFFFF"/>
        <w:spacing w:line="360" w:lineRule="auto"/>
        <w:ind w:firstLine="480" w:firstLineChars="200"/>
        <w:jc w:val="both"/>
        <w:rPr>
          <w:rStyle w:val="139"/>
          <w:rFonts w:ascii="Times New Roman" w:hAnsi="Times New Roman" w:eastAsia="宋体" w:cs="Times New Roman"/>
          <w:b w:val="0"/>
          <w:i w:val="0"/>
          <w:iCs w:val="0"/>
          <w:sz w:val="24"/>
          <w:szCs w:val="24"/>
          <w:lang w:eastAsia="en-US"/>
        </w:rPr>
      </w:pPr>
      <w:r>
        <w:rPr>
          <w:rStyle w:val="139"/>
          <w:rFonts w:hint="eastAsia" w:ascii="Times New Roman" w:hAnsi="Times New Roman" w:eastAsia="宋体" w:cs="Times New Roman"/>
          <w:b w:val="0"/>
          <w:i w:val="0"/>
          <w:iCs w:val="0"/>
          <w:sz w:val="24"/>
          <w:szCs w:val="24"/>
          <w:lang w:eastAsia="en-US"/>
        </w:rPr>
        <w:t>严重不良事件（</w:t>
      </w:r>
      <w:r>
        <w:rPr>
          <w:rStyle w:val="139"/>
          <w:rFonts w:ascii="Times New Roman" w:hAnsi="Times New Roman" w:eastAsia="宋体" w:cs="Times New Roman"/>
          <w:b w:val="0"/>
          <w:i w:val="0"/>
          <w:iCs w:val="0"/>
          <w:sz w:val="24"/>
          <w:szCs w:val="24"/>
          <w:lang w:eastAsia="en-US"/>
        </w:rPr>
        <w:t>Serious Adverse Event</w:t>
      </w:r>
      <w:r>
        <w:rPr>
          <w:rStyle w:val="139"/>
          <w:rFonts w:hint="eastAsia" w:ascii="Times New Roman" w:hAnsi="Times New Roman" w:eastAsia="宋体" w:cs="Times New Roman"/>
          <w:b w:val="0"/>
          <w:i w:val="0"/>
          <w:iCs w:val="0"/>
          <w:sz w:val="24"/>
          <w:szCs w:val="24"/>
          <w:lang w:eastAsia="en-US"/>
        </w:rPr>
        <w:t>，</w:t>
      </w:r>
      <w:r>
        <w:rPr>
          <w:rStyle w:val="139"/>
          <w:rFonts w:ascii="Times New Roman" w:hAnsi="Times New Roman" w:eastAsia="宋体" w:cs="Times New Roman"/>
          <w:b w:val="0"/>
          <w:i w:val="0"/>
          <w:iCs w:val="0"/>
          <w:sz w:val="24"/>
          <w:szCs w:val="24"/>
          <w:lang w:eastAsia="en-US"/>
        </w:rPr>
        <w:t>SAE</w:t>
      </w:r>
      <w:r>
        <w:rPr>
          <w:rStyle w:val="139"/>
          <w:rFonts w:hint="eastAsia" w:ascii="Times New Roman" w:hAnsi="Times New Roman" w:eastAsia="宋体" w:cs="Times New Roman"/>
          <w:b w:val="0"/>
          <w:i w:val="0"/>
          <w:iCs w:val="0"/>
          <w:sz w:val="24"/>
          <w:szCs w:val="24"/>
          <w:lang w:eastAsia="en-US"/>
        </w:rPr>
        <w:t>）是指符合下列标准任何一项的不良事件：</w:t>
      </w:r>
    </w:p>
    <w:p w14:paraId="2ECD1F88">
      <w:pPr>
        <w:numPr>
          <w:ilvl w:val="0"/>
          <w:numId w:val="53"/>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b/>
          <w:bCs/>
          <w:kern w:val="2"/>
          <w:sz w:val="24"/>
          <w:szCs w:val="24"/>
        </w:rPr>
        <w:t>导致死亡：</w:t>
      </w:r>
      <w:r>
        <w:rPr>
          <w:rFonts w:hint="eastAsia" w:ascii="Times New Roman" w:hAnsi="Times New Roman" w:eastAsia="宋体" w:cs="Times New Roman"/>
          <w:kern w:val="2"/>
          <w:sz w:val="24"/>
          <w:szCs w:val="24"/>
        </w:rPr>
        <w:t>当一个事件的结果为</w:t>
      </w:r>
      <w:r>
        <w:rPr>
          <w:rFonts w:ascii="Times New Roman" w:hAnsi="Times New Roman" w:eastAsia="宋体" w:cs="Times New Roman"/>
          <w:kern w:val="2"/>
          <w:sz w:val="24"/>
          <w:szCs w:val="24"/>
        </w:rPr>
        <w:t>“</w:t>
      </w:r>
      <w:r>
        <w:rPr>
          <w:rFonts w:hint="eastAsia" w:ascii="Times New Roman" w:hAnsi="Times New Roman" w:eastAsia="宋体" w:cs="Times New Roman"/>
          <w:kern w:val="2"/>
          <w:sz w:val="24"/>
          <w:szCs w:val="24"/>
        </w:rPr>
        <w:t>死亡</w:t>
      </w:r>
      <w:r>
        <w:rPr>
          <w:rFonts w:ascii="Times New Roman" w:hAnsi="Times New Roman" w:eastAsia="宋体" w:cs="Times New Roman"/>
          <w:kern w:val="2"/>
          <w:sz w:val="24"/>
          <w:szCs w:val="24"/>
        </w:rPr>
        <w:t>”</w:t>
      </w:r>
      <w:r>
        <w:rPr>
          <w:rFonts w:hint="eastAsia" w:ascii="Times New Roman" w:hAnsi="Times New Roman" w:eastAsia="宋体" w:cs="Times New Roman"/>
          <w:kern w:val="2"/>
          <w:sz w:val="24"/>
          <w:szCs w:val="24"/>
        </w:rPr>
        <w:t>，则可明确地作为严重不良事件进行记录和报告。</w:t>
      </w:r>
    </w:p>
    <w:p w14:paraId="31961C57">
      <w:pPr>
        <w:numPr>
          <w:ilvl w:val="0"/>
          <w:numId w:val="53"/>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b/>
          <w:bCs/>
          <w:kern w:val="2"/>
          <w:sz w:val="24"/>
          <w:szCs w:val="24"/>
        </w:rPr>
        <w:t>危及生命：</w:t>
      </w:r>
      <w:r>
        <w:rPr>
          <w:rFonts w:hint="eastAsia" w:ascii="Times New Roman" w:hAnsi="Times New Roman" w:eastAsia="宋体" w:cs="Times New Roman"/>
          <w:kern w:val="2"/>
          <w:sz w:val="24"/>
          <w:szCs w:val="24"/>
        </w:rPr>
        <w:t>在此是指在发生不良事件时参与者已经处于死亡的危险中，并不是指假设该不良事件如果更严重可能导致死亡。</w:t>
      </w:r>
    </w:p>
    <w:p w14:paraId="0472D6B6">
      <w:pPr>
        <w:numPr>
          <w:ilvl w:val="0"/>
          <w:numId w:val="53"/>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b/>
          <w:bCs/>
          <w:kern w:val="2"/>
          <w:sz w:val="24"/>
          <w:szCs w:val="24"/>
        </w:rPr>
        <w:t>永久或者严重的残疾或者功能丧失：</w:t>
      </w:r>
      <w:r>
        <w:rPr>
          <w:rFonts w:hint="eastAsia" w:ascii="Times New Roman" w:hAnsi="Times New Roman" w:eastAsia="宋体" w:cs="Times New Roman"/>
          <w:kern w:val="2"/>
          <w:sz w:val="24"/>
          <w:szCs w:val="24"/>
        </w:rPr>
        <w:t>指不良事件结果可能对参与者正常生活和活动造成严重不便或干扰。相对较小医学意义的经历，如单纯的头痛、恶心、呕吐、腹泻、流感和意外创伤（如脚踝扭伤），这些经历可能干扰或阻碍日常生活功能，但不构成重大干扰。</w:t>
      </w:r>
    </w:p>
    <w:p w14:paraId="5111EAB7">
      <w:pPr>
        <w:numPr>
          <w:ilvl w:val="0"/>
          <w:numId w:val="53"/>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b/>
          <w:bCs/>
          <w:kern w:val="2"/>
          <w:sz w:val="24"/>
          <w:szCs w:val="24"/>
        </w:rPr>
        <w:t>需要住院治疗或延长住院时间</w:t>
      </w:r>
      <w:r>
        <w:rPr>
          <w:rFonts w:ascii="Times New Roman" w:hAnsi="Times New Roman" w:eastAsia="宋体" w:cs="Times New Roman"/>
          <w:b/>
          <w:bCs/>
          <w:kern w:val="2"/>
          <w:sz w:val="24"/>
          <w:szCs w:val="24"/>
          <w:vertAlign w:val="superscript"/>
        </w:rPr>
        <w:t>*</w:t>
      </w:r>
      <w:r>
        <w:rPr>
          <w:rFonts w:hint="eastAsia" w:ascii="Times New Roman" w:hAnsi="Times New Roman" w:eastAsia="宋体" w:cs="Times New Roman"/>
          <w:b/>
          <w:bCs/>
          <w:kern w:val="2"/>
          <w:sz w:val="24"/>
          <w:szCs w:val="24"/>
        </w:rPr>
        <w:t>：</w:t>
      </w:r>
      <w:r>
        <w:rPr>
          <w:rFonts w:hint="eastAsia" w:ascii="Times New Roman" w:hAnsi="Times New Roman" w:eastAsia="宋体" w:cs="Times New Roman"/>
          <w:kern w:val="2"/>
          <w:sz w:val="24"/>
          <w:szCs w:val="24"/>
        </w:rPr>
        <w:t>不良事件导致参与者不得不住院接受治疗或本来已经准备出院但由于发生了不良事件而导致住院时间延长；需明确导致该状况的原因是由于不良事件所致，而非因择期手术、非医疗原因等导致入院。</w:t>
      </w:r>
    </w:p>
    <w:p w14:paraId="1B64FBB9">
      <w:pPr>
        <w:autoSpaceDE/>
        <w:autoSpaceDN/>
        <w:spacing w:line="360" w:lineRule="auto"/>
        <w:ind w:firstLine="964" w:firstLineChars="400"/>
        <w:jc w:val="both"/>
        <w:rPr>
          <w:rFonts w:ascii="Times New Roman" w:hAnsi="Times New Roman" w:eastAsia="宋体" w:cs="Times New Roman"/>
          <w:b/>
          <w:bCs/>
          <w:kern w:val="2"/>
          <w:sz w:val="24"/>
          <w:szCs w:val="24"/>
        </w:rPr>
      </w:pPr>
      <w:r>
        <w:rPr>
          <w:rFonts w:ascii="Times New Roman" w:hAnsi="Times New Roman" w:eastAsia="宋体" w:cs="Times New Roman"/>
          <w:b/>
          <w:bCs/>
          <w:kern w:val="2"/>
          <w:sz w:val="24"/>
          <w:szCs w:val="24"/>
        </w:rPr>
        <w:t>*</w:t>
      </w:r>
      <w:r>
        <w:rPr>
          <w:rFonts w:hint="eastAsia" w:ascii="Times New Roman" w:hAnsi="Times New Roman" w:eastAsia="宋体" w:cs="Times New Roman"/>
          <w:b/>
          <w:bCs/>
          <w:kern w:val="2"/>
          <w:sz w:val="24"/>
          <w:szCs w:val="24"/>
        </w:rPr>
        <w:t>以下住院情况可根据研究者综合判断不作为</w:t>
      </w:r>
      <w:r>
        <w:rPr>
          <w:rFonts w:ascii="Times New Roman" w:hAnsi="Times New Roman" w:eastAsia="宋体" w:cs="Times New Roman"/>
          <w:b/>
          <w:bCs/>
          <w:kern w:val="2"/>
          <w:sz w:val="24"/>
          <w:szCs w:val="24"/>
        </w:rPr>
        <w:t>SAE</w:t>
      </w:r>
      <w:r>
        <w:rPr>
          <w:rFonts w:hint="eastAsia" w:ascii="Times New Roman" w:hAnsi="Times New Roman" w:eastAsia="宋体" w:cs="Times New Roman"/>
          <w:b/>
          <w:bCs/>
          <w:kern w:val="2"/>
          <w:sz w:val="24"/>
          <w:szCs w:val="24"/>
        </w:rPr>
        <w:t>：</w:t>
      </w:r>
    </w:p>
    <w:p w14:paraId="1B3F0E87">
      <w:pPr>
        <w:numPr>
          <w:ilvl w:val="0"/>
          <w:numId w:val="54"/>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小时内出院的留院观察；</w:t>
      </w:r>
    </w:p>
    <w:p w14:paraId="4BEFAB07">
      <w:pPr>
        <w:numPr>
          <w:ilvl w:val="0"/>
          <w:numId w:val="54"/>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住院进行门诊常规检查（住院时间少于</w:t>
      </w: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小时）；</w:t>
      </w:r>
    </w:p>
    <w:p w14:paraId="32A83142">
      <w:pPr>
        <w:numPr>
          <w:ilvl w:val="0"/>
          <w:numId w:val="55"/>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社会原因住院：如患者因无人照料或医保报销等；</w:t>
      </w:r>
    </w:p>
    <w:p w14:paraId="04C3ABDB">
      <w:pPr>
        <w:numPr>
          <w:ilvl w:val="0"/>
          <w:numId w:val="55"/>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在康复机构、疗养院住院；</w:t>
      </w:r>
    </w:p>
    <w:p w14:paraId="565A48D5">
      <w:pPr>
        <w:numPr>
          <w:ilvl w:val="0"/>
          <w:numId w:val="55"/>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因对现存疾病进行诊断或择期手术治疗而住院或延长住院；</w:t>
      </w:r>
    </w:p>
    <w:p w14:paraId="5CC5E9A6">
      <w:pPr>
        <w:numPr>
          <w:ilvl w:val="0"/>
          <w:numId w:val="55"/>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因研究需要做疗效评价而住院或延长住院；</w:t>
      </w:r>
    </w:p>
    <w:p w14:paraId="35B3F4AC">
      <w:pPr>
        <w:numPr>
          <w:ilvl w:val="0"/>
          <w:numId w:val="55"/>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因研究的目标疾病的规定疗程而住院或延长住院；</w:t>
      </w:r>
    </w:p>
    <w:p w14:paraId="19475F70">
      <w:pPr>
        <w:numPr>
          <w:ilvl w:val="0"/>
          <w:numId w:val="56"/>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方案规定的计划住院；</w:t>
      </w:r>
    </w:p>
    <w:p w14:paraId="684948CD">
      <w:pPr>
        <w:numPr>
          <w:ilvl w:val="0"/>
          <w:numId w:val="56"/>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研究前计划的住院或非不良事件导致的择期手术；</w:t>
      </w:r>
    </w:p>
    <w:p w14:paraId="2B361272">
      <w:pPr>
        <w:numPr>
          <w:ilvl w:val="0"/>
          <w:numId w:val="56"/>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或全面体格检查而导致的入院。</w:t>
      </w:r>
    </w:p>
    <w:p w14:paraId="165B6510">
      <w:pPr>
        <w:numPr>
          <w:ilvl w:val="0"/>
          <w:numId w:val="53"/>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b/>
          <w:bCs/>
          <w:kern w:val="2"/>
          <w:sz w:val="24"/>
          <w:szCs w:val="24"/>
        </w:rPr>
        <w:t>先天性异常或者出生缺陷：</w:t>
      </w:r>
      <w:r>
        <w:rPr>
          <w:rFonts w:hint="eastAsia" w:ascii="Times New Roman" w:hAnsi="Times New Roman" w:eastAsia="宋体" w:cs="Times New Roman"/>
          <w:kern w:val="2"/>
          <w:sz w:val="24"/>
          <w:szCs w:val="24"/>
        </w:rPr>
        <w:t>指参与者的后代出现畸形或先天的功能缺陷等。</w:t>
      </w:r>
    </w:p>
    <w:p w14:paraId="349148B0">
      <w:pPr>
        <w:numPr>
          <w:ilvl w:val="0"/>
          <w:numId w:val="53"/>
        </w:numPr>
        <w:spacing w:line="360" w:lineRule="auto"/>
        <w:contextualSpacing/>
        <w:jc w:val="both"/>
        <w:rPr>
          <w:rStyle w:val="139"/>
          <w:rFonts w:ascii="Times New Roman" w:hAnsi="Times New Roman" w:eastAsia="宋体" w:cs="Times New Roman"/>
          <w:b w:val="0"/>
          <w:i w:val="0"/>
          <w:iCs w:val="0"/>
          <w:sz w:val="24"/>
          <w:szCs w:val="24"/>
        </w:rPr>
      </w:pPr>
      <w:r>
        <w:rPr>
          <w:rFonts w:hint="eastAsia" w:ascii="Times New Roman" w:hAnsi="Times New Roman" w:eastAsia="宋体" w:cs="Times New Roman"/>
          <w:b/>
          <w:bCs/>
          <w:kern w:val="2"/>
          <w:sz w:val="24"/>
          <w:szCs w:val="24"/>
        </w:rPr>
        <w:t>其他有重要意义的医学事件：</w:t>
      </w:r>
      <w:r>
        <w:rPr>
          <w:rFonts w:hint="eastAsia" w:ascii="Times New Roman" w:hAnsi="Times New Roman" w:eastAsia="宋体" w:cs="Times New Roman"/>
          <w:kern w:val="2"/>
          <w:sz w:val="24"/>
          <w:szCs w:val="24"/>
        </w:rPr>
        <w:t>必须运用医学和科学的判断决定是否对其他的情况加速报告，如重要医学事件可能不会立即危及生命、死亡或住院，但如需要采取医学措施来预防如上情形之一的发生，也通常被视为是严重的。</w:t>
      </w:r>
    </w:p>
    <w:p w14:paraId="547BDECF">
      <w:pPr>
        <w:pStyle w:val="116"/>
        <w:numPr>
          <w:ilvl w:val="3"/>
          <w:numId w:val="12"/>
        </w:numPr>
        <w:ind w:hanging="708"/>
        <w:outlineLvl w:val="3"/>
        <w:rPr>
          <w:rFonts w:cs="Times New Roman"/>
          <w:sz w:val="24"/>
          <w:szCs w:val="24"/>
        </w:rPr>
      </w:pPr>
      <w:bookmarkStart w:id="240" w:name="_Toc215213399"/>
      <w:bookmarkStart w:id="241" w:name="_Toc217032297"/>
      <w:bookmarkStart w:id="242" w:name="_Toc215214109"/>
      <w:bookmarkStart w:id="243" w:name="_Toc1556"/>
      <w:bookmarkStart w:id="244" w:name="_Toc143199804"/>
      <w:bookmarkStart w:id="245" w:name="_Toc166156771"/>
      <w:bookmarkStart w:id="246" w:name="_Toc143200000"/>
      <w:bookmarkStart w:id="247" w:name="_Toc3590"/>
      <w:bookmarkStart w:id="248" w:name="_Toc18049"/>
      <w:bookmarkStart w:id="249" w:name="_Toc142560941"/>
      <w:bookmarkStart w:id="250" w:name="_Toc22176"/>
      <w:bookmarkStart w:id="251" w:name="_Toc21265"/>
      <w:bookmarkStart w:id="252" w:name="_Toc31527"/>
      <w:r>
        <w:rPr>
          <w:rFonts w:hint="eastAsia" w:cs="Times New Roman"/>
          <w:sz w:val="24"/>
          <w:szCs w:val="24"/>
        </w:rPr>
        <w:t>药物不良反应（</w:t>
      </w:r>
      <w:r>
        <w:rPr>
          <w:rFonts w:cs="Times New Roman"/>
          <w:sz w:val="24"/>
          <w:szCs w:val="24"/>
        </w:rPr>
        <w:t>ADR</w:t>
      </w:r>
      <w:r>
        <w:rPr>
          <w:rFonts w:hint="eastAsia" w:cs="Times New Roman"/>
          <w:sz w:val="24"/>
          <w:szCs w:val="24"/>
        </w:rPr>
        <w:t>）</w:t>
      </w:r>
      <w:bookmarkEnd w:id="240"/>
      <w:bookmarkEnd w:id="241"/>
      <w:bookmarkEnd w:id="242"/>
    </w:p>
    <w:p w14:paraId="29334CFD">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sz w:val="24"/>
          <w:szCs w:val="24"/>
        </w:rPr>
        <w:t>药物不良反应（</w:t>
      </w:r>
      <w:r>
        <w:rPr>
          <w:rFonts w:ascii="Times New Roman" w:hAnsi="Times New Roman" w:eastAsia="宋体" w:cs="Times New Roman"/>
          <w:sz w:val="24"/>
          <w:szCs w:val="24"/>
        </w:rPr>
        <w:t>Adverse Drug Reaction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ADR</w:t>
      </w:r>
      <w:r>
        <w:rPr>
          <w:rFonts w:hint="eastAsia" w:ascii="Times New Roman" w:hAnsi="Times New Roman" w:eastAsia="宋体" w:cs="Times New Roman"/>
          <w:sz w:val="24"/>
          <w:szCs w:val="24"/>
        </w:rPr>
        <w:t>）：指临床试验中发生的任何与研究药物可能有关的对人体有害或者非期望的反应。研究药物与</w:t>
      </w:r>
      <w:r>
        <w:rPr>
          <w:rFonts w:ascii="Times New Roman" w:hAnsi="Times New Roman" w:eastAsia="宋体" w:cs="Times New Roman"/>
          <w:sz w:val="24"/>
          <w:szCs w:val="24"/>
        </w:rPr>
        <w:t>AE</w:t>
      </w:r>
      <w:r>
        <w:rPr>
          <w:rFonts w:hint="eastAsia" w:ascii="Times New Roman" w:hAnsi="Times New Roman" w:eastAsia="宋体" w:cs="Times New Roman"/>
          <w:sz w:val="24"/>
          <w:szCs w:val="24"/>
        </w:rPr>
        <w:t>之间的因果关系至少有一个合理的可能性，即不能排除相关性。</w:t>
      </w:r>
    </w:p>
    <w:p w14:paraId="3EBA0E96">
      <w:pPr>
        <w:pStyle w:val="116"/>
        <w:numPr>
          <w:ilvl w:val="3"/>
          <w:numId w:val="12"/>
        </w:numPr>
        <w:ind w:hanging="708"/>
        <w:outlineLvl w:val="3"/>
        <w:rPr>
          <w:rFonts w:cs="Times New Roman"/>
          <w:sz w:val="24"/>
          <w:szCs w:val="24"/>
        </w:rPr>
      </w:pPr>
      <w:bookmarkStart w:id="253" w:name="_Toc215213400"/>
      <w:bookmarkStart w:id="254" w:name="_Toc215214110"/>
      <w:bookmarkStart w:id="255" w:name="_Toc217032298"/>
      <w:r>
        <w:rPr>
          <w:rFonts w:hint="eastAsia" w:cs="Times New Roman"/>
          <w:sz w:val="24"/>
          <w:szCs w:val="24"/>
          <w:lang w:eastAsia="zh-Hans"/>
        </w:rPr>
        <w:t>可疑且非预期严重不良反应（</w:t>
      </w:r>
      <w:r>
        <w:rPr>
          <w:rFonts w:cs="Times New Roman"/>
          <w:sz w:val="24"/>
          <w:szCs w:val="24"/>
          <w:lang w:eastAsia="zh-Hans"/>
        </w:rPr>
        <w:t>SUSAR</w:t>
      </w:r>
      <w:r>
        <w:rPr>
          <w:rFonts w:hint="eastAsia" w:cs="Times New Roman"/>
          <w:sz w:val="24"/>
          <w:szCs w:val="24"/>
          <w:lang w:eastAsia="zh-Hans"/>
        </w:rPr>
        <w:t>）</w:t>
      </w:r>
      <w:bookmarkEnd w:id="243"/>
      <w:bookmarkEnd w:id="244"/>
      <w:bookmarkEnd w:id="245"/>
      <w:bookmarkEnd w:id="246"/>
      <w:bookmarkEnd w:id="247"/>
      <w:bookmarkEnd w:id="248"/>
      <w:bookmarkEnd w:id="249"/>
      <w:bookmarkEnd w:id="250"/>
      <w:bookmarkEnd w:id="251"/>
      <w:bookmarkEnd w:id="252"/>
      <w:bookmarkEnd w:id="253"/>
      <w:bookmarkEnd w:id="254"/>
      <w:bookmarkEnd w:id="255"/>
    </w:p>
    <w:p w14:paraId="2996FF97">
      <w:pPr>
        <w:spacing w:line="360" w:lineRule="auto"/>
        <w:ind w:firstLine="480" w:firstLineChars="200"/>
        <w:jc w:val="both"/>
        <w:rPr>
          <w:rFonts w:ascii="Times New Roman" w:hAnsi="Times New Roman" w:eastAsia="宋体" w:cs="Times New Roman"/>
          <w:bCs/>
          <w:sz w:val="24"/>
          <w:szCs w:val="24"/>
          <w:lang w:eastAsia="en-US"/>
        </w:rPr>
      </w:pPr>
      <w:r>
        <w:rPr>
          <w:rFonts w:hint="eastAsia" w:ascii="Times New Roman" w:hAnsi="Times New Roman" w:eastAsia="宋体" w:cs="Times New Roman"/>
          <w:bCs/>
          <w:sz w:val="24"/>
          <w:szCs w:val="24"/>
          <w:lang w:eastAsia="en-US"/>
        </w:rPr>
        <w:t>可疑且非预期严重不良反应（</w:t>
      </w:r>
      <w:r>
        <w:rPr>
          <w:rFonts w:ascii="Times New Roman" w:hAnsi="Times New Roman" w:eastAsia="宋体" w:cs="Times New Roman"/>
          <w:bCs/>
          <w:sz w:val="24"/>
          <w:szCs w:val="24"/>
          <w:lang w:eastAsia="en-US"/>
        </w:rPr>
        <w:t>Suspected Unexpected Serious Adverse Reaction</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lang w:eastAsia="en-US"/>
        </w:rPr>
        <w:t>SUSAR</w:t>
      </w:r>
      <w:r>
        <w:rPr>
          <w:rFonts w:hint="eastAsia" w:ascii="Times New Roman" w:hAnsi="Times New Roman" w:eastAsia="宋体" w:cs="Times New Roman"/>
          <w:bCs/>
          <w:sz w:val="24"/>
          <w:szCs w:val="24"/>
          <w:lang w:eastAsia="en-US"/>
        </w:rPr>
        <w:t>）指临床表现的性质和严重程度超出了试验药物《研究者手册》、已上市药品的说明书或者产品特性摘要等已有资料信息的可疑并且非预期的严重不良反应。</w:t>
      </w:r>
    </w:p>
    <w:p w14:paraId="591A6914">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lang w:eastAsia="en-US"/>
        </w:rPr>
        <w:t>非预期不良反应指不良反应的性质、严重程度、后果或频率，不同于试验药物当前相关资料（如《研究者手册》等文件）所描述的预期风险。</w:t>
      </w:r>
      <w:r>
        <w:rPr>
          <w:rFonts w:hint="eastAsia" w:ascii="Times New Roman" w:hAnsi="Times New Roman" w:eastAsia="宋体" w:cs="Times New Roman"/>
          <w:bCs/>
          <w:sz w:val="24"/>
          <w:szCs w:val="24"/>
        </w:rPr>
        <w:t>《研究者手册》作为主要文件提供用以判断某不良反应是否预期或非预期的安全性参考信息。</w:t>
      </w:r>
      <w:r>
        <w:rPr>
          <w:rFonts w:ascii="Times New Roman" w:hAnsi="Times New Roman" w:eastAsia="宋体" w:cs="Times New Roman"/>
          <w:bCs/>
          <w:sz w:val="24"/>
          <w:szCs w:val="24"/>
        </w:rPr>
        <w:t xml:space="preserve"> </w:t>
      </w:r>
    </w:p>
    <w:p w14:paraId="01584F8E">
      <w:pPr>
        <w:pStyle w:val="116"/>
        <w:numPr>
          <w:ilvl w:val="2"/>
          <w:numId w:val="12"/>
        </w:numPr>
        <w:jc w:val="left"/>
        <w:outlineLvl w:val="2"/>
        <w:rPr>
          <w:rFonts w:cs="Times New Roman"/>
          <w:sz w:val="24"/>
          <w:szCs w:val="24"/>
        </w:rPr>
      </w:pPr>
      <w:bookmarkStart w:id="256" w:name="_Toc215740577"/>
      <w:bookmarkEnd w:id="256"/>
      <w:bookmarkStart w:id="257" w:name="_Toc215241420"/>
      <w:bookmarkEnd w:id="257"/>
      <w:bookmarkStart w:id="258" w:name="_Toc215241421"/>
      <w:bookmarkEnd w:id="258"/>
      <w:bookmarkStart w:id="259" w:name="_Toc215241418"/>
      <w:bookmarkEnd w:id="259"/>
      <w:bookmarkStart w:id="260" w:name="_Toc215740574"/>
      <w:bookmarkEnd w:id="260"/>
      <w:bookmarkStart w:id="261" w:name="_Toc215241415"/>
      <w:bookmarkEnd w:id="261"/>
      <w:bookmarkStart w:id="262" w:name="_Toc215241416"/>
      <w:bookmarkEnd w:id="262"/>
      <w:bookmarkStart w:id="263" w:name="_Toc215740576"/>
      <w:bookmarkEnd w:id="263"/>
      <w:bookmarkStart w:id="264" w:name="_Toc215740575"/>
      <w:bookmarkEnd w:id="264"/>
      <w:bookmarkStart w:id="265" w:name="_Toc215241417"/>
      <w:bookmarkEnd w:id="265"/>
      <w:bookmarkStart w:id="266" w:name="_Toc215241419"/>
      <w:bookmarkEnd w:id="266"/>
      <w:bookmarkStart w:id="267" w:name="_Toc215740578"/>
      <w:bookmarkEnd w:id="267"/>
      <w:bookmarkStart w:id="268" w:name="_Toc215740579"/>
      <w:bookmarkEnd w:id="268"/>
      <w:bookmarkStart w:id="269" w:name="_Toc215740582"/>
      <w:bookmarkEnd w:id="269"/>
      <w:bookmarkStart w:id="270" w:name="_Toc215740581"/>
      <w:bookmarkEnd w:id="270"/>
      <w:bookmarkStart w:id="271" w:name="_Toc215241422"/>
      <w:bookmarkEnd w:id="271"/>
      <w:bookmarkStart w:id="272" w:name="_Toc215241423"/>
      <w:bookmarkEnd w:id="272"/>
      <w:bookmarkStart w:id="273" w:name="_Toc215740580"/>
      <w:bookmarkEnd w:id="273"/>
      <w:bookmarkStart w:id="274" w:name="_Toc217032299"/>
      <w:r>
        <w:rPr>
          <w:rFonts w:hint="eastAsia" w:cs="Times New Roman"/>
          <w:sz w:val="24"/>
          <w:szCs w:val="24"/>
        </w:rPr>
        <w:t>不良事件的收集和记录</w:t>
      </w:r>
      <w:bookmarkEnd w:id="274"/>
    </w:p>
    <w:p w14:paraId="63B03E59">
      <w:pPr>
        <w:pStyle w:val="116"/>
        <w:numPr>
          <w:ilvl w:val="3"/>
          <w:numId w:val="12"/>
        </w:numPr>
        <w:ind w:hanging="708"/>
        <w:jc w:val="left"/>
        <w:outlineLvl w:val="3"/>
        <w:rPr>
          <w:rFonts w:cs="Times New Roman"/>
          <w:sz w:val="24"/>
          <w:szCs w:val="24"/>
        </w:rPr>
      </w:pPr>
      <w:bookmarkStart w:id="275" w:name="_Toc217032300"/>
      <w:bookmarkStart w:id="276" w:name="_Toc215213403"/>
      <w:bookmarkStart w:id="277" w:name="_Toc215214113"/>
      <w:r>
        <w:rPr>
          <w:rFonts w:hint="eastAsia" w:cs="Times New Roman"/>
          <w:sz w:val="24"/>
          <w:szCs w:val="24"/>
        </w:rPr>
        <w:t>不良事件的收集</w:t>
      </w:r>
      <w:bookmarkEnd w:id="275"/>
      <w:bookmarkEnd w:id="276"/>
      <w:bookmarkEnd w:id="277"/>
    </w:p>
    <w:p w14:paraId="36313692">
      <w:pPr>
        <w:pStyle w:val="60"/>
        <w:ind w:firstLine="480"/>
        <w:rPr>
          <w:rStyle w:val="99"/>
          <w:rFonts w:cs="Times New Roman"/>
          <w:sz w:val="24"/>
          <w:szCs w:val="24"/>
        </w:rPr>
      </w:pPr>
      <w:r>
        <w:rPr>
          <w:rStyle w:val="99"/>
          <w:rFonts w:hint="eastAsia" w:cs="Times New Roman"/>
          <w:sz w:val="24"/>
          <w:szCs w:val="24"/>
        </w:rPr>
        <w:t>本试验中，不良事件收集期应从参与者首次服用试验用药品后至最后一次安全性随访或者退出研究为止（以先发生时间为准）。</w:t>
      </w:r>
    </w:p>
    <w:p w14:paraId="423552E4">
      <w:pPr>
        <w:pStyle w:val="60"/>
        <w:ind w:firstLine="480"/>
        <w:rPr>
          <w:rStyle w:val="99"/>
          <w:rFonts w:cs="Times New Roman"/>
          <w:sz w:val="24"/>
          <w:szCs w:val="24"/>
        </w:rPr>
      </w:pPr>
      <w:r>
        <w:rPr>
          <w:rStyle w:val="99"/>
          <w:rFonts w:hint="eastAsia" w:cs="Times New Roman"/>
          <w:sz w:val="24"/>
          <w:szCs w:val="24"/>
        </w:rPr>
        <w:t>在签署知情同意书后到首次服用试验用药品之前，发生的临床不良医学事件作为病史</w:t>
      </w:r>
      <w:r>
        <w:rPr>
          <w:rStyle w:val="99"/>
          <w:rFonts w:cs="Times New Roman"/>
          <w:sz w:val="24"/>
          <w:szCs w:val="24"/>
        </w:rPr>
        <w:t>/</w:t>
      </w:r>
      <w:r>
        <w:rPr>
          <w:rStyle w:val="99"/>
          <w:rFonts w:hint="eastAsia" w:cs="Times New Roman"/>
          <w:sz w:val="24"/>
          <w:szCs w:val="24"/>
        </w:rPr>
        <w:t>伴随疾病记录在原始病历中，不作为</w:t>
      </w:r>
      <w:r>
        <w:rPr>
          <w:rStyle w:val="99"/>
          <w:rFonts w:cs="Times New Roman"/>
          <w:sz w:val="24"/>
          <w:szCs w:val="24"/>
        </w:rPr>
        <w:t>AE</w:t>
      </w:r>
      <w:r>
        <w:rPr>
          <w:rStyle w:val="99"/>
          <w:rFonts w:hint="eastAsia" w:cs="Times New Roman"/>
          <w:sz w:val="24"/>
          <w:szCs w:val="24"/>
        </w:rPr>
        <w:t>记录。</w:t>
      </w:r>
    </w:p>
    <w:p w14:paraId="04827B74">
      <w:pPr>
        <w:pStyle w:val="60"/>
        <w:ind w:firstLine="480"/>
        <w:rPr>
          <w:rFonts w:cs="Times New Roman"/>
          <w:sz w:val="24"/>
          <w:szCs w:val="24"/>
        </w:rPr>
      </w:pPr>
      <w:r>
        <w:rPr>
          <w:rStyle w:val="99"/>
          <w:rFonts w:hint="eastAsia" w:cs="Times New Roman"/>
          <w:sz w:val="24"/>
          <w:szCs w:val="24"/>
        </w:rPr>
        <w:t>从首次服用试验用药品至末次访视期间发生的所有</w:t>
      </w:r>
      <w:r>
        <w:rPr>
          <w:rStyle w:val="99"/>
          <w:rFonts w:cs="Times New Roman"/>
          <w:sz w:val="24"/>
          <w:szCs w:val="24"/>
        </w:rPr>
        <w:t>AE</w:t>
      </w:r>
      <w:r>
        <w:rPr>
          <w:rStyle w:val="99"/>
          <w:rFonts w:hint="eastAsia" w:cs="Times New Roman"/>
          <w:sz w:val="24"/>
          <w:szCs w:val="24"/>
        </w:rPr>
        <w:t>均需记录在</w:t>
      </w:r>
      <w:r>
        <w:rPr>
          <w:rStyle w:val="99"/>
          <w:rFonts w:cs="Times New Roman"/>
          <w:sz w:val="24"/>
          <w:szCs w:val="24"/>
        </w:rPr>
        <w:t>eCRF</w:t>
      </w:r>
      <w:r>
        <w:rPr>
          <w:rStyle w:val="99"/>
          <w:rFonts w:hint="eastAsia" w:cs="Times New Roman"/>
          <w:sz w:val="24"/>
          <w:szCs w:val="24"/>
        </w:rPr>
        <w:t>中。</w:t>
      </w:r>
    </w:p>
    <w:p w14:paraId="5005C5D9">
      <w:pPr>
        <w:pStyle w:val="116"/>
        <w:numPr>
          <w:ilvl w:val="3"/>
          <w:numId w:val="12"/>
        </w:numPr>
        <w:ind w:hanging="708"/>
        <w:outlineLvl w:val="3"/>
        <w:rPr>
          <w:rFonts w:cs="Times New Roman"/>
          <w:sz w:val="24"/>
          <w:szCs w:val="24"/>
        </w:rPr>
      </w:pPr>
      <w:bookmarkStart w:id="278" w:name="_Toc217032301"/>
      <w:bookmarkStart w:id="279" w:name="_Toc215213404"/>
      <w:bookmarkStart w:id="280" w:name="_Toc215214114"/>
      <w:r>
        <w:rPr>
          <w:rFonts w:hint="eastAsia" w:cs="Times New Roman"/>
          <w:sz w:val="24"/>
          <w:szCs w:val="24"/>
        </w:rPr>
        <w:t>不良事件的记录与规定</w:t>
      </w:r>
      <w:bookmarkEnd w:id="278"/>
      <w:bookmarkEnd w:id="279"/>
      <w:bookmarkEnd w:id="280"/>
    </w:p>
    <w:p w14:paraId="1FB42251">
      <w:pPr>
        <w:pStyle w:val="60"/>
        <w:ind w:firstLine="480"/>
        <w:rPr>
          <w:rFonts w:cs="Times New Roman"/>
          <w:sz w:val="24"/>
          <w:szCs w:val="24"/>
        </w:rPr>
      </w:pPr>
      <w:r>
        <w:rPr>
          <w:rStyle w:val="99"/>
          <w:rFonts w:hint="eastAsia" w:cs="Times New Roman"/>
          <w:sz w:val="24"/>
          <w:szCs w:val="24"/>
        </w:rPr>
        <w:t>研究者在记录不良事件时应使用正确的医学术语</w:t>
      </w:r>
      <w:r>
        <w:rPr>
          <w:rStyle w:val="99"/>
          <w:rFonts w:cs="Times New Roman"/>
          <w:sz w:val="24"/>
          <w:szCs w:val="24"/>
        </w:rPr>
        <w:t>/</w:t>
      </w:r>
      <w:r>
        <w:rPr>
          <w:rStyle w:val="99"/>
          <w:rFonts w:hint="eastAsia" w:cs="Times New Roman"/>
          <w:sz w:val="24"/>
          <w:szCs w:val="24"/>
        </w:rPr>
        <w:t>概念，避免使用口语和缩略语，在</w:t>
      </w:r>
      <w:r>
        <w:rPr>
          <w:rStyle w:val="99"/>
          <w:rFonts w:cs="Times New Roman"/>
          <w:sz w:val="24"/>
          <w:szCs w:val="24"/>
        </w:rPr>
        <w:t>eCRF</w:t>
      </w:r>
      <w:r>
        <w:rPr>
          <w:rStyle w:val="99"/>
          <w:rFonts w:hint="eastAsia" w:cs="Times New Roman"/>
          <w:sz w:val="24"/>
          <w:szCs w:val="24"/>
        </w:rPr>
        <w:t>不良事件页的单一事件项中应只记录一个不良事件术语。</w:t>
      </w:r>
    </w:p>
    <w:p w14:paraId="1F2B53CF">
      <w:pPr>
        <w:pStyle w:val="116"/>
        <w:numPr>
          <w:ilvl w:val="4"/>
          <w:numId w:val="12"/>
        </w:numPr>
        <w:ind w:hanging="849"/>
        <w:outlineLvl w:val="4"/>
        <w:rPr>
          <w:rFonts w:cs="Times New Roman"/>
          <w:sz w:val="24"/>
          <w:szCs w:val="24"/>
        </w:rPr>
      </w:pPr>
      <w:bookmarkStart w:id="281" w:name="_Toc215213405"/>
      <w:bookmarkStart w:id="282" w:name="_Toc215214115"/>
      <w:bookmarkStart w:id="283" w:name="_Toc217032302"/>
      <w:r>
        <w:rPr>
          <w:rFonts w:hint="eastAsia" w:cs="Times New Roman"/>
          <w:sz w:val="24"/>
          <w:szCs w:val="24"/>
        </w:rPr>
        <w:t>诊断与症状、体征和检查值</w:t>
      </w:r>
      <w:bookmarkEnd w:id="281"/>
      <w:bookmarkEnd w:id="282"/>
      <w:bookmarkEnd w:id="283"/>
    </w:p>
    <w:p w14:paraId="51DD13A3">
      <w:pPr>
        <w:pStyle w:val="60"/>
        <w:ind w:firstLine="480"/>
        <w:rPr>
          <w:rStyle w:val="99"/>
          <w:rFonts w:cs="Times New Roman"/>
          <w:sz w:val="24"/>
          <w:szCs w:val="24"/>
        </w:rPr>
      </w:pPr>
      <w:r>
        <w:rPr>
          <w:rStyle w:val="99"/>
          <w:rFonts w:hint="eastAsia" w:cs="Times New Roman"/>
          <w:sz w:val="24"/>
          <w:szCs w:val="24"/>
        </w:rPr>
        <w:t>不良事件的名称应该是医学术语，应优先使用医学诊断术语，而不是单个的症状和体征。如果多项症状、体征和实验室异常值可称为或归属于一种疾病或者损害的表现，则将此作为一个不良事件。</w:t>
      </w:r>
    </w:p>
    <w:p w14:paraId="1A5DCE03">
      <w:pPr>
        <w:pStyle w:val="60"/>
        <w:ind w:firstLine="480"/>
        <w:rPr>
          <w:rFonts w:cs="Times New Roman"/>
          <w:sz w:val="24"/>
          <w:szCs w:val="24"/>
        </w:rPr>
      </w:pPr>
      <w:r>
        <w:rPr>
          <w:rStyle w:val="99"/>
          <w:rFonts w:hint="eastAsia" w:cs="Times New Roman"/>
          <w:sz w:val="24"/>
          <w:szCs w:val="24"/>
        </w:rPr>
        <w:t>如果无法明确诊断时，则在</w:t>
      </w:r>
      <w:r>
        <w:rPr>
          <w:rStyle w:val="99"/>
          <w:rFonts w:cs="Times New Roman"/>
          <w:sz w:val="24"/>
          <w:szCs w:val="24"/>
        </w:rPr>
        <w:t>eCRF</w:t>
      </w:r>
      <w:r>
        <w:rPr>
          <w:rStyle w:val="99"/>
          <w:rFonts w:hint="eastAsia" w:cs="Times New Roman"/>
          <w:sz w:val="24"/>
          <w:szCs w:val="24"/>
        </w:rPr>
        <w:t>不良事件页中使用症状和</w:t>
      </w:r>
      <w:r>
        <w:rPr>
          <w:rStyle w:val="99"/>
          <w:rFonts w:cs="Times New Roman"/>
          <w:sz w:val="24"/>
          <w:szCs w:val="24"/>
        </w:rPr>
        <w:t>/</w:t>
      </w:r>
      <w:r>
        <w:rPr>
          <w:rStyle w:val="99"/>
          <w:rFonts w:hint="eastAsia" w:cs="Times New Roman"/>
          <w:sz w:val="24"/>
          <w:szCs w:val="24"/>
        </w:rPr>
        <w:t>或体征，或记录实验室异常值本身。当后期诊断明确时，应对记录进行更新，替换为基于单一诊断的</w:t>
      </w:r>
      <w:r>
        <w:rPr>
          <w:rStyle w:val="99"/>
          <w:rFonts w:cs="Times New Roman"/>
          <w:sz w:val="24"/>
          <w:szCs w:val="24"/>
        </w:rPr>
        <w:t>1</w:t>
      </w:r>
      <w:r>
        <w:rPr>
          <w:rStyle w:val="99"/>
          <w:rFonts w:hint="eastAsia" w:cs="Times New Roman"/>
          <w:sz w:val="24"/>
          <w:szCs w:val="24"/>
        </w:rPr>
        <w:t>例次不良事件，以取代之前的症状</w:t>
      </w:r>
      <w:r>
        <w:rPr>
          <w:rStyle w:val="99"/>
          <w:rFonts w:cs="Times New Roman"/>
          <w:sz w:val="24"/>
          <w:szCs w:val="24"/>
        </w:rPr>
        <w:t>/</w:t>
      </w:r>
      <w:r>
        <w:rPr>
          <w:rStyle w:val="99"/>
          <w:rFonts w:hint="eastAsia" w:cs="Times New Roman"/>
          <w:sz w:val="24"/>
          <w:szCs w:val="24"/>
        </w:rPr>
        <w:t>体征、实验室异常值。此时，该</w:t>
      </w:r>
      <w:r>
        <w:rPr>
          <w:rStyle w:val="99"/>
          <w:rFonts w:cs="Times New Roman"/>
          <w:sz w:val="24"/>
          <w:szCs w:val="24"/>
        </w:rPr>
        <w:t>1</w:t>
      </w:r>
      <w:r>
        <w:rPr>
          <w:rStyle w:val="99"/>
          <w:rFonts w:hint="eastAsia" w:cs="Times New Roman"/>
          <w:sz w:val="24"/>
          <w:szCs w:val="24"/>
        </w:rPr>
        <w:t>例次不良事件的起始日期为首次症状出现的日期。</w:t>
      </w:r>
    </w:p>
    <w:p w14:paraId="093062F2">
      <w:pPr>
        <w:pStyle w:val="116"/>
        <w:numPr>
          <w:ilvl w:val="4"/>
          <w:numId w:val="12"/>
        </w:numPr>
        <w:ind w:hanging="849"/>
        <w:outlineLvl w:val="4"/>
        <w:rPr>
          <w:rFonts w:cs="Times New Roman"/>
          <w:sz w:val="24"/>
          <w:szCs w:val="24"/>
        </w:rPr>
      </w:pPr>
      <w:bookmarkStart w:id="284" w:name="_Toc215214116"/>
      <w:bookmarkStart w:id="285" w:name="_Toc217032303"/>
      <w:bookmarkStart w:id="286" w:name="_Toc215213406"/>
      <w:r>
        <w:rPr>
          <w:rFonts w:hint="eastAsia" w:cs="Times New Roman"/>
          <w:sz w:val="24"/>
          <w:szCs w:val="24"/>
        </w:rPr>
        <w:t>继发于其它事件的不良事件事件</w:t>
      </w:r>
      <w:bookmarkEnd w:id="284"/>
      <w:bookmarkEnd w:id="285"/>
      <w:bookmarkEnd w:id="286"/>
    </w:p>
    <w:p w14:paraId="58D0B8BF">
      <w:pPr>
        <w:pStyle w:val="60"/>
        <w:ind w:firstLine="480"/>
        <w:rPr>
          <w:rStyle w:val="99"/>
          <w:rFonts w:cs="Times New Roman"/>
          <w:sz w:val="24"/>
          <w:szCs w:val="24"/>
        </w:rPr>
      </w:pPr>
      <w:r>
        <w:rPr>
          <w:rStyle w:val="99"/>
          <w:rFonts w:hint="eastAsia" w:cs="Times New Roman"/>
          <w:sz w:val="24"/>
          <w:szCs w:val="24"/>
        </w:rPr>
        <w:t>继发于其他事件的不良事件（例如，级联事件或临床后遗症）应根据其主要原因确定是否应记录为独立不良事件，具体示例见表</w:t>
      </w:r>
      <w:r>
        <w:rPr>
          <w:rStyle w:val="99"/>
          <w:rFonts w:cs="Times New Roman"/>
          <w:sz w:val="24"/>
          <w:szCs w:val="24"/>
        </w:rPr>
        <w:t>7</w:t>
      </w:r>
      <w:r>
        <w:rPr>
          <w:rStyle w:val="99"/>
          <w:rFonts w:hint="eastAsia" w:cs="Times New Roman"/>
          <w:sz w:val="24"/>
          <w:szCs w:val="24"/>
        </w:rPr>
        <w:t>。</w:t>
      </w:r>
    </w:p>
    <w:p w14:paraId="68B7FF9F">
      <w:pPr>
        <w:spacing w:line="360" w:lineRule="auto"/>
        <w:jc w:val="cente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表</w:t>
      </w:r>
      <w:r>
        <w:rPr>
          <w:rFonts w:ascii="Times New Roman" w:hAnsi="Times New Roman" w:eastAsia="宋体" w:cs="Times New Roman"/>
          <w:b/>
          <w:bCs/>
          <w:sz w:val="21"/>
          <w:szCs w:val="21"/>
        </w:rPr>
        <w:t xml:space="preserve">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w:instrText>
      </w:r>
      <w:r>
        <w:rPr>
          <w:rFonts w:hint="eastAsia" w:ascii="Times New Roman" w:hAnsi="Times New Roman" w:eastAsia="宋体" w:cs="Times New Roman"/>
          <w:b/>
          <w:bCs/>
          <w:sz w:val="21"/>
          <w:szCs w:val="21"/>
        </w:rPr>
        <w:instrText xml:space="preserve">表</w:instrText>
      </w:r>
      <w:r>
        <w:rPr>
          <w:rFonts w:ascii="Times New Roman" w:hAnsi="Times New Roman" w:eastAsia="宋体" w:cs="Times New Roman"/>
          <w:b/>
          <w:bCs/>
          <w:sz w:val="21"/>
          <w:szCs w:val="21"/>
        </w:rPr>
        <w:instrText xml:space="preserve">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7</w:t>
      </w:r>
      <w:r>
        <w:rPr>
          <w:rFonts w:ascii="Times New Roman" w:hAnsi="Times New Roman" w:eastAsia="宋体" w:cs="Times New Roman"/>
          <w:b/>
          <w:bCs/>
          <w:sz w:val="21"/>
          <w:szCs w:val="21"/>
        </w:rPr>
        <w:fldChar w:fldCharType="end"/>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应记录的继发于其它事件的不良事件</w:t>
      </w:r>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4"/>
        <w:gridCol w:w="1769"/>
        <w:gridCol w:w="5397"/>
        <w:gridCol w:w="1401"/>
      </w:tblGrid>
      <w:tr w14:paraId="46FB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5" w:type="pct"/>
            <w:shd w:val="clear" w:color="auto" w:fill="F1F1F1" w:themeFill="background1" w:themeFillShade="F2"/>
          </w:tcPr>
          <w:p w14:paraId="14FA37DF">
            <w:pPr>
              <w:topLinePunct/>
              <w:adjustRightInd w:val="0"/>
              <w:jc w:val="center"/>
              <w:rPr>
                <w:rFonts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bidi="ar"/>
              </w:rPr>
              <w:t>序列</w:t>
            </w:r>
          </w:p>
        </w:tc>
        <w:tc>
          <w:tcPr>
            <w:tcW w:w="957" w:type="pct"/>
            <w:shd w:val="clear" w:color="auto" w:fill="F1F1F1" w:themeFill="background1" w:themeFillShade="F2"/>
          </w:tcPr>
          <w:p w14:paraId="018A55B1">
            <w:pPr>
              <w:topLinePunct/>
              <w:adjustRightInd w:val="0"/>
              <w:jc w:val="center"/>
              <w:rPr>
                <w:rFonts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bidi="ar"/>
              </w:rPr>
              <w:t>继发事件的类型</w:t>
            </w:r>
          </w:p>
        </w:tc>
        <w:tc>
          <w:tcPr>
            <w:tcW w:w="2920" w:type="pct"/>
            <w:shd w:val="clear" w:color="auto" w:fill="F1F1F1" w:themeFill="background1" w:themeFillShade="F2"/>
          </w:tcPr>
          <w:p w14:paraId="5505B280">
            <w:pPr>
              <w:topLinePunct/>
              <w:adjustRightInd w:val="0"/>
              <w:jc w:val="center"/>
              <w:rPr>
                <w:rFonts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bidi="ar"/>
              </w:rPr>
              <w:t>示例</w:t>
            </w:r>
          </w:p>
        </w:tc>
        <w:tc>
          <w:tcPr>
            <w:tcW w:w="758" w:type="pct"/>
            <w:shd w:val="clear" w:color="auto" w:fill="F1F1F1" w:themeFill="background1" w:themeFillShade="F2"/>
          </w:tcPr>
          <w:p w14:paraId="30D6C1DA">
            <w:pPr>
              <w:topLinePunct/>
              <w:adjustRightInd w:val="0"/>
              <w:jc w:val="center"/>
              <w:rPr>
                <w:rFonts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bidi="ar"/>
              </w:rPr>
              <w:t>应记录的</w:t>
            </w:r>
            <w:r>
              <w:rPr>
                <w:rFonts w:ascii="Times New Roman" w:hAnsi="Times New Roman" w:eastAsia="宋体" w:cs="Times New Roman"/>
                <w:b/>
                <w:bCs/>
                <w:color w:val="000000"/>
                <w:sz w:val="21"/>
                <w:szCs w:val="21"/>
                <w:lang w:bidi="ar"/>
              </w:rPr>
              <w:t>AE</w:t>
            </w:r>
          </w:p>
        </w:tc>
      </w:tr>
      <w:tr w14:paraId="48C9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Pr>
          <w:p w14:paraId="699F401C">
            <w:pPr>
              <w:topLinePunct/>
              <w:adjustRightInd w:val="0"/>
              <w:jc w:val="center"/>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lang w:bidi="ar"/>
              </w:rPr>
              <w:t>1</w:t>
            </w:r>
          </w:p>
        </w:tc>
        <w:tc>
          <w:tcPr>
            <w:tcW w:w="957" w:type="pct"/>
          </w:tcPr>
          <w:p w14:paraId="577C4FDA">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轻度</w:t>
            </w:r>
            <w:r>
              <w:rPr>
                <w:rFonts w:ascii="Times New Roman" w:hAnsi="Times New Roman" w:eastAsia="宋体" w:cs="Times New Roman"/>
                <w:color w:val="000000"/>
                <w:sz w:val="21"/>
                <w:szCs w:val="21"/>
                <w:lang w:bidi="ar"/>
              </w:rPr>
              <w:t>/</w:t>
            </w:r>
            <w:r>
              <w:rPr>
                <w:rFonts w:hint="eastAsia" w:ascii="Times New Roman" w:hAnsi="Times New Roman" w:eastAsia="宋体" w:cs="Times New Roman"/>
                <w:color w:val="000000"/>
                <w:sz w:val="21"/>
                <w:szCs w:val="21"/>
                <w:lang w:bidi="ar"/>
              </w:rPr>
              <w:t>中度</w:t>
            </w:r>
            <w:r>
              <w:rPr>
                <w:rFonts w:ascii="Times New Roman" w:hAnsi="Times New Roman" w:eastAsia="宋体" w:cs="Times New Roman"/>
                <w:color w:val="000000"/>
                <w:sz w:val="21"/>
                <w:szCs w:val="21"/>
                <w:lang w:bidi="ar"/>
              </w:rPr>
              <w:t>/</w:t>
            </w:r>
            <w:r>
              <w:rPr>
                <w:rFonts w:hint="eastAsia" w:ascii="Times New Roman" w:hAnsi="Times New Roman" w:eastAsia="宋体" w:cs="Times New Roman"/>
                <w:color w:val="000000"/>
                <w:sz w:val="21"/>
                <w:szCs w:val="21"/>
                <w:lang w:bidi="ar"/>
              </w:rPr>
              <w:t>非严重</w:t>
            </w:r>
            <w:r>
              <w:rPr>
                <w:rFonts w:ascii="Times New Roman" w:hAnsi="Times New Roman" w:eastAsia="宋体" w:cs="Times New Roman"/>
                <w:color w:val="000000"/>
                <w:sz w:val="21"/>
                <w:szCs w:val="21"/>
                <w:lang w:bidi="ar"/>
              </w:rPr>
              <w:t>/</w:t>
            </w:r>
            <w:r>
              <w:rPr>
                <w:rFonts w:hint="eastAsia" w:ascii="Times New Roman" w:hAnsi="Times New Roman" w:eastAsia="宋体" w:cs="Times New Roman"/>
                <w:color w:val="000000"/>
                <w:sz w:val="21"/>
                <w:szCs w:val="21"/>
                <w:lang w:bidi="ar"/>
              </w:rPr>
              <w:t>无需干预治疗的</w:t>
            </w:r>
          </w:p>
        </w:tc>
        <w:tc>
          <w:tcPr>
            <w:tcW w:w="2920" w:type="pct"/>
          </w:tcPr>
          <w:p w14:paraId="57C16EDE">
            <w:pPr>
              <w:pStyle w:val="143"/>
              <w:widowControl w:val="0"/>
              <w:numPr>
                <w:ilvl w:val="0"/>
                <w:numId w:val="57"/>
              </w:numPr>
              <w:kinsoku/>
              <w:topLinePunct/>
              <w:snapToGrid/>
              <w:spacing w:line="400" w:lineRule="exact"/>
              <w:ind w:firstLineChars="0"/>
              <w:jc w:val="both"/>
              <w:rPr>
                <w:color w:val="000000"/>
                <w:sz w:val="21"/>
                <w:szCs w:val="21"/>
              </w:rPr>
            </w:pPr>
            <w:r>
              <w:rPr>
                <w:rFonts w:hint="eastAsia"/>
                <w:color w:val="000000"/>
                <w:sz w:val="21"/>
                <w:szCs w:val="21"/>
              </w:rPr>
              <w:t>如果呕吐（事件</w:t>
            </w:r>
            <w:r>
              <w:rPr>
                <w:color w:val="000000"/>
                <w:sz w:val="21"/>
                <w:szCs w:val="21"/>
              </w:rPr>
              <w:t>A</w:t>
            </w:r>
            <w:r>
              <w:rPr>
                <w:rFonts w:hint="eastAsia"/>
                <w:color w:val="000000"/>
                <w:sz w:val="21"/>
                <w:szCs w:val="21"/>
              </w:rPr>
              <w:t>）导致健康成人轻度脱水（事件</w:t>
            </w:r>
            <w:r>
              <w:rPr>
                <w:color w:val="000000"/>
                <w:sz w:val="21"/>
                <w:szCs w:val="21"/>
              </w:rPr>
              <w:t>B</w:t>
            </w:r>
            <w:r>
              <w:rPr>
                <w:rFonts w:hint="eastAsia"/>
                <w:color w:val="000000"/>
                <w:sz w:val="21"/>
                <w:szCs w:val="21"/>
              </w:rPr>
              <w:t>），无需额外治疗，在</w:t>
            </w:r>
            <w:r>
              <w:rPr>
                <w:color w:val="000000"/>
                <w:sz w:val="21"/>
                <w:szCs w:val="21"/>
              </w:rPr>
              <w:t>eCRF</w:t>
            </w:r>
            <w:r>
              <w:rPr>
                <w:rFonts w:hint="eastAsia"/>
                <w:color w:val="000000"/>
                <w:sz w:val="21"/>
                <w:szCs w:val="21"/>
              </w:rPr>
              <w:t>上应仅报告呕吐。</w:t>
            </w:r>
          </w:p>
        </w:tc>
        <w:tc>
          <w:tcPr>
            <w:tcW w:w="758" w:type="pct"/>
          </w:tcPr>
          <w:p w14:paraId="0FD35B24">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A</w:t>
            </w:r>
          </w:p>
        </w:tc>
      </w:tr>
      <w:tr w14:paraId="218E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Pr>
          <w:p w14:paraId="14675AAD">
            <w:pPr>
              <w:topLinePunct/>
              <w:adjustRightInd w:val="0"/>
              <w:jc w:val="center"/>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lang w:bidi="ar"/>
              </w:rPr>
              <w:t>2</w:t>
            </w:r>
          </w:p>
        </w:tc>
        <w:tc>
          <w:tcPr>
            <w:tcW w:w="957" w:type="pct"/>
          </w:tcPr>
          <w:p w14:paraId="71CB3189">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重度或严重继发性事件</w:t>
            </w:r>
          </w:p>
        </w:tc>
        <w:tc>
          <w:tcPr>
            <w:tcW w:w="2920" w:type="pct"/>
          </w:tcPr>
          <w:p w14:paraId="0F2018FF">
            <w:pPr>
              <w:pStyle w:val="143"/>
              <w:widowControl w:val="0"/>
              <w:numPr>
                <w:ilvl w:val="0"/>
                <w:numId w:val="57"/>
              </w:numPr>
              <w:kinsoku/>
              <w:topLinePunct/>
              <w:snapToGrid/>
              <w:spacing w:line="400" w:lineRule="exact"/>
              <w:ind w:firstLineChars="0"/>
              <w:jc w:val="both"/>
              <w:rPr>
                <w:color w:val="000000"/>
                <w:sz w:val="21"/>
                <w:szCs w:val="21"/>
              </w:rPr>
            </w:pPr>
            <w:r>
              <w:rPr>
                <w:rFonts w:hint="eastAsia"/>
                <w:color w:val="000000"/>
                <w:sz w:val="21"/>
                <w:szCs w:val="21"/>
              </w:rPr>
              <w:t>如果呕吐（事件</w:t>
            </w:r>
            <w:r>
              <w:rPr>
                <w:color w:val="000000"/>
                <w:sz w:val="21"/>
                <w:szCs w:val="21"/>
              </w:rPr>
              <w:t>A</w:t>
            </w:r>
            <w:r>
              <w:rPr>
                <w:rFonts w:hint="eastAsia"/>
                <w:color w:val="000000"/>
                <w:sz w:val="21"/>
                <w:szCs w:val="21"/>
              </w:rPr>
              <w:t>）导致严重脱水（事件</w:t>
            </w:r>
            <w:r>
              <w:rPr>
                <w:color w:val="000000"/>
                <w:sz w:val="21"/>
                <w:szCs w:val="21"/>
              </w:rPr>
              <w:t>B</w:t>
            </w:r>
            <w:r>
              <w:rPr>
                <w:rFonts w:hint="eastAsia"/>
                <w:color w:val="000000"/>
                <w:sz w:val="21"/>
                <w:szCs w:val="21"/>
              </w:rPr>
              <w:t>），则应在</w:t>
            </w:r>
            <w:r>
              <w:rPr>
                <w:color w:val="000000"/>
                <w:sz w:val="21"/>
                <w:szCs w:val="21"/>
              </w:rPr>
              <w:t>eCRF</w:t>
            </w:r>
            <w:r>
              <w:rPr>
                <w:rFonts w:hint="eastAsia"/>
                <w:color w:val="000000"/>
                <w:sz w:val="21"/>
                <w:szCs w:val="21"/>
              </w:rPr>
              <w:t>上分别单独报告这两个事件。</w:t>
            </w:r>
          </w:p>
          <w:p w14:paraId="3B313812">
            <w:pPr>
              <w:pStyle w:val="143"/>
              <w:widowControl w:val="0"/>
              <w:numPr>
                <w:ilvl w:val="0"/>
                <w:numId w:val="57"/>
              </w:numPr>
              <w:kinsoku/>
              <w:topLinePunct/>
              <w:snapToGrid/>
              <w:spacing w:line="400" w:lineRule="exact"/>
              <w:ind w:firstLineChars="0"/>
              <w:jc w:val="both"/>
              <w:rPr>
                <w:color w:val="000000"/>
                <w:sz w:val="21"/>
                <w:szCs w:val="21"/>
              </w:rPr>
            </w:pPr>
            <w:r>
              <w:rPr>
                <w:rFonts w:hint="eastAsia"/>
                <w:color w:val="000000"/>
                <w:sz w:val="21"/>
                <w:szCs w:val="21"/>
              </w:rPr>
              <w:t>如果重度胃肠道出血（事件</w:t>
            </w:r>
            <w:r>
              <w:rPr>
                <w:color w:val="000000"/>
                <w:sz w:val="21"/>
                <w:szCs w:val="21"/>
              </w:rPr>
              <w:t>A</w:t>
            </w:r>
            <w:r>
              <w:rPr>
                <w:rFonts w:hint="eastAsia"/>
                <w:color w:val="000000"/>
                <w:sz w:val="21"/>
                <w:szCs w:val="21"/>
              </w:rPr>
              <w:t>）导致肾衰竭（事件</w:t>
            </w:r>
            <w:r>
              <w:rPr>
                <w:color w:val="000000"/>
                <w:sz w:val="21"/>
                <w:szCs w:val="21"/>
              </w:rPr>
              <w:t>B</w:t>
            </w:r>
            <w:r>
              <w:rPr>
                <w:rFonts w:hint="eastAsia"/>
                <w:color w:val="000000"/>
                <w:sz w:val="21"/>
                <w:szCs w:val="21"/>
              </w:rPr>
              <w:t>），两个事件均应在</w:t>
            </w:r>
            <w:r>
              <w:rPr>
                <w:color w:val="000000"/>
                <w:sz w:val="21"/>
                <w:szCs w:val="21"/>
              </w:rPr>
              <w:t>eCRF</w:t>
            </w:r>
            <w:r>
              <w:rPr>
                <w:rFonts w:hint="eastAsia"/>
                <w:color w:val="000000"/>
                <w:sz w:val="21"/>
                <w:szCs w:val="21"/>
              </w:rPr>
              <w:t>上单独报告。</w:t>
            </w:r>
          </w:p>
        </w:tc>
        <w:tc>
          <w:tcPr>
            <w:tcW w:w="758" w:type="pct"/>
          </w:tcPr>
          <w:p w14:paraId="74CCDAB8">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A</w:t>
            </w: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B</w:t>
            </w:r>
          </w:p>
        </w:tc>
      </w:tr>
      <w:tr w14:paraId="0C10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Pr>
          <w:p w14:paraId="50154372">
            <w:pPr>
              <w:topLinePunct/>
              <w:adjustRightInd w:val="0"/>
              <w:jc w:val="center"/>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lang w:bidi="ar"/>
              </w:rPr>
              <w:t>3</w:t>
            </w:r>
          </w:p>
        </w:tc>
        <w:tc>
          <w:tcPr>
            <w:tcW w:w="957" w:type="pct"/>
          </w:tcPr>
          <w:p w14:paraId="562E33AD">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在时间上从与初始事件中分离出来的具有重要医学意义的次级不良事件</w:t>
            </w:r>
          </w:p>
        </w:tc>
        <w:tc>
          <w:tcPr>
            <w:tcW w:w="2920" w:type="pct"/>
          </w:tcPr>
          <w:p w14:paraId="1908FA5A">
            <w:pPr>
              <w:pStyle w:val="143"/>
              <w:widowControl w:val="0"/>
              <w:numPr>
                <w:ilvl w:val="0"/>
                <w:numId w:val="57"/>
              </w:numPr>
              <w:kinsoku/>
              <w:topLinePunct/>
              <w:snapToGrid/>
              <w:spacing w:line="400" w:lineRule="exact"/>
              <w:ind w:firstLineChars="0"/>
              <w:jc w:val="both"/>
              <w:rPr>
                <w:color w:val="000000"/>
                <w:sz w:val="21"/>
                <w:szCs w:val="21"/>
              </w:rPr>
            </w:pPr>
            <w:r>
              <w:rPr>
                <w:rFonts w:hint="eastAsia"/>
                <w:color w:val="000000"/>
                <w:sz w:val="21"/>
                <w:szCs w:val="21"/>
              </w:rPr>
              <w:t>如果头晕（事件</w:t>
            </w:r>
            <w:r>
              <w:rPr>
                <w:color w:val="000000"/>
                <w:sz w:val="21"/>
                <w:szCs w:val="21"/>
              </w:rPr>
              <w:t>A</w:t>
            </w:r>
            <w:r>
              <w:rPr>
                <w:rFonts w:hint="eastAsia"/>
                <w:color w:val="000000"/>
                <w:sz w:val="21"/>
                <w:szCs w:val="21"/>
              </w:rPr>
              <w:t>）导致跌倒（事件</w:t>
            </w:r>
            <w:r>
              <w:rPr>
                <w:color w:val="000000"/>
                <w:sz w:val="21"/>
                <w:szCs w:val="21"/>
              </w:rPr>
              <w:t>B1</w:t>
            </w:r>
            <w:r>
              <w:rPr>
                <w:rFonts w:hint="eastAsia"/>
                <w:color w:val="000000"/>
                <w:sz w:val="21"/>
                <w:szCs w:val="21"/>
              </w:rPr>
              <w:t>）和继发性骨折（事件</w:t>
            </w:r>
            <w:r>
              <w:rPr>
                <w:color w:val="000000"/>
                <w:sz w:val="21"/>
                <w:szCs w:val="21"/>
              </w:rPr>
              <w:t>B2</w:t>
            </w:r>
            <w:r>
              <w:rPr>
                <w:rFonts w:hint="eastAsia"/>
                <w:color w:val="000000"/>
                <w:sz w:val="21"/>
                <w:szCs w:val="21"/>
              </w:rPr>
              <w:t>），所有三个事件均应在</w:t>
            </w:r>
            <w:r>
              <w:rPr>
                <w:color w:val="000000"/>
                <w:sz w:val="21"/>
                <w:szCs w:val="21"/>
              </w:rPr>
              <w:t>eCRF</w:t>
            </w:r>
            <w:r>
              <w:rPr>
                <w:rFonts w:hint="eastAsia"/>
                <w:color w:val="000000"/>
                <w:sz w:val="21"/>
                <w:szCs w:val="21"/>
              </w:rPr>
              <w:t>上单独报告。</w:t>
            </w:r>
          </w:p>
          <w:p w14:paraId="462B0919">
            <w:pPr>
              <w:pStyle w:val="143"/>
              <w:widowControl w:val="0"/>
              <w:numPr>
                <w:ilvl w:val="0"/>
                <w:numId w:val="57"/>
              </w:numPr>
              <w:kinsoku/>
              <w:topLinePunct/>
              <w:snapToGrid/>
              <w:spacing w:line="400" w:lineRule="exact"/>
              <w:ind w:firstLineChars="0"/>
              <w:jc w:val="both"/>
              <w:rPr>
                <w:color w:val="000000"/>
                <w:sz w:val="21"/>
                <w:szCs w:val="21"/>
              </w:rPr>
            </w:pPr>
            <w:r>
              <w:rPr>
                <w:rFonts w:hint="eastAsia"/>
                <w:color w:val="000000"/>
                <w:sz w:val="21"/>
                <w:szCs w:val="21"/>
              </w:rPr>
              <w:t>如果中性粒细胞减少（事件</w:t>
            </w:r>
            <w:r>
              <w:rPr>
                <w:color w:val="000000"/>
                <w:sz w:val="21"/>
                <w:szCs w:val="21"/>
              </w:rPr>
              <w:t>A</w:t>
            </w:r>
            <w:r>
              <w:rPr>
                <w:rFonts w:hint="eastAsia"/>
                <w:color w:val="000000"/>
                <w:sz w:val="21"/>
                <w:szCs w:val="21"/>
              </w:rPr>
              <w:t>）伴发感染（事件</w:t>
            </w:r>
            <w:r>
              <w:rPr>
                <w:color w:val="000000"/>
                <w:sz w:val="21"/>
                <w:szCs w:val="21"/>
              </w:rPr>
              <w:t>B</w:t>
            </w:r>
            <w:r>
              <w:rPr>
                <w:rFonts w:hint="eastAsia"/>
                <w:color w:val="000000"/>
                <w:sz w:val="21"/>
                <w:szCs w:val="21"/>
              </w:rPr>
              <w:t>），两个事件均应在</w:t>
            </w:r>
            <w:r>
              <w:rPr>
                <w:color w:val="000000"/>
                <w:sz w:val="21"/>
                <w:szCs w:val="21"/>
              </w:rPr>
              <w:t>eCRF</w:t>
            </w:r>
            <w:r>
              <w:rPr>
                <w:rFonts w:hint="eastAsia"/>
                <w:color w:val="000000"/>
                <w:sz w:val="21"/>
                <w:szCs w:val="21"/>
              </w:rPr>
              <w:t>上单独报告。</w:t>
            </w:r>
          </w:p>
        </w:tc>
        <w:tc>
          <w:tcPr>
            <w:tcW w:w="758" w:type="pct"/>
          </w:tcPr>
          <w:p w14:paraId="6BA93844">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A</w:t>
            </w: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B</w:t>
            </w:r>
          </w:p>
        </w:tc>
      </w:tr>
      <w:tr w14:paraId="6BD3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Pr>
          <w:p w14:paraId="07612B71">
            <w:pPr>
              <w:topLinePunct/>
              <w:adjustRightInd w:val="0"/>
              <w:jc w:val="center"/>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lang w:bidi="ar"/>
              </w:rPr>
              <w:t>4</w:t>
            </w:r>
          </w:p>
        </w:tc>
        <w:tc>
          <w:tcPr>
            <w:tcW w:w="957" w:type="pct"/>
          </w:tcPr>
          <w:p w14:paraId="65A8F616">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无法确定的</w:t>
            </w:r>
          </w:p>
        </w:tc>
        <w:tc>
          <w:tcPr>
            <w:tcW w:w="2920" w:type="pct"/>
          </w:tcPr>
          <w:p w14:paraId="04D7FB50">
            <w:pPr>
              <w:pStyle w:val="143"/>
              <w:widowControl w:val="0"/>
              <w:numPr>
                <w:ilvl w:val="0"/>
                <w:numId w:val="57"/>
              </w:numPr>
              <w:kinsoku/>
              <w:topLinePunct/>
              <w:snapToGrid/>
              <w:spacing w:line="400" w:lineRule="exact"/>
              <w:ind w:firstLineChars="0"/>
              <w:jc w:val="both"/>
              <w:rPr>
                <w:color w:val="000000"/>
                <w:sz w:val="21"/>
                <w:szCs w:val="21"/>
              </w:rPr>
            </w:pPr>
            <w:r>
              <w:rPr>
                <w:rFonts w:hint="eastAsia"/>
                <w:color w:val="000000"/>
                <w:sz w:val="21"/>
                <w:szCs w:val="21"/>
              </w:rPr>
              <w:t>如果不清楚事件之间是否有关联，应在</w:t>
            </w:r>
            <w:r>
              <w:rPr>
                <w:color w:val="000000"/>
                <w:sz w:val="21"/>
                <w:szCs w:val="21"/>
              </w:rPr>
              <w:t>eCRF</w:t>
            </w:r>
            <w:r>
              <w:rPr>
                <w:rFonts w:hint="eastAsia"/>
                <w:color w:val="000000"/>
                <w:sz w:val="21"/>
                <w:szCs w:val="21"/>
              </w:rPr>
              <w:t>上单独记录所有不良事件。</w:t>
            </w:r>
          </w:p>
        </w:tc>
        <w:tc>
          <w:tcPr>
            <w:tcW w:w="758" w:type="pct"/>
          </w:tcPr>
          <w:p w14:paraId="7CA27982">
            <w:pPr>
              <w:topLinePunct/>
              <w:adjustRightInd w:val="0"/>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A</w:t>
            </w:r>
            <w:r>
              <w:rPr>
                <w:rFonts w:hint="eastAsia" w:ascii="Times New Roman" w:hAnsi="Times New Roman" w:eastAsia="宋体" w:cs="Times New Roman"/>
                <w:color w:val="000000"/>
                <w:sz w:val="21"/>
                <w:szCs w:val="21"/>
                <w:lang w:bidi="ar"/>
              </w:rPr>
              <w:t>、事件</w:t>
            </w:r>
            <w:r>
              <w:rPr>
                <w:rFonts w:ascii="Times New Roman" w:hAnsi="Times New Roman" w:eastAsia="宋体" w:cs="Times New Roman"/>
                <w:color w:val="000000"/>
                <w:sz w:val="21"/>
                <w:szCs w:val="21"/>
                <w:lang w:bidi="ar"/>
              </w:rPr>
              <w:t>B</w:t>
            </w:r>
          </w:p>
        </w:tc>
      </w:tr>
    </w:tbl>
    <w:p w14:paraId="77F73F83">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注：以上示例将初始事件记为事件</w:t>
      </w:r>
      <w:r>
        <w:rPr>
          <w:rFonts w:ascii="Times New Roman" w:hAnsi="Times New Roman" w:eastAsia="宋体" w:cs="Times New Roman"/>
          <w:sz w:val="21"/>
          <w:szCs w:val="21"/>
        </w:rPr>
        <w:t>A</w:t>
      </w:r>
      <w:r>
        <w:rPr>
          <w:rFonts w:hint="eastAsia" w:ascii="Times New Roman" w:hAnsi="Times New Roman" w:eastAsia="宋体" w:cs="Times New Roman"/>
          <w:sz w:val="21"/>
          <w:szCs w:val="21"/>
        </w:rPr>
        <w:t>，继发事件记为事件</w:t>
      </w:r>
      <w:r>
        <w:rPr>
          <w:rFonts w:ascii="Times New Roman" w:hAnsi="Times New Roman" w:eastAsia="宋体" w:cs="Times New Roman"/>
          <w:sz w:val="21"/>
          <w:szCs w:val="21"/>
        </w:rPr>
        <w:t>B</w:t>
      </w:r>
      <w:r>
        <w:rPr>
          <w:rFonts w:hint="eastAsia" w:ascii="Times New Roman" w:hAnsi="Times New Roman" w:eastAsia="宋体" w:cs="Times New Roman"/>
          <w:sz w:val="21"/>
          <w:szCs w:val="21"/>
        </w:rPr>
        <w:t>。</w:t>
      </w:r>
    </w:p>
    <w:p w14:paraId="30BEDD9A">
      <w:pPr>
        <w:pStyle w:val="116"/>
        <w:numPr>
          <w:ilvl w:val="4"/>
          <w:numId w:val="12"/>
        </w:numPr>
        <w:ind w:hanging="849"/>
        <w:jc w:val="left"/>
        <w:outlineLvl w:val="4"/>
        <w:rPr>
          <w:rFonts w:cs="Times New Roman"/>
          <w:sz w:val="24"/>
          <w:szCs w:val="24"/>
        </w:rPr>
      </w:pPr>
      <w:bookmarkStart w:id="287" w:name="_Toc217032304"/>
      <w:bookmarkStart w:id="288" w:name="_Toc215213407"/>
      <w:bookmarkStart w:id="289" w:name="_Toc215214117"/>
      <w:r>
        <w:rPr>
          <w:rFonts w:hint="eastAsia" w:cs="Times New Roman"/>
          <w:sz w:val="24"/>
          <w:szCs w:val="24"/>
        </w:rPr>
        <w:t>持续性或复发性不良事件</w:t>
      </w:r>
      <w:bookmarkEnd w:id="287"/>
      <w:bookmarkEnd w:id="288"/>
      <w:bookmarkEnd w:id="289"/>
    </w:p>
    <w:p w14:paraId="3666D240">
      <w:pPr>
        <w:pStyle w:val="60"/>
        <w:ind w:firstLine="480"/>
        <w:rPr>
          <w:rStyle w:val="99"/>
          <w:rFonts w:cs="Times New Roman"/>
          <w:sz w:val="24"/>
          <w:szCs w:val="24"/>
        </w:rPr>
      </w:pPr>
      <w:r>
        <w:rPr>
          <w:rStyle w:val="99"/>
          <w:rFonts w:hint="eastAsia" w:cs="Times New Roman"/>
          <w:sz w:val="24"/>
          <w:szCs w:val="24"/>
        </w:rPr>
        <w:t>持续性不良事件是指在评估时点之间持续延伸而不消失的不良事件，此类事件在</w:t>
      </w:r>
      <w:r>
        <w:rPr>
          <w:rStyle w:val="99"/>
          <w:rFonts w:cs="Times New Roman"/>
          <w:sz w:val="24"/>
          <w:szCs w:val="24"/>
        </w:rPr>
        <w:t>eCRF</w:t>
      </w:r>
      <w:r>
        <w:rPr>
          <w:rStyle w:val="99"/>
          <w:rFonts w:hint="eastAsia" w:cs="Times New Roman"/>
          <w:sz w:val="24"/>
          <w:szCs w:val="24"/>
        </w:rPr>
        <w:t>不良事件页中应仅记录一次。</w:t>
      </w:r>
    </w:p>
    <w:p w14:paraId="6D6E5D0D">
      <w:pPr>
        <w:pStyle w:val="60"/>
        <w:ind w:firstLine="480"/>
        <w:rPr>
          <w:rFonts w:cs="Times New Roman"/>
          <w:sz w:val="24"/>
          <w:szCs w:val="24"/>
        </w:rPr>
      </w:pPr>
      <w:r>
        <w:rPr>
          <w:rStyle w:val="99"/>
          <w:rFonts w:hint="eastAsia" w:cs="Times New Roman"/>
          <w:sz w:val="24"/>
          <w:szCs w:val="24"/>
        </w:rPr>
        <w:t>复发性不良事件是指在评估时点之间消失的事件随后复发。不良事件的每次复发应在</w:t>
      </w:r>
      <w:r>
        <w:rPr>
          <w:rStyle w:val="99"/>
          <w:rFonts w:cs="Times New Roman"/>
          <w:sz w:val="24"/>
          <w:szCs w:val="24"/>
        </w:rPr>
        <w:t>eCRF</w:t>
      </w:r>
      <w:r>
        <w:rPr>
          <w:rStyle w:val="99"/>
          <w:rFonts w:hint="eastAsia" w:cs="Times New Roman"/>
          <w:sz w:val="24"/>
          <w:szCs w:val="24"/>
        </w:rPr>
        <w:t>不良事件页上记录成单独的事件。</w:t>
      </w:r>
    </w:p>
    <w:p w14:paraId="0D1D71E0">
      <w:pPr>
        <w:pStyle w:val="116"/>
        <w:numPr>
          <w:ilvl w:val="4"/>
          <w:numId w:val="12"/>
        </w:numPr>
        <w:ind w:hanging="849"/>
        <w:outlineLvl w:val="4"/>
        <w:rPr>
          <w:rFonts w:cs="Times New Roman"/>
          <w:sz w:val="24"/>
          <w:szCs w:val="24"/>
        </w:rPr>
      </w:pPr>
      <w:bookmarkStart w:id="290" w:name="_Toc215214118"/>
      <w:bookmarkStart w:id="291" w:name="_Toc217032305"/>
      <w:bookmarkStart w:id="292" w:name="_Toc215213408"/>
      <w:r>
        <w:rPr>
          <w:rFonts w:hint="eastAsia" w:cs="Times New Roman"/>
          <w:sz w:val="24"/>
          <w:szCs w:val="24"/>
        </w:rPr>
        <w:t>实验室检查值异常</w:t>
      </w:r>
      <w:bookmarkEnd w:id="290"/>
      <w:bookmarkEnd w:id="291"/>
      <w:bookmarkEnd w:id="292"/>
    </w:p>
    <w:p w14:paraId="53F75DCC">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研究者负责审查所有实验室检查结果，通过医学和科学判断一个孤立的实验室检查值异常是否应归类为不良事件。</w:t>
      </w:r>
    </w:p>
    <w:p w14:paraId="45F521B0">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当实验室检查值异常符合以下任一标准时，则必须报告为不良事件：</w:t>
      </w:r>
    </w:p>
    <w:p w14:paraId="79103647">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伴有临床症状或体征</w:t>
      </w:r>
    </w:p>
    <w:p w14:paraId="56D9A2BB">
      <w:pPr>
        <w:numPr>
          <w:ilvl w:val="0"/>
          <w:numId w:val="58"/>
        </w:numPr>
        <w:spacing w:line="360" w:lineRule="auto"/>
        <w:contextualSpacing/>
        <w:jc w:val="both"/>
        <w:rPr>
          <w:rStyle w:val="99"/>
          <w:rFonts w:ascii="Times New Roman" w:hAnsi="Times New Roman" w:cs="Times New Roman"/>
          <w:i/>
          <w:iCs/>
          <w:sz w:val="24"/>
          <w:szCs w:val="24"/>
        </w:rPr>
      </w:pPr>
      <w:r>
        <w:rPr>
          <w:rFonts w:hint="eastAsia" w:ascii="Times New Roman" w:hAnsi="Times New Roman" w:eastAsia="宋体" w:cs="Times New Roman"/>
          <w:kern w:val="2"/>
          <w:sz w:val="24"/>
          <w:szCs w:val="24"/>
        </w:rPr>
        <w:t>导致研究治疗发生变化（例如治疗暂停或治疗终止）</w:t>
      </w:r>
    </w:p>
    <w:p w14:paraId="486A26E7">
      <w:pPr>
        <w:numPr>
          <w:ilvl w:val="0"/>
          <w:numId w:val="58"/>
        </w:numPr>
        <w:spacing w:line="360" w:lineRule="auto"/>
        <w:contextualSpacing/>
        <w:jc w:val="both"/>
        <w:rPr>
          <w:rStyle w:val="99"/>
          <w:rFonts w:ascii="Times New Roman" w:hAnsi="Times New Roman" w:cs="Times New Roman"/>
          <w:i/>
          <w:iCs/>
          <w:sz w:val="24"/>
          <w:szCs w:val="24"/>
        </w:rPr>
      </w:pPr>
      <w:r>
        <w:rPr>
          <w:rFonts w:hint="eastAsia" w:ascii="Times New Roman" w:hAnsi="Times New Roman" w:eastAsia="宋体" w:cs="Times New Roman"/>
          <w:kern w:val="2"/>
          <w:sz w:val="24"/>
          <w:szCs w:val="24"/>
        </w:rPr>
        <w:t>导致医学干预或合并用药</w:t>
      </w:r>
      <w:r>
        <w:rPr>
          <w:rFonts w:ascii="Times New Roman" w:hAnsi="Times New Roman" w:eastAsia="宋体" w:cs="Times New Roman"/>
          <w:kern w:val="2"/>
          <w:sz w:val="24"/>
          <w:szCs w:val="24"/>
        </w:rPr>
        <w:t>/</w:t>
      </w:r>
      <w:r>
        <w:rPr>
          <w:rFonts w:hint="eastAsia" w:ascii="Times New Roman" w:hAnsi="Times New Roman" w:eastAsia="宋体" w:cs="Times New Roman"/>
          <w:kern w:val="2"/>
          <w:sz w:val="24"/>
          <w:szCs w:val="24"/>
        </w:rPr>
        <w:t>治疗改变</w:t>
      </w:r>
    </w:p>
    <w:p w14:paraId="61811775">
      <w:pPr>
        <w:pStyle w:val="116"/>
        <w:numPr>
          <w:ilvl w:val="4"/>
          <w:numId w:val="12"/>
        </w:numPr>
        <w:ind w:hanging="849"/>
        <w:outlineLvl w:val="4"/>
        <w:rPr>
          <w:rFonts w:cs="Times New Roman"/>
          <w:sz w:val="24"/>
          <w:szCs w:val="24"/>
        </w:rPr>
      </w:pPr>
      <w:bookmarkStart w:id="293" w:name="_Toc215214119"/>
      <w:bookmarkStart w:id="294" w:name="_Toc217032306"/>
      <w:bookmarkStart w:id="295" w:name="_Toc215213409"/>
      <w:r>
        <w:rPr>
          <w:rFonts w:hint="eastAsia" w:cs="Times New Roman"/>
          <w:sz w:val="24"/>
          <w:szCs w:val="24"/>
        </w:rPr>
        <w:t>生命体征异常</w:t>
      </w:r>
      <w:bookmarkEnd w:id="293"/>
      <w:bookmarkEnd w:id="294"/>
      <w:bookmarkEnd w:id="295"/>
    </w:p>
    <w:p w14:paraId="749CF5C0">
      <w:pPr>
        <w:pStyle w:val="60"/>
        <w:ind w:firstLine="480"/>
        <w:rPr>
          <w:rStyle w:val="99"/>
          <w:rFonts w:cs="Times New Roman"/>
          <w:sz w:val="24"/>
          <w:szCs w:val="24"/>
        </w:rPr>
      </w:pPr>
      <w:r>
        <w:rPr>
          <w:rStyle w:val="99"/>
          <w:rFonts w:hint="eastAsia" w:cs="Times New Roman"/>
          <w:sz w:val="24"/>
          <w:szCs w:val="24"/>
        </w:rPr>
        <w:t>研究者负责审查所有生命体征结果，通过医学和科学判断一项孤立的生命体征值异常是否应归类为不良事件。</w:t>
      </w:r>
    </w:p>
    <w:p w14:paraId="60AE84A5">
      <w:pPr>
        <w:pStyle w:val="60"/>
        <w:ind w:firstLine="480"/>
        <w:rPr>
          <w:rStyle w:val="99"/>
          <w:rFonts w:cs="Times New Roman"/>
          <w:sz w:val="24"/>
          <w:szCs w:val="24"/>
        </w:rPr>
      </w:pPr>
      <w:r>
        <w:rPr>
          <w:rStyle w:val="99"/>
          <w:rFonts w:hint="eastAsia" w:cs="Times New Roman"/>
          <w:sz w:val="24"/>
          <w:szCs w:val="24"/>
        </w:rPr>
        <w:t>当生命体征异常符合以下任一标准时，则必须报告为不良事件：</w:t>
      </w:r>
    </w:p>
    <w:p w14:paraId="7C1344E1">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伴有临床症状</w:t>
      </w:r>
    </w:p>
    <w:p w14:paraId="220E05DE">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导致研究治疗发生变化（例如治疗暂停或治疗终止）</w:t>
      </w:r>
    </w:p>
    <w:p w14:paraId="413DFF1C">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导致医学干预或伴随治疗改变</w:t>
      </w:r>
    </w:p>
    <w:p w14:paraId="2F928172">
      <w:pPr>
        <w:pStyle w:val="116"/>
        <w:numPr>
          <w:ilvl w:val="4"/>
          <w:numId w:val="12"/>
        </w:numPr>
        <w:ind w:hanging="849"/>
        <w:outlineLvl w:val="4"/>
        <w:rPr>
          <w:rFonts w:cs="Times New Roman"/>
          <w:kern w:val="2"/>
          <w:sz w:val="24"/>
          <w:szCs w:val="24"/>
        </w:rPr>
      </w:pPr>
      <w:bookmarkStart w:id="296" w:name="_Toc215214120"/>
      <w:bookmarkStart w:id="297" w:name="_Toc215213410"/>
      <w:bookmarkStart w:id="298" w:name="_Toc217032307"/>
      <w:r>
        <w:rPr>
          <w:rFonts w:hint="eastAsia" w:cs="Times New Roman"/>
          <w:kern w:val="2"/>
          <w:sz w:val="24"/>
          <w:szCs w:val="24"/>
        </w:rPr>
        <w:t>既存（合并）疾病</w:t>
      </w:r>
      <w:bookmarkEnd w:id="296"/>
      <w:bookmarkEnd w:id="297"/>
      <w:bookmarkEnd w:id="298"/>
    </w:p>
    <w:p w14:paraId="3228C4DE">
      <w:pPr>
        <w:pStyle w:val="60"/>
        <w:ind w:firstLine="480"/>
        <w:rPr>
          <w:rFonts w:cs="Times New Roman"/>
          <w:kern w:val="2"/>
          <w:sz w:val="24"/>
          <w:szCs w:val="24"/>
        </w:rPr>
      </w:pPr>
      <w:r>
        <w:rPr>
          <w:rFonts w:hint="eastAsia" w:cs="Times New Roman"/>
          <w:kern w:val="2"/>
          <w:sz w:val="24"/>
          <w:szCs w:val="24"/>
        </w:rPr>
        <w:t>既存疾病（事先存在的疾病）是指在本研究的筛选访视时或首次给药前即已存在的疾病，此类状况应记录在</w:t>
      </w:r>
      <w:r>
        <w:rPr>
          <w:rFonts w:cs="Times New Roman"/>
          <w:kern w:val="2"/>
          <w:sz w:val="24"/>
          <w:szCs w:val="24"/>
        </w:rPr>
        <w:t>eCRF</w:t>
      </w:r>
      <w:r>
        <w:rPr>
          <w:rFonts w:hint="eastAsia" w:cs="Times New Roman"/>
          <w:kern w:val="2"/>
          <w:sz w:val="24"/>
          <w:szCs w:val="24"/>
        </w:rPr>
        <w:t>的病史和基线状况中。</w:t>
      </w:r>
    </w:p>
    <w:p w14:paraId="26C58B71">
      <w:pPr>
        <w:pStyle w:val="60"/>
        <w:ind w:firstLine="480"/>
        <w:rPr>
          <w:rFonts w:cs="Times New Roman"/>
          <w:kern w:val="2"/>
          <w:sz w:val="24"/>
          <w:szCs w:val="24"/>
        </w:rPr>
      </w:pPr>
      <w:r>
        <w:rPr>
          <w:rFonts w:hint="eastAsia" w:cs="Times New Roman"/>
          <w:kern w:val="2"/>
          <w:sz w:val="24"/>
          <w:szCs w:val="24"/>
        </w:rPr>
        <w:t>当符合以下标准时，既存疾病才应记录为不良事件：</w:t>
      </w:r>
    </w:p>
    <w:p w14:paraId="5EDF1635">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发病的频次、严重程度或特征在研究期间恶化或改变；</w:t>
      </w:r>
    </w:p>
    <w:p w14:paraId="32FAC698">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恶化或改变不是疾病的预期进展。</w:t>
      </w:r>
    </w:p>
    <w:p w14:paraId="0006EB78">
      <w:pPr>
        <w:pStyle w:val="60"/>
        <w:ind w:firstLine="480"/>
        <w:rPr>
          <w:rFonts w:cs="Times New Roman"/>
          <w:kern w:val="2"/>
          <w:sz w:val="24"/>
          <w:szCs w:val="24"/>
        </w:rPr>
      </w:pPr>
      <w:r>
        <w:rPr>
          <w:rFonts w:hint="eastAsia" w:cs="Times New Roman"/>
          <w:kern w:val="2"/>
          <w:sz w:val="24"/>
          <w:szCs w:val="24"/>
        </w:rPr>
        <w:t>当在</w:t>
      </w:r>
      <w:r>
        <w:rPr>
          <w:rFonts w:cs="Times New Roman"/>
          <w:kern w:val="2"/>
          <w:sz w:val="24"/>
          <w:szCs w:val="24"/>
        </w:rPr>
        <w:t>eCRF</w:t>
      </w:r>
      <w:r>
        <w:rPr>
          <w:rFonts w:hint="eastAsia" w:cs="Times New Roman"/>
          <w:kern w:val="2"/>
          <w:sz w:val="24"/>
          <w:szCs w:val="24"/>
        </w:rPr>
        <w:t>不良事件上记录此类事件时，重要的是要通过采用适当的描述语来体现既存疾病的变化，例如“偏头痛频次增加”。</w:t>
      </w:r>
    </w:p>
    <w:p w14:paraId="4918A5BB">
      <w:pPr>
        <w:pStyle w:val="116"/>
        <w:numPr>
          <w:ilvl w:val="4"/>
          <w:numId w:val="12"/>
        </w:numPr>
        <w:ind w:hanging="849"/>
        <w:outlineLvl w:val="4"/>
        <w:rPr>
          <w:rFonts w:cs="Times New Roman"/>
          <w:kern w:val="2"/>
          <w:sz w:val="24"/>
          <w:szCs w:val="24"/>
        </w:rPr>
      </w:pPr>
      <w:bookmarkStart w:id="299" w:name="_Toc215214121"/>
      <w:bookmarkStart w:id="300" w:name="_Toc217032308"/>
      <w:bookmarkStart w:id="301" w:name="_Toc215213411"/>
      <w:r>
        <w:rPr>
          <w:rFonts w:hint="eastAsia" w:cs="Times New Roman"/>
          <w:kern w:val="2"/>
          <w:sz w:val="24"/>
          <w:szCs w:val="24"/>
        </w:rPr>
        <w:t>严重肝损伤与肝功能检查异常</w:t>
      </w:r>
      <w:bookmarkEnd w:id="299"/>
      <w:bookmarkEnd w:id="300"/>
      <w:bookmarkEnd w:id="301"/>
    </w:p>
    <w:p w14:paraId="43E8C64F">
      <w:pPr>
        <w:pStyle w:val="60"/>
        <w:ind w:firstLine="480"/>
        <w:rPr>
          <w:rFonts w:cs="Times New Roman"/>
          <w:kern w:val="2"/>
          <w:sz w:val="24"/>
          <w:szCs w:val="24"/>
        </w:rPr>
      </w:pPr>
      <w:r>
        <w:rPr>
          <w:rFonts w:hint="eastAsia" w:cs="Times New Roman"/>
          <w:kern w:val="2"/>
          <w:sz w:val="24"/>
          <w:szCs w:val="24"/>
        </w:rPr>
        <w:t>参考海氏定律（</w:t>
      </w:r>
      <w:r>
        <w:rPr>
          <w:rFonts w:cs="Times New Roman"/>
          <w:kern w:val="2"/>
          <w:sz w:val="24"/>
          <w:szCs w:val="24"/>
        </w:rPr>
        <w:t>Hy</w:t>
      </w:r>
      <w:r>
        <w:rPr>
          <w:rFonts w:hint="eastAsia" w:cs="Times New Roman"/>
          <w:kern w:val="2"/>
          <w:sz w:val="24"/>
          <w:szCs w:val="24"/>
        </w:rPr>
        <w:t>’</w:t>
      </w:r>
      <w:r>
        <w:rPr>
          <w:rFonts w:cs="Times New Roman"/>
          <w:kern w:val="2"/>
          <w:sz w:val="24"/>
          <w:szCs w:val="24"/>
        </w:rPr>
        <w:t>s law</w:t>
      </w:r>
      <w:r>
        <w:rPr>
          <w:rFonts w:hint="eastAsia" w:cs="Times New Roman"/>
          <w:kern w:val="2"/>
          <w:sz w:val="24"/>
          <w:szCs w:val="24"/>
        </w:rPr>
        <w:t>）中的定义，严重肝损伤的指征包括：</w:t>
      </w:r>
    </w:p>
    <w:p w14:paraId="0AC420E1">
      <w:pPr>
        <w:numPr>
          <w:ilvl w:val="0"/>
          <w:numId w:val="58"/>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ALT</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AST</w:t>
      </w:r>
      <w:r>
        <w:rPr>
          <w:rFonts w:hint="eastAsia" w:ascii="Times New Roman" w:hAnsi="Times New Roman" w:eastAsia="宋体" w:cs="Times New Roman"/>
          <w:kern w:val="2"/>
          <w:sz w:val="24"/>
          <w:szCs w:val="24"/>
        </w:rPr>
        <w:t>升高（</w:t>
      </w:r>
      <w:r>
        <w:rPr>
          <w:rFonts w:ascii="Times New Roman" w:hAnsi="Times New Roman" w:eastAsia="宋体" w:cs="Times New Roman"/>
          <w:kern w:val="2"/>
          <w:sz w:val="24"/>
          <w:szCs w:val="24"/>
        </w:rPr>
        <w:t>&gt; 3</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）合并总胆红素升高（</w:t>
      </w:r>
      <w:r>
        <w:rPr>
          <w:rFonts w:ascii="Times New Roman" w:hAnsi="Times New Roman" w:eastAsia="宋体" w:cs="Times New Roman"/>
          <w:kern w:val="2"/>
          <w:sz w:val="24"/>
          <w:szCs w:val="24"/>
        </w:rPr>
        <w:t>&gt; 2</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）或合并黄疸（无胆汁淤积或其他高胆红素血症的病因）；</w:t>
      </w:r>
    </w:p>
    <w:p w14:paraId="7547C24A">
      <w:pPr>
        <w:numPr>
          <w:ilvl w:val="0"/>
          <w:numId w:val="58"/>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ALT</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AST</w:t>
      </w:r>
      <w:r>
        <w:rPr>
          <w:rFonts w:hint="eastAsia" w:ascii="Times New Roman" w:hAnsi="Times New Roman" w:eastAsia="宋体" w:cs="Times New Roman"/>
          <w:kern w:val="2"/>
          <w:sz w:val="24"/>
          <w:szCs w:val="24"/>
        </w:rPr>
        <w:t>高值与</w:t>
      </w:r>
      <w:r>
        <w:rPr>
          <w:rFonts w:ascii="Times New Roman" w:hAnsi="Times New Roman" w:eastAsia="宋体" w:cs="Times New Roman"/>
          <w:kern w:val="2"/>
          <w:sz w:val="24"/>
          <w:szCs w:val="24"/>
        </w:rPr>
        <w:t>ALP</w:t>
      </w:r>
      <w:r>
        <w:rPr>
          <w:rFonts w:hint="eastAsia" w:ascii="Times New Roman" w:hAnsi="Times New Roman" w:eastAsia="宋体" w:cs="Times New Roman"/>
          <w:kern w:val="2"/>
          <w:sz w:val="24"/>
          <w:szCs w:val="24"/>
        </w:rPr>
        <w:t>高值的比值≥</w:t>
      </w:r>
      <w:r>
        <w:rPr>
          <w:rFonts w:ascii="Times New Roman" w:hAnsi="Times New Roman" w:eastAsia="宋体" w:cs="Times New Roman"/>
          <w:kern w:val="2"/>
          <w:sz w:val="24"/>
          <w:szCs w:val="24"/>
        </w:rPr>
        <w:t>5</w:t>
      </w:r>
      <w:r>
        <w:rPr>
          <w:rFonts w:hint="eastAsia" w:ascii="Times New Roman" w:hAnsi="Times New Roman" w:eastAsia="宋体" w:cs="Times New Roman"/>
          <w:kern w:val="2"/>
          <w:sz w:val="24"/>
          <w:szCs w:val="24"/>
        </w:rPr>
        <w:t>。</w:t>
      </w:r>
    </w:p>
    <w:p w14:paraId="7CF6A8C6">
      <w:pPr>
        <w:pStyle w:val="60"/>
        <w:ind w:firstLine="480"/>
        <w:rPr>
          <w:rFonts w:cs="Times New Roman"/>
          <w:kern w:val="2"/>
          <w:sz w:val="24"/>
          <w:szCs w:val="24"/>
        </w:rPr>
      </w:pPr>
      <w:r>
        <w:rPr>
          <w:rFonts w:hint="eastAsia" w:cs="Times New Roman"/>
          <w:kern w:val="2"/>
          <w:sz w:val="24"/>
          <w:szCs w:val="24"/>
        </w:rPr>
        <w:t>研究者必须将以下任一肝功能检查异常的情况的发生作为</w:t>
      </w:r>
      <w:r>
        <w:rPr>
          <w:rFonts w:cs="Times New Roman"/>
          <w:kern w:val="2"/>
          <w:sz w:val="24"/>
          <w:szCs w:val="24"/>
        </w:rPr>
        <w:t>SAE</w:t>
      </w:r>
      <w:r>
        <w:rPr>
          <w:rFonts w:hint="eastAsia" w:cs="Times New Roman"/>
          <w:kern w:val="2"/>
          <w:sz w:val="24"/>
          <w:szCs w:val="24"/>
        </w:rPr>
        <w:t>在</w:t>
      </w:r>
      <w:r>
        <w:rPr>
          <w:rFonts w:cs="Times New Roman"/>
          <w:kern w:val="2"/>
          <w:sz w:val="24"/>
          <w:szCs w:val="24"/>
        </w:rPr>
        <w:t>eCRF</w:t>
      </w:r>
      <w:r>
        <w:rPr>
          <w:rFonts w:hint="eastAsia" w:cs="Times New Roman"/>
          <w:kern w:val="2"/>
          <w:sz w:val="24"/>
          <w:szCs w:val="24"/>
        </w:rPr>
        <w:t>不良事件上记录为最恰当的诊断或（如果无法确定诊断）实验室检查值异常，并立即报告给申办者（即，在获知事件后不超过</w:t>
      </w:r>
      <w:r>
        <w:rPr>
          <w:rFonts w:cs="Times New Roman"/>
          <w:kern w:val="2"/>
          <w:sz w:val="24"/>
          <w:szCs w:val="24"/>
        </w:rPr>
        <w:t>24</w:t>
      </w:r>
      <w:r>
        <w:rPr>
          <w:rFonts w:hint="eastAsia" w:cs="Times New Roman"/>
          <w:kern w:val="2"/>
          <w:sz w:val="24"/>
          <w:szCs w:val="24"/>
        </w:rPr>
        <w:t>小时）：</w:t>
      </w:r>
    </w:p>
    <w:p w14:paraId="3570C586">
      <w:pPr>
        <w:pStyle w:val="60"/>
        <w:ind w:firstLine="480"/>
        <w:rPr>
          <w:rFonts w:cs="Times New Roman"/>
          <w:kern w:val="2"/>
          <w:sz w:val="24"/>
          <w:szCs w:val="24"/>
        </w:rPr>
      </w:pPr>
      <w:r>
        <w:rPr>
          <w:rFonts w:hint="eastAsia" w:cs="Times New Roman"/>
          <w:kern w:val="2"/>
          <w:sz w:val="24"/>
          <w:szCs w:val="24"/>
        </w:rPr>
        <w:t>（</w:t>
      </w:r>
      <w:r>
        <w:rPr>
          <w:rFonts w:cs="Times New Roman"/>
          <w:kern w:val="2"/>
          <w:sz w:val="24"/>
          <w:szCs w:val="24"/>
        </w:rPr>
        <w:t>1</w:t>
      </w:r>
      <w:r>
        <w:rPr>
          <w:rFonts w:hint="eastAsia" w:cs="Times New Roman"/>
          <w:kern w:val="2"/>
          <w:sz w:val="24"/>
          <w:szCs w:val="24"/>
        </w:rPr>
        <w:t>）对于</w:t>
      </w:r>
      <w:r>
        <w:rPr>
          <w:rFonts w:cs="Times New Roman"/>
          <w:kern w:val="2"/>
          <w:sz w:val="24"/>
          <w:szCs w:val="24"/>
        </w:rPr>
        <w:t>AST/ALT</w:t>
      </w:r>
      <w:r>
        <w:rPr>
          <w:rFonts w:hint="eastAsia" w:cs="Times New Roman"/>
          <w:kern w:val="2"/>
          <w:sz w:val="24"/>
          <w:szCs w:val="24"/>
        </w:rPr>
        <w:t>和总胆红素基线值在正常范围的参与者，在研究治疗后出现以下情况之一：</w:t>
      </w:r>
    </w:p>
    <w:p w14:paraId="6F31BEAA">
      <w:pPr>
        <w:numPr>
          <w:ilvl w:val="0"/>
          <w:numId w:val="58"/>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ALT</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AST&gt; 3</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合并总胆红素</w:t>
      </w:r>
      <w:r>
        <w:rPr>
          <w:rFonts w:ascii="Times New Roman" w:hAnsi="Times New Roman" w:eastAsia="宋体" w:cs="Times New Roman"/>
          <w:kern w:val="2"/>
          <w:sz w:val="24"/>
          <w:szCs w:val="24"/>
        </w:rPr>
        <w:t>&gt; 2</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p>
    <w:p w14:paraId="0C63CD19">
      <w:pPr>
        <w:numPr>
          <w:ilvl w:val="0"/>
          <w:numId w:val="58"/>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ALT</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AST</w:t>
      </w:r>
      <w:r>
        <w:rPr>
          <w:rFonts w:hint="eastAsia" w:ascii="Times New Roman" w:hAnsi="Times New Roman" w:eastAsia="宋体" w:cs="Times New Roman"/>
          <w:kern w:val="2"/>
          <w:sz w:val="24"/>
          <w:szCs w:val="24"/>
        </w:rPr>
        <w:t>高值与</w:t>
      </w:r>
      <w:r>
        <w:rPr>
          <w:rFonts w:ascii="Times New Roman" w:hAnsi="Times New Roman" w:eastAsia="宋体" w:cs="Times New Roman"/>
          <w:kern w:val="2"/>
          <w:sz w:val="24"/>
          <w:szCs w:val="24"/>
        </w:rPr>
        <w:t>ALP</w:t>
      </w:r>
      <w:r>
        <w:rPr>
          <w:rFonts w:hint="eastAsia" w:ascii="Times New Roman" w:hAnsi="Times New Roman" w:eastAsia="宋体" w:cs="Times New Roman"/>
          <w:kern w:val="2"/>
          <w:sz w:val="24"/>
          <w:szCs w:val="24"/>
        </w:rPr>
        <w:t>高值的比值≥</w:t>
      </w:r>
      <w:r>
        <w:rPr>
          <w:rFonts w:ascii="Times New Roman" w:hAnsi="Times New Roman" w:eastAsia="宋体" w:cs="Times New Roman"/>
          <w:kern w:val="2"/>
          <w:sz w:val="24"/>
          <w:szCs w:val="24"/>
        </w:rPr>
        <w:t>5</w:t>
      </w:r>
    </w:p>
    <w:p w14:paraId="44E8BB3A">
      <w:pPr>
        <w:pStyle w:val="60"/>
        <w:ind w:firstLine="480"/>
        <w:rPr>
          <w:rFonts w:cs="Times New Roman"/>
          <w:kern w:val="2"/>
          <w:sz w:val="24"/>
          <w:szCs w:val="24"/>
        </w:rPr>
      </w:pPr>
      <w:r>
        <w:rPr>
          <w:rFonts w:hint="eastAsia" w:cs="Times New Roman"/>
          <w:kern w:val="2"/>
          <w:sz w:val="24"/>
          <w:szCs w:val="24"/>
        </w:rPr>
        <w:t>（</w:t>
      </w:r>
      <w:r>
        <w:rPr>
          <w:rFonts w:cs="Times New Roman"/>
          <w:kern w:val="2"/>
          <w:sz w:val="24"/>
          <w:szCs w:val="24"/>
        </w:rPr>
        <w:t>2</w:t>
      </w:r>
      <w:r>
        <w:rPr>
          <w:rFonts w:hint="eastAsia" w:cs="Times New Roman"/>
          <w:kern w:val="2"/>
          <w:sz w:val="24"/>
          <w:szCs w:val="24"/>
        </w:rPr>
        <w:t>）对于</w:t>
      </w:r>
      <w:r>
        <w:rPr>
          <w:rFonts w:cs="Times New Roman"/>
          <w:kern w:val="2"/>
          <w:sz w:val="24"/>
          <w:szCs w:val="24"/>
        </w:rPr>
        <w:t>AST/ALT</w:t>
      </w:r>
      <w:r>
        <w:rPr>
          <w:rFonts w:hint="eastAsia" w:cs="Times New Roman"/>
          <w:kern w:val="2"/>
          <w:sz w:val="24"/>
          <w:szCs w:val="24"/>
        </w:rPr>
        <w:t>和总胆红素基线值</w:t>
      </w:r>
      <w:r>
        <w:rPr>
          <w:rFonts w:cs="Times New Roman"/>
          <w:kern w:val="2"/>
          <w:sz w:val="24"/>
          <w:szCs w:val="24"/>
        </w:rPr>
        <w:t>&gt; ULN</w:t>
      </w:r>
      <w:r>
        <w:rPr>
          <w:rFonts w:hint="eastAsia" w:cs="Times New Roman"/>
          <w:kern w:val="2"/>
          <w:sz w:val="24"/>
          <w:szCs w:val="24"/>
        </w:rPr>
        <w:t>的参与者，在研究治疗后出现以下情况之一：</w:t>
      </w:r>
    </w:p>
    <w:p w14:paraId="298DB2D8">
      <w:pPr>
        <w:numPr>
          <w:ilvl w:val="0"/>
          <w:numId w:val="58"/>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AST/ALT</w:t>
      </w:r>
      <w:r>
        <w:rPr>
          <w:rFonts w:hint="eastAsia" w:ascii="Times New Roman" w:hAnsi="Times New Roman" w:eastAsia="宋体" w:cs="Times New Roman"/>
          <w:kern w:val="2"/>
          <w:sz w:val="24"/>
          <w:szCs w:val="24"/>
        </w:rPr>
        <w:t>基线值超出正常范围：研究治疗后出现</w:t>
      </w:r>
      <w:r>
        <w:rPr>
          <w:rFonts w:ascii="Times New Roman" w:hAnsi="Times New Roman" w:eastAsia="宋体" w:cs="Times New Roman"/>
          <w:kern w:val="2"/>
          <w:sz w:val="24"/>
          <w:szCs w:val="24"/>
        </w:rPr>
        <w:t>ALT</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AST&gt; 2</w:t>
      </w:r>
      <w:r>
        <w:rPr>
          <w:rFonts w:hint="eastAsia" w:ascii="Times New Roman" w:hAnsi="Times New Roman" w:eastAsia="宋体" w:cs="Times New Roman"/>
          <w:kern w:val="2"/>
          <w:sz w:val="24"/>
          <w:szCs w:val="24"/>
        </w:rPr>
        <w:t>×基线值且</w:t>
      </w:r>
      <w:r>
        <w:rPr>
          <w:rFonts w:ascii="Times New Roman" w:hAnsi="Times New Roman" w:eastAsia="宋体" w:cs="Times New Roman"/>
          <w:kern w:val="2"/>
          <w:sz w:val="24"/>
          <w:szCs w:val="24"/>
        </w:rPr>
        <w:t>&gt; 3</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&gt; 8</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（以较小者为准）</w:t>
      </w:r>
    </w:p>
    <w:p w14:paraId="7B5B0192">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总胆红素基线值超出正常范围：研究治疗后出现总胆红素较基线升高至少</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或总胆红素</w:t>
      </w:r>
      <w:r>
        <w:rPr>
          <w:rFonts w:ascii="Times New Roman" w:hAnsi="Times New Roman" w:eastAsia="宋体" w:cs="Times New Roman"/>
          <w:kern w:val="2"/>
          <w:sz w:val="24"/>
          <w:szCs w:val="24"/>
        </w:rPr>
        <w:t>&gt; 3</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ULN</w:t>
      </w:r>
      <w:r>
        <w:rPr>
          <w:rFonts w:hint="eastAsia" w:ascii="Times New Roman" w:hAnsi="Times New Roman" w:eastAsia="宋体" w:cs="Times New Roman"/>
          <w:kern w:val="2"/>
          <w:sz w:val="24"/>
          <w:szCs w:val="24"/>
        </w:rPr>
        <w:t>（以较小者为准）</w:t>
      </w:r>
    </w:p>
    <w:p w14:paraId="0778DF59">
      <w:pPr>
        <w:numPr>
          <w:ilvl w:val="0"/>
          <w:numId w:val="58"/>
        </w:numPr>
        <w:spacing w:line="360" w:lineRule="auto"/>
        <w:contextualSpacing/>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ALT</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AST</w:t>
      </w:r>
      <w:r>
        <w:rPr>
          <w:rFonts w:hint="eastAsia" w:ascii="Times New Roman" w:hAnsi="Times New Roman" w:eastAsia="宋体" w:cs="Times New Roman"/>
          <w:kern w:val="2"/>
          <w:sz w:val="24"/>
          <w:szCs w:val="24"/>
        </w:rPr>
        <w:t>高值与</w:t>
      </w:r>
      <w:r>
        <w:rPr>
          <w:rFonts w:ascii="Times New Roman" w:hAnsi="Times New Roman" w:eastAsia="宋体" w:cs="Times New Roman"/>
          <w:kern w:val="2"/>
          <w:sz w:val="24"/>
          <w:szCs w:val="24"/>
        </w:rPr>
        <w:t>ALP</w:t>
      </w:r>
      <w:r>
        <w:rPr>
          <w:rFonts w:hint="eastAsia" w:ascii="Times New Roman" w:hAnsi="Times New Roman" w:eastAsia="宋体" w:cs="Times New Roman"/>
          <w:kern w:val="2"/>
          <w:sz w:val="24"/>
          <w:szCs w:val="24"/>
        </w:rPr>
        <w:t>高值的比值≥</w:t>
      </w:r>
      <w:r>
        <w:rPr>
          <w:rFonts w:ascii="Times New Roman" w:hAnsi="Times New Roman" w:eastAsia="宋体" w:cs="Times New Roman"/>
          <w:kern w:val="2"/>
          <w:sz w:val="24"/>
          <w:szCs w:val="24"/>
        </w:rPr>
        <w:t>5</w:t>
      </w:r>
    </w:p>
    <w:p w14:paraId="71CDB01B">
      <w:pPr>
        <w:spacing w:line="360"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药物性肝损伤（</w:t>
      </w:r>
      <w:r>
        <w:rPr>
          <w:rFonts w:ascii="Times New Roman" w:hAnsi="Times New Roman" w:eastAsia="宋体" w:cs="Times New Roman"/>
          <w:b/>
          <w:bCs/>
          <w:sz w:val="24"/>
          <w:szCs w:val="24"/>
        </w:rPr>
        <w:t>Drug-Induced Liver Injury</w:t>
      </w:r>
      <w:r>
        <w:rPr>
          <w:rFonts w:hint="eastAsia" w:ascii="Times New Roman" w:hAnsi="Times New Roman" w:eastAsia="宋体" w:cs="Times New Roman"/>
          <w:b/>
          <w:bCs/>
          <w:sz w:val="24"/>
          <w:szCs w:val="24"/>
        </w:rPr>
        <w:t>，</w:t>
      </w:r>
      <w:r>
        <w:rPr>
          <w:rFonts w:ascii="Times New Roman" w:hAnsi="Times New Roman" w:eastAsia="宋体" w:cs="Times New Roman"/>
          <w:b/>
          <w:bCs/>
          <w:sz w:val="24"/>
          <w:szCs w:val="24"/>
        </w:rPr>
        <w:t>DILI</w:t>
      </w:r>
      <w:r>
        <w:rPr>
          <w:rFonts w:hint="eastAsia" w:ascii="Times New Roman" w:hAnsi="Times New Roman" w:eastAsia="宋体" w:cs="Times New Roman"/>
          <w:b/>
          <w:bCs/>
          <w:sz w:val="24"/>
          <w:szCs w:val="24"/>
        </w:rPr>
        <w:t>）的简要介绍</w:t>
      </w:r>
    </w:p>
    <w:p w14:paraId="1E8618A2">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药物性肝损伤是指由各类化学药品、生物制品、传统中药及其代谢产物乃至辅料等所诱发的肝脏损伤。在大多数药物性肝损伤病例中，</w:t>
      </w:r>
      <w:r>
        <w:rPr>
          <w:rFonts w:ascii="Times New Roman" w:hAnsi="Times New Roman" w:eastAsia="宋体" w:cs="Times New Roman"/>
          <w:sz w:val="24"/>
          <w:szCs w:val="24"/>
        </w:rPr>
        <w:t>AST</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ALT</w:t>
      </w:r>
      <w:r>
        <w:rPr>
          <w:rFonts w:hint="eastAsia" w:ascii="Times New Roman" w:hAnsi="Times New Roman" w:eastAsia="宋体" w:cs="Times New Roman"/>
          <w:sz w:val="24"/>
          <w:szCs w:val="24"/>
        </w:rPr>
        <w:t>的升高会早于总胆红素升高（</w:t>
      </w:r>
      <w:r>
        <w:rPr>
          <w:rFonts w:ascii="Times New Roman" w:hAnsi="Times New Roman" w:eastAsia="宋体" w:cs="Times New Roman"/>
          <w:sz w:val="24"/>
          <w:szCs w:val="24"/>
        </w:rPr>
        <w:t>&gt; 2</w:t>
      </w:r>
      <w:r>
        <w:rPr>
          <w:rFonts w:hint="eastAsia" w:ascii="Times New Roman" w:hAnsi="Times New Roman" w:eastAsia="宋体" w:cs="Times New Roman"/>
          <w:sz w:val="24"/>
          <w:szCs w:val="24"/>
        </w:rPr>
        <w:t>×</w:t>
      </w:r>
      <w:r>
        <w:rPr>
          <w:rFonts w:ascii="Times New Roman" w:hAnsi="Times New Roman" w:eastAsia="宋体" w:cs="Times New Roman"/>
          <w:sz w:val="24"/>
          <w:szCs w:val="24"/>
        </w:rPr>
        <w:t>ULN</w:t>
      </w:r>
      <w:r>
        <w:rPr>
          <w:rFonts w:hint="eastAsia" w:ascii="Times New Roman" w:hAnsi="Times New Roman" w:eastAsia="宋体" w:cs="Times New Roman"/>
          <w:sz w:val="24"/>
          <w:szCs w:val="24"/>
        </w:rPr>
        <w:t>）几天或几周，后者升高通常发生在</w:t>
      </w:r>
      <w:r>
        <w:rPr>
          <w:rFonts w:ascii="Times New Roman" w:hAnsi="Times New Roman" w:eastAsia="宋体" w:cs="Times New Roman"/>
          <w:sz w:val="24"/>
          <w:szCs w:val="24"/>
        </w:rPr>
        <w:t>AST</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ALT</w:t>
      </w:r>
      <w:r>
        <w:rPr>
          <w:rFonts w:hint="eastAsia" w:ascii="Times New Roman" w:hAnsi="Times New Roman" w:eastAsia="宋体" w:cs="Times New Roman"/>
          <w:sz w:val="24"/>
          <w:szCs w:val="24"/>
        </w:rPr>
        <w:t>仍然高于</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ULN</w:t>
      </w:r>
      <w:r>
        <w:rPr>
          <w:rFonts w:hint="eastAsia" w:ascii="Times New Roman" w:hAnsi="Times New Roman" w:eastAsia="宋体" w:cs="Times New Roman"/>
          <w:sz w:val="24"/>
          <w:szCs w:val="24"/>
        </w:rPr>
        <w:t>时（即，在同一样本中</w:t>
      </w:r>
      <w:r>
        <w:rPr>
          <w:rFonts w:ascii="Times New Roman" w:hAnsi="Times New Roman" w:eastAsia="宋体" w:cs="Times New Roman"/>
          <w:sz w:val="24"/>
          <w:szCs w:val="24"/>
        </w:rPr>
        <w:t>AST</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ALT</w:t>
      </w:r>
      <w:r>
        <w:rPr>
          <w:rFonts w:hint="eastAsia" w:ascii="Times New Roman" w:hAnsi="Times New Roman" w:eastAsia="宋体" w:cs="Times New Roman"/>
          <w:sz w:val="24"/>
          <w:szCs w:val="24"/>
        </w:rPr>
        <w:t>与总胆红素值均表现升高）。在极少数情况下，当检测到总胆红素升高时，</w:t>
      </w:r>
      <w:r>
        <w:rPr>
          <w:rFonts w:ascii="Times New Roman" w:hAnsi="Times New Roman" w:eastAsia="宋体" w:cs="Times New Roman"/>
          <w:sz w:val="24"/>
          <w:szCs w:val="24"/>
        </w:rPr>
        <w:t>AST/ALT</w:t>
      </w:r>
      <w:r>
        <w:rPr>
          <w:rFonts w:hint="eastAsia" w:ascii="Times New Roman" w:hAnsi="Times New Roman" w:eastAsia="宋体" w:cs="Times New Roman"/>
          <w:sz w:val="24"/>
          <w:szCs w:val="24"/>
        </w:rPr>
        <w:t>值可能已经下降。这种事件仍然被认为是潜在的药物性肝损伤。潜在的药物性肝损伤病例（甚至在所有其他可能的肝损伤原因被排除之前），应该始终被视为重要的医学事件。</w:t>
      </w:r>
    </w:p>
    <w:p w14:paraId="28BC6BFF">
      <w:pPr>
        <w:spacing w:line="36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AST</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ALT</w:t>
      </w:r>
      <w:r>
        <w:rPr>
          <w:rFonts w:hint="eastAsia" w:ascii="Times New Roman" w:hAnsi="Times New Roman" w:eastAsia="宋体" w:cs="Times New Roman"/>
          <w:sz w:val="24"/>
          <w:szCs w:val="24"/>
        </w:rPr>
        <w:t>和总胆红素的上升应根据临床判断单独评估，任何不确定是否为潜在的</w:t>
      </w:r>
      <w:r>
        <w:rPr>
          <w:rFonts w:ascii="Times New Roman" w:hAnsi="Times New Roman" w:eastAsia="宋体" w:cs="Times New Roman"/>
          <w:sz w:val="24"/>
          <w:szCs w:val="24"/>
        </w:rPr>
        <w:t>Hy's</w:t>
      </w:r>
      <w:r>
        <w:rPr>
          <w:rFonts w:hint="eastAsia" w:ascii="Times New Roman" w:hAnsi="Times New Roman" w:eastAsia="宋体" w:cs="Times New Roman"/>
          <w:sz w:val="24"/>
          <w:szCs w:val="24"/>
        </w:rPr>
        <w:t>定律病例，均应与申办者一起审查。</w:t>
      </w:r>
    </w:p>
    <w:p w14:paraId="02A12D18">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参与者应尽快（如，获知异常结果后的</w:t>
      </w:r>
      <w:r>
        <w:rPr>
          <w:rFonts w:ascii="Times New Roman" w:hAnsi="Times New Roman" w:eastAsia="宋体" w:cs="Times New Roman"/>
          <w:sz w:val="24"/>
          <w:szCs w:val="24"/>
        </w:rPr>
        <w:t>48 h</w:t>
      </w:r>
      <w:r>
        <w:rPr>
          <w:rFonts w:hint="eastAsia" w:ascii="Times New Roman" w:hAnsi="Times New Roman" w:eastAsia="宋体" w:cs="Times New Roman"/>
          <w:sz w:val="24"/>
          <w:szCs w:val="24"/>
        </w:rPr>
        <w:t>内）返回研究中心进行评估，评估应包括实验室检查、详细的病史和身体评估。</w:t>
      </w:r>
    </w:p>
    <w:p w14:paraId="28F31B5D">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除了对疑似</w:t>
      </w:r>
      <w:r>
        <w:rPr>
          <w:rFonts w:ascii="Times New Roman" w:hAnsi="Times New Roman" w:eastAsia="宋体" w:cs="Times New Roman"/>
          <w:sz w:val="24"/>
          <w:szCs w:val="24"/>
        </w:rPr>
        <w:t>Hy's</w:t>
      </w:r>
      <w:r>
        <w:rPr>
          <w:rFonts w:hint="eastAsia" w:ascii="Times New Roman" w:hAnsi="Times New Roman" w:eastAsia="宋体" w:cs="Times New Roman"/>
          <w:sz w:val="24"/>
          <w:szCs w:val="24"/>
        </w:rPr>
        <w:t>定律病例重复检测</w:t>
      </w:r>
      <w:r>
        <w:rPr>
          <w:rFonts w:ascii="Times New Roman" w:hAnsi="Times New Roman" w:eastAsia="宋体" w:cs="Times New Roman"/>
          <w:sz w:val="24"/>
          <w:szCs w:val="24"/>
        </w:rPr>
        <w:t>AST</w:t>
      </w:r>
      <w:r>
        <w:rPr>
          <w:rFonts w:hint="eastAsia" w:ascii="Times New Roman" w:hAnsi="Times New Roman" w:eastAsia="宋体" w:cs="Times New Roman"/>
          <w:sz w:val="24"/>
          <w:szCs w:val="24"/>
        </w:rPr>
        <w:t>、</w:t>
      </w:r>
      <w:r>
        <w:rPr>
          <w:rFonts w:ascii="Times New Roman" w:hAnsi="Times New Roman" w:eastAsia="宋体" w:cs="Times New Roman"/>
          <w:sz w:val="24"/>
          <w:szCs w:val="24"/>
        </w:rPr>
        <w:t>ALT</w:t>
      </w:r>
      <w:r>
        <w:rPr>
          <w:rFonts w:hint="eastAsia" w:ascii="Times New Roman" w:hAnsi="Times New Roman" w:eastAsia="宋体" w:cs="Times New Roman"/>
          <w:sz w:val="24"/>
          <w:szCs w:val="24"/>
        </w:rPr>
        <w:t>和总胆红素外，其他实验室检查应包括白蛋白、肌酸激酶（</w:t>
      </w:r>
      <w:r>
        <w:rPr>
          <w:rFonts w:ascii="Times New Roman" w:hAnsi="Times New Roman" w:eastAsia="宋体" w:cs="Times New Roman"/>
          <w:sz w:val="24"/>
          <w:szCs w:val="24"/>
        </w:rPr>
        <w:t>CK</w:t>
      </w:r>
      <w:r>
        <w:rPr>
          <w:rFonts w:hint="eastAsia" w:ascii="Times New Roman" w:hAnsi="Times New Roman" w:eastAsia="宋体" w:cs="Times New Roman"/>
          <w:sz w:val="24"/>
          <w:szCs w:val="24"/>
        </w:rPr>
        <w:t>）、直接和间接胆红素、谷氨酰转移酶（</w:t>
      </w:r>
      <w:r>
        <w:rPr>
          <w:rFonts w:ascii="Times New Roman" w:hAnsi="Times New Roman" w:eastAsia="宋体" w:cs="Times New Roman"/>
          <w:sz w:val="24"/>
          <w:szCs w:val="24"/>
        </w:rPr>
        <w:t>GGT</w:t>
      </w:r>
      <w:r>
        <w:rPr>
          <w:rFonts w:hint="eastAsia" w:ascii="Times New Roman" w:hAnsi="Times New Roman" w:eastAsia="宋体" w:cs="Times New Roman"/>
          <w:sz w:val="24"/>
          <w:szCs w:val="24"/>
        </w:rPr>
        <w:t>）、凝血酶原时间（</w:t>
      </w:r>
      <w:r>
        <w:rPr>
          <w:rFonts w:ascii="Times New Roman" w:hAnsi="Times New Roman" w:eastAsia="宋体" w:cs="Times New Roman"/>
          <w:sz w:val="24"/>
          <w:szCs w:val="24"/>
        </w:rPr>
        <w:t>PT</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国际标准化比值（</w:t>
      </w:r>
      <w:r>
        <w:rPr>
          <w:rFonts w:ascii="Times New Roman" w:hAnsi="Times New Roman" w:eastAsia="宋体" w:cs="Times New Roman"/>
          <w:sz w:val="24"/>
          <w:szCs w:val="24"/>
        </w:rPr>
        <w:t>INR</w:t>
      </w:r>
      <w:r>
        <w:rPr>
          <w:rFonts w:hint="eastAsia" w:ascii="Times New Roman" w:hAnsi="Times New Roman" w:eastAsia="宋体" w:cs="Times New Roman"/>
          <w:sz w:val="24"/>
          <w:szCs w:val="24"/>
        </w:rPr>
        <w:t>）、总胆汁酸和碱性磷酸酶。需要时，还应考虑各抽取一管单独的凝血和抗凝血样本用于进一步的检查以确定病因。此外，应收集详细的相关信息，如酒精、对乙酰氨基酚</w:t>
      </w:r>
      <w:r>
        <w:rPr>
          <w:rFonts w:ascii="Times New Roman" w:hAnsi="Times New Roman" w:eastAsia="宋体" w:cs="Times New Roman"/>
          <w:sz w:val="24"/>
          <w:szCs w:val="24"/>
        </w:rPr>
        <w:t>/</w:t>
      </w:r>
      <w:r>
        <w:rPr>
          <w:rFonts w:hint="eastAsia" w:ascii="Times New Roman" w:hAnsi="Times New Roman" w:eastAsia="宋体" w:cs="Times New Roman"/>
          <w:sz w:val="24"/>
          <w:szCs w:val="24"/>
        </w:rPr>
        <w:t>扑热息痛（单方或复方产品）、娱乐性毒品、补充剂（草药）的使用和消费，家族史、性史、旅行史、与黄疸患者接触史、手术、输血、肝脏或过敏性疾病史以及可能的化学物质职业暴露。必要时，进一步检查急性甲型、乙型、丙型、丁型和戊型肝炎感染和肝脏影像（如，胆道），或收集血清样本以检测对乙酰氨基酚</w:t>
      </w:r>
      <w:r>
        <w:rPr>
          <w:rFonts w:ascii="Times New Roman" w:hAnsi="Times New Roman" w:eastAsia="宋体" w:cs="Times New Roman"/>
          <w:sz w:val="24"/>
          <w:szCs w:val="24"/>
        </w:rPr>
        <w:t>/</w:t>
      </w:r>
      <w:r>
        <w:rPr>
          <w:rFonts w:hint="eastAsia" w:ascii="Times New Roman" w:hAnsi="Times New Roman" w:eastAsia="宋体" w:cs="Times New Roman"/>
          <w:sz w:val="24"/>
          <w:szCs w:val="24"/>
        </w:rPr>
        <w:t>扑热息痛和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或蛋白加合物的水平。</w:t>
      </w:r>
    </w:p>
    <w:p w14:paraId="49FB0C0B">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如果尚未发现导致肝功能检查异常的其他原因，重复检查证实符合上述两个</w:t>
      </w:r>
      <w:r>
        <w:rPr>
          <w:rFonts w:ascii="Times New Roman" w:hAnsi="Times New Roman" w:eastAsia="宋体" w:cs="Times New Roman"/>
          <w:sz w:val="24"/>
          <w:szCs w:val="24"/>
        </w:rPr>
        <w:t>AST/ALT</w:t>
      </w:r>
      <w:r>
        <w:rPr>
          <w:rFonts w:hint="eastAsia" w:ascii="Times New Roman" w:hAnsi="Times New Roman" w:eastAsia="宋体" w:cs="Times New Roman"/>
          <w:sz w:val="24"/>
          <w:szCs w:val="24"/>
        </w:rPr>
        <w:t>和总胆红素升高标准的病例，应视为潜在的药物性肝损伤（</w:t>
      </w:r>
      <w:r>
        <w:rPr>
          <w:rFonts w:ascii="Times New Roman" w:hAnsi="Times New Roman" w:eastAsia="宋体" w:cs="Times New Roman"/>
          <w:sz w:val="24"/>
          <w:szCs w:val="24"/>
        </w:rPr>
        <w:t>Hy's</w:t>
      </w:r>
      <w:r>
        <w:rPr>
          <w:rFonts w:hint="eastAsia" w:ascii="Times New Roman" w:hAnsi="Times New Roman" w:eastAsia="宋体" w:cs="Times New Roman"/>
          <w:sz w:val="24"/>
          <w:szCs w:val="24"/>
        </w:rPr>
        <w:t>定律）病例，并报告为</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。应立即将此病例报告给申办者（即，在获知事件后不超过</w:t>
      </w:r>
      <w:r>
        <w:rPr>
          <w:rFonts w:ascii="Times New Roman" w:hAnsi="Times New Roman" w:eastAsia="宋体" w:cs="Times New Roman"/>
          <w:sz w:val="24"/>
          <w:szCs w:val="24"/>
        </w:rPr>
        <w:t>24</w:t>
      </w:r>
      <w:r>
        <w:rPr>
          <w:rFonts w:hint="eastAsia" w:ascii="Times New Roman" w:hAnsi="Times New Roman" w:eastAsia="宋体" w:cs="Times New Roman"/>
          <w:sz w:val="24"/>
          <w:szCs w:val="24"/>
        </w:rPr>
        <w:t>小时），同时提交给申办者了解事件的报告说明。</w:t>
      </w:r>
    </w:p>
    <w:p w14:paraId="60F37D99">
      <w:pPr>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sz w:val="24"/>
          <w:szCs w:val="24"/>
        </w:rPr>
        <w:t>一个潜在的药物性肝损伤（</w:t>
      </w:r>
      <w:r>
        <w:rPr>
          <w:rFonts w:ascii="Times New Roman" w:hAnsi="Times New Roman" w:eastAsia="宋体" w:cs="Times New Roman"/>
          <w:sz w:val="24"/>
          <w:szCs w:val="24"/>
        </w:rPr>
        <w:t>Hy's</w:t>
      </w:r>
      <w:r>
        <w:rPr>
          <w:rFonts w:hint="eastAsia" w:ascii="Times New Roman" w:hAnsi="Times New Roman" w:eastAsia="宋体" w:cs="Times New Roman"/>
          <w:sz w:val="24"/>
          <w:szCs w:val="24"/>
        </w:rPr>
        <w:t>定律）病例只有在收到所有合理的调查结果并排除了其他病因后才会成为确诊病例。</w:t>
      </w:r>
    </w:p>
    <w:p w14:paraId="2E61E41C">
      <w:pPr>
        <w:pStyle w:val="116"/>
        <w:numPr>
          <w:ilvl w:val="4"/>
          <w:numId w:val="12"/>
        </w:numPr>
        <w:ind w:hanging="849"/>
        <w:outlineLvl w:val="4"/>
        <w:rPr>
          <w:rFonts w:cs="Times New Roman"/>
          <w:kern w:val="2"/>
          <w:sz w:val="24"/>
          <w:szCs w:val="24"/>
        </w:rPr>
      </w:pPr>
      <w:bookmarkStart w:id="302" w:name="_Toc215214122"/>
      <w:bookmarkStart w:id="303" w:name="_Toc217032309"/>
      <w:bookmarkStart w:id="304" w:name="_Toc215213412"/>
      <w:r>
        <w:rPr>
          <w:rFonts w:hint="eastAsia" w:cs="Times New Roman"/>
          <w:kern w:val="2"/>
          <w:sz w:val="24"/>
          <w:szCs w:val="24"/>
        </w:rPr>
        <w:t>死亡</w:t>
      </w:r>
      <w:bookmarkEnd w:id="302"/>
      <w:bookmarkEnd w:id="303"/>
      <w:bookmarkEnd w:id="304"/>
    </w:p>
    <w:p w14:paraId="4230492B">
      <w:pPr>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在方案规定的不良事件收集期内发生的所有死亡事件，无论与研究药物的关系如何，必须记录在</w:t>
      </w:r>
      <w:r>
        <w:rPr>
          <w:rFonts w:ascii="Times New Roman" w:hAnsi="Times New Roman" w:eastAsia="宋体" w:cs="Times New Roman"/>
          <w:kern w:val="2"/>
          <w:sz w:val="24"/>
          <w:szCs w:val="24"/>
        </w:rPr>
        <w:t>eCRF</w:t>
      </w:r>
      <w:r>
        <w:rPr>
          <w:rFonts w:hint="eastAsia" w:ascii="Times New Roman" w:hAnsi="Times New Roman" w:eastAsia="宋体" w:cs="Times New Roman"/>
          <w:kern w:val="2"/>
          <w:sz w:val="24"/>
          <w:szCs w:val="24"/>
        </w:rPr>
        <w:t>不良事件上，并立即报告给申办者。</w:t>
      </w:r>
    </w:p>
    <w:p w14:paraId="471AB3B0">
      <w:pPr>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死亡应被视为事件的结果，而非单独的事件。导致或促成致死性结果的事件或情况应在</w:t>
      </w:r>
      <w:r>
        <w:rPr>
          <w:rFonts w:ascii="Times New Roman" w:hAnsi="Times New Roman" w:eastAsia="宋体" w:cs="Times New Roman"/>
          <w:kern w:val="2"/>
          <w:sz w:val="24"/>
          <w:szCs w:val="24"/>
        </w:rPr>
        <w:t>eCRF</w:t>
      </w:r>
      <w:r>
        <w:rPr>
          <w:rFonts w:hint="eastAsia" w:ascii="Times New Roman" w:hAnsi="Times New Roman" w:eastAsia="宋体" w:cs="Times New Roman"/>
          <w:kern w:val="2"/>
          <w:sz w:val="24"/>
          <w:szCs w:val="24"/>
        </w:rPr>
        <w:t>不良事件上记录为单一医学概念。通常，只报告</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个这样的事件或情况。如果死因不明且不能在报告当时查明，则应在</w:t>
      </w:r>
      <w:r>
        <w:rPr>
          <w:rFonts w:ascii="Times New Roman" w:hAnsi="Times New Roman" w:eastAsia="宋体" w:cs="Times New Roman"/>
          <w:kern w:val="2"/>
          <w:sz w:val="24"/>
          <w:szCs w:val="24"/>
        </w:rPr>
        <w:t>eCRF</w:t>
      </w:r>
      <w:r>
        <w:rPr>
          <w:rFonts w:hint="eastAsia" w:ascii="Times New Roman" w:hAnsi="Times New Roman" w:eastAsia="宋体" w:cs="Times New Roman"/>
          <w:kern w:val="2"/>
          <w:sz w:val="24"/>
          <w:szCs w:val="24"/>
        </w:rPr>
        <w:t>不良事件上记录“不明原因死亡”。如果死因稍后可获得，应将“不明原因死亡”替换为确定的死因。不应使用术语“猝死”，除非与推测的死因（如“心源性猝死”）结合使用。</w:t>
      </w:r>
    </w:p>
    <w:p w14:paraId="466BCC87">
      <w:pPr>
        <w:pStyle w:val="116"/>
        <w:numPr>
          <w:ilvl w:val="4"/>
          <w:numId w:val="12"/>
        </w:numPr>
        <w:ind w:hanging="849"/>
        <w:outlineLvl w:val="4"/>
        <w:rPr>
          <w:rFonts w:cs="Times New Roman"/>
          <w:kern w:val="2"/>
          <w:sz w:val="24"/>
          <w:szCs w:val="24"/>
        </w:rPr>
      </w:pPr>
      <w:bookmarkStart w:id="305" w:name="_Toc215214123"/>
      <w:bookmarkStart w:id="306" w:name="_Toc215213413"/>
      <w:bookmarkStart w:id="307" w:name="_Toc217032310"/>
      <w:r>
        <w:rPr>
          <w:rFonts w:hint="eastAsia" w:cs="Times New Roman"/>
          <w:kern w:val="2"/>
          <w:sz w:val="24"/>
          <w:szCs w:val="24"/>
        </w:rPr>
        <w:t>与药物过量或给药错误相关的不良事件</w:t>
      </w:r>
      <w:bookmarkEnd w:id="305"/>
      <w:bookmarkEnd w:id="306"/>
      <w:bookmarkEnd w:id="307"/>
    </w:p>
    <w:p w14:paraId="76DDE9D9">
      <w:pPr>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药物过量是指意外或故意使用的</w:t>
      </w:r>
      <w:r>
        <w:rPr>
          <w:rFonts w:ascii="Times New Roman" w:hAnsi="Times New Roman" w:eastAsia="宋体" w:cs="Times New Roman"/>
          <w:kern w:val="2"/>
          <w:sz w:val="24"/>
          <w:szCs w:val="24"/>
        </w:rPr>
        <w:t>CMS-D001</w:t>
      </w:r>
      <w:r>
        <w:rPr>
          <w:rFonts w:hint="eastAsia" w:ascii="Times New Roman" w:hAnsi="Times New Roman" w:eastAsia="宋体" w:cs="Times New Roman"/>
          <w:kern w:val="2"/>
          <w:sz w:val="24"/>
          <w:szCs w:val="24"/>
        </w:rPr>
        <w:t>片用量高于指定的研究剂量。</w:t>
      </w:r>
    </w:p>
    <w:p w14:paraId="0DB9F5F6">
      <w:pPr>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给药错误指药物分发或给药中的任何非预期用药情况，参与者漏用或未按计划使用不被视为给药错误。</w:t>
      </w:r>
    </w:p>
    <w:p w14:paraId="3A49B881">
      <w:pPr>
        <w:spacing w:line="360" w:lineRule="auto"/>
        <w:ind w:firstLine="482" w:firstLineChars="200"/>
        <w:jc w:val="both"/>
        <w:rPr>
          <w:rFonts w:ascii="Times New Roman" w:hAnsi="Times New Roman" w:eastAsia="宋体" w:cs="Times New Roman"/>
          <w:b/>
          <w:bCs/>
          <w:sz w:val="24"/>
          <w:szCs w:val="24"/>
          <w:u w:val="single"/>
        </w:rPr>
      </w:pPr>
      <w:r>
        <w:rPr>
          <w:rFonts w:hint="eastAsia" w:ascii="Times New Roman" w:hAnsi="Times New Roman" w:eastAsia="宋体" w:cs="Times New Roman"/>
          <w:b/>
          <w:bCs/>
          <w:sz w:val="24"/>
          <w:szCs w:val="24"/>
          <w:u w:val="single"/>
        </w:rPr>
        <w:t>记录要求</w:t>
      </w:r>
    </w:p>
    <w:p w14:paraId="4955756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应在</w:t>
      </w:r>
      <w:r>
        <w:rPr>
          <w:rFonts w:ascii="Times New Roman" w:hAnsi="Times New Roman" w:eastAsia="宋体" w:cs="Times New Roman"/>
          <w:sz w:val="24"/>
          <w:szCs w:val="24"/>
        </w:rPr>
        <w:t>eCRF</w:t>
      </w:r>
      <w:r>
        <w:rPr>
          <w:rFonts w:hint="eastAsia" w:ascii="Times New Roman" w:hAnsi="Times New Roman" w:eastAsia="宋体" w:cs="Times New Roman"/>
          <w:sz w:val="24"/>
          <w:szCs w:val="24"/>
        </w:rPr>
        <w:t>研究药物给药表上注明任何研究药物过量或研究治疗给药错误的事件。</w:t>
      </w:r>
    </w:p>
    <w:p w14:paraId="00AA0C05">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“药物过量</w:t>
      </w:r>
      <w:r>
        <w:rPr>
          <w:rFonts w:ascii="Times New Roman" w:hAnsi="Times New Roman" w:eastAsia="宋体" w:cs="Times New Roman"/>
          <w:sz w:val="24"/>
          <w:szCs w:val="24"/>
        </w:rPr>
        <w:t>/</w:t>
      </w:r>
      <w:r>
        <w:rPr>
          <w:rFonts w:hint="eastAsia" w:ascii="Times New Roman" w:hAnsi="Times New Roman" w:eastAsia="宋体" w:cs="Times New Roman"/>
          <w:sz w:val="24"/>
          <w:szCs w:val="24"/>
        </w:rPr>
        <w:t>给药错误”本身不属于不良事件，但与药物过量或给药错误相关的所有不良事件应记录在</w:t>
      </w:r>
      <w:r>
        <w:rPr>
          <w:rFonts w:ascii="Times New Roman" w:hAnsi="Times New Roman" w:eastAsia="宋体" w:cs="Times New Roman"/>
          <w:sz w:val="24"/>
          <w:szCs w:val="24"/>
        </w:rPr>
        <w:t>eCRF</w:t>
      </w:r>
      <w:r>
        <w:rPr>
          <w:rFonts w:hint="eastAsia" w:ascii="Times New Roman" w:hAnsi="Times New Roman" w:eastAsia="宋体" w:cs="Times New Roman"/>
          <w:sz w:val="24"/>
          <w:szCs w:val="24"/>
        </w:rPr>
        <w:t>不良事件上。</w:t>
      </w:r>
    </w:p>
    <w:p w14:paraId="07F1C8D5">
      <w:pPr>
        <w:pStyle w:val="116"/>
        <w:numPr>
          <w:ilvl w:val="2"/>
          <w:numId w:val="12"/>
        </w:numPr>
        <w:outlineLvl w:val="2"/>
        <w:rPr>
          <w:rFonts w:cs="Times New Roman"/>
          <w:sz w:val="24"/>
          <w:szCs w:val="24"/>
        </w:rPr>
      </w:pPr>
      <w:bookmarkStart w:id="308" w:name="_Toc217032311"/>
      <w:r>
        <w:rPr>
          <w:rFonts w:hint="eastAsia" w:cs="Times New Roman"/>
          <w:sz w:val="24"/>
          <w:szCs w:val="24"/>
        </w:rPr>
        <w:t>不良事件的评估</w:t>
      </w:r>
      <w:bookmarkEnd w:id="308"/>
    </w:p>
    <w:p w14:paraId="3ABACB46">
      <w:pPr>
        <w:pStyle w:val="116"/>
        <w:numPr>
          <w:ilvl w:val="3"/>
          <w:numId w:val="12"/>
        </w:numPr>
        <w:ind w:hanging="708"/>
        <w:outlineLvl w:val="3"/>
        <w:rPr>
          <w:rFonts w:cs="Times New Roman"/>
          <w:sz w:val="24"/>
          <w:szCs w:val="24"/>
        </w:rPr>
      </w:pPr>
      <w:bookmarkStart w:id="309" w:name="_Toc215213415"/>
      <w:bookmarkStart w:id="310" w:name="_Toc215214125"/>
      <w:bookmarkStart w:id="311" w:name="_Toc217032312"/>
      <w:r>
        <w:rPr>
          <w:rFonts w:hint="eastAsia" w:cs="Times New Roman"/>
          <w:sz w:val="24"/>
          <w:szCs w:val="24"/>
        </w:rPr>
        <w:t>不良事件的严重程度评估</w:t>
      </w:r>
      <w:bookmarkEnd w:id="309"/>
      <w:bookmarkEnd w:id="310"/>
      <w:bookmarkEnd w:id="311"/>
    </w:p>
    <w:p w14:paraId="7D1B0106">
      <w:pPr>
        <w:spacing w:line="360" w:lineRule="auto"/>
        <w:ind w:firstLine="48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研究者可参考美国国家癌症研究所发布的</w:t>
      </w:r>
      <w:r>
        <w:rPr>
          <w:rFonts w:ascii="Times New Roman" w:hAnsi="Times New Roman" w:eastAsia="宋体" w:cs="Times New Roman"/>
          <w:sz w:val="24"/>
          <w:szCs w:val="24"/>
        </w:rPr>
        <w:t>“</w:t>
      </w:r>
      <w:r>
        <w:rPr>
          <w:rFonts w:hint="eastAsia" w:ascii="Times New Roman" w:hAnsi="Times New Roman" w:eastAsia="宋体" w:cs="Times New Roman"/>
          <w:sz w:val="24"/>
          <w:szCs w:val="24"/>
        </w:rPr>
        <w:t>不良事件通用术语标准</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CTCAE</w:t>
      </w:r>
      <w:r>
        <w:rPr>
          <w:rFonts w:hint="eastAsia" w:ascii="Times New Roman" w:hAnsi="Times New Roman" w:eastAsia="宋体" w:cs="Times New Roman"/>
          <w:sz w:val="24"/>
          <w:szCs w:val="24"/>
        </w:rPr>
        <w:t>，版本</w:t>
      </w:r>
      <w:r>
        <w:rPr>
          <w:rFonts w:ascii="Times New Roman" w:hAnsi="Times New Roman" w:eastAsia="宋体" w:cs="Times New Roman"/>
          <w:sz w:val="24"/>
          <w:szCs w:val="24"/>
        </w:rPr>
        <w:t>6.0</w:t>
      </w:r>
      <w:r>
        <w:rPr>
          <w:rFonts w:hint="eastAsia" w:ascii="Times New Roman" w:hAnsi="Times New Roman" w:eastAsia="宋体" w:cs="Times New Roman"/>
          <w:sz w:val="24"/>
          <w:szCs w:val="24"/>
        </w:rPr>
        <w:t>）评估</w:t>
      </w:r>
      <w:r>
        <w:rPr>
          <w:rFonts w:ascii="Times New Roman" w:hAnsi="Times New Roman" w:eastAsia="宋体" w:cs="Times New Roman"/>
          <w:sz w:val="24"/>
          <w:szCs w:val="24"/>
        </w:rPr>
        <w:t>AE</w:t>
      </w:r>
      <w:r>
        <w:rPr>
          <w:rFonts w:hint="eastAsia" w:ascii="Times New Roman" w:hAnsi="Times New Roman" w:eastAsia="宋体" w:cs="Times New Roman"/>
          <w:sz w:val="24"/>
          <w:szCs w:val="24"/>
        </w:rPr>
        <w:t>严重程度。</w:t>
      </w:r>
      <w:r>
        <w:rPr>
          <w:rFonts w:ascii="Times New Roman" w:hAnsi="Times New Roman" w:eastAsia="宋体" w:cs="Times New Roman"/>
          <w:sz w:val="24"/>
          <w:szCs w:val="24"/>
        </w:rPr>
        <w:t>CTCAE</w:t>
      </w:r>
      <w:r>
        <w:rPr>
          <w:rFonts w:hint="eastAsia" w:ascii="Times New Roman" w:hAnsi="Times New Roman" w:eastAsia="宋体" w:cs="Times New Roman"/>
          <w:sz w:val="24"/>
          <w:szCs w:val="24"/>
        </w:rPr>
        <w:t>基于以下基本准则对每个收录的不良事件的严重程度从</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级至</w:t>
      </w:r>
      <w:r>
        <w:rPr>
          <w:rFonts w:ascii="Times New Roman" w:hAnsi="Times New Roman" w:eastAsia="宋体" w:cs="Times New Roman"/>
          <w:sz w:val="24"/>
          <w:szCs w:val="24"/>
        </w:rPr>
        <w:t>5</w:t>
      </w:r>
      <w:r>
        <w:rPr>
          <w:rFonts w:hint="eastAsia" w:ascii="Times New Roman" w:hAnsi="Times New Roman" w:eastAsia="宋体" w:cs="Times New Roman"/>
          <w:sz w:val="24"/>
          <w:szCs w:val="24"/>
        </w:rPr>
        <w:t>级作了特定的描述。对于未收录至</w:t>
      </w:r>
      <w:r>
        <w:rPr>
          <w:rFonts w:ascii="Times New Roman" w:hAnsi="Times New Roman" w:eastAsia="宋体" w:cs="Times New Roman"/>
          <w:sz w:val="24"/>
          <w:szCs w:val="24"/>
        </w:rPr>
        <w:t>CTCAE</w:t>
      </w:r>
      <w:r>
        <w:rPr>
          <w:rFonts w:hint="eastAsia" w:ascii="Times New Roman" w:hAnsi="Times New Roman" w:eastAsia="宋体" w:cs="Times New Roman"/>
          <w:sz w:val="24"/>
          <w:szCs w:val="24"/>
        </w:rPr>
        <w:t>中的不良事件，如果方案有具体定义，则按相关定义进行评估；如果方案没有具体定义，则使用下列准则对严重程度进行评估：</w:t>
      </w:r>
    </w:p>
    <w:p w14:paraId="0473DBFA">
      <w:pPr>
        <w:spacing w:line="360" w:lineRule="auto"/>
        <w:jc w:val="center"/>
        <w:rPr>
          <w:rFonts w:ascii="Times New Roman" w:hAnsi="Times New Roman" w:eastAsia="宋体" w:cs="Times New Roman"/>
          <w:b/>
          <w:bCs/>
          <w:sz w:val="21"/>
          <w:szCs w:val="21"/>
        </w:rPr>
      </w:pPr>
      <w:r>
        <w:rPr>
          <w:rFonts w:hint="eastAsia" w:ascii="Times New Roman" w:hAnsi="Times New Roman" w:eastAsia="宋体" w:cs="Times New Roman"/>
          <w:b/>
          <w:bCs/>
        </w:rPr>
        <w:t>表</w:t>
      </w:r>
      <w:r>
        <w:rPr>
          <w:rFonts w:ascii="Times New Roman" w:hAnsi="Times New Roman" w:eastAsia="宋体" w:cs="Times New Roman"/>
          <w:b/>
          <w:bCs/>
        </w:rPr>
        <w:t xml:space="preserve"> </w:t>
      </w:r>
      <w:r>
        <w:rPr>
          <w:rFonts w:ascii="Times New Roman" w:hAnsi="Times New Roman" w:eastAsia="宋体" w:cs="Times New Roman"/>
          <w:b/>
          <w:bCs/>
        </w:rPr>
        <w:fldChar w:fldCharType="begin"/>
      </w:r>
      <w:r>
        <w:rPr>
          <w:rFonts w:ascii="Times New Roman" w:hAnsi="Times New Roman" w:eastAsia="宋体" w:cs="Times New Roman"/>
          <w:b/>
          <w:bCs/>
        </w:rPr>
        <w:instrText xml:space="preserve"> SEQ </w:instrText>
      </w:r>
      <w:r>
        <w:rPr>
          <w:rFonts w:hint="eastAsia" w:ascii="Times New Roman" w:hAnsi="Times New Roman" w:eastAsia="宋体" w:cs="Times New Roman"/>
          <w:b/>
          <w:bCs/>
        </w:rPr>
        <w:instrText xml:space="preserve">表</w:instrText>
      </w:r>
      <w:r>
        <w:rPr>
          <w:rFonts w:ascii="Times New Roman" w:hAnsi="Times New Roman" w:eastAsia="宋体" w:cs="Times New Roman"/>
          <w:b/>
          <w:bCs/>
        </w:rPr>
        <w:instrText xml:space="preserve"> \* ARABIC </w:instrText>
      </w:r>
      <w:r>
        <w:rPr>
          <w:rFonts w:ascii="Times New Roman" w:hAnsi="Times New Roman" w:eastAsia="宋体" w:cs="Times New Roman"/>
          <w:b/>
          <w:bCs/>
        </w:rPr>
        <w:fldChar w:fldCharType="separate"/>
      </w:r>
      <w:r>
        <w:rPr>
          <w:rFonts w:ascii="Times New Roman" w:hAnsi="Times New Roman" w:eastAsia="宋体" w:cs="Times New Roman"/>
          <w:b/>
          <w:bCs/>
        </w:rPr>
        <w:t>8</w:t>
      </w:r>
      <w:r>
        <w:rPr>
          <w:rFonts w:ascii="Times New Roman" w:hAnsi="Times New Roman" w:eastAsia="宋体" w:cs="Times New Roman"/>
          <w:b/>
          <w:bCs/>
        </w:rPr>
        <w:fldChar w:fldCharType="end"/>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sz w:val="21"/>
          <w:szCs w:val="21"/>
        </w:rPr>
        <w:t>不良事件严重程度分级</w:t>
      </w:r>
    </w:p>
    <w:tbl>
      <w:tblPr>
        <w:tblStyle w:val="8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263"/>
        <w:gridCol w:w="6564"/>
      </w:tblGrid>
      <w:tr w14:paraId="6E33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766" w:type="pct"/>
            <w:shd w:val="clear" w:color="auto" w:fill="F1F1F1" w:themeFill="background1" w:themeFillShade="F2"/>
            <w:vAlign w:val="center"/>
          </w:tcPr>
          <w:p w14:paraId="7A44814B">
            <w:pPr>
              <w:spacing w:line="276" w:lineRule="auto"/>
              <w:jc w:val="center"/>
              <w:textAlignment w:val="bottom"/>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分级</w:t>
            </w:r>
          </w:p>
        </w:tc>
        <w:tc>
          <w:tcPr>
            <w:tcW w:w="683" w:type="pct"/>
            <w:shd w:val="clear" w:color="auto" w:fill="F1F1F1" w:themeFill="background1" w:themeFillShade="F2"/>
            <w:vAlign w:val="center"/>
          </w:tcPr>
          <w:p w14:paraId="484E1844">
            <w:pPr>
              <w:spacing w:line="276" w:lineRule="auto"/>
              <w:jc w:val="center"/>
              <w:textAlignment w:val="bottom"/>
              <w:rPr>
                <w:rFonts w:ascii="Times New Roman" w:hAnsi="Times New Roman" w:eastAsia="宋体" w:cs="Times New Roman"/>
                <w:b/>
                <w:bCs/>
                <w:sz w:val="21"/>
                <w:szCs w:val="21"/>
                <w:lang w:val="zh-TW"/>
              </w:rPr>
            </w:pPr>
            <w:r>
              <w:rPr>
                <w:rFonts w:hint="eastAsia" w:ascii="Times New Roman" w:hAnsi="Times New Roman" w:eastAsia="宋体" w:cs="Times New Roman"/>
                <w:b/>
                <w:bCs/>
                <w:sz w:val="21"/>
                <w:szCs w:val="21"/>
                <w:lang w:val="zh-TW" w:eastAsia="zh-TW"/>
              </w:rPr>
              <w:t>类型</w:t>
            </w:r>
          </w:p>
        </w:tc>
        <w:tc>
          <w:tcPr>
            <w:tcW w:w="3551" w:type="pct"/>
            <w:shd w:val="clear" w:color="auto" w:fill="F1F1F1" w:themeFill="background1" w:themeFillShade="F2"/>
            <w:vAlign w:val="center"/>
          </w:tcPr>
          <w:p w14:paraId="12DB3E61">
            <w:pPr>
              <w:spacing w:line="276" w:lineRule="auto"/>
              <w:jc w:val="center"/>
              <w:textAlignment w:val="bottom"/>
              <w:rPr>
                <w:rFonts w:ascii="Times New Roman" w:hAnsi="Times New Roman" w:eastAsia="宋体" w:cs="Times New Roman"/>
                <w:b/>
                <w:bCs/>
                <w:sz w:val="21"/>
                <w:szCs w:val="21"/>
                <w:lang w:val="zh-TW"/>
              </w:rPr>
            </w:pPr>
            <w:r>
              <w:rPr>
                <w:rFonts w:hint="eastAsia" w:ascii="Times New Roman" w:hAnsi="Times New Roman" w:eastAsia="宋体" w:cs="Times New Roman"/>
                <w:b/>
                <w:bCs/>
                <w:sz w:val="21"/>
                <w:szCs w:val="21"/>
                <w:lang w:val="zh-TW"/>
              </w:rPr>
              <w:t>定义（满足列举的任一情况）</w:t>
            </w:r>
          </w:p>
        </w:tc>
      </w:tr>
      <w:tr w14:paraId="2FAC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6" w:type="pct"/>
            <w:vAlign w:val="center"/>
          </w:tcPr>
          <w:p w14:paraId="28DD3AAA">
            <w:pPr>
              <w:spacing w:line="276" w:lineRule="auto"/>
              <w:jc w:val="center"/>
              <w:textAlignment w:val="bottom"/>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zh-TW" w:eastAsia="zh-TW"/>
              </w:rPr>
              <w:t>级</w:t>
            </w:r>
          </w:p>
        </w:tc>
        <w:tc>
          <w:tcPr>
            <w:tcW w:w="683" w:type="pct"/>
            <w:vAlign w:val="center"/>
          </w:tcPr>
          <w:p w14:paraId="4417D17B">
            <w:pPr>
              <w:spacing w:line="276" w:lineRule="auto"/>
              <w:jc w:val="center"/>
              <w:textAlignment w:val="bottom"/>
              <w:rPr>
                <w:rFonts w:ascii="Times New Roman" w:hAnsi="Times New Roman" w:eastAsia="宋体" w:cs="Times New Roman"/>
                <w:sz w:val="21"/>
                <w:szCs w:val="21"/>
                <w:lang w:val="zh-TW" w:eastAsia="zh-TW"/>
              </w:rPr>
            </w:pPr>
            <w:r>
              <w:rPr>
                <w:rFonts w:hint="eastAsia" w:ascii="Times New Roman" w:hAnsi="Times New Roman" w:eastAsia="宋体" w:cs="Times New Roman"/>
                <w:sz w:val="21"/>
                <w:szCs w:val="21"/>
                <w:lang w:val="zh-TW" w:eastAsia="zh-TW"/>
              </w:rPr>
              <w:t>轻度</w:t>
            </w:r>
          </w:p>
        </w:tc>
        <w:tc>
          <w:tcPr>
            <w:tcW w:w="3551" w:type="pct"/>
            <w:vAlign w:val="center"/>
          </w:tcPr>
          <w:p w14:paraId="45DD2A1B">
            <w:pPr>
              <w:spacing w:line="276" w:lineRule="auto"/>
              <w:textAlignment w:val="bottom"/>
              <w:rPr>
                <w:rFonts w:ascii="Times New Roman" w:hAnsi="Times New Roman" w:eastAsia="宋体" w:cs="Times New Roman"/>
                <w:sz w:val="21"/>
                <w:szCs w:val="21"/>
                <w:lang w:val="zh-TW"/>
              </w:rPr>
            </w:pPr>
            <w:r>
              <w:rPr>
                <w:rFonts w:hint="eastAsia" w:ascii="Times New Roman" w:hAnsi="Times New Roman" w:eastAsia="宋体" w:cs="Times New Roman"/>
                <w:sz w:val="21"/>
                <w:szCs w:val="21"/>
                <w:lang w:val="zh-TW"/>
              </w:rPr>
              <w:t>无症状或轻微；仅为临床或诊断所见；无需治疗。</w:t>
            </w:r>
          </w:p>
        </w:tc>
      </w:tr>
      <w:tr w14:paraId="7612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6" w:type="pct"/>
            <w:vAlign w:val="center"/>
          </w:tcPr>
          <w:p w14:paraId="35D94513">
            <w:pPr>
              <w:spacing w:line="276" w:lineRule="auto"/>
              <w:jc w:val="center"/>
              <w:textAlignment w:val="bottom"/>
              <w:rPr>
                <w:rFonts w:ascii="Times New Roman" w:hAnsi="Times New Roman" w:eastAsia="宋体" w:cs="Times New Roman"/>
                <w:sz w:val="21"/>
                <w:szCs w:val="21"/>
              </w:rPr>
            </w:pPr>
            <w:r>
              <w:rPr>
                <w:rFonts w:ascii="Times New Roman" w:hAnsi="Times New Roman" w:eastAsia="宋体" w:cs="Times New Roman"/>
                <w:sz w:val="21"/>
                <w:szCs w:val="21"/>
              </w:rPr>
              <w:t>2</w:t>
            </w:r>
            <w:r>
              <w:rPr>
                <w:rFonts w:hint="eastAsia" w:ascii="Times New Roman" w:hAnsi="Times New Roman" w:eastAsia="宋体" w:cs="Times New Roman"/>
                <w:sz w:val="21"/>
                <w:szCs w:val="21"/>
                <w:lang w:val="zh-TW" w:eastAsia="zh-TW"/>
              </w:rPr>
              <w:t>级</w:t>
            </w:r>
          </w:p>
        </w:tc>
        <w:tc>
          <w:tcPr>
            <w:tcW w:w="683" w:type="pct"/>
            <w:vAlign w:val="center"/>
          </w:tcPr>
          <w:p w14:paraId="0BFBF02F">
            <w:pPr>
              <w:spacing w:line="276" w:lineRule="auto"/>
              <w:jc w:val="center"/>
              <w:textAlignment w:val="bottom"/>
              <w:rPr>
                <w:rFonts w:ascii="Times New Roman" w:hAnsi="Times New Roman" w:eastAsia="宋体" w:cs="Times New Roman"/>
                <w:sz w:val="21"/>
                <w:szCs w:val="21"/>
                <w:lang w:val="zh-TW"/>
              </w:rPr>
            </w:pPr>
            <w:r>
              <w:rPr>
                <w:rFonts w:hint="eastAsia" w:ascii="Times New Roman" w:hAnsi="Times New Roman" w:eastAsia="宋体" w:cs="Times New Roman"/>
                <w:sz w:val="21"/>
                <w:szCs w:val="21"/>
                <w:lang w:val="zh-TW" w:eastAsia="zh-TW"/>
              </w:rPr>
              <w:t>中度</w:t>
            </w:r>
          </w:p>
        </w:tc>
        <w:tc>
          <w:tcPr>
            <w:tcW w:w="3551" w:type="pct"/>
            <w:vAlign w:val="center"/>
          </w:tcPr>
          <w:p w14:paraId="5D723CFC">
            <w:pPr>
              <w:spacing w:line="276" w:lineRule="auto"/>
              <w:textAlignment w:val="bottom"/>
              <w:rPr>
                <w:rFonts w:ascii="Times New Roman" w:hAnsi="Times New Roman" w:eastAsia="宋体" w:cs="Times New Roman"/>
                <w:sz w:val="21"/>
                <w:szCs w:val="21"/>
                <w:lang w:val="zh-TW" w:eastAsia="zh-TW"/>
              </w:rPr>
            </w:pPr>
            <w:r>
              <w:rPr>
                <w:rFonts w:hint="eastAsia" w:ascii="Times New Roman" w:hAnsi="Times New Roman" w:eastAsia="宋体" w:cs="Times New Roman"/>
                <w:sz w:val="21"/>
                <w:szCs w:val="21"/>
                <w:lang w:val="zh-TW"/>
              </w:rPr>
              <w:t>需要较小、局部或非侵入性治疗；与年龄相当的工具性日常生活活动受限（指做饭、购买衣物、使用电话、理财等。</w:t>
            </w:r>
            <w:r>
              <w:rPr>
                <w:rFonts w:hint="eastAsia" w:ascii="Times New Roman" w:hAnsi="Times New Roman" w:eastAsia="宋体" w:cs="Times New Roman"/>
                <w:sz w:val="21"/>
                <w:szCs w:val="21"/>
                <w:lang w:val="zh-TW" w:eastAsia="zh-TW"/>
              </w:rPr>
              <w:t>）</w:t>
            </w:r>
          </w:p>
        </w:tc>
      </w:tr>
      <w:tr w14:paraId="514C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6" w:type="pct"/>
            <w:vAlign w:val="center"/>
          </w:tcPr>
          <w:p w14:paraId="5ED9B8C8">
            <w:pPr>
              <w:spacing w:line="276" w:lineRule="auto"/>
              <w:jc w:val="center"/>
              <w:textAlignment w:val="bottom"/>
              <w:rPr>
                <w:rFonts w:ascii="Times New Roman" w:hAnsi="Times New Roman" w:eastAsia="宋体" w:cs="Times New Roman"/>
                <w:sz w:val="21"/>
                <w:szCs w:val="21"/>
              </w:rPr>
            </w:pPr>
            <w:r>
              <w:rPr>
                <w:rFonts w:ascii="Times New Roman" w:hAnsi="Times New Roman" w:eastAsia="宋体" w:cs="Times New Roman"/>
                <w:sz w:val="21"/>
                <w:szCs w:val="21"/>
              </w:rPr>
              <w:t>3</w:t>
            </w:r>
            <w:r>
              <w:rPr>
                <w:rFonts w:hint="eastAsia" w:ascii="Times New Roman" w:hAnsi="Times New Roman" w:eastAsia="宋体" w:cs="Times New Roman"/>
                <w:sz w:val="21"/>
                <w:szCs w:val="21"/>
                <w:lang w:val="zh-TW" w:eastAsia="zh-TW"/>
              </w:rPr>
              <w:t>级</w:t>
            </w:r>
          </w:p>
        </w:tc>
        <w:tc>
          <w:tcPr>
            <w:tcW w:w="683" w:type="pct"/>
            <w:vMerge w:val="restart"/>
            <w:vAlign w:val="center"/>
          </w:tcPr>
          <w:p w14:paraId="348A2939">
            <w:pPr>
              <w:spacing w:line="276" w:lineRule="auto"/>
              <w:jc w:val="center"/>
              <w:textAlignment w:val="bottom"/>
              <w:rPr>
                <w:rFonts w:ascii="Times New Roman" w:hAnsi="Times New Roman" w:eastAsia="宋体" w:cs="Times New Roman"/>
                <w:sz w:val="21"/>
                <w:szCs w:val="21"/>
                <w:lang w:val="zh-TW" w:eastAsia="zh-TW"/>
              </w:rPr>
            </w:pPr>
            <w:r>
              <w:rPr>
                <w:rFonts w:hint="eastAsia" w:ascii="Times New Roman" w:hAnsi="Times New Roman" w:eastAsia="宋体" w:cs="Times New Roman"/>
                <w:sz w:val="21"/>
                <w:szCs w:val="21"/>
                <w:lang w:val="zh-TW" w:eastAsia="zh-TW"/>
              </w:rPr>
              <w:t>重度</w:t>
            </w:r>
          </w:p>
        </w:tc>
        <w:tc>
          <w:tcPr>
            <w:tcW w:w="3551" w:type="pct"/>
            <w:vAlign w:val="center"/>
          </w:tcPr>
          <w:p w14:paraId="5D4E1B5C">
            <w:pPr>
              <w:spacing w:line="276" w:lineRule="auto"/>
              <w:textAlignment w:val="bottom"/>
              <w:rPr>
                <w:rFonts w:ascii="Times New Roman" w:hAnsi="Times New Roman" w:eastAsia="宋体" w:cs="Times New Roman"/>
                <w:sz w:val="21"/>
                <w:szCs w:val="21"/>
                <w:lang w:val="zh-TW"/>
              </w:rPr>
            </w:pPr>
            <w:r>
              <w:rPr>
                <w:rFonts w:hint="eastAsia" w:ascii="Times New Roman" w:hAnsi="Times New Roman" w:eastAsia="宋体" w:cs="Times New Roman"/>
                <w:sz w:val="21"/>
                <w:szCs w:val="21"/>
                <w:lang w:val="zh-TW"/>
              </w:rPr>
              <w:t>严重或者具有重要医学意义但不会立即危及生命；导致住院或者延长住院时间；致残；自理性日常生活活动受限（指洗澡、穿脱衣、吃饭、盥洗、服药等，并未卧床不起。</w:t>
            </w:r>
            <w:r>
              <w:rPr>
                <w:rFonts w:hint="eastAsia" w:ascii="Times New Roman" w:hAnsi="Times New Roman" w:eastAsia="宋体" w:cs="Times New Roman"/>
                <w:sz w:val="21"/>
                <w:szCs w:val="21"/>
                <w:lang w:val="zh-TW" w:eastAsia="zh-TW"/>
              </w:rPr>
              <w:t>）</w:t>
            </w:r>
          </w:p>
        </w:tc>
      </w:tr>
      <w:tr w14:paraId="6927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6" w:type="pct"/>
            <w:vAlign w:val="center"/>
          </w:tcPr>
          <w:p w14:paraId="1AFFA7F4">
            <w:pPr>
              <w:spacing w:line="276" w:lineRule="auto"/>
              <w:jc w:val="center"/>
              <w:textAlignment w:val="bottom"/>
              <w:rPr>
                <w:rFonts w:ascii="Times New Roman" w:hAnsi="Times New Roman" w:eastAsia="宋体" w:cs="Times New Roman"/>
                <w:sz w:val="21"/>
                <w:szCs w:val="21"/>
              </w:rPr>
            </w:pPr>
            <w:r>
              <w:rPr>
                <w:rFonts w:ascii="Times New Roman" w:hAnsi="Times New Roman" w:eastAsia="宋体" w:cs="Times New Roman"/>
                <w:sz w:val="21"/>
                <w:szCs w:val="21"/>
              </w:rPr>
              <w:t>4</w:t>
            </w:r>
            <w:r>
              <w:rPr>
                <w:rFonts w:hint="eastAsia" w:ascii="Times New Roman" w:hAnsi="Times New Roman" w:eastAsia="宋体" w:cs="Times New Roman"/>
                <w:sz w:val="21"/>
                <w:szCs w:val="21"/>
                <w:lang w:val="zh-TW" w:eastAsia="zh-TW"/>
              </w:rPr>
              <w:t>级</w:t>
            </w:r>
          </w:p>
        </w:tc>
        <w:tc>
          <w:tcPr>
            <w:tcW w:w="683" w:type="pct"/>
            <w:vMerge w:val="continue"/>
            <w:vAlign w:val="center"/>
          </w:tcPr>
          <w:p w14:paraId="24432CCF">
            <w:pPr>
              <w:spacing w:line="276" w:lineRule="auto"/>
              <w:jc w:val="center"/>
              <w:textAlignment w:val="bottom"/>
              <w:rPr>
                <w:rFonts w:ascii="Times New Roman" w:hAnsi="Times New Roman" w:eastAsia="宋体" w:cs="Times New Roman"/>
                <w:sz w:val="21"/>
                <w:szCs w:val="21"/>
                <w:lang w:val="zh-TW" w:eastAsia="zh-TW"/>
              </w:rPr>
            </w:pPr>
          </w:p>
        </w:tc>
        <w:tc>
          <w:tcPr>
            <w:tcW w:w="3551" w:type="pct"/>
            <w:vAlign w:val="center"/>
          </w:tcPr>
          <w:p w14:paraId="7C2DB563">
            <w:pPr>
              <w:spacing w:line="276" w:lineRule="auto"/>
              <w:textAlignment w:val="bottom"/>
              <w:rPr>
                <w:rFonts w:ascii="Times New Roman" w:hAnsi="Times New Roman" w:eastAsia="宋体" w:cs="Times New Roman"/>
                <w:sz w:val="21"/>
                <w:szCs w:val="21"/>
              </w:rPr>
            </w:pPr>
            <w:r>
              <w:rPr>
                <w:rFonts w:hint="eastAsia" w:ascii="Times New Roman" w:hAnsi="Times New Roman" w:eastAsia="宋体" w:cs="Times New Roman"/>
                <w:sz w:val="21"/>
                <w:szCs w:val="21"/>
                <w:lang w:val="zh-TW"/>
              </w:rPr>
              <w:t>危及生命；需要紧急治疗。</w:t>
            </w:r>
          </w:p>
        </w:tc>
      </w:tr>
      <w:tr w14:paraId="3173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6" w:type="pct"/>
            <w:vAlign w:val="center"/>
          </w:tcPr>
          <w:p w14:paraId="2D78B6EB">
            <w:pPr>
              <w:spacing w:line="276" w:lineRule="auto"/>
              <w:jc w:val="center"/>
              <w:textAlignment w:val="bottom"/>
              <w:rPr>
                <w:rFonts w:ascii="Times New Roman" w:hAnsi="Times New Roman" w:eastAsia="宋体" w:cs="Times New Roman"/>
                <w:sz w:val="21"/>
                <w:szCs w:val="21"/>
              </w:rPr>
            </w:pPr>
            <w:r>
              <w:rPr>
                <w:rFonts w:ascii="Times New Roman" w:hAnsi="Times New Roman" w:eastAsia="宋体" w:cs="Times New Roman"/>
                <w:sz w:val="21"/>
                <w:szCs w:val="21"/>
              </w:rPr>
              <w:t>5</w:t>
            </w:r>
            <w:r>
              <w:rPr>
                <w:rFonts w:hint="eastAsia" w:ascii="Times New Roman" w:hAnsi="Times New Roman" w:eastAsia="宋体" w:cs="Times New Roman"/>
                <w:sz w:val="21"/>
                <w:szCs w:val="21"/>
                <w:lang w:val="zh-TW" w:eastAsia="zh-TW"/>
              </w:rPr>
              <w:t>级</w:t>
            </w:r>
          </w:p>
        </w:tc>
        <w:tc>
          <w:tcPr>
            <w:tcW w:w="683" w:type="pct"/>
            <w:vMerge w:val="continue"/>
            <w:vAlign w:val="center"/>
          </w:tcPr>
          <w:p w14:paraId="0D514E1E">
            <w:pPr>
              <w:spacing w:line="276" w:lineRule="auto"/>
              <w:jc w:val="center"/>
              <w:textAlignment w:val="bottom"/>
              <w:rPr>
                <w:rFonts w:ascii="Times New Roman" w:hAnsi="Times New Roman" w:eastAsia="宋体" w:cs="Times New Roman"/>
                <w:sz w:val="21"/>
                <w:szCs w:val="21"/>
                <w:lang w:val="zh-TW" w:eastAsia="zh-TW"/>
              </w:rPr>
            </w:pPr>
          </w:p>
        </w:tc>
        <w:tc>
          <w:tcPr>
            <w:tcW w:w="3551" w:type="pct"/>
            <w:vAlign w:val="center"/>
          </w:tcPr>
          <w:p w14:paraId="029340CE">
            <w:pPr>
              <w:spacing w:line="276" w:lineRule="auto"/>
              <w:textAlignment w:val="bottom"/>
              <w:rPr>
                <w:rFonts w:ascii="Times New Roman" w:hAnsi="Times New Roman" w:eastAsia="宋体" w:cs="Times New Roman"/>
                <w:sz w:val="21"/>
                <w:szCs w:val="21"/>
              </w:rPr>
            </w:pPr>
            <w:r>
              <w:rPr>
                <w:rFonts w:hint="eastAsia" w:ascii="Times New Roman" w:hAnsi="Times New Roman" w:eastAsia="宋体" w:cs="Times New Roman"/>
                <w:sz w:val="21"/>
                <w:szCs w:val="21"/>
                <w:lang w:val="zh-TW"/>
              </w:rPr>
              <w:t>与不良事件相关的死亡。</w:t>
            </w:r>
          </w:p>
        </w:tc>
      </w:tr>
    </w:tbl>
    <w:p w14:paraId="56669BE8">
      <w:pPr>
        <w:pStyle w:val="116"/>
        <w:numPr>
          <w:ilvl w:val="3"/>
          <w:numId w:val="12"/>
        </w:numPr>
        <w:ind w:hanging="708"/>
        <w:jc w:val="left"/>
        <w:outlineLvl w:val="3"/>
        <w:rPr>
          <w:rFonts w:cs="Times New Roman"/>
          <w:sz w:val="24"/>
          <w:szCs w:val="24"/>
        </w:rPr>
      </w:pPr>
      <w:bookmarkStart w:id="312" w:name="_Toc215214126"/>
      <w:bookmarkStart w:id="313" w:name="_Toc217032313"/>
      <w:bookmarkStart w:id="314" w:name="_Toc215213416"/>
      <w:r>
        <w:rPr>
          <w:rFonts w:hint="eastAsia" w:cs="Times New Roman"/>
          <w:sz w:val="24"/>
          <w:szCs w:val="24"/>
        </w:rPr>
        <w:t>不良事件因果关系判断</w:t>
      </w:r>
      <w:bookmarkEnd w:id="312"/>
      <w:bookmarkEnd w:id="313"/>
      <w:bookmarkEnd w:id="314"/>
    </w:p>
    <w:p w14:paraId="72727F5E">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根据药物与不良事件相关性判断标准，按照五分法将不良事件与试验用药品相关性判定结果分为：肯定有关、很可能有关、可能有关、可能无关、无关。</w:t>
      </w:r>
    </w:p>
    <w:p w14:paraId="0AAB402C">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研究者需根据五个评价要点进行临床试验个例不良事件与试验用药品相关性综合评价，并提供相关性判定依据。五个评价要点概括如下：</w:t>
      </w:r>
    </w:p>
    <w:p w14:paraId="146BAE7B">
      <w:pPr>
        <w:numPr>
          <w:ilvl w:val="0"/>
          <w:numId w:val="59"/>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rPr>
        <w:t>时间相关性：</w:t>
      </w:r>
      <w:r>
        <w:rPr>
          <w:rFonts w:hint="eastAsia" w:ascii="Times New Roman" w:hAnsi="Times New Roman" w:eastAsia="宋体" w:cs="Times New Roman"/>
          <w:sz w:val="24"/>
          <w:szCs w:val="24"/>
        </w:rPr>
        <w:t>试验用药品和不良事件出现的有无合理的时间关系；</w:t>
      </w:r>
    </w:p>
    <w:p w14:paraId="74AABE1A">
      <w:pPr>
        <w:numPr>
          <w:ilvl w:val="0"/>
          <w:numId w:val="59"/>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rPr>
        <w:t>是否已知：</w:t>
      </w:r>
      <w:r>
        <w:rPr>
          <w:rFonts w:hint="eastAsia" w:ascii="Times New Roman" w:hAnsi="Times New Roman" w:eastAsia="宋体" w:cs="Times New Roman"/>
          <w:sz w:val="24"/>
          <w:szCs w:val="24"/>
        </w:rPr>
        <w:t>不良事件是否符合该药物已知的作用机制、特性或已知的不良反应；</w:t>
      </w:r>
    </w:p>
    <w:p w14:paraId="4104B5AC">
      <w:pPr>
        <w:numPr>
          <w:ilvl w:val="0"/>
          <w:numId w:val="59"/>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rPr>
        <w:t>去激发结果：</w:t>
      </w:r>
      <w:r>
        <w:rPr>
          <w:rFonts w:hint="eastAsia" w:ascii="Times New Roman" w:hAnsi="Times New Roman" w:eastAsia="宋体" w:cs="Times New Roman"/>
          <w:sz w:val="24"/>
          <w:szCs w:val="24"/>
        </w:rPr>
        <w:t>参与者在停药或减量后，可疑的不良事件是否减轻、好转或消失；</w:t>
      </w:r>
    </w:p>
    <w:p w14:paraId="1B393597">
      <w:pPr>
        <w:numPr>
          <w:ilvl w:val="0"/>
          <w:numId w:val="59"/>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rPr>
        <w:t>再激发结果：</w:t>
      </w:r>
      <w:r>
        <w:rPr>
          <w:rFonts w:hint="eastAsia" w:ascii="Times New Roman" w:hAnsi="Times New Roman" w:eastAsia="宋体" w:cs="Times New Roman"/>
          <w:sz w:val="24"/>
          <w:szCs w:val="24"/>
        </w:rPr>
        <w:t>参与者在再次给药后，已经消除的同样、同性质的不良事件再次出现；</w:t>
      </w:r>
    </w:p>
    <w:p w14:paraId="4F14A434">
      <w:pPr>
        <w:numPr>
          <w:ilvl w:val="0"/>
          <w:numId w:val="59"/>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b/>
          <w:bCs/>
          <w:sz w:val="24"/>
          <w:szCs w:val="24"/>
        </w:rPr>
        <w:t>其他合理解释：</w:t>
      </w:r>
      <w:r>
        <w:rPr>
          <w:rFonts w:hint="eastAsia" w:ascii="Times New Roman" w:hAnsi="Times New Roman" w:eastAsia="宋体" w:cs="Times New Roman"/>
          <w:sz w:val="24"/>
          <w:szCs w:val="24"/>
        </w:rPr>
        <w:t>不良事件是否可用参与者疾病进展（包括伴随疾病）、合并用药的作用、其他治疗措施或干扰因素等的影响来解释。</w:t>
      </w:r>
    </w:p>
    <w:p w14:paraId="4CE5FA1B">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不良事件与试验用药品相关性判定结果分类及判定依据可参照表</w:t>
      </w:r>
      <w:r>
        <w:rPr>
          <w:rFonts w:ascii="Times New Roman" w:hAnsi="Times New Roman" w:eastAsia="宋体" w:cs="Times New Roman"/>
          <w:sz w:val="24"/>
          <w:szCs w:val="24"/>
        </w:rPr>
        <w:t>7</w:t>
      </w:r>
      <w:r>
        <w:rPr>
          <w:rFonts w:hint="eastAsia" w:ascii="Times New Roman" w:hAnsi="Times New Roman" w:eastAsia="宋体" w:cs="Times New Roman"/>
          <w:sz w:val="24"/>
          <w:szCs w:val="24"/>
        </w:rPr>
        <w:t>进行。统计分析时，将</w:t>
      </w:r>
      <w:r>
        <w:rPr>
          <w:rFonts w:ascii="Times New Roman" w:hAnsi="Times New Roman" w:eastAsia="宋体" w:cs="Times New Roman"/>
          <w:sz w:val="24"/>
          <w:szCs w:val="24"/>
        </w:rPr>
        <w:t>“</w:t>
      </w:r>
      <w:r>
        <w:rPr>
          <w:rFonts w:hint="eastAsia" w:ascii="Times New Roman" w:hAnsi="Times New Roman" w:eastAsia="宋体" w:cs="Times New Roman"/>
          <w:sz w:val="24"/>
          <w:szCs w:val="24"/>
        </w:rPr>
        <w:t>肯定有关</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很可能有关</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可能有关</w:t>
      </w:r>
      <w:r>
        <w:rPr>
          <w:rFonts w:ascii="Times New Roman" w:hAnsi="Times New Roman" w:eastAsia="宋体" w:cs="Times New Roman"/>
          <w:sz w:val="24"/>
          <w:szCs w:val="24"/>
        </w:rPr>
        <w:t>”</w:t>
      </w:r>
      <w:r>
        <w:rPr>
          <w:rFonts w:hint="eastAsia" w:ascii="Times New Roman" w:hAnsi="Times New Roman" w:eastAsia="宋体" w:cs="Times New Roman"/>
          <w:sz w:val="24"/>
          <w:szCs w:val="24"/>
        </w:rPr>
        <w:t>视为与试验用药品相关。</w:t>
      </w:r>
    </w:p>
    <w:p w14:paraId="0FC991AE">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严重不良事件（</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）与试验用药品的因果关系由研究者和申办者双方共同判断。当双方意见不一致时，对研究者或</w:t>
      </w:r>
      <w:r>
        <w:rPr>
          <w:rFonts w:ascii="Times New Roman" w:hAnsi="Times New Roman" w:eastAsia="宋体" w:cs="Times New Roman"/>
          <w:sz w:val="24"/>
          <w:szCs w:val="24"/>
        </w:rPr>
        <w:t>/</w:t>
      </w:r>
      <w:r>
        <w:rPr>
          <w:rFonts w:hint="eastAsia" w:ascii="Times New Roman" w:hAnsi="Times New Roman" w:eastAsia="宋体" w:cs="Times New Roman"/>
          <w:sz w:val="24"/>
          <w:szCs w:val="24"/>
        </w:rPr>
        <w:t>和申办者任意一方判断与试验用药品相关的严重不良事件，均属报告范围。</w:t>
      </w:r>
    </w:p>
    <w:p w14:paraId="5CBD598F">
      <w:pPr>
        <w:spacing w:line="360" w:lineRule="auto"/>
        <w:jc w:val="cente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表</w:t>
      </w:r>
      <w:r>
        <w:rPr>
          <w:rFonts w:ascii="Times New Roman" w:hAnsi="Times New Roman" w:eastAsia="宋体" w:cs="Times New Roman"/>
          <w:b/>
          <w:bCs/>
          <w:sz w:val="21"/>
          <w:szCs w:val="21"/>
        </w:rPr>
        <w:t xml:space="preserve">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w:instrText>
      </w:r>
      <w:r>
        <w:rPr>
          <w:rFonts w:hint="eastAsia" w:ascii="Times New Roman" w:hAnsi="Times New Roman" w:eastAsia="宋体" w:cs="Times New Roman"/>
          <w:b/>
          <w:bCs/>
          <w:sz w:val="21"/>
          <w:szCs w:val="21"/>
        </w:rPr>
        <w:instrText xml:space="preserve">表</w:instrText>
      </w:r>
      <w:r>
        <w:rPr>
          <w:rFonts w:ascii="Times New Roman" w:hAnsi="Times New Roman" w:eastAsia="宋体" w:cs="Times New Roman"/>
          <w:b/>
          <w:bCs/>
          <w:sz w:val="21"/>
          <w:szCs w:val="21"/>
        </w:rPr>
        <w:instrText xml:space="preserve">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9</w:t>
      </w:r>
      <w:r>
        <w:rPr>
          <w:rFonts w:ascii="Times New Roman" w:hAnsi="Times New Roman" w:eastAsia="宋体" w:cs="Times New Roman"/>
          <w:b/>
          <w:bCs/>
          <w:sz w:val="21"/>
          <w:szCs w:val="21"/>
        </w:rPr>
        <w:fldChar w:fldCharType="end"/>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sz w:val="21"/>
          <w:szCs w:val="21"/>
        </w:rPr>
        <w:t>不良事件与试验用药品因果关系评价</w:t>
      </w:r>
    </w:p>
    <w:tbl>
      <w:tblPr>
        <w:tblStyle w:val="8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7"/>
        <w:gridCol w:w="1120"/>
        <w:gridCol w:w="1417"/>
        <w:gridCol w:w="378"/>
        <w:gridCol w:w="526"/>
        <w:gridCol w:w="376"/>
        <w:gridCol w:w="469"/>
        <w:gridCol w:w="588"/>
        <w:gridCol w:w="596"/>
        <w:gridCol w:w="863"/>
      </w:tblGrid>
      <w:tr w14:paraId="04AD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vMerge w:val="restart"/>
            <w:tcBorders>
              <w:tl2br w:val="nil"/>
              <w:tr2bl w:val="nil"/>
            </w:tcBorders>
            <w:shd w:val="clear" w:color="auto" w:fill="F1F1F1" w:themeFill="background1" w:themeFillShade="F2"/>
            <w:tcMar>
              <w:left w:w="113" w:type="dxa"/>
              <w:right w:w="113" w:type="dxa"/>
            </w:tcMar>
            <w:vAlign w:val="center"/>
          </w:tcPr>
          <w:p w14:paraId="26D7FD69">
            <w:pPr>
              <w:spacing w:line="276" w:lineRule="auto"/>
              <w:ind w:firstLine="422"/>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判定依据</w:t>
            </w:r>
          </w:p>
        </w:tc>
        <w:tc>
          <w:tcPr>
            <w:tcW w:w="4286" w:type="dxa"/>
            <w:gridSpan w:val="6"/>
            <w:tcBorders>
              <w:tl2br w:val="nil"/>
              <w:tr2bl w:val="nil"/>
            </w:tcBorders>
            <w:shd w:val="clear" w:color="auto" w:fill="F1F1F1" w:themeFill="background1" w:themeFillShade="F2"/>
            <w:tcMar>
              <w:left w:w="113" w:type="dxa"/>
              <w:right w:w="113" w:type="dxa"/>
            </w:tcMar>
            <w:vAlign w:val="center"/>
          </w:tcPr>
          <w:p w14:paraId="1770624F">
            <w:pPr>
              <w:spacing w:line="276" w:lineRule="auto"/>
              <w:ind w:firstLine="422"/>
              <w:jc w:val="center"/>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相关</w:t>
            </w:r>
          </w:p>
        </w:tc>
        <w:tc>
          <w:tcPr>
            <w:tcW w:w="2047" w:type="dxa"/>
            <w:gridSpan w:val="3"/>
            <w:tcBorders>
              <w:tl2br w:val="nil"/>
              <w:tr2bl w:val="nil"/>
            </w:tcBorders>
            <w:shd w:val="clear" w:color="auto" w:fill="F1F1F1" w:themeFill="background1" w:themeFillShade="F2"/>
            <w:tcMar>
              <w:left w:w="113" w:type="dxa"/>
              <w:right w:w="113" w:type="dxa"/>
            </w:tcMar>
            <w:vAlign w:val="center"/>
          </w:tcPr>
          <w:p w14:paraId="468E74CE">
            <w:pPr>
              <w:spacing w:line="276" w:lineRule="auto"/>
              <w:ind w:firstLine="422"/>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不相关</w:t>
            </w:r>
          </w:p>
        </w:tc>
      </w:tr>
      <w:tr w14:paraId="3843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vMerge w:val="continue"/>
            <w:tcBorders>
              <w:tl2br w:val="nil"/>
              <w:tr2bl w:val="nil"/>
            </w:tcBorders>
            <w:shd w:val="clear" w:color="auto" w:fill="F1F1F1" w:themeFill="background1" w:themeFillShade="F2"/>
            <w:vAlign w:val="center"/>
          </w:tcPr>
          <w:p w14:paraId="7BF79B18">
            <w:pPr>
              <w:spacing w:line="276" w:lineRule="auto"/>
              <w:rPr>
                <w:rFonts w:ascii="Times New Roman" w:hAnsi="Times New Roman" w:eastAsia="宋体" w:cs="Times New Roman"/>
                <w:sz w:val="21"/>
                <w:szCs w:val="21"/>
              </w:rPr>
            </w:pPr>
          </w:p>
        </w:tc>
        <w:tc>
          <w:tcPr>
            <w:tcW w:w="1120" w:type="dxa"/>
            <w:tcBorders>
              <w:tl2br w:val="nil"/>
              <w:tr2bl w:val="nil"/>
            </w:tcBorders>
            <w:shd w:val="clear" w:color="auto" w:fill="F1F1F1" w:themeFill="background1" w:themeFillShade="F2"/>
            <w:tcMar>
              <w:left w:w="113" w:type="dxa"/>
              <w:right w:w="113" w:type="dxa"/>
            </w:tcMar>
            <w:vAlign w:val="center"/>
          </w:tcPr>
          <w:p w14:paraId="511E1A3E">
            <w:pPr>
              <w:spacing w:line="276" w:lineRule="auto"/>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肯定有关</w:t>
            </w:r>
          </w:p>
        </w:tc>
        <w:tc>
          <w:tcPr>
            <w:tcW w:w="1417" w:type="dxa"/>
            <w:tcBorders>
              <w:tl2br w:val="nil"/>
              <w:tr2bl w:val="nil"/>
            </w:tcBorders>
            <w:shd w:val="clear" w:color="auto" w:fill="F1F1F1" w:themeFill="background1" w:themeFillShade="F2"/>
            <w:tcMar>
              <w:left w:w="113" w:type="dxa"/>
              <w:right w:w="113" w:type="dxa"/>
            </w:tcMar>
            <w:vAlign w:val="center"/>
          </w:tcPr>
          <w:p w14:paraId="36C35965">
            <w:pPr>
              <w:spacing w:line="276" w:lineRule="auto"/>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很可能有关</w:t>
            </w:r>
          </w:p>
        </w:tc>
        <w:tc>
          <w:tcPr>
            <w:tcW w:w="1749" w:type="dxa"/>
            <w:gridSpan w:val="4"/>
            <w:tcBorders>
              <w:tl2br w:val="nil"/>
              <w:tr2bl w:val="nil"/>
            </w:tcBorders>
            <w:shd w:val="clear" w:color="auto" w:fill="F1F1F1" w:themeFill="background1" w:themeFillShade="F2"/>
            <w:tcMar>
              <w:left w:w="113" w:type="dxa"/>
              <w:right w:w="113" w:type="dxa"/>
            </w:tcMar>
            <w:vAlign w:val="center"/>
          </w:tcPr>
          <w:p w14:paraId="1080B190">
            <w:pPr>
              <w:spacing w:line="276" w:lineRule="auto"/>
              <w:ind w:firstLine="211" w:firstLineChars="100"/>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可能有关</w:t>
            </w:r>
          </w:p>
        </w:tc>
        <w:tc>
          <w:tcPr>
            <w:tcW w:w="1184" w:type="dxa"/>
            <w:gridSpan w:val="2"/>
            <w:tcBorders>
              <w:tl2br w:val="nil"/>
              <w:tr2bl w:val="nil"/>
            </w:tcBorders>
            <w:shd w:val="clear" w:color="auto" w:fill="F1F1F1" w:themeFill="background1" w:themeFillShade="F2"/>
            <w:tcMar>
              <w:left w:w="113" w:type="dxa"/>
              <w:right w:w="113" w:type="dxa"/>
            </w:tcMar>
            <w:vAlign w:val="center"/>
          </w:tcPr>
          <w:p w14:paraId="6F33D87D">
            <w:pPr>
              <w:spacing w:line="276" w:lineRule="auto"/>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可能无关</w:t>
            </w:r>
          </w:p>
        </w:tc>
        <w:tc>
          <w:tcPr>
            <w:tcW w:w="863" w:type="dxa"/>
            <w:tcBorders>
              <w:tl2br w:val="nil"/>
              <w:tr2bl w:val="nil"/>
            </w:tcBorders>
            <w:shd w:val="clear" w:color="auto" w:fill="F1F1F1" w:themeFill="background1" w:themeFillShade="F2"/>
            <w:tcMar>
              <w:left w:w="113" w:type="dxa"/>
              <w:right w:w="113" w:type="dxa"/>
            </w:tcMar>
            <w:vAlign w:val="center"/>
          </w:tcPr>
          <w:p w14:paraId="50587AA8">
            <w:pPr>
              <w:spacing w:line="276" w:lineRule="auto"/>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无关</w:t>
            </w:r>
          </w:p>
        </w:tc>
      </w:tr>
      <w:tr w14:paraId="2347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tcBorders>
              <w:tl2br w:val="nil"/>
              <w:tr2bl w:val="nil"/>
            </w:tcBorders>
            <w:shd w:val="clear" w:color="auto" w:fill="F1F1F1" w:themeFill="background1" w:themeFillShade="F2"/>
            <w:tcMar>
              <w:left w:w="113" w:type="dxa"/>
              <w:right w:w="113" w:type="dxa"/>
            </w:tcMar>
            <w:vAlign w:val="center"/>
          </w:tcPr>
          <w:p w14:paraId="01FE29E9">
            <w:pPr>
              <w:spacing w:line="276"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是否有合理的时间关系</w:t>
            </w:r>
          </w:p>
        </w:tc>
        <w:tc>
          <w:tcPr>
            <w:tcW w:w="1120" w:type="dxa"/>
            <w:tcBorders>
              <w:tl2br w:val="nil"/>
              <w:tr2bl w:val="nil"/>
            </w:tcBorders>
            <w:tcMar>
              <w:left w:w="113" w:type="dxa"/>
              <w:right w:w="113" w:type="dxa"/>
            </w:tcMar>
            <w:vAlign w:val="center"/>
          </w:tcPr>
          <w:p w14:paraId="3D0F94BD">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417" w:type="dxa"/>
            <w:tcBorders>
              <w:tl2br w:val="nil"/>
              <w:tr2bl w:val="nil"/>
            </w:tcBorders>
            <w:tcMar>
              <w:left w:w="113" w:type="dxa"/>
              <w:right w:w="113" w:type="dxa"/>
            </w:tcMar>
            <w:vAlign w:val="center"/>
          </w:tcPr>
          <w:p w14:paraId="43FC385E">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749" w:type="dxa"/>
            <w:gridSpan w:val="4"/>
            <w:tcBorders>
              <w:tl2br w:val="nil"/>
              <w:tr2bl w:val="nil"/>
            </w:tcBorders>
            <w:tcMar>
              <w:left w:w="113" w:type="dxa"/>
              <w:right w:w="113" w:type="dxa"/>
            </w:tcMar>
            <w:vAlign w:val="center"/>
          </w:tcPr>
          <w:p w14:paraId="24CE1956">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184" w:type="dxa"/>
            <w:gridSpan w:val="2"/>
            <w:tcBorders>
              <w:tl2br w:val="nil"/>
              <w:tr2bl w:val="nil"/>
            </w:tcBorders>
            <w:tcMar>
              <w:left w:w="113" w:type="dxa"/>
              <w:right w:w="113" w:type="dxa"/>
            </w:tcMar>
            <w:vAlign w:val="center"/>
          </w:tcPr>
          <w:p w14:paraId="2A78060D">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863" w:type="dxa"/>
            <w:tcBorders>
              <w:tl2br w:val="nil"/>
              <w:tr2bl w:val="nil"/>
            </w:tcBorders>
            <w:tcMar>
              <w:left w:w="113" w:type="dxa"/>
              <w:right w:w="113" w:type="dxa"/>
            </w:tcMar>
            <w:vAlign w:val="center"/>
          </w:tcPr>
          <w:p w14:paraId="0F20306C">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r>
      <w:tr w14:paraId="341A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tcBorders>
              <w:tl2br w:val="nil"/>
              <w:tr2bl w:val="nil"/>
            </w:tcBorders>
            <w:shd w:val="clear" w:color="auto" w:fill="F1F1F1" w:themeFill="background1" w:themeFillShade="F2"/>
            <w:tcMar>
              <w:left w:w="113" w:type="dxa"/>
              <w:right w:w="113" w:type="dxa"/>
            </w:tcMar>
            <w:vAlign w:val="center"/>
          </w:tcPr>
          <w:p w14:paraId="19E07753">
            <w:pPr>
              <w:spacing w:line="276"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是否符合已知的作用机制、特性或已知的不良反应</w:t>
            </w:r>
          </w:p>
        </w:tc>
        <w:tc>
          <w:tcPr>
            <w:tcW w:w="1120" w:type="dxa"/>
            <w:tcBorders>
              <w:tl2br w:val="nil"/>
              <w:tr2bl w:val="nil"/>
            </w:tcBorders>
            <w:tcMar>
              <w:left w:w="113" w:type="dxa"/>
              <w:right w:w="113" w:type="dxa"/>
            </w:tcMar>
            <w:vAlign w:val="center"/>
          </w:tcPr>
          <w:p w14:paraId="4B4DF4C4">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417" w:type="dxa"/>
            <w:tcBorders>
              <w:tl2br w:val="nil"/>
              <w:tr2bl w:val="nil"/>
            </w:tcBorders>
            <w:tcMar>
              <w:left w:w="113" w:type="dxa"/>
              <w:right w:w="113" w:type="dxa"/>
            </w:tcMar>
            <w:vAlign w:val="center"/>
          </w:tcPr>
          <w:p w14:paraId="55B12EFD">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904" w:type="dxa"/>
            <w:gridSpan w:val="2"/>
            <w:tcBorders>
              <w:tl2br w:val="nil"/>
              <w:tr2bl w:val="nil"/>
            </w:tcBorders>
            <w:tcMar>
              <w:left w:w="113" w:type="dxa"/>
              <w:right w:w="113" w:type="dxa"/>
            </w:tcMar>
            <w:vAlign w:val="center"/>
          </w:tcPr>
          <w:p w14:paraId="734E0A0F">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845" w:type="dxa"/>
            <w:gridSpan w:val="2"/>
            <w:tcBorders>
              <w:tl2br w:val="nil"/>
              <w:tr2bl w:val="nil"/>
            </w:tcBorders>
            <w:tcMar>
              <w:left w:w="113" w:type="dxa"/>
              <w:right w:w="113" w:type="dxa"/>
            </w:tcMar>
            <w:vAlign w:val="center"/>
          </w:tcPr>
          <w:p w14:paraId="16176071">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588" w:type="dxa"/>
            <w:tcBorders>
              <w:tl2br w:val="nil"/>
              <w:tr2bl w:val="nil"/>
            </w:tcBorders>
            <w:tcMar>
              <w:left w:w="113" w:type="dxa"/>
              <w:right w:w="113" w:type="dxa"/>
            </w:tcMar>
            <w:vAlign w:val="center"/>
          </w:tcPr>
          <w:p w14:paraId="1B37454D">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596" w:type="dxa"/>
            <w:tcBorders>
              <w:tl2br w:val="nil"/>
              <w:tr2bl w:val="nil"/>
            </w:tcBorders>
            <w:tcMar>
              <w:left w:w="113" w:type="dxa"/>
              <w:right w:w="113" w:type="dxa"/>
            </w:tcMar>
            <w:vAlign w:val="center"/>
          </w:tcPr>
          <w:p w14:paraId="75FD4EB0">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863" w:type="dxa"/>
            <w:tcBorders>
              <w:tl2br w:val="nil"/>
              <w:tr2bl w:val="nil"/>
            </w:tcBorders>
            <w:tcMar>
              <w:left w:w="113" w:type="dxa"/>
              <w:right w:w="113" w:type="dxa"/>
            </w:tcMar>
            <w:vAlign w:val="center"/>
          </w:tcPr>
          <w:p w14:paraId="3547009A">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r>
      <w:tr w14:paraId="31C6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tcBorders>
              <w:tl2br w:val="nil"/>
              <w:tr2bl w:val="nil"/>
            </w:tcBorders>
            <w:shd w:val="clear" w:color="auto" w:fill="F1F1F1" w:themeFill="background1" w:themeFillShade="F2"/>
            <w:tcMar>
              <w:left w:w="113" w:type="dxa"/>
              <w:right w:w="113" w:type="dxa"/>
            </w:tcMar>
            <w:vAlign w:val="center"/>
          </w:tcPr>
          <w:p w14:paraId="1B0C299F">
            <w:pPr>
              <w:spacing w:line="276" w:lineRule="auto"/>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去激发结果</w:t>
            </w:r>
          </w:p>
        </w:tc>
        <w:tc>
          <w:tcPr>
            <w:tcW w:w="1120" w:type="dxa"/>
            <w:tcBorders>
              <w:tl2br w:val="nil"/>
              <w:tr2bl w:val="nil"/>
            </w:tcBorders>
            <w:tcMar>
              <w:left w:w="113" w:type="dxa"/>
              <w:right w:w="113" w:type="dxa"/>
            </w:tcMar>
            <w:vAlign w:val="center"/>
          </w:tcPr>
          <w:p w14:paraId="5B6FBDBB">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417" w:type="dxa"/>
            <w:tcBorders>
              <w:tl2br w:val="nil"/>
              <w:tr2bl w:val="nil"/>
            </w:tcBorders>
            <w:tcMar>
              <w:left w:w="113" w:type="dxa"/>
              <w:right w:w="113" w:type="dxa"/>
            </w:tcMar>
            <w:vAlign w:val="center"/>
          </w:tcPr>
          <w:p w14:paraId="6A624085">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378" w:type="dxa"/>
            <w:tcBorders>
              <w:tl2br w:val="nil"/>
              <w:tr2bl w:val="nil"/>
            </w:tcBorders>
            <w:tcMar>
              <w:left w:w="113" w:type="dxa"/>
              <w:right w:w="113" w:type="dxa"/>
            </w:tcMar>
            <w:vAlign w:val="center"/>
          </w:tcPr>
          <w:p w14:paraId="464F6024">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526" w:type="dxa"/>
            <w:tcBorders>
              <w:tl2br w:val="nil"/>
              <w:tr2bl w:val="nil"/>
            </w:tcBorders>
            <w:tcMar>
              <w:left w:w="113" w:type="dxa"/>
              <w:right w:w="113" w:type="dxa"/>
            </w:tcMar>
            <w:vAlign w:val="center"/>
          </w:tcPr>
          <w:p w14:paraId="66C13CA2">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376" w:type="dxa"/>
            <w:tcBorders>
              <w:tl2br w:val="nil"/>
              <w:tr2bl w:val="nil"/>
            </w:tcBorders>
            <w:tcMar>
              <w:left w:w="113" w:type="dxa"/>
              <w:right w:w="113" w:type="dxa"/>
            </w:tcMar>
            <w:vAlign w:val="center"/>
          </w:tcPr>
          <w:p w14:paraId="3702C042">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469" w:type="dxa"/>
            <w:tcBorders>
              <w:tl2br w:val="nil"/>
              <w:tr2bl w:val="nil"/>
            </w:tcBorders>
            <w:tcMar>
              <w:left w:w="113" w:type="dxa"/>
              <w:right w:w="113" w:type="dxa"/>
            </w:tcMar>
            <w:vAlign w:val="center"/>
          </w:tcPr>
          <w:p w14:paraId="09B6CC21">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184" w:type="dxa"/>
            <w:gridSpan w:val="2"/>
            <w:tcBorders>
              <w:tl2br w:val="nil"/>
              <w:tr2bl w:val="nil"/>
            </w:tcBorders>
            <w:tcMar>
              <w:left w:w="113" w:type="dxa"/>
              <w:right w:w="113" w:type="dxa"/>
            </w:tcMar>
            <w:vAlign w:val="center"/>
          </w:tcPr>
          <w:p w14:paraId="78C23F26">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863" w:type="dxa"/>
            <w:tcBorders>
              <w:tl2br w:val="nil"/>
              <w:tr2bl w:val="nil"/>
            </w:tcBorders>
            <w:tcMar>
              <w:left w:w="113" w:type="dxa"/>
              <w:right w:w="113" w:type="dxa"/>
            </w:tcMar>
            <w:vAlign w:val="center"/>
          </w:tcPr>
          <w:p w14:paraId="2CC0A15A">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r>
      <w:tr w14:paraId="5798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tcBorders>
              <w:tl2br w:val="nil"/>
              <w:tr2bl w:val="nil"/>
            </w:tcBorders>
            <w:shd w:val="clear" w:color="auto" w:fill="F1F1F1" w:themeFill="background1" w:themeFillShade="F2"/>
            <w:tcMar>
              <w:left w:w="113" w:type="dxa"/>
              <w:right w:w="113" w:type="dxa"/>
            </w:tcMar>
            <w:vAlign w:val="center"/>
          </w:tcPr>
          <w:p w14:paraId="472C31AE">
            <w:pPr>
              <w:spacing w:line="276" w:lineRule="auto"/>
              <w:rPr>
                <w:rFonts w:ascii="Times New Roman" w:hAnsi="Times New Roman" w:eastAsia="宋体" w:cs="Times New Roman"/>
                <w:b/>
                <w:bCs/>
                <w:sz w:val="21"/>
                <w:szCs w:val="21"/>
                <w:lang w:eastAsia="zh-TW"/>
              </w:rPr>
            </w:pPr>
            <w:r>
              <w:rPr>
                <w:rFonts w:hint="eastAsia" w:ascii="Times New Roman" w:hAnsi="Times New Roman" w:eastAsia="宋体" w:cs="Times New Roman"/>
                <w:b/>
                <w:bCs/>
                <w:sz w:val="21"/>
                <w:szCs w:val="21"/>
                <w:lang w:eastAsia="zh-TW"/>
              </w:rPr>
              <w:t>再激发结果</w:t>
            </w:r>
          </w:p>
        </w:tc>
        <w:tc>
          <w:tcPr>
            <w:tcW w:w="1120" w:type="dxa"/>
            <w:tcBorders>
              <w:tl2br w:val="nil"/>
              <w:tr2bl w:val="nil"/>
            </w:tcBorders>
            <w:tcMar>
              <w:left w:w="113" w:type="dxa"/>
              <w:right w:w="113" w:type="dxa"/>
            </w:tcMar>
            <w:vAlign w:val="center"/>
          </w:tcPr>
          <w:p w14:paraId="30993794">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417" w:type="dxa"/>
            <w:tcBorders>
              <w:tl2br w:val="nil"/>
              <w:tr2bl w:val="nil"/>
            </w:tcBorders>
            <w:tcMar>
              <w:left w:w="113" w:type="dxa"/>
              <w:right w:w="113" w:type="dxa"/>
            </w:tcMar>
            <w:vAlign w:val="center"/>
          </w:tcPr>
          <w:p w14:paraId="6418D78D">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749" w:type="dxa"/>
            <w:gridSpan w:val="4"/>
            <w:tcBorders>
              <w:tl2br w:val="nil"/>
              <w:tr2bl w:val="nil"/>
            </w:tcBorders>
            <w:tcMar>
              <w:left w:w="113" w:type="dxa"/>
              <w:right w:w="113" w:type="dxa"/>
            </w:tcMar>
            <w:vAlign w:val="center"/>
          </w:tcPr>
          <w:p w14:paraId="1D06BAB6">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184" w:type="dxa"/>
            <w:gridSpan w:val="2"/>
            <w:tcBorders>
              <w:tl2br w:val="nil"/>
              <w:tr2bl w:val="nil"/>
            </w:tcBorders>
            <w:tcMar>
              <w:left w:w="113" w:type="dxa"/>
              <w:right w:w="113" w:type="dxa"/>
            </w:tcMar>
            <w:vAlign w:val="center"/>
          </w:tcPr>
          <w:p w14:paraId="4A24C205">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863" w:type="dxa"/>
            <w:tcBorders>
              <w:tl2br w:val="nil"/>
              <w:tr2bl w:val="nil"/>
            </w:tcBorders>
            <w:tcMar>
              <w:left w:w="113" w:type="dxa"/>
              <w:right w:w="113" w:type="dxa"/>
            </w:tcMar>
            <w:vAlign w:val="center"/>
          </w:tcPr>
          <w:p w14:paraId="0D644A13">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r>
      <w:tr w14:paraId="231C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727" w:type="dxa"/>
            <w:tcBorders>
              <w:tl2br w:val="nil"/>
              <w:tr2bl w:val="nil"/>
            </w:tcBorders>
            <w:shd w:val="clear" w:color="auto" w:fill="F1F1F1" w:themeFill="background1" w:themeFillShade="F2"/>
            <w:tcMar>
              <w:left w:w="113" w:type="dxa"/>
              <w:right w:w="113" w:type="dxa"/>
            </w:tcMar>
            <w:vAlign w:val="center"/>
          </w:tcPr>
          <w:p w14:paraId="525606B7">
            <w:pPr>
              <w:spacing w:line="276"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是否可用其他合理的原因解释</w:t>
            </w:r>
          </w:p>
        </w:tc>
        <w:tc>
          <w:tcPr>
            <w:tcW w:w="1120" w:type="dxa"/>
            <w:tcBorders>
              <w:tl2br w:val="nil"/>
              <w:tr2bl w:val="nil"/>
            </w:tcBorders>
            <w:tcMar>
              <w:left w:w="113" w:type="dxa"/>
              <w:right w:w="113" w:type="dxa"/>
            </w:tcMar>
            <w:vAlign w:val="center"/>
          </w:tcPr>
          <w:p w14:paraId="6FE5AAF3">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1417" w:type="dxa"/>
            <w:tcBorders>
              <w:tl2br w:val="nil"/>
              <w:tr2bl w:val="nil"/>
            </w:tcBorders>
            <w:tcMar>
              <w:left w:w="113" w:type="dxa"/>
              <w:right w:w="113" w:type="dxa"/>
            </w:tcMar>
            <w:vAlign w:val="center"/>
          </w:tcPr>
          <w:p w14:paraId="2DFA17E0">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378" w:type="dxa"/>
            <w:tcBorders>
              <w:tl2br w:val="nil"/>
              <w:tr2bl w:val="nil"/>
            </w:tcBorders>
            <w:tcMar>
              <w:left w:w="113" w:type="dxa"/>
              <w:right w:w="113" w:type="dxa"/>
            </w:tcMar>
            <w:vAlign w:val="center"/>
          </w:tcPr>
          <w:p w14:paraId="5C4752CE">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526" w:type="dxa"/>
            <w:tcBorders>
              <w:tl2br w:val="nil"/>
              <w:tr2bl w:val="nil"/>
            </w:tcBorders>
            <w:tcMar>
              <w:left w:w="113" w:type="dxa"/>
              <w:right w:w="113" w:type="dxa"/>
            </w:tcMar>
            <w:vAlign w:val="center"/>
          </w:tcPr>
          <w:p w14:paraId="7AAA4900">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376" w:type="dxa"/>
            <w:tcBorders>
              <w:tl2br w:val="nil"/>
              <w:tr2bl w:val="nil"/>
            </w:tcBorders>
            <w:tcMar>
              <w:left w:w="113" w:type="dxa"/>
              <w:right w:w="113" w:type="dxa"/>
            </w:tcMar>
            <w:vAlign w:val="center"/>
          </w:tcPr>
          <w:p w14:paraId="212126C4">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469" w:type="dxa"/>
            <w:tcBorders>
              <w:tl2br w:val="nil"/>
              <w:tr2bl w:val="nil"/>
            </w:tcBorders>
            <w:tcMar>
              <w:left w:w="113" w:type="dxa"/>
              <w:right w:w="113" w:type="dxa"/>
            </w:tcMar>
            <w:vAlign w:val="center"/>
          </w:tcPr>
          <w:p w14:paraId="010D3AB6">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588" w:type="dxa"/>
            <w:tcBorders>
              <w:tl2br w:val="nil"/>
              <w:tr2bl w:val="nil"/>
            </w:tcBorders>
            <w:tcMar>
              <w:left w:w="113" w:type="dxa"/>
              <w:right w:w="113" w:type="dxa"/>
            </w:tcMar>
            <w:vAlign w:val="center"/>
          </w:tcPr>
          <w:p w14:paraId="70EC8814">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596" w:type="dxa"/>
            <w:tcBorders>
              <w:tl2br w:val="nil"/>
              <w:tr2bl w:val="nil"/>
            </w:tcBorders>
            <w:tcMar>
              <w:left w:w="113" w:type="dxa"/>
              <w:right w:w="113" w:type="dxa"/>
            </w:tcMar>
            <w:vAlign w:val="center"/>
          </w:tcPr>
          <w:p w14:paraId="1179B423">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c>
          <w:tcPr>
            <w:tcW w:w="863" w:type="dxa"/>
            <w:tcBorders>
              <w:tl2br w:val="nil"/>
              <w:tr2bl w:val="nil"/>
            </w:tcBorders>
            <w:tcMar>
              <w:left w:w="113" w:type="dxa"/>
              <w:right w:w="113" w:type="dxa"/>
            </w:tcMar>
            <w:vAlign w:val="center"/>
          </w:tcPr>
          <w:p w14:paraId="6E550BD4">
            <w:pPr>
              <w:spacing w:line="276" w:lineRule="auto"/>
              <w:jc w:val="center"/>
              <w:rPr>
                <w:rFonts w:ascii="Times New Roman" w:hAnsi="Times New Roman" w:eastAsia="宋体" w:cs="Times New Roman"/>
                <w:sz w:val="21"/>
                <w:szCs w:val="21"/>
                <w:lang w:eastAsia="zh-TW"/>
              </w:rPr>
            </w:pPr>
            <w:r>
              <w:rPr>
                <w:rFonts w:ascii="Times New Roman" w:hAnsi="Times New Roman" w:eastAsia="宋体" w:cs="Times New Roman"/>
                <w:sz w:val="21"/>
                <w:szCs w:val="21"/>
                <w:lang w:eastAsia="zh-TW"/>
              </w:rPr>
              <w:t>+</w:t>
            </w:r>
          </w:p>
        </w:tc>
      </w:tr>
      <w:tr w14:paraId="7D3B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60" w:type="dxa"/>
            <w:gridSpan w:val="10"/>
            <w:tcBorders>
              <w:tl2br w:val="nil"/>
              <w:tr2bl w:val="nil"/>
            </w:tcBorders>
            <w:tcMar>
              <w:left w:w="113" w:type="dxa"/>
              <w:right w:w="113" w:type="dxa"/>
            </w:tcMar>
          </w:tcPr>
          <w:p w14:paraId="1188502E">
            <w:pPr>
              <w:spacing w:line="276"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注：</w:t>
            </w:r>
          </w:p>
          <w:p w14:paraId="3247DB9C">
            <w:pPr>
              <w:spacing w:line="276" w:lineRule="auto"/>
              <w:rPr>
                <w:rFonts w:ascii="Times New Roman" w:hAnsi="Times New Roman" w:eastAsia="宋体" w:cs="Times New Roman"/>
                <w:sz w:val="21"/>
                <w:szCs w:val="21"/>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表示肯定，或阳性结果；</w:t>
            </w:r>
          </w:p>
          <w:p w14:paraId="22BCB4BB">
            <w:pPr>
              <w:spacing w:line="276" w:lineRule="auto"/>
              <w:rPr>
                <w:rFonts w:ascii="Times New Roman" w:hAnsi="Times New Roman" w:eastAsia="宋体" w:cs="Times New Roman"/>
                <w:sz w:val="21"/>
                <w:szCs w:val="21"/>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表示否定，或阴性结果，或暂未获得结果的情况；</w:t>
            </w:r>
          </w:p>
          <w:p w14:paraId="1A39CA68">
            <w:pPr>
              <w:spacing w:line="276" w:lineRule="auto"/>
              <w:rPr>
                <w:rFonts w:ascii="Times New Roman" w:hAnsi="Times New Roman" w:eastAsia="宋体" w:cs="Times New Roman"/>
                <w:sz w:val="21"/>
                <w:szCs w:val="21"/>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表示时间关系不能排除；</w:t>
            </w:r>
          </w:p>
          <w:p w14:paraId="3C46D88E">
            <w:pPr>
              <w:spacing w:line="276" w:lineRule="auto"/>
              <w:rPr>
                <w:rFonts w:ascii="Times New Roman" w:hAnsi="Times New Roman" w:eastAsia="宋体" w:cs="Times New Roman"/>
                <w:sz w:val="21"/>
                <w:szCs w:val="21"/>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表示可用其他</w:t>
            </w:r>
            <w:r>
              <w:rPr>
                <w:rFonts w:ascii="Times New Roman" w:hAnsi="Times New Roman" w:eastAsia="宋体" w:cs="Times New Roman"/>
                <w:sz w:val="21"/>
                <w:szCs w:val="21"/>
              </w:rPr>
              <w:t>“</w:t>
            </w:r>
            <w:r>
              <w:rPr>
                <w:rFonts w:hint="eastAsia" w:ascii="Times New Roman" w:hAnsi="Times New Roman" w:eastAsia="宋体" w:cs="Times New Roman"/>
                <w:sz w:val="21"/>
                <w:szCs w:val="21"/>
              </w:rPr>
              <w:t>更加</w:t>
            </w:r>
            <w:r>
              <w:rPr>
                <w:rFonts w:ascii="Times New Roman" w:hAnsi="Times New Roman" w:eastAsia="宋体" w:cs="Times New Roman"/>
                <w:sz w:val="21"/>
                <w:szCs w:val="21"/>
              </w:rPr>
              <w:t>”</w:t>
            </w:r>
            <w:r>
              <w:rPr>
                <w:rFonts w:hint="eastAsia" w:ascii="Times New Roman" w:hAnsi="Times New Roman" w:eastAsia="宋体" w:cs="Times New Roman"/>
                <w:sz w:val="21"/>
                <w:szCs w:val="21"/>
              </w:rPr>
              <w:t>合理的原因解释；</w:t>
            </w:r>
          </w:p>
          <w:p w14:paraId="1C4FD6A0">
            <w:pPr>
              <w:spacing w:line="276" w:lineRule="auto"/>
              <w:rPr>
                <w:rFonts w:ascii="Times New Roman" w:hAnsi="Times New Roman" w:eastAsia="宋体" w:cs="Times New Roman"/>
                <w:sz w:val="21"/>
                <w:szCs w:val="21"/>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表示去激发</w:t>
            </w:r>
            <w:r>
              <w:rPr>
                <w:rFonts w:ascii="Times New Roman" w:hAnsi="Times New Roman" w:eastAsia="宋体" w:cs="Times New Roman"/>
                <w:sz w:val="21"/>
                <w:szCs w:val="21"/>
              </w:rPr>
              <w:t>/</w:t>
            </w:r>
            <w:r>
              <w:rPr>
                <w:rFonts w:hint="eastAsia" w:ascii="Times New Roman" w:hAnsi="Times New Roman" w:eastAsia="宋体" w:cs="Times New Roman"/>
                <w:sz w:val="21"/>
                <w:szCs w:val="21"/>
              </w:rPr>
              <w:t>再激发结果为阴性，或尚未进行去激发</w:t>
            </w:r>
            <w:r>
              <w:rPr>
                <w:rFonts w:ascii="Times New Roman" w:hAnsi="Times New Roman" w:eastAsia="宋体" w:cs="Times New Roman"/>
                <w:sz w:val="21"/>
                <w:szCs w:val="21"/>
              </w:rPr>
              <w:t>/</w:t>
            </w:r>
            <w:r>
              <w:rPr>
                <w:rFonts w:hint="eastAsia" w:ascii="Times New Roman" w:hAnsi="Times New Roman" w:eastAsia="宋体" w:cs="Times New Roman"/>
                <w:sz w:val="21"/>
                <w:szCs w:val="21"/>
              </w:rPr>
              <w:t>再激发，或不适用去激发</w:t>
            </w:r>
            <w:r>
              <w:rPr>
                <w:rFonts w:ascii="Times New Roman" w:hAnsi="Times New Roman" w:eastAsia="宋体" w:cs="Times New Roman"/>
                <w:sz w:val="21"/>
                <w:szCs w:val="21"/>
              </w:rPr>
              <w:t>/</w:t>
            </w:r>
            <w:r>
              <w:rPr>
                <w:rFonts w:hint="eastAsia" w:ascii="Times New Roman" w:hAnsi="Times New Roman" w:eastAsia="宋体" w:cs="Times New Roman"/>
                <w:sz w:val="21"/>
                <w:szCs w:val="21"/>
              </w:rPr>
              <w:t>再激发。</w:t>
            </w:r>
          </w:p>
        </w:tc>
      </w:tr>
    </w:tbl>
    <w:p w14:paraId="0C51E88A">
      <w:pPr>
        <w:pStyle w:val="116"/>
        <w:numPr>
          <w:ilvl w:val="3"/>
          <w:numId w:val="12"/>
        </w:numPr>
        <w:ind w:hanging="708"/>
        <w:outlineLvl w:val="3"/>
        <w:rPr>
          <w:rFonts w:cs="Times New Roman"/>
          <w:sz w:val="24"/>
          <w:szCs w:val="24"/>
        </w:rPr>
      </w:pPr>
      <w:bookmarkStart w:id="315" w:name="_Toc215213417"/>
      <w:bookmarkStart w:id="316" w:name="_Toc215214127"/>
      <w:bookmarkStart w:id="317" w:name="_Toc217032314"/>
      <w:r>
        <w:rPr>
          <w:rFonts w:hint="eastAsia" w:cs="Times New Roman"/>
          <w:sz w:val="24"/>
          <w:szCs w:val="24"/>
        </w:rPr>
        <w:t>不良事件预期性评估</w:t>
      </w:r>
      <w:bookmarkEnd w:id="315"/>
      <w:bookmarkEnd w:id="316"/>
      <w:bookmarkEnd w:id="317"/>
    </w:p>
    <w:p w14:paraId="123376E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本研究中，评估</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片不良事件预期性见</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片的《研究者手册》。</w:t>
      </w:r>
    </w:p>
    <w:p w14:paraId="7FA1EAA0">
      <w:pPr>
        <w:pStyle w:val="116"/>
        <w:numPr>
          <w:ilvl w:val="2"/>
          <w:numId w:val="12"/>
        </w:numPr>
        <w:outlineLvl w:val="2"/>
        <w:rPr>
          <w:rFonts w:cs="Times New Roman"/>
          <w:sz w:val="24"/>
          <w:szCs w:val="24"/>
        </w:rPr>
      </w:pPr>
      <w:bookmarkStart w:id="318" w:name="_Toc217032315"/>
      <w:r>
        <w:rPr>
          <w:rFonts w:hint="eastAsia" w:cs="Times New Roman"/>
          <w:sz w:val="24"/>
          <w:szCs w:val="24"/>
        </w:rPr>
        <w:t>不良事件的报告</w:t>
      </w:r>
      <w:bookmarkEnd w:id="318"/>
    </w:p>
    <w:p w14:paraId="7BCDAC14">
      <w:pPr>
        <w:pStyle w:val="116"/>
        <w:numPr>
          <w:ilvl w:val="3"/>
          <w:numId w:val="12"/>
        </w:numPr>
        <w:ind w:hanging="708"/>
        <w:outlineLvl w:val="3"/>
        <w:rPr>
          <w:rFonts w:cs="Times New Roman"/>
          <w:sz w:val="24"/>
          <w:szCs w:val="24"/>
        </w:rPr>
      </w:pPr>
      <w:bookmarkStart w:id="319" w:name="_Toc217032316"/>
      <w:bookmarkStart w:id="320" w:name="_Toc215213419"/>
      <w:bookmarkStart w:id="321" w:name="_Toc215214129"/>
      <w:r>
        <w:rPr>
          <w:rFonts w:hint="eastAsia" w:cs="Times New Roman"/>
          <w:sz w:val="24"/>
          <w:szCs w:val="24"/>
        </w:rPr>
        <w:t>研究者向申办者报告不良事件等信息的要求与途径</w:t>
      </w:r>
      <w:bookmarkEnd w:id="319"/>
      <w:bookmarkEnd w:id="320"/>
      <w:bookmarkEnd w:id="321"/>
    </w:p>
    <w:p w14:paraId="7C737D2B">
      <w:pPr>
        <w:pStyle w:val="116"/>
        <w:numPr>
          <w:ilvl w:val="4"/>
          <w:numId w:val="12"/>
        </w:numPr>
        <w:ind w:hanging="849"/>
        <w:outlineLvl w:val="4"/>
        <w:rPr>
          <w:rFonts w:cs="Times New Roman"/>
          <w:sz w:val="24"/>
          <w:szCs w:val="24"/>
        </w:rPr>
      </w:pPr>
      <w:bookmarkStart w:id="322" w:name="_Toc215214130"/>
      <w:bookmarkStart w:id="323" w:name="_Toc217032317"/>
      <w:bookmarkStart w:id="324" w:name="_Toc215213420"/>
      <w:r>
        <w:rPr>
          <w:rFonts w:hint="eastAsia" w:cs="Times New Roman"/>
          <w:sz w:val="24"/>
          <w:szCs w:val="24"/>
        </w:rPr>
        <w:t>应报告的事件类型</w:t>
      </w:r>
      <w:bookmarkEnd w:id="322"/>
      <w:bookmarkEnd w:id="323"/>
      <w:bookmarkEnd w:id="324"/>
    </w:p>
    <w:p w14:paraId="4744517D">
      <w:pPr>
        <w:pStyle w:val="60"/>
        <w:ind w:firstLine="480"/>
        <w:rPr>
          <w:rStyle w:val="99"/>
          <w:rFonts w:cs="Times New Roman"/>
          <w:sz w:val="24"/>
          <w:szCs w:val="24"/>
        </w:rPr>
      </w:pPr>
      <w:r>
        <w:rPr>
          <w:rStyle w:val="99"/>
          <w:rFonts w:hint="eastAsia" w:cs="Times New Roman"/>
          <w:sz w:val="24"/>
          <w:szCs w:val="24"/>
        </w:rPr>
        <w:t>以下是研究者必须在获知后</w:t>
      </w:r>
      <w:r>
        <w:rPr>
          <w:rStyle w:val="99"/>
          <w:rFonts w:cs="Times New Roman"/>
          <w:sz w:val="24"/>
          <w:szCs w:val="24"/>
        </w:rPr>
        <w:t>24</w:t>
      </w:r>
      <w:r>
        <w:rPr>
          <w:rStyle w:val="99"/>
          <w:rFonts w:hint="eastAsia" w:cs="Times New Roman"/>
          <w:sz w:val="24"/>
          <w:szCs w:val="24"/>
        </w:rPr>
        <w:t>小时（含）内向申办者报告的事件类型，无论事件与试验用药品的关系如何：</w:t>
      </w:r>
    </w:p>
    <w:p w14:paraId="3A8A8217">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死亡事件</w:t>
      </w:r>
    </w:p>
    <w:p w14:paraId="46838FC3">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严重不良事件</w:t>
      </w:r>
    </w:p>
    <w:p w14:paraId="0FA5FB87">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妊娠事件</w:t>
      </w:r>
    </w:p>
    <w:p w14:paraId="73BB0F4D">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研究者必须立即向申办者报告这些事件的新的重要信息（在获知信息后</w:t>
      </w: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小时内），包括：</w:t>
      </w:r>
    </w:p>
    <w:p w14:paraId="2D826ABB">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新的体征或症状，或诊断改变</w:t>
      </w:r>
    </w:p>
    <w:p w14:paraId="2D7FB871">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重要的新诊断检查结果</w:t>
      </w:r>
    </w:p>
    <w:p w14:paraId="08239BA9">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基于新信息的因果关系变化</w:t>
      </w:r>
    </w:p>
    <w:p w14:paraId="68080C76">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事件结果的变化，包括恢复</w:t>
      </w:r>
    </w:p>
    <w:p w14:paraId="5E76B454">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关于事件临床过程的其他描述信息</w:t>
      </w:r>
    </w:p>
    <w:p w14:paraId="5141511B">
      <w:pPr>
        <w:pStyle w:val="116"/>
        <w:numPr>
          <w:ilvl w:val="4"/>
          <w:numId w:val="12"/>
        </w:numPr>
        <w:ind w:hanging="849"/>
        <w:outlineLvl w:val="4"/>
        <w:rPr>
          <w:rFonts w:cs="Times New Roman"/>
          <w:sz w:val="24"/>
          <w:szCs w:val="24"/>
        </w:rPr>
      </w:pPr>
      <w:bookmarkStart w:id="325" w:name="_Toc215214131"/>
      <w:bookmarkStart w:id="326" w:name="_Toc217032318"/>
      <w:bookmarkStart w:id="327" w:name="_Toc215213421"/>
      <w:r>
        <w:rPr>
          <w:rFonts w:hint="eastAsia" w:cs="Times New Roman"/>
          <w:sz w:val="24"/>
          <w:szCs w:val="24"/>
        </w:rPr>
        <w:t>应提供的安全信息资料及要求</w:t>
      </w:r>
      <w:bookmarkEnd w:id="325"/>
      <w:bookmarkEnd w:id="326"/>
      <w:bookmarkEnd w:id="327"/>
    </w:p>
    <w:p w14:paraId="1BEA46C5">
      <w:pPr>
        <w:numPr>
          <w:ilvl w:val="0"/>
          <w:numId w:val="60"/>
        </w:numPr>
        <w:spacing w:line="360" w:lineRule="auto"/>
        <w:ind w:left="440"/>
        <w:jc w:val="both"/>
        <w:rPr>
          <w:rFonts w:ascii="Times New Roman" w:hAnsi="Times New Roman" w:eastAsia="宋体" w:cs="Times New Roman"/>
          <w:b/>
          <w:color w:val="000000" w:themeColor="text1"/>
          <w:sz w:val="24"/>
          <w:szCs w:val="24"/>
          <w14:textFill>
            <w14:solidFill>
              <w14:schemeClr w14:val="tx1"/>
            </w14:solidFill>
          </w14:textFill>
        </w:rPr>
      </w:pPr>
      <w:r>
        <w:rPr>
          <w:rFonts w:hint="eastAsia" w:ascii="Times New Roman" w:hAnsi="Times New Roman" w:eastAsia="宋体" w:cs="Times New Roman"/>
          <w:b/>
          <w:color w:val="000000" w:themeColor="text1"/>
          <w:sz w:val="24"/>
          <w:szCs w:val="24"/>
          <w14:textFill>
            <w14:solidFill>
              <w14:schemeClr w14:val="tx1"/>
            </w14:solidFill>
          </w14:textFill>
        </w:rPr>
        <w:t>原则</w:t>
      </w:r>
    </w:p>
    <w:p w14:paraId="5B9ED15A">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研究者将负责确保所有关于事件和相关随访的正确信息均被记录在可溯源的参与者病历及对应的事件报告表上。</w:t>
      </w:r>
    </w:p>
    <w:p w14:paraId="54AA1EB1">
      <w:pPr>
        <w:numPr>
          <w:ilvl w:val="0"/>
          <w:numId w:val="60"/>
        </w:numPr>
        <w:spacing w:line="360" w:lineRule="auto"/>
        <w:ind w:left="440"/>
        <w:jc w:val="both"/>
        <w:rPr>
          <w:rFonts w:ascii="Times New Roman" w:hAnsi="Times New Roman" w:eastAsia="宋体" w:cs="Times New Roman"/>
          <w:b/>
          <w:color w:val="000000" w:themeColor="text1"/>
          <w:sz w:val="24"/>
          <w:szCs w:val="24"/>
          <w14:textFill>
            <w14:solidFill>
              <w14:schemeClr w14:val="tx1"/>
            </w14:solidFill>
          </w14:textFill>
        </w:rPr>
      </w:pPr>
      <w:r>
        <w:rPr>
          <w:rFonts w:hint="eastAsia" w:ascii="Times New Roman" w:hAnsi="Times New Roman" w:eastAsia="宋体" w:cs="Times New Roman"/>
          <w:b/>
          <w:color w:val="000000" w:themeColor="text1"/>
          <w:sz w:val="24"/>
          <w:szCs w:val="24"/>
          <w14:textFill>
            <w14:solidFill>
              <w14:schemeClr w14:val="tx1"/>
            </w14:solidFill>
          </w14:textFill>
        </w:rPr>
        <w:t>报告表的填写及随访要求</w:t>
      </w:r>
    </w:p>
    <w:p w14:paraId="44F3AE2E">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研究期间发生的所有</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，无论其与试验药物是否相关，研究者应立即（获知后</w:t>
      </w:r>
      <w:r>
        <w:rPr>
          <w:rFonts w:ascii="Times New Roman" w:hAnsi="Times New Roman" w:eastAsia="宋体" w:cs="Times New Roman"/>
          <w:sz w:val="24"/>
          <w:szCs w:val="24"/>
        </w:rPr>
        <w:t>24</w:t>
      </w:r>
      <w:r>
        <w:rPr>
          <w:rFonts w:hint="eastAsia" w:ascii="Times New Roman" w:hAnsi="Times New Roman" w:eastAsia="宋体" w:cs="Times New Roman"/>
          <w:sz w:val="24"/>
          <w:szCs w:val="24"/>
        </w:rPr>
        <w:t>小时内）对参与者采取及时适当的治疗措施（如适用），完整并及时地记录所有相关信息，记录应尽可能详细，填写《</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报告表》的所有使用部分，签名并签署日期，于获知后</w:t>
      </w:r>
      <w:r>
        <w:rPr>
          <w:rFonts w:ascii="Times New Roman" w:hAnsi="Times New Roman" w:eastAsia="宋体" w:cs="Times New Roman"/>
          <w:sz w:val="24"/>
          <w:szCs w:val="24"/>
        </w:rPr>
        <w:t>24</w:t>
      </w:r>
      <w:r>
        <w:rPr>
          <w:rFonts w:hint="eastAsia" w:ascii="Times New Roman" w:hAnsi="Times New Roman" w:eastAsia="宋体" w:cs="Times New Roman"/>
          <w:sz w:val="24"/>
          <w:szCs w:val="24"/>
        </w:rPr>
        <w:t>小时内书面报告至申办者和其指定联系人。</w:t>
      </w:r>
    </w:p>
    <w:p w14:paraId="2C2E9F54">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随后研究者应当及时提供详尽、书面的随访报告，随访信息或对质疑表中内容的回复将使用一份新的《</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报告表》，并标明为之前报告的随访信息。</w:t>
      </w:r>
    </w:p>
    <w:p w14:paraId="343B8013">
      <w:pPr>
        <w:numPr>
          <w:ilvl w:val="0"/>
          <w:numId w:val="60"/>
        </w:numPr>
        <w:spacing w:line="360" w:lineRule="auto"/>
        <w:ind w:left="440"/>
        <w:jc w:val="both"/>
        <w:rPr>
          <w:rFonts w:ascii="Times New Roman" w:hAnsi="Times New Roman" w:eastAsia="宋体" w:cs="Times New Roman"/>
          <w:b/>
          <w:color w:val="000000" w:themeColor="text1"/>
          <w:sz w:val="24"/>
          <w:szCs w:val="24"/>
          <w14:textFill>
            <w14:solidFill>
              <w14:schemeClr w14:val="tx1"/>
            </w14:solidFill>
          </w14:textFill>
        </w:rPr>
      </w:pPr>
      <w:r>
        <w:rPr>
          <w:rFonts w:hint="eastAsia" w:ascii="Times New Roman" w:hAnsi="Times New Roman" w:eastAsia="宋体" w:cs="Times New Roman"/>
          <w:b/>
          <w:color w:val="000000" w:themeColor="text1"/>
          <w:sz w:val="24"/>
          <w:szCs w:val="24"/>
          <w14:textFill>
            <w14:solidFill>
              <w14:schemeClr w14:val="tx1"/>
            </w14:solidFill>
          </w14:textFill>
        </w:rPr>
        <w:t>死亡报告的处理</w:t>
      </w:r>
    </w:p>
    <w:p w14:paraId="74D0A7F5">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涉及死亡的报告，研究者应当向申办者和监管机构提供所有相关的资料，如尸检报告和最终医学报告。</w:t>
      </w:r>
    </w:p>
    <w:p w14:paraId="1E1E666C">
      <w:pPr>
        <w:pStyle w:val="116"/>
        <w:numPr>
          <w:ilvl w:val="4"/>
          <w:numId w:val="12"/>
        </w:numPr>
        <w:ind w:hanging="849"/>
        <w:jc w:val="left"/>
        <w:outlineLvl w:val="4"/>
        <w:rPr>
          <w:rFonts w:cs="Times New Roman"/>
          <w:sz w:val="24"/>
          <w:szCs w:val="24"/>
        </w:rPr>
      </w:pPr>
      <w:bookmarkStart w:id="328" w:name="_Toc215214132"/>
      <w:bookmarkStart w:id="329" w:name="_Toc217032319"/>
      <w:bookmarkStart w:id="330" w:name="_Toc215213422"/>
      <w:r>
        <w:rPr>
          <w:rFonts w:hint="eastAsia" w:cs="Times New Roman"/>
          <w:sz w:val="24"/>
          <w:szCs w:val="24"/>
        </w:rPr>
        <w:t>报告途径</w:t>
      </w:r>
      <w:bookmarkEnd w:id="328"/>
      <w:bookmarkEnd w:id="329"/>
      <w:bookmarkEnd w:id="330"/>
    </w:p>
    <w:p w14:paraId="46DAE45E">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本研究的报告联系方式见附录</w:t>
      </w:r>
      <w:r>
        <w:rPr>
          <w:rFonts w:ascii="Times New Roman" w:hAnsi="Times New Roman" w:eastAsia="宋体" w:cs="Times New Roman"/>
          <w:sz w:val="24"/>
          <w:szCs w:val="24"/>
        </w:rPr>
        <w:t>7</w:t>
      </w:r>
      <w:r>
        <w:rPr>
          <w:rFonts w:hint="eastAsia" w:ascii="Times New Roman" w:hAnsi="Times New Roman" w:eastAsia="宋体" w:cs="Times New Roman"/>
          <w:sz w:val="24"/>
          <w:szCs w:val="24"/>
        </w:rPr>
        <w:t>。</w:t>
      </w:r>
    </w:p>
    <w:p w14:paraId="5D76F96F">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附录</w:t>
      </w:r>
      <w:r>
        <w:rPr>
          <w:rFonts w:ascii="Times New Roman" w:hAnsi="Times New Roman" w:eastAsia="宋体" w:cs="Times New Roman"/>
          <w:sz w:val="24"/>
          <w:szCs w:val="24"/>
        </w:rPr>
        <w:t>7</w:t>
      </w:r>
      <w:r>
        <w:rPr>
          <w:rFonts w:hint="eastAsia" w:ascii="Times New Roman" w:hAnsi="Times New Roman" w:eastAsia="宋体" w:cs="Times New Roman"/>
          <w:sz w:val="24"/>
          <w:szCs w:val="24"/>
        </w:rPr>
        <w:t>将根据实际情况进行单独变更（例如人员联系电话变动），变更内容应被所有相关方（包括但不限于研究者、申办者、参与本研究的</w:t>
      </w:r>
      <w:r>
        <w:rPr>
          <w:rFonts w:ascii="Times New Roman" w:hAnsi="Times New Roman" w:eastAsia="宋体" w:cs="Times New Roman"/>
          <w:sz w:val="24"/>
          <w:szCs w:val="24"/>
        </w:rPr>
        <w:t>CRO</w:t>
      </w:r>
      <w:r>
        <w:rPr>
          <w:rFonts w:hint="eastAsia" w:ascii="Times New Roman" w:hAnsi="Times New Roman" w:eastAsia="宋体" w:cs="Times New Roman"/>
          <w:sz w:val="24"/>
          <w:szCs w:val="24"/>
        </w:rPr>
        <w:t>等）书面确认后生效。</w:t>
      </w:r>
    </w:p>
    <w:p w14:paraId="207C0203">
      <w:pPr>
        <w:pStyle w:val="116"/>
        <w:numPr>
          <w:ilvl w:val="3"/>
          <w:numId w:val="12"/>
        </w:numPr>
        <w:ind w:hanging="708"/>
        <w:outlineLvl w:val="3"/>
        <w:rPr>
          <w:rFonts w:cs="Times New Roman"/>
          <w:sz w:val="24"/>
          <w:szCs w:val="24"/>
        </w:rPr>
      </w:pPr>
      <w:bookmarkStart w:id="331" w:name="_Toc215214133"/>
      <w:bookmarkStart w:id="332" w:name="_Toc215213423"/>
      <w:bookmarkStart w:id="333" w:name="_Toc217032320"/>
      <w:r>
        <w:rPr>
          <w:rFonts w:hint="eastAsia" w:cs="Times New Roman"/>
          <w:sz w:val="24"/>
          <w:szCs w:val="24"/>
        </w:rPr>
        <w:t>申办者的报告要求</w:t>
      </w:r>
      <w:bookmarkEnd w:id="331"/>
      <w:bookmarkEnd w:id="332"/>
      <w:bookmarkEnd w:id="333"/>
    </w:p>
    <w:p w14:paraId="17EB5AD9">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申办者收到任何来源的安全性相关信息后，均应当科学全面地分析评估，包括严重性、与试验用药品的相关性、预期性以及评估风险</w:t>
      </w:r>
      <w:r>
        <w:rPr>
          <w:rFonts w:ascii="Times New Roman" w:hAnsi="Times New Roman" w:eastAsia="宋体" w:cs="Times New Roman"/>
          <w:kern w:val="2"/>
          <w:sz w:val="24"/>
          <w:szCs w:val="24"/>
        </w:rPr>
        <w:t>-</w:t>
      </w:r>
      <w:r>
        <w:rPr>
          <w:rFonts w:hint="eastAsia" w:ascii="Times New Roman" w:hAnsi="Times New Roman" w:eastAsia="宋体" w:cs="Times New Roman"/>
          <w:kern w:val="2"/>
          <w:sz w:val="24"/>
          <w:szCs w:val="24"/>
        </w:rPr>
        <w:t>获益比等。</w:t>
      </w:r>
    </w:p>
    <w:p w14:paraId="2C9BB60C">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申办者应当将</w:t>
      </w:r>
      <w:r>
        <w:rPr>
          <w:rFonts w:ascii="Times New Roman" w:hAnsi="Times New Roman" w:eastAsia="宋体" w:cs="Times New Roman"/>
          <w:kern w:val="2"/>
          <w:sz w:val="24"/>
          <w:szCs w:val="24"/>
        </w:rPr>
        <w:t>SUSAR</w:t>
      </w:r>
      <w:r>
        <w:rPr>
          <w:rFonts w:hint="eastAsia" w:ascii="Times New Roman" w:hAnsi="Times New Roman" w:eastAsia="宋体" w:cs="Times New Roman"/>
          <w:kern w:val="2"/>
          <w:sz w:val="24"/>
          <w:szCs w:val="24"/>
        </w:rPr>
        <w:t>快速报告给所有参加临床试验的研究者、临床试验机构及伦理委员会；申办者应当向药品监督管理部门和卫生健康主管部门报告</w:t>
      </w:r>
      <w:r>
        <w:rPr>
          <w:rFonts w:ascii="Times New Roman" w:hAnsi="Times New Roman" w:eastAsia="宋体" w:cs="Times New Roman"/>
          <w:kern w:val="2"/>
          <w:sz w:val="24"/>
          <w:szCs w:val="24"/>
        </w:rPr>
        <w:t>SUSAR</w:t>
      </w:r>
      <w:r>
        <w:rPr>
          <w:rFonts w:hint="eastAsia" w:ascii="Times New Roman" w:hAnsi="Times New Roman" w:eastAsia="宋体" w:cs="Times New Roman"/>
          <w:kern w:val="2"/>
          <w:sz w:val="24"/>
          <w:szCs w:val="24"/>
        </w:rPr>
        <w:t>。</w:t>
      </w:r>
    </w:p>
    <w:p w14:paraId="54E8BDE0">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对于研究期间发生的所有与试验用药品肯定相关或可疑的非预期且严重的不良反应，申办者都应按照下述规定时限向国家药品监督管理总局药品审评中心进行快速报告：</w:t>
      </w:r>
    </w:p>
    <w:p w14:paraId="4415B810">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对于致死或危及生命的</w:t>
      </w:r>
      <w:r>
        <w:rPr>
          <w:rFonts w:ascii="Times New Roman" w:hAnsi="Times New Roman" w:eastAsia="宋体" w:cs="Times New Roman"/>
          <w:kern w:val="2"/>
          <w:sz w:val="24"/>
          <w:szCs w:val="24"/>
        </w:rPr>
        <w:t>SUSAR</w:t>
      </w:r>
      <w:r>
        <w:rPr>
          <w:rFonts w:hint="eastAsia" w:ascii="Times New Roman" w:hAnsi="Times New Roman" w:eastAsia="宋体" w:cs="Times New Roman"/>
          <w:kern w:val="2"/>
          <w:sz w:val="24"/>
          <w:szCs w:val="24"/>
        </w:rPr>
        <w:t>，应在首次获知后</w:t>
      </w:r>
      <w:r>
        <w:rPr>
          <w:rFonts w:ascii="Times New Roman" w:hAnsi="Times New Roman" w:eastAsia="宋体" w:cs="Times New Roman"/>
          <w:kern w:val="2"/>
          <w:sz w:val="24"/>
          <w:szCs w:val="24"/>
        </w:rPr>
        <w:t>7</w:t>
      </w:r>
      <w:r>
        <w:rPr>
          <w:rFonts w:hint="eastAsia" w:ascii="Times New Roman" w:hAnsi="Times New Roman" w:eastAsia="宋体" w:cs="Times New Roman"/>
          <w:kern w:val="2"/>
          <w:sz w:val="24"/>
          <w:szCs w:val="24"/>
        </w:rPr>
        <w:t>天内（含</w:t>
      </w:r>
      <w:r>
        <w:rPr>
          <w:rFonts w:ascii="Times New Roman" w:hAnsi="Times New Roman" w:eastAsia="宋体" w:cs="Times New Roman"/>
          <w:kern w:val="2"/>
          <w:sz w:val="24"/>
          <w:szCs w:val="24"/>
        </w:rPr>
        <w:t>7</w:t>
      </w:r>
      <w:r>
        <w:rPr>
          <w:rFonts w:hint="eastAsia" w:ascii="Times New Roman" w:hAnsi="Times New Roman" w:eastAsia="宋体" w:cs="Times New Roman"/>
          <w:kern w:val="2"/>
          <w:sz w:val="24"/>
          <w:szCs w:val="24"/>
        </w:rPr>
        <w:t>天）尽快报告，并在随后的</w:t>
      </w:r>
      <w:r>
        <w:rPr>
          <w:rFonts w:ascii="Times New Roman" w:hAnsi="Times New Roman" w:eastAsia="宋体" w:cs="Times New Roman"/>
          <w:kern w:val="2"/>
          <w:sz w:val="24"/>
          <w:szCs w:val="24"/>
        </w:rPr>
        <w:t>8</w:t>
      </w:r>
      <w:r>
        <w:rPr>
          <w:rFonts w:hint="eastAsia" w:ascii="Times New Roman" w:hAnsi="Times New Roman" w:eastAsia="宋体" w:cs="Times New Roman"/>
          <w:kern w:val="2"/>
          <w:sz w:val="24"/>
          <w:szCs w:val="24"/>
        </w:rPr>
        <w:t>天内报告、完善随访信息（首次获知当天为第</w:t>
      </w:r>
      <w:r>
        <w:rPr>
          <w:rFonts w:ascii="Times New Roman" w:hAnsi="Times New Roman" w:eastAsia="宋体" w:cs="Times New Roman"/>
          <w:kern w:val="2"/>
          <w:sz w:val="24"/>
          <w:szCs w:val="24"/>
        </w:rPr>
        <w:t>0</w:t>
      </w:r>
      <w:r>
        <w:rPr>
          <w:rFonts w:hint="eastAsia" w:ascii="Times New Roman" w:hAnsi="Times New Roman" w:eastAsia="宋体" w:cs="Times New Roman"/>
          <w:kern w:val="2"/>
          <w:sz w:val="24"/>
          <w:szCs w:val="24"/>
        </w:rPr>
        <w:t>天）；</w:t>
      </w:r>
    </w:p>
    <w:p w14:paraId="515BFE48">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对于非致死或危及生命的</w:t>
      </w:r>
      <w:r>
        <w:rPr>
          <w:rFonts w:ascii="Times New Roman" w:hAnsi="Times New Roman" w:eastAsia="宋体" w:cs="Times New Roman"/>
          <w:kern w:val="2"/>
          <w:sz w:val="24"/>
          <w:szCs w:val="24"/>
        </w:rPr>
        <w:t>SUSAR</w:t>
      </w:r>
      <w:r>
        <w:rPr>
          <w:rFonts w:hint="eastAsia" w:ascii="Times New Roman" w:hAnsi="Times New Roman" w:eastAsia="宋体" w:cs="Times New Roman"/>
          <w:kern w:val="2"/>
          <w:sz w:val="24"/>
          <w:szCs w:val="24"/>
        </w:rPr>
        <w:t>，应在首次获知后</w:t>
      </w:r>
      <w:r>
        <w:rPr>
          <w:rFonts w:ascii="Times New Roman" w:hAnsi="Times New Roman" w:eastAsia="宋体" w:cs="Times New Roman"/>
          <w:kern w:val="2"/>
          <w:sz w:val="24"/>
          <w:szCs w:val="24"/>
        </w:rPr>
        <w:t>15</w:t>
      </w:r>
      <w:r>
        <w:rPr>
          <w:rFonts w:hint="eastAsia" w:ascii="Times New Roman" w:hAnsi="Times New Roman" w:eastAsia="宋体" w:cs="Times New Roman"/>
          <w:kern w:val="2"/>
          <w:sz w:val="24"/>
          <w:szCs w:val="24"/>
        </w:rPr>
        <w:t>天内（含</w:t>
      </w:r>
      <w:r>
        <w:rPr>
          <w:rFonts w:ascii="Times New Roman" w:hAnsi="Times New Roman" w:eastAsia="宋体" w:cs="Times New Roman"/>
          <w:kern w:val="2"/>
          <w:sz w:val="24"/>
          <w:szCs w:val="24"/>
        </w:rPr>
        <w:t>15</w:t>
      </w:r>
      <w:r>
        <w:rPr>
          <w:rFonts w:hint="eastAsia" w:ascii="Times New Roman" w:hAnsi="Times New Roman" w:eastAsia="宋体" w:cs="Times New Roman"/>
          <w:kern w:val="2"/>
          <w:sz w:val="24"/>
          <w:szCs w:val="24"/>
        </w:rPr>
        <w:t>天）尽快报告。</w:t>
      </w:r>
    </w:p>
    <w:p w14:paraId="539C515A">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快速报告开始时间为临床试验批准日期或国家药品审评机构默示许可开始日期；结束时间为国内最后一例参与者随访结束日期。</w:t>
      </w:r>
    </w:p>
    <w:p w14:paraId="4F24C935">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在临床试验结束或随访结束后，研究者获知的任何严重不良事件研究者应报告申办者。若属于</w:t>
      </w:r>
      <w:r>
        <w:rPr>
          <w:rFonts w:ascii="Times New Roman" w:hAnsi="Times New Roman" w:eastAsia="宋体" w:cs="Times New Roman"/>
          <w:kern w:val="2"/>
          <w:sz w:val="24"/>
          <w:szCs w:val="24"/>
        </w:rPr>
        <w:t>SUSAR</w:t>
      </w:r>
      <w:r>
        <w:rPr>
          <w:rFonts w:hint="eastAsia" w:ascii="Times New Roman" w:hAnsi="Times New Roman" w:eastAsia="宋体" w:cs="Times New Roman"/>
          <w:kern w:val="2"/>
          <w:sz w:val="24"/>
          <w:szCs w:val="24"/>
        </w:rPr>
        <w:t>，还应进行快速报告。申办者在首次报告后，应继续跟踪严重不良反应，以随访报告的形式及时报送有关更新的信息或对前次报告的更改信息等，报告时限为获得新信息起</w:t>
      </w:r>
      <w:r>
        <w:rPr>
          <w:rFonts w:ascii="Times New Roman" w:hAnsi="Times New Roman" w:eastAsia="宋体" w:cs="Times New Roman"/>
          <w:kern w:val="2"/>
          <w:sz w:val="24"/>
          <w:szCs w:val="24"/>
        </w:rPr>
        <w:t>15</w:t>
      </w:r>
      <w:r>
        <w:rPr>
          <w:rFonts w:hint="eastAsia" w:ascii="Times New Roman" w:hAnsi="Times New Roman" w:eastAsia="宋体" w:cs="Times New Roman"/>
          <w:kern w:val="2"/>
          <w:sz w:val="24"/>
          <w:szCs w:val="24"/>
        </w:rPr>
        <w:t>天内。</w:t>
      </w:r>
    </w:p>
    <w:p w14:paraId="4B57A1B8">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对于临床试验期间发生的所有与试验用药品肯定相关或可疑非预期的严重不良反应，即使申办者和研究者在不良事件与研究药物因果关系判断中不能达成一致时，只要其中任何一方判断不能排除与研究药物相关的，申办者也应向国家药品审评机构进行快速报告。</w:t>
      </w:r>
    </w:p>
    <w:p w14:paraId="3A159E33">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以下情况一般不作为快速报告内容：</w:t>
      </w:r>
    </w:p>
    <w:p w14:paraId="78380A3E">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非严重不良事件；</w:t>
      </w:r>
    </w:p>
    <w:p w14:paraId="78E1E649">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严重不良事件与试验用药品无关；</w:t>
      </w:r>
    </w:p>
    <w:p w14:paraId="7E410228">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严重但属预期的不良反应；</w:t>
      </w:r>
    </w:p>
    <w:p w14:paraId="2128EFEF">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当以严重不良事件为主要疗效终点时，不建议申请人以个例安全性报告形式向国家药品审评机构报告。</w:t>
      </w:r>
    </w:p>
    <w:p w14:paraId="4AE66F40">
      <w:pPr>
        <w:pStyle w:val="116"/>
        <w:numPr>
          <w:ilvl w:val="2"/>
          <w:numId w:val="12"/>
        </w:numPr>
        <w:outlineLvl w:val="2"/>
        <w:rPr>
          <w:rFonts w:cs="Times New Roman"/>
          <w:sz w:val="24"/>
          <w:szCs w:val="24"/>
        </w:rPr>
      </w:pPr>
      <w:bookmarkStart w:id="334" w:name="_Toc217032321"/>
      <w:r>
        <w:rPr>
          <w:rFonts w:hint="eastAsia" w:cs="Times New Roman"/>
          <w:sz w:val="24"/>
          <w:szCs w:val="24"/>
        </w:rPr>
        <w:t>不良事件的随访</w:t>
      </w:r>
      <w:bookmarkEnd w:id="334"/>
    </w:p>
    <w:p w14:paraId="1431C6E0">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临床试验期间，发生不良事件时，无论事件是否与试验用药品存在因果关系，均应做出积极处理。患者经历不良事件时应采用可接受的临床治疗措施进行治疗。如果一定有必要应用研究项目禁止的医疗措施，经与申办者协商后患者应退出本研究。</w:t>
      </w:r>
    </w:p>
    <w:p w14:paraId="37AE3441">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研究者应跟踪每例次不良事件，直至达到下列任何情况之一：</w:t>
      </w:r>
    </w:p>
    <w:p w14:paraId="00EF5154">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事件消退；</w:t>
      </w:r>
    </w:p>
    <w:p w14:paraId="74FBD0A9">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事件返回至基线等级或更好；</w:t>
      </w:r>
    </w:p>
    <w:p w14:paraId="3F6119B7">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事件被研究者评估为稳定；</w:t>
      </w:r>
    </w:p>
    <w:p w14:paraId="74703755">
      <w:pPr>
        <w:numPr>
          <w:ilvl w:val="0"/>
          <w:numId w:val="58"/>
        </w:numPr>
        <w:spacing w:line="360" w:lineRule="auto"/>
        <w:contextualSpacing/>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参与者失访或撤回同意。</w:t>
      </w:r>
    </w:p>
    <w:p w14:paraId="4FAE183A">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研究者应尽一切努力随访所有被认为与试验用药品或研究相关程序相关的不良事件，直至报告最终结局。</w:t>
      </w:r>
    </w:p>
    <w:p w14:paraId="07867CE6">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在随访时应询问及记录不良事件的结果；如有医疗检查或合并用药，应收集并记录检查结果或合并用药情况；如在当地医院进行诊治，应尽量收集当地医院处理记录和用药信息。</w:t>
      </w:r>
    </w:p>
    <w:p w14:paraId="20C3E8D1">
      <w:pPr>
        <w:spacing w:line="360" w:lineRule="auto"/>
        <w:ind w:firstLine="482" w:firstLineChars="200"/>
        <w:jc w:val="both"/>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不良事件的结果类型</w:t>
      </w:r>
    </w:p>
    <w:p w14:paraId="5A2B55FD">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根据</w:t>
      </w:r>
      <w:r>
        <w:rPr>
          <w:rFonts w:ascii="Times New Roman" w:hAnsi="Times New Roman" w:eastAsia="宋体" w:cs="Times New Roman"/>
          <w:sz w:val="24"/>
          <w:szCs w:val="24"/>
        </w:rPr>
        <w:t>2019</w:t>
      </w:r>
      <w:r>
        <w:rPr>
          <w:rFonts w:hint="eastAsia" w:ascii="Times New Roman" w:hAnsi="Times New Roman" w:eastAsia="宋体" w:cs="Times New Roman"/>
          <w:sz w:val="24"/>
          <w:szCs w:val="24"/>
        </w:rPr>
        <w:t>年</w:t>
      </w:r>
      <w:r>
        <w:rPr>
          <w:rFonts w:ascii="Times New Roman" w:hAnsi="Times New Roman" w:eastAsia="宋体" w:cs="Times New Roman"/>
          <w:sz w:val="24"/>
          <w:szCs w:val="24"/>
        </w:rPr>
        <w:t>11</w:t>
      </w:r>
      <w:r>
        <w:rPr>
          <w:rFonts w:hint="eastAsia" w:ascii="Times New Roman" w:hAnsi="Times New Roman" w:eastAsia="宋体" w:cs="Times New Roman"/>
          <w:sz w:val="24"/>
          <w:szCs w:val="24"/>
        </w:rPr>
        <w:t>月</w:t>
      </w:r>
      <w:r>
        <w:rPr>
          <w:rFonts w:ascii="Times New Roman" w:hAnsi="Times New Roman" w:eastAsia="宋体" w:cs="Times New Roman"/>
          <w:sz w:val="24"/>
          <w:szCs w:val="24"/>
        </w:rPr>
        <w:t>22</w:t>
      </w:r>
      <w:r>
        <w:rPr>
          <w:rFonts w:hint="eastAsia" w:ascii="Times New Roman" w:hAnsi="Times New Roman" w:eastAsia="宋体" w:cs="Times New Roman"/>
          <w:sz w:val="24"/>
          <w:szCs w:val="24"/>
        </w:rPr>
        <w:t>日我国药监局正式发布的《个例安全性报告</w:t>
      </w:r>
      <w:r>
        <w:rPr>
          <w:rFonts w:ascii="Times New Roman" w:hAnsi="Times New Roman" w:eastAsia="宋体" w:cs="Times New Roman"/>
          <w:sz w:val="24"/>
          <w:szCs w:val="24"/>
        </w:rPr>
        <w:t>E2B</w:t>
      </w:r>
      <w:r>
        <w:rPr>
          <w:rFonts w:hint="eastAsia" w:ascii="Times New Roman" w:hAnsi="Times New Roman" w:eastAsia="宋体" w:cs="Times New Roman"/>
          <w:sz w:val="24"/>
          <w:szCs w:val="24"/>
        </w:rPr>
        <w:t>（</w:t>
      </w:r>
      <w:r>
        <w:rPr>
          <w:rFonts w:ascii="Times New Roman" w:hAnsi="Times New Roman" w:eastAsia="宋体" w:cs="Times New Roman"/>
          <w:sz w:val="24"/>
          <w:szCs w:val="24"/>
        </w:rPr>
        <w:t>R3</w:t>
      </w:r>
      <w:r>
        <w:rPr>
          <w:rFonts w:hint="eastAsia" w:ascii="Times New Roman" w:hAnsi="Times New Roman" w:eastAsia="宋体" w:cs="Times New Roman"/>
          <w:sz w:val="24"/>
          <w:szCs w:val="24"/>
        </w:rPr>
        <w:t>）区域实施指南》，不良事件的结果可有如下状态：</w:t>
      </w:r>
      <w:r>
        <w:rPr>
          <w:rFonts w:hint="eastAsia" w:ascii="Cambria Math" w:hAnsi="Cambria Math" w:eastAsia="宋体" w:cs="Cambria Math"/>
          <w:sz w:val="24"/>
          <w:szCs w:val="24"/>
        </w:rPr>
        <w:t>①</w:t>
      </w:r>
      <w:r>
        <w:rPr>
          <w:rFonts w:hint="eastAsia" w:ascii="Times New Roman" w:hAnsi="Times New Roman" w:eastAsia="宋体" w:cs="Times New Roman"/>
          <w:sz w:val="24"/>
          <w:szCs w:val="24"/>
        </w:rPr>
        <w:t>痊愈；</w:t>
      </w:r>
      <w:r>
        <w:rPr>
          <w:rFonts w:hint="eastAsia" w:ascii="Cambria Math" w:hAnsi="Cambria Math" w:eastAsia="宋体" w:cs="Cambria Math"/>
          <w:sz w:val="24"/>
          <w:szCs w:val="24"/>
        </w:rPr>
        <w:t>②</w:t>
      </w:r>
      <w:r>
        <w:rPr>
          <w:rFonts w:hint="eastAsia" w:ascii="Times New Roman" w:hAnsi="Times New Roman" w:eastAsia="宋体" w:cs="Times New Roman"/>
          <w:sz w:val="24"/>
          <w:szCs w:val="24"/>
        </w:rPr>
        <w:t>好转</w:t>
      </w:r>
      <w:r>
        <w:rPr>
          <w:rFonts w:ascii="Times New Roman" w:hAnsi="Times New Roman" w:eastAsia="宋体" w:cs="Times New Roman"/>
          <w:sz w:val="24"/>
          <w:szCs w:val="24"/>
        </w:rPr>
        <w:t>/</w:t>
      </w:r>
      <w:r>
        <w:rPr>
          <w:rFonts w:hint="eastAsia" w:ascii="Times New Roman" w:hAnsi="Times New Roman" w:eastAsia="宋体" w:cs="Times New Roman"/>
          <w:sz w:val="24"/>
          <w:szCs w:val="24"/>
        </w:rPr>
        <w:t>缓解；</w:t>
      </w:r>
      <w:r>
        <w:rPr>
          <w:rFonts w:hint="eastAsia" w:ascii="Cambria Math" w:hAnsi="Cambria Math" w:eastAsia="宋体" w:cs="Cambria Math"/>
          <w:sz w:val="24"/>
          <w:szCs w:val="24"/>
        </w:rPr>
        <w:t>③</w:t>
      </w:r>
      <w:r>
        <w:rPr>
          <w:rFonts w:hint="eastAsia" w:ascii="Times New Roman" w:hAnsi="Times New Roman" w:eastAsia="宋体" w:cs="Times New Roman"/>
          <w:sz w:val="24"/>
          <w:szCs w:val="24"/>
        </w:rPr>
        <w:t>未好转</w:t>
      </w:r>
      <w:r>
        <w:rPr>
          <w:rFonts w:ascii="Times New Roman" w:hAnsi="Times New Roman" w:eastAsia="宋体" w:cs="Times New Roman"/>
          <w:sz w:val="24"/>
          <w:szCs w:val="24"/>
        </w:rPr>
        <w:t>/</w:t>
      </w:r>
      <w:r>
        <w:rPr>
          <w:rFonts w:hint="eastAsia" w:ascii="Times New Roman" w:hAnsi="Times New Roman" w:eastAsia="宋体" w:cs="Times New Roman"/>
          <w:sz w:val="24"/>
          <w:szCs w:val="24"/>
        </w:rPr>
        <w:t>未缓解</w:t>
      </w:r>
      <w:r>
        <w:rPr>
          <w:rFonts w:ascii="Times New Roman" w:hAnsi="Times New Roman" w:eastAsia="宋体" w:cs="Times New Roman"/>
          <w:sz w:val="24"/>
          <w:szCs w:val="24"/>
        </w:rPr>
        <w:t>/</w:t>
      </w:r>
      <w:r>
        <w:rPr>
          <w:rFonts w:hint="eastAsia" w:ascii="Times New Roman" w:hAnsi="Times New Roman" w:eastAsia="宋体" w:cs="Times New Roman"/>
          <w:sz w:val="24"/>
          <w:szCs w:val="24"/>
        </w:rPr>
        <w:t>持续；</w:t>
      </w:r>
      <w:r>
        <w:rPr>
          <w:rFonts w:hint="eastAsia" w:ascii="Cambria Math" w:hAnsi="Cambria Math" w:eastAsia="宋体" w:cs="Cambria Math"/>
          <w:sz w:val="24"/>
          <w:szCs w:val="24"/>
        </w:rPr>
        <w:t>④</w:t>
      </w:r>
      <w:r>
        <w:rPr>
          <w:rFonts w:hint="eastAsia" w:ascii="Times New Roman" w:hAnsi="Times New Roman" w:eastAsia="宋体" w:cs="Times New Roman"/>
          <w:sz w:val="24"/>
          <w:szCs w:val="24"/>
        </w:rPr>
        <w:t>痊愈伴后遗症；</w:t>
      </w:r>
      <w:r>
        <w:rPr>
          <w:rFonts w:hint="eastAsia" w:ascii="Cambria Math" w:hAnsi="Cambria Math" w:eastAsia="宋体" w:cs="Cambria Math"/>
          <w:sz w:val="24"/>
          <w:szCs w:val="24"/>
        </w:rPr>
        <w:t>⑤</w:t>
      </w:r>
      <w:r>
        <w:rPr>
          <w:rFonts w:hint="eastAsia" w:ascii="Times New Roman" w:hAnsi="Times New Roman" w:eastAsia="宋体" w:cs="Times New Roman"/>
          <w:sz w:val="24"/>
          <w:szCs w:val="24"/>
        </w:rPr>
        <w:t>致死；</w:t>
      </w:r>
      <w:r>
        <w:rPr>
          <w:rFonts w:hint="eastAsia" w:ascii="Cambria Math" w:hAnsi="Cambria Math" w:eastAsia="宋体" w:cs="Cambria Math"/>
          <w:sz w:val="24"/>
          <w:szCs w:val="24"/>
        </w:rPr>
        <w:t>⑥</w:t>
      </w:r>
      <w:r>
        <w:rPr>
          <w:rFonts w:hint="eastAsia" w:ascii="Times New Roman" w:hAnsi="Times New Roman" w:eastAsia="宋体" w:cs="Times New Roman"/>
          <w:sz w:val="24"/>
          <w:szCs w:val="24"/>
        </w:rPr>
        <w:t>未知。</w:t>
      </w:r>
    </w:p>
    <w:p w14:paraId="27EC0609">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不良事件的“结果”针对的是不良事件本身的状态，而非不良事件在医学意义上的状态，因此：</w:t>
      </w:r>
    </w:p>
    <w:p w14:paraId="1ED5F53C">
      <w:pPr>
        <w:pStyle w:val="97"/>
        <w:numPr>
          <w:ilvl w:val="0"/>
          <w:numId w:val="61"/>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痊愈：指不良事件消失。无论参与者的基线情况是否异常，当不良事件恢复至基线时，即为痊愈。</w:t>
      </w:r>
    </w:p>
    <w:p w14:paraId="3D1A6E0C">
      <w:pPr>
        <w:pStyle w:val="97"/>
        <w:numPr>
          <w:ilvl w:val="0"/>
          <w:numId w:val="61"/>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好转</w:t>
      </w:r>
      <w:r>
        <w:rPr>
          <w:rFonts w:ascii="Times New Roman" w:hAnsi="Times New Roman" w:eastAsia="宋体" w:cs="Times New Roman"/>
          <w:sz w:val="24"/>
          <w:szCs w:val="24"/>
        </w:rPr>
        <w:t>/</w:t>
      </w:r>
      <w:r>
        <w:rPr>
          <w:rFonts w:hint="eastAsia" w:ascii="Times New Roman" w:hAnsi="Times New Roman" w:eastAsia="宋体" w:cs="Times New Roman"/>
          <w:sz w:val="24"/>
          <w:szCs w:val="24"/>
        </w:rPr>
        <w:t>缓解：指不良事件减轻或缓解，在报告时还未消失。</w:t>
      </w:r>
    </w:p>
    <w:p w14:paraId="02B47F62">
      <w:pPr>
        <w:pStyle w:val="97"/>
        <w:numPr>
          <w:ilvl w:val="0"/>
          <w:numId w:val="61"/>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未好转</w:t>
      </w:r>
      <w:r>
        <w:rPr>
          <w:rFonts w:ascii="Times New Roman" w:hAnsi="Times New Roman" w:eastAsia="宋体" w:cs="Times New Roman"/>
          <w:sz w:val="24"/>
          <w:szCs w:val="24"/>
        </w:rPr>
        <w:t>/</w:t>
      </w:r>
      <w:r>
        <w:rPr>
          <w:rFonts w:hint="eastAsia" w:ascii="Times New Roman" w:hAnsi="Times New Roman" w:eastAsia="宋体" w:cs="Times New Roman"/>
          <w:sz w:val="24"/>
          <w:szCs w:val="24"/>
        </w:rPr>
        <w:t>未缓解</w:t>
      </w:r>
      <w:r>
        <w:rPr>
          <w:rFonts w:ascii="Times New Roman" w:hAnsi="Times New Roman" w:eastAsia="宋体" w:cs="Times New Roman"/>
          <w:sz w:val="24"/>
          <w:szCs w:val="24"/>
        </w:rPr>
        <w:t>/</w:t>
      </w:r>
      <w:r>
        <w:rPr>
          <w:rFonts w:hint="eastAsia" w:ascii="Times New Roman" w:hAnsi="Times New Roman" w:eastAsia="宋体" w:cs="Times New Roman"/>
          <w:sz w:val="24"/>
          <w:szCs w:val="24"/>
        </w:rPr>
        <w:t>持续：指不良事件在报告时仍未减轻或缓解。</w:t>
      </w:r>
    </w:p>
    <w:p w14:paraId="058FD767">
      <w:pPr>
        <w:pStyle w:val="97"/>
        <w:numPr>
          <w:ilvl w:val="0"/>
          <w:numId w:val="61"/>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伴后遗症：指不良事件导致长期的或永久的生理机能障碍。不应将恢复期或恢复阶段的某些症状视为后遗症。</w:t>
      </w:r>
    </w:p>
    <w:p w14:paraId="1AAE30A7">
      <w:pPr>
        <w:pStyle w:val="97"/>
        <w:numPr>
          <w:ilvl w:val="0"/>
          <w:numId w:val="61"/>
        </w:numPr>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致死：指参与者因该不良事件导致死亡。如果参与者同时报告有多个不良事件，其中仅一个不良事件导致死亡，其它未导致死亡的不良事件的结果不应选择死亡。</w:t>
      </w:r>
    </w:p>
    <w:p w14:paraId="7D6DEE8C">
      <w:pPr>
        <w:spacing w:line="360" w:lineRule="auto"/>
        <w:ind w:firstLine="482" w:firstLineChars="200"/>
        <w:jc w:val="both"/>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不良事件的结束时间</w:t>
      </w:r>
    </w:p>
    <w:p w14:paraId="7647332D">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应以不良事件解决（如痊愈、致死）、恢复到基线时状态或状态稳定并不能恢复得更好作为不良事件的结束时间。时间应尽量精确到年月日，如信息收集不全，也应具体到年月。若参与者失访或撤回知情同意，此情况不应作为“因</w:t>
      </w:r>
      <w:r>
        <w:rPr>
          <w:rFonts w:ascii="Times New Roman" w:hAnsi="Times New Roman" w:eastAsia="宋体" w:cs="Times New Roman"/>
          <w:sz w:val="24"/>
          <w:szCs w:val="24"/>
        </w:rPr>
        <w:t>AE</w:t>
      </w:r>
      <w:r>
        <w:rPr>
          <w:rFonts w:hint="eastAsia" w:ascii="Times New Roman" w:hAnsi="Times New Roman" w:eastAsia="宋体" w:cs="Times New Roman"/>
          <w:sz w:val="24"/>
          <w:szCs w:val="24"/>
        </w:rPr>
        <w:t>导致退出”而记录；若明确因</w:t>
      </w:r>
      <w:r>
        <w:rPr>
          <w:rFonts w:ascii="Times New Roman" w:hAnsi="Times New Roman" w:eastAsia="宋体" w:cs="Times New Roman"/>
          <w:sz w:val="24"/>
          <w:szCs w:val="24"/>
        </w:rPr>
        <w:t>AE</w:t>
      </w:r>
      <w:r>
        <w:rPr>
          <w:rFonts w:hint="eastAsia" w:ascii="Times New Roman" w:hAnsi="Times New Roman" w:eastAsia="宋体" w:cs="Times New Roman"/>
          <w:sz w:val="24"/>
          <w:szCs w:val="24"/>
        </w:rPr>
        <w:t>而退出，则必须跟踪随访具体的退出时间。</w:t>
      </w:r>
    </w:p>
    <w:p w14:paraId="717FBC8A">
      <w:pPr>
        <w:pStyle w:val="60"/>
        <w:ind w:firstLine="480"/>
        <w:rPr>
          <w:rStyle w:val="99"/>
          <w:rFonts w:cs="Times New Roman"/>
          <w:i/>
          <w:iCs/>
          <w:sz w:val="24"/>
          <w:szCs w:val="24"/>
        </w:rPr>
      </w:pPr>
      <w:r>
        <w:rPr>
          <w:rFonts w:hint="eastAsia" w:cs="Times New Roman"/>
          <w:sz w:val="24"/>
          <w:szCs w:val="24"/>
        </w:rPr>
        <w:t>如参与者死亡时未收集到结束时间，非导致</w:t>
      </w:r>
      <w:r>
        <w:rPr>
          <w:rFonts w:cs="Times New Roman"/>
          <w:sz w:val="24"/>
          <w:szCs w:val="24"/>
        </w:rPr>
        <w:t>“</w:t>
      </w:r>
      <w:r>
        <w:rPr>
          <w:rFonts w:hint="eastAsia" w:cs="Times New Roman"/>
          <w:sz w:val="24"/>
          <w:szCs w:val="24"/>
        </w:rPr>
        <w:t>死亡</w:t>
      </w:r>
      <w:r>
        <w:rPr>
          <w:rFonts w:cs="Times New Roman"/>
          <w:sz w:val="24"/>
          <w:szCs w:val="24"/>
        </w:rPr>
        <w:t>”</w:t>
      </w:r>
      <w:r>
        <w:rPr>
          <w:rFonts w:hint="eastAsia" w:cs="Times New Roman"/>
          <w:sz w:val="24"/>
          <w:szCs w:val="24"/>
        </w:rPr>
        <w:t>直接原因的不良事件仍然持续，则该不良事件的结束时间应空缺，状态为</w:t>
      </w:r>
      <w:r>
        <w:rPr>
          <w:rFonts w:cs="Times New Roman"/>
          <w:sz w:val="24"/>
          <w:szCs w:val="24"/>
        </w:rPr>
        <w:t>“</w:t>
      </w:r>
      <w:r>
        <w:rPr>
          <w:rFonts w:hint="eastAsia" w:cs="Times New Roman"/>
          <w:sz w:val="24"/>
          <w:szCs w:val="24"/>
        </w:rPr>
        <w:t>持续</w:t>
      </w:r>
      <w:r>
        <w:rPr>
          <w:rFonts w:cs="Times New Roman"/>
          <w:sz w:val="24"/>
          <w:szCs w:val="24"/>
        </w:rPr>
        <w:t>”</w:t>
      </w:r>
      <w:r>
        <w:rPr>
          <w:rFonts w:hint="eastAsia" w:cs="Times New Roman"/>
          <w:sz w:val="24"/>
          <w:szCs w:val="24"/>
        </w:rPr>
        <w:t>。如判断为导致</w:t>
      </w:r>
      <w:r>
        <w:rPr>
          <w:rFonts w:cs="Times New Roman"/>
          <w:sz w:val="24"/>
          <w:szCs w:val="24"/>
        </w:rPr>
        <w:t>“</w:t>
      </w:r>
      <w:r>
        <w:rPr>
          <w:rFonts w:hint="eastAsia" w:cs="Times New Roman"/>
          <w:sz w:val="24"/>
          <w:szCs w:val="24"/>
        </w:rPr>
        <w:t>死亡</w:t>
      </w:r>
      <w:r>
        <w:rPr>
          <w:rFonts w:cs="Times New Roman"/>
          <w:sz w:val="24"/>
          <w:szCs w:val="24"/>
        </w:rPr>
        <w:t>”</w:t>
      </w:r>
      <w:r>
        <w:rPr>
          <w:rFonts w:hint="eastAsia" w:cs="Times New Roman"/>
          <w:sz w:val="24"/>
          <w:szCs w:val="24"/>
        </w:rPr>
        <w:t>的直接或主要原因的不良事件，结束时间为参与者死亡时间。</w:t>
      </w:r>
    </w:p>
    <w:p w14:paraId="5FA5CCAA">
      <w:pPr>
        <w:pStyle w:val="116"/>
        <w:numPr>
          <w:ilvl w:val="2"/>
          <w:numId w:val="12"/>
        </w:numPr>
        <w:outlineLvl w:val="2"/>
        <w:rPr>
          <w:rFonts w:cs="Times New Roman"/>
          <w:sz w:val="24"/>
          <w:szCs w:val="24"/>
        </w:rPr>
      </w:pPr>
      <w:bookmarkStart w:id="335" w:name="_Toc217032322"/>
      <w:r>
        <w:rPr>
          <w:rFonts w:hint="eastAsia" w:cs="Times New Roman"/>
          <w:sz w:val="24"/>
          <w:szCs w:val="24"/>
        </w:rPr>
        <w:t>妊娠</w:t>
      </w:r>
      <w:bookmarkEnd w:id="335"/>
    </w:p>
    <w:p w14:paraId="6A342C4B">
      <w:pPr>
        <w:pStyle w:val="116"/>
        <w:numPr>
          <w:ilvl w:val="3"/>
          <w:numId w:val="12"/>
        </w:numPr>
        <w:ind w:hanging="708"/>
        <w:outlineLvl w:val="3"/>
        <w:rPr>
          <w:rFonts w:cs="Times New Roman"/>
          <w:sz w:val="24"/>
          <w:szCs w:val="24"/>
        </w:rPr>
      </w:pPr>
      <w:bookmarkStart w:id="336" w:name="_Toc215213426"/>
      <w:bookmarkStart w:id="337" w:name="_Toc217032323"/>
      <w:bookmarkStart w:id="338" w:name="_Toc215214136"/>
      <w:r>
        <w:rPr>
          <w:rFonts w:hint="eastAsia" w:cs="Times New Roman"/>
          <w:sz w:val="24"/>
          <w:szCs w:val="24"/>
        </w:rPr>
        <w:t>妊娠事件的报告要求</w:t>
      </w:r>
      <w:bookmarkEnd w:id="336"/>
      <w:bookmarkEnd w:id="337"/>
      <w:bookmarkEnd w:id="338"/>
    </w:p>
    <w:p w14:paraId="1DCE1A98">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若女性参与者或男性参与者的女性伴侣在研究期间或</w:t>
      </w:r>
      <w:r>
        <w:rPr>
          <w:rFonts w:ascii="Times New Roman" w:hAnsi="Times New Roman" w:eastAsia="宋体" w:cs="Times New Roman"/>
          <w:kern w:val="2"/>
          <w:sz w:val="24"/>
          <w:szCs w:val="24"/>
        </w:rPr>
        <w:t>CMS-D001</w:t>
      </w:r>
      <w:r>
        <w:rPr>
          <w:rFonts w:hint="eastAsia" w:ascii="Times New Roman" w:hAnsi="Times New Roman" w:eastAsia="宋体" w:cs="Times New Roman"/>
          <w:kern w:val="2"/>
          <w:sz w:val="24"/>
          <w:szCs w:val="24"/>
        </w:rPr>
        <w:t>片末次给药后</w:t>
      </w:r>
      <w:r>
        <w:rPr>
          <w:rFonts w:ascii="Times New Roman" w:hAnsi="Times New Roman" w:eastAsia="宋体" w:cs="Times New Roman"/>
          <w:kern w:val="2"/>
          <w:sz w:val="24"/>
          <w:szCs w:val="24"/>
        </w:rPr>
        <w:t>3</w:t>
      </w:r>
      <w:r>
        <w:rPr>
          <w:rFonts w:hint="eastAsia" w:ascii="Times New Roman" w:hAnsi="Times New Roman" w:eastAsia="宋体" w:cs="Times New Roman"/>
          <w:kern w:val="2"/>
          <w:sz w:val="24"/>
          <w:szCs w:val="24"/>
        </w:rPr>
        <w:t>个月内怀孕或怀疑可能妊娠（如停经或经期推迟），应立即告知研究者，研究者必须尽快进行检查确认，确认发生妊娠的，研究者应在确认后</w:t>
      </w: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小时填写《妊娠事件报告表》，签名并签署日期，而后立即书面报告给申办者或其指定人员（即，获知事件后不超过</w:t>
      </w: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小时）。同时，研究者根据中心伦理的要求进行上报。</w:t>
      </w:r>
    </w:p>
    <w:p w14:paraId="02C1D3EE">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女性参与者在</w:t>
      </w:r>
      <w:r>
        <w:rPr>
          <w:rFonts w:ascii="Times New Roman" w:hAnsi="Times New Roman" w:eastAsia="宋体" w:cs="Times New Roman"/>
          <w:kern w:val="2"/>
          <w:sz w:val="24"/>
          <w:szCs w:val="24"/>
        </w:rPr>
        <w:t>CMS-D001</w:t>
      </w:r>
      <w:r>
        <w:rPr>
          <w:rFonts w:hint="eastAsia" w:ascii="Times New Roman" w:hAnsi="Times New Roman" w:eastAsia="宋体" w:cs="Times New Roman"/>
          <w:kern w:val="2"/>
          <w:sz w:val="24"/>
          <w:szCs w:val="24"/>
        </w:rPr>
        <w:t>片首次给药之后的研究期间发生妊娠后，应立即停用研究药物，并及时进行记录、报告及随访。男性参与者的女性伴侣发生妊娠后，不要求男性参与者停用试验用药品，但需要对其女性伴侣按照女性参与者发生妊娠的处理方式进行记录、报告及随访。</w:t>
      </w:r>
    </w:p>
    <w:p w14:paraId="408689D0">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单纯的妊娠事件本身不属于不良事件，不应记录在</w:t>
      </w:r>
      <w:r>
        <w:rPr>
          <w:rFonts w:ascii="Times New Roman" w:hAnsi="Times New Roman" w:eastAsia="宋体" w:cs="Times New Roman"/>
          <w:kern w:val="2"/>
          <w:sz w:val="24"/>
          <w:szCs w:val="24"/>
        </w:rPr>
        <w:t>eCRF</w:t>
      </w:r>
      <w:r>
        <w:rPr>
          <w:rFonts w:hint="eastAsia" w:ascii="Times New Roman" w:hAnsi="Times New Roman" w:eastAsia="宋体" w:cs="Times New Roman"/>
          <w:kern w:val="2"/>
          <w:sz w:val="24"/>
          <w:szCs w:val="24"/>
        </w:rPr>
        <w:t>不良事件上，但如果发生妊娠相关并发症或妊娠的结果符合不良事件定义，则还需按照不良事件进行管理，例如自然流产、因医学及健康原因导致的人工流产、死胎、新生儿严重不良事件（不限于新生儿死亡、先天性异常或者出生缺陷）等。</w:t>
      </w:r>
    </w:p>
    <w:p w14:paraId="0BBB76F6">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妊娠参与者在妊娠期间经历的</w:t>
      </w:r>
      <w:r>
        <w:rPr>
          <w:rFonts w:ascii="Times New Roman" w:hAnsi="Times New Roman" w:eastAsia="宋体" w:cs="Times New Roman"/>
          <w:kern w:val="2"/>
          <w:sz w:val="24"/>
          <w:szCs w:val="24"/>
        </w:rPr>
        <w:t>SAE</w:t>
      </w:r>
      <w:r>
        <w:rPr>
          <w:rFonts w:hint="eastAsia" w:ascii="Times New Roman" w:hAnsi="Times New Roman" w:eastAsia="宋体" w:cs="Times New Roman"/>
          <w:kern w:val="2"/>
          <w:sz w:val="24"/>
          <w:szCs w:val="24"/>
        </w:rPr>
        <w:t>，要求以《</w:t>
      </w:r>
      <w:r>
        <w:rPr>
          <w:rFonts w:ascii="Times New Roman" w:hAnsi="Times New Roman" w:eastAsia="宋体" w:cs="Times New Roman"/>
          <w:kern w:val="2"/>
          <w:sz w:val="24"/>
          <w:szCs w:val="24"/>
        </w:rPr>
        <w:t>SAE</w:t>
      </w:r>
      <w:r>
        <w:rPr>
          <w:rFonts w:hint="eastAsia" w:ascii="Times New Roman" w:hAnsi="Times New Roman" w:eastAsia="宋体" w:cs="Times New Roman"/>
          <w:kern w:val="2"/>
          <w:sz w:val="24"/>
          <w:szCs w:val="24"/>
        </w:rPr>
        <w:t>报告表》的方式立即报告（即，获知事件后不超过</w:t>
      </w:r>
      <w:r>
        <w:rPr>
          <w:rFonts w:ascii="Times New Roman" w:hAnsi="Times New Roman" w:eastAsia="宋体" w:cs="Times New Roman"/>
          <w:kern w:val="2"/>
          <w:sz w:val="24"/>
          <w:szCs w:val="24"/>
        </w:rPr>
        <w:t>24</w:t>
      </w:r>
      <w:r>
        <w:rPr>
          <w:rFonts w:hint="eastAsia" w:ascii="Times New Roman" w:hAnsi="Times New Roman" w:eastAsia="宋体" w:cs="Times New Roman"/>
          <w:kern w:val="2"/>
          <w:sz w:val="24"/>
          <w:szCs w:val="24"/>
        </w:rPr>
        <w:t>小时）。没有妊娠相关并发症的选择性流产不视为不良事件。</w:t>
      </w:r>
    </w:p>
    <w:p w14:paraId="0062D867">
      <w:pPr>
        <w:pStyle w:val="116"/>
        <w:numPr>
          <w:ilvl w:val="3"/>
          <w:numId w:val="12"/>
        </w:numPr>
        <w:ind w:hanging="708"/>
        <w:outlineLvl w:val="3"/>
        <w:rPr>
          <w:rFonts w:cs="Times New Roman"/>
          <w:kern w:val="2"/>
          <w:sz w:val="24"/>
          <w:szCs w:val="24"/>
        </w:rPr>
      </w:pPr>
      <w:bookmarkStart w:id="339" w:name="_Toc215213427"/>
      <w:bookmarkStart w:id="340" w:name="_Toc217032324"/>
      <w:bookmarkStart w:id="341" w:name="_Toc215214137"/>
      <w:r>
        <w:rPr>
          <w:rFonts w:hint="eastAsia" w:cs="Times New Roman"/>
          <w:kern w:val="2"/>
          <w:sz w:val="24"/>
          <w:szCs w:val="24"/>
        </w:rPr>
        <w:t>妊娠事件的随访</w:t>
      </w:r>
      <w:bookmarkEnd w:id="339"/>
      <w:bookmarkEnd w:id="340"/>
      <w:bookmarkEnd w:id="341"/>
    </w:p>
    <w:p w14:paraId="245C232C">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研究者应该根据用药情况，严谨地与参与者交流，告知她</w:t>
      </w:r>
      <w:r>
        <w:rPr>
          <w:rFonts w:ascii="Times New Roman" w:hAnsi="Times New Roman" w:eastAsia="宋体" w:cs="Times New Roman"/>
          <w:sz w:val="24"/>
          <w:szCs w:val="24"/>
        </w:rPr>
        <w:t>/</w:t>
      </w:r>
      <w:r>
        <w:rPr>
          <w:rFonts w:hint="eastAsia" w:ascii="Times New Roman" w:hAnsi="Times New Roman" w:eastAsia="宋体" w:cs="Times New Roman"/>
          <w:sz w:val="24"/>
          <w:szCs w:val="24"/>
        </w:rPr>
        <w:t>他试验用药品对于孕妇及胎儿可能的影响和风险，并由参与者及其伴侣自行决定是否终止妊娠或继续妊娠。如果参与者或其伴侣决定继续妊娠，则要求对每例妊娠跟踪随访，直到获得妊娠结局。</w:t>
      </w:r>
    </w:p>
    <w:p w14:paraId="7625D531">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所有妊娠的过程，包括围产期和新生儿结局，无论参与者是否已停止参与研究，将随访至结局，包括自发或自愿终止妊娠、分娩细节，以及是否存在任何出生缺陷、先天性异常或孕产妇和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或新生儿并发症，直至健康婴儿的第一次访视或法规规定的时间（或任何原因的终止妊娠后下一次正常月经结束），以较晚者为准。对出生结果的随访将根据个案情况进行处理（例如对早产儿进行随访，以确定是否存在发育迟缓）。妊娠随访信息应记录在同一表格上，并应包括对试验用药品与任何妊娠结果可能因果关系的评估。新生儿经历的</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事件要求以</w:t>
      </w:r>
      <w:r>
        <w:rPr>
          <w:rFonts w:ascii="Times New Roman" w:hAnsi="Times New Roman" w:eastAsia="宋体" w:cs="Times New Roman"/>
          <w:sz w:val="24"/>
          <w:szCs w:val="24"/>
        </w:rPr>
        <w:t>SAE</w:t>
      </w:r>
      <w:r>
        <w:rPr>
          <w:rFonts w:hint="eastAsia" w:ascii="Times New Roman" w:hAnsi="Times New Roman" w:eastAsia="宋体" w:cs="Times New Roman"/>
          <w:sz w:val="24"/>
          <w:szCs w:val="24"/>
        </w:rPr>
        <w:t>报告表的方式立即报告（即，获知事件后不超过</w:t>
      </w:r>
      <w:r>
        <w:rPr>
          <w:rFonts w:ascii="Times New Roman" w:hAnsi="Times New Roman" w:eastAsia="宋体" w:cs="Times New Roman"/>
          <w:sz w:val="24"/>
          <w:szCs w:val="24"/>
        </w:rPr>
        <w:t>24</w:t>
      </w:r>
      <w:r>
        <w:rPr>
          <w:rFonts w:hint="eastAsia" w:ascii="Times New Roman" w:hAnsi="Times New Roman" w:eastAsia="宋体" w:cs="Times New Roman"/>
          <w:sz w:val="24"/>
          <w:szCs w:val="24"/>
        </w:rPr>
        <w:t>小时）。在终止妊娠的情况下，应明确终止的原因，如果临床可能，应通过肉眼检查评估终止妊娠时胎儿的结构完整性，除非术前检查显示先天性异常并已报告结果。</w:t>
      </w:r>
    </w:p>
    <w:p w14:paraId="2FC2895C">
      <w:pPr>
        <w:spacing w:line="360" w:lineRule="auto"/>
        <w:ind w:firstLine="480" w:firstLineChars="200"/>
        <w:rPr>
          <w:rFonts w:ascii="Times New Roman" w:hAnsi="Times New Roman" w:cs="Times New Roman"/>
          <w:sz w:val="24"/>
          <w:szCs w:val="24"/>
        </w:rPr>
      </w:pPr>
      <w:r>
        <w:rPr>
          <w:rFonts w:hint="eastAsia" w:ascii="Times New Roman" w:hAnsi="Times New Roman" w:eastAsia="宋体" w:cs="Times New Roman"/>
          <w:sz w:val="24"/>
          <w:szCs w:val="24"/>
        </w:rPr>
        <w:t>当妊娠过程和结局信息有更新时，研究者应填写并立即向申办者提交试验妊娠报告表。</w:t>
      </w:r>
    </w:p>
    <w:p w14:paraId="2D887F4C">
      <w:pPr>
        <w:pStyle w:val="114"/>
        <w:numPr>
          <w:ilvl w:val="0"/>
          <w:numId w:val="12"/>
        </w:numPr>
        <w:rPr>
          <w:rFonts w:cs="Times New Roman"/>
          <w:szCs w:val="28"/>
        </w:rPr>
      </w:pPr>
      <w:bookmarkStart w:id="342" w:name="_Toc172276905"/>
      <w:bookmarkEnd w:id="342"/>
      <w:bookmarkStart w:id="343" w:name="_Toc172277144"/>
      <w:bookmarkEnd w:id="343"/>
      <w:bookmarkStart w:id="344" w:name="_Toc217032325"/>
      <w:r>
        <w:rPr>
          <w:rFonts w:hint="eastAsia" w:cs="Times New Roman"/>
          <w:szCs w:val="28"/>
        </w:rPr>
        <w:t>统计学考虑</w:t>
      </w:r>
      <w:bookmarkEnd w:id="344"/>
    </w:p>
    <w:p w14:paraId="0C76E3A5">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sz w:val="24"/>
          <w:szCs w:val="24"/>
        </w:rPr>
        <w:t>针对</w:t>
      </w:r>
      <w:r>
        <w:rPr>
          <w:rStyle w:val="99"/>
          <w:rFonts w:hint="eastAsia" w:ascii="Times New Roman" w:hAnsi="Times New Roman" w:eastAsia="宋体" w:cs="Times New Roman"/>
          <w:color w:val="000000" w:themeColor="text1"/>
          <w:sz w:val="24"/>
          <w:szCs w:val="24"/>
          <w14:textFill>
            <w14:solidFill>
              <w14:schemeClr w14:val="tx1"/>
            </w14:solidFill>
          </w14:textFill>
        </w:rPr>
        <w:t>Ⅱ</w:t>
      </w:r>
      <w:r>
        <w:rPr>
          <w:rFonts w:hint="eastAsia" w:ascii="Times New Roman" w:hAnsi="Times New Roman" w:eastAsia="宋体" w:cs="Times New Roman"/>
          <w:sz w:val="24"/>
          <w:szCs w:val="24"/>
        </w:rPr>
        <w:t>期和Ⅲ期研究的数据统计分析方法将在单独的统计分析计划（</w:t>
      </w:r>
      <w:r>
        <w:rPr>
          <w:rFonts w:ascii="Times New Roman" w:hAnsi="Times New Roman" w:eastAsia="宋体" w:cs="Times New Roman"/>
          <w:sz w:val="24"/>
          <w:szCs w:val="24"/>
        </w:rPr>
        <w:t>Statistical Analysis Plan</w:t>
      </w:r>
      <w:r>
        <w:rPr>
          <w:rFonts w:hint="eastAsia" w:ascii="Times New Roman" w:hAnsi="Times New Roman" w:eastAsia="宋体" w:cs="Times New Roman"/>
          <w:sz w:val="24"/>
          <w:szCs w:val="24"/>
        </w:rPr>
        <w:t>，</w:t>
      </w:r>
      <w:r>
        <w:rPr>
          <w:rFonts w:ascii="Times New Roman" w:hAnsi="Times New Roman" w:eastAsia="宋体" w:cs="Times New Roman"/>
          <w:sz w:val="24"/>
          <w:szCs w:val="24"/>
        </w:rPr>
        <w:t>SAP</w:t>
      </w:r>
      <w:r>
        <w:rPr>
          <w:rFonts w:hint="eastAsia" w:ascii="Times New Roman" w:hAnsi="Times New Roman" w:eastAsia="宋体" w:cs="Times New Roman"/>
          <w:sz w:val="24"/>
          <w:szCs w:val="24"/>
        </w:rPr>
        <w:t>）中进一步细化，统计分析计划将分别在</w:t>
      </w:r>
      <w:r>
        <w:rPr>
          <w:rStyle w:val="99"/>
          <w:rFonts w:hint="eastAsia" w:ascii="Times New Roman" w:hAnsi="Times New Roman" w:eastAsia="宋体" w:cs="Times New Roman"/>
          <w:color w:val="000000" w:themeColor="text1"/>
          <w:sz w:val="24"/>
          <w:szCs w:val="24"/>
          <w14:textFill>
            <w14:solidFill>
              <w14:schemeClr w14:val="tx1"/>
            </w14:solidFill>
          </w14:textFill>
        </w:rPr>
        <w:t>Ⅱ</w:t>
      </w:r>
      <w:r>
        <w:rPr>
          <w:rFonts w:hint="eastAsia" w:ascii="Times New Roman" w:hAnsi="Times New Roman" w:eastAsia="宋体" w:cs="Times New Roman"/>
          <w:sz w:val="24"/>
          <w:szCs w:val="24"/>
        </w:rPr>
        <w:t>期和Ⅲ期研究数据库锁定前由申办者批准并定稿。</w:t>
      </w:r>
    </w:p>
    <w:p w14:paraId="26DC63D0">
      <w:pPr>
        <w:pStyle w:val="116"/>
        <w:numPr>
          <w:ilvl w:val="1"/>
          <w:numId w:val="12"/>
        </w:numPr>
        <w:rPr>
          <w:rFonts w:cs="Times New Roman"/>
          <w:sz w:val="24"/>
          <w:szCs w:val="24"/>
        </w:rPr>
      </w:pPr>
      <w:bookmarkStart w:id="345" w:name="_Toc217032326"/>
      <w:r>
        <w:rPr>
          <w:rFonts w:hint="eastAsia" w:cs="Times New Roman"/>
          <w:sz w:val="24"/>
          <w:szCs w:val="24"/>
        </w:rPr>
        <w:t>统计假设</w:t>
      </w:r>
      <w:bookmarkEnd w:id="345"/>
    </w:p>
    <w:p w14:paraId="0C63E2F7">
      <w:pPr>
        <w:spacing w:line="360" w:lineRule="auto"/>
        <w:ind w:firstLine="480" w:firstLineChars="200"/>
        <w:jc w:val="both"/>
        <w:rPr>
          <w:rFonts w:ascii="Times New Roman" w:hAnsi="Times New Roman" w:eastAsia="宋体" w:cs="Times New Roman"/>
          <w:sz w:val="24"/>
          <w:szCs w:val="24"/>
        </w:rPr>
      </w:pPr>
      <w:r>
        <w:rPr>
          <w:rStyle w:val="99"/>
          <w:rFonts w:hint="eastAsia" w:ascii="Times New Roman" w:hAnsi="Times New Roman" w:eastAsia="宋体" w:cs="Times New Roman"/>
          <w:color w:val="000000" w:themeColor="text1"/>
          <w:sz w:val="24"/>
          <w:szCs w:val="24"/>
          <w14:textFill>
            <w14:solidFill>
              <w14:schemeClr w14:val="tx1"/>
            </w14:solidFill>
          </w14:textFill>
        </w:rPr>
        <w:t>Ⅱ</w:t>
      </w:r>
      <w:r>
        <w:rPr>
          <w:rFonts w:hint="eastAsia" w:ascii="Times New Roman" w:hAnsi="Times New Roman" w:eastAsia="宋体" w:cs="Times New Roman"/>
          <w:sz w:val="24"/>
          <w:szCs w:val="24"/>
        </w:rPr>
        <w:t>期为探索性研究，不做检验假设。</w:t>
      </w:r>
    </w:p>
    <w:p w14:paraId="1C9EEB6D">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Ⅲ期研究主要目的为证明对于主要估计目标，第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周，达到银屑病面积和严重程度指数较基线至少改善</w:t>
      </w:r>
      <w:r>
        <w:rPr>
          <w:rFonts w:ascii="Times New Roman" w:hAnsi="Times New Roman" w:eastAsia="宋体" w:cs="Times New Roman"/>
          <w:sz w:val="24"/>
          <w:szCs w:val="24"/>
        </w:rPr>
        <w:t>75%</w:t>
      </w:r>
      <w:r>
        <w:rPr>
          <w:rFonts w:hint="eastAsia" w:ascii="Times New Roman" w:hAnsi="Times New Roman" w:eastAsia="宋体" w:cs="Times New Roman"/>
          <w:sz w:val="24"/>
          <w:szCs w:val="24"/>
        </w:rPr>
        <w:t>的参与者比例（</w:t>
      </w:r>
      <w:r>
        <w:rPr>
          <w:rFonts w:ascii="Times New Roman" w:hAnsi="Times New Roman" w:eastAsia="宋体" w:cs="Times New Roman"/>
          <w:sz w:val="24"/>
          <w:szCs w:val="24"/>
        </w:rPr>
        <w:t>PASI 75</w:t>
      </w:r>
      <w:r>
        <w:rPr>
          <w:rFonts w:hint="eastAsia" w:ascii="Times New Roman" w:hAnsi="Times New Roman" w:eastAsia="宋体" w:cs="Times New Roman"/>
          <w:sz w:val="24"/>
          <w:szCs w:val="24"/>
        </w:rPr>
        <w:t>应答），达到</w:t>
      </w:r>
      <w:r>
        <w:rPr>
          <w:rFonts w:ascii="Times New Roman" w:hAnsi="Times New Roman" w:eastAsia="宋体" w:cs="Times New Roman"/>
          <w:sz w:val="24"/>
          <w:szCs w:val="24"/>
        </w:rPr>
        <w:t>PGA</w:t>
      </w:r>
      <w:r>
        <w:rPr>
          <w:rFonts w:hint="eastAsia" w:ascii="Times New Roman" w:hAnsi="Times New Roman" w:eastAsia="宋体" w:cs="Times New Roman"/>
          <w:sz w:val="24"/>
          <w:szCs w:val="24"/>
        </w:rPr>
        <w:t>评分为</w:t>
      </w:r>
      <w:r>
        <w:rPr>
          <w:rFonts w:ascii="Times New Roman" w:hAnsi="Times New Roman" w:eastAsia="宋体" w:cs="Times New Roman"/>
          <w:sz w:val="24"/>
          <w:szCs w:val="24"/>
        </w:rPr>
        <w:t>0</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的参与者比例（</w:t>
      </w:r>
      <w:r>
        <w:rPr>
          <w:rFonts w:ascii="Times New Roman" w:hAnsi="Times New Roman" w:eastAsia="宋体" w:cs="Times New Roman"/>
          <w:sz w:val="24"/>
          <w:szCs w:val="24"/>
        </w:rPr>
        <w:t>PGA-TS</w:t>
      </w:r>
      <w:r>
        <w:rPr>
          <w:rFonts w:hint="eastAsia" w:ascii="Times New Roman" w:hAnsi="Times New Roman" w:eastAsia="宋体" w:cs="Times New Roman"/>
          <w:sz w:val="24"/>
          <w:szCs w:val="24"/>
        </w:rPr>
        <w:t>），</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片均优于安慰剂。针对上述主要估计目标的均采取如下的假设检验：设定</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片的</w:t>
      </w:r>
      <w:r>
        <w:rPr>
          <w:rFonts w:ascii="Times New Roman" w:hAnsi="Times New Roman" w:eastAsia="宋体" w:cs="Times New Roman"/>
          <w:sz w:val="24"/>
          <w:szCs w:val="24"/>
        </w:rPr>
        <w:t>PASI 75</w:t>
      </w:r>
      <w:r>
        <w:rPr>
          <w:rFonts w:hint="eastAsia" w:ascii="Times New Roman" w:hAnsi="Times New Roman" w:eastAsia="宋体" w:cs="Times New Roman"/>
          <w:sz w:val="24"/>
          <w:szCs w:val="24"/>
        </w:rPr>
        <w:t>应答率为π</w:t>
      </w:r>
      <w:r>
        <w:rPr>
          <w:rFonts w:ascii="Times New Roman" w:hAnsi="Times New Roman" w:eastAsia="宋体" w:cs="Times New Roman"/>
          <w:sz w:val="24"/>
          <w:szCs w:val="24"/>
          <w:vertAlign w:val="subscript"/>
        </w:rPr>
        <w:t>11</w:t>
      </w:r>
      <w:r>
        <w:rPr>
          <w:rFonts w:hint="eastAsia" w:ascii="Times New Roman" w:hAnsi="Times New Roman" w:eastAsia="宋体" w:cs="Times New Roman"/>
          <w:sz w:val="24"/>
          <w:szCs w:val="24"/>
        </w:rPr>
        <w:t>、安慰剂的应答比例为π</w:t>
      </w:r>
      <w:r>
        <w:rPr>
          <w:rFonts w:ascii="Times New Roman" w:hAnsi="Times New Roman" w:eastAsia="宋体" w:cs="Times New Roman"/>
          <w:sz w:val="24"/>
          <w:szCs w:val="24"/>
          <w:vertAlign w:val="subscript"/>
        </w:rPr>
        <w:t>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片的</w:t>
      </w:r>
      <w:r>
        <w:rPr>
          <w:rFonts w:ascii="Times New Roman" w:hAnsi="Times New Roman" w:eastAsia="宋体" w:cs="Times New Roman"/>
          <w:sz w:val="24"/>
          <w:szCs w:val="24"/>
        </w:rPr>
        <w:t>PGA-TS</w:t>
      </w:r>
      <w:r>
        <w:rPr>
          <w:rFonts w:hint="eastAsia" w:ascii="Times New Roman" w:hAnsi="Times New Roman" w:eastAsia="宋体" w:cs="Times New Roman"/>
          <w:sz w:val="24"/>
          <w:szCs w:val="24"/>
        </w:rPr>
        <w:t>应答比例为π</w:t>
      </w:r>
      <w:r>
        <w:rPr>
          <w:rFonts w:ascii="Times New Roman" w:hAnsi="Times New Roman" w:eastAsia="宋体" w:cs="Times New Roman"/>
          <w:sz w:val="24"/>
          <w:szCs w:val="24"/>
          <w:vertAlign w:val="subscript"/>
        </w:rPr>
        <w:t>21</w:t>
      </w:r>
      <w:r>
        <w:rPr>
          <w:rFonts w:hint="eastAsia" w:ascii="Times New Roman" w:hAnsi="Times New Roman" w:eastAsia="宋体" w:cs="Times New Roman"/>
          <w:sz w:val="24"/>
          <w:szCs w:val="24"/>
        </w:rPr>
        <w:t>，安慰剂的应答比例为π</w:t>
      </w:r>
      <w:r>
        <w:rPr>
          <w:rFonts w:ascii="Times New Roman" w:hAnsi="Times New Roman" w:eastAsia="宋体" w:cs="Times New Roman"/>
          <w:sz w:val="24"/>
          <w:szCs w:val="24"/>
          <w:vertAlign w:val="subscript"/>
        </w:rPr>
        <w:t>20</w:t>
      </w:r>
      <w:r>
        <w:rPr>
          <w:rFonts w:hint="eastAsia" w:ascii="Times New Roman" w:hAnsi="Times New Roman" w:eastAsia="宋体" w:cs="Times New Roman"/>
          <w:sz w:val="24"/>
          <w:szCs w:val="24"/>
        </w:rPr>
        <w:t>；</w:t>
      </w:r>
    </w:p>
    <w:p w14:paraId="348A41D8">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假设如下：</w:t>
      </w:r>
    </w:p>
    <w:p w14:paraId="6E32893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H</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ℼ</w:t>
      </w:r>
      <w:r>
        <w:rPr>
          <w:rFonts w:ascii="Times New Roman" w:hAnsi="Times New Roman" w:eastAsia="宋体" w:cs="Times New Roman"/>
          <w:sz w:val="24"/>
          <w:szCs w:val="24"/>
          <w:vertAlign w:val="subscript"/>
        </w:rPr>
        <w:t>11</w:t>
      </w:r>
      <w:r>
        <w:rPr>
          <w:rFonts w:ascii="Times New Roman" w:hAnsi="Times New Roman" w:eastAsia="宋体" w:cs="Times New Roman"/>
          <w:sz w:val="24"/>
          <w:szCs w:val="24"/>
        </w:rPr>
        <w:t>- ℼ</w:t>
      </w:r>
      <w:r>
        <w:rPr>
          <w:rFonts w:ascii="Times New Roman" w:hAnsi="Times New Roman" w:eastAsia="宋体" w:cs="Times New Roman"/>
          <w:sz w:val="24"/>
          <w:szCs w:val="24"/>
          <w:vertAlign w:val="subscript"/>
        </w:rPr>
        <w:t xml:space="preserve">10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0 </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 xml:space="preserve"> ℼ</w:t>
      </w:r>
      <w:r>
        <w:rPr>
          <w:rFonts w:ascii="Times New Roman" w:hAnsi="Times New Roman" w:eastAsia="宋体" w:cs="Times New Roman"/>
          <w:sz w:val="24"/>
          <w:szCs w:val="24"/>
          <w:vertAlign w:val="subscript"/>
        </w:rPr>
        <w:t>21</w:t>
      </w:r>
      <w:r>
        <w:rPr>
          <w:rFonts w:ascii="Times New Roman" w:hAnsi="Times New Roman" w:eastAsia="宋体" w:cs="Times New Roman"/>
          <w:sz w:val="24"/>
          <w:szCs w:val="24"/>
        </w:rPr>
        <w:t>- ℼ</w:t>
      </w:r>
      <w:r>
        <w:rPr>
          <w:rFonts w:ascii="Times New Roman" w:hAnsi="Times New Roman" w:eastAsia="宋体" w:cs="Times New Roman"/>
          <w:sz w:val="24"/>
          <w:szCs w:val="24"/>
          <w:vertAlign w:val="subscript"/>
        </w:rPr>
        <w:t xml:space="preserve">20 </w:t>
      </w:r>
      <w:r>
        <w:rPr>
          <w:rFonts w:hint="eastAsia" w:ascii="Times New Roman" w:hAnsi="Times New Roman" w:eastAsia="宋体" w:cs="Times New Roman"/>
          <w:sz w:val="24"/>
          <w:szCs w:val="24"/>
        </w:rPr>
        <w:t>≤</w:t>
      </w:r>
      <w:r>
        <w:rPr>
          <w:rFonts w:ascii="Times New Roman" w:hAnsi="Times New Roman" w:eastAsia="宋体" w:cs="Times New Roman"/>
          <w:sz w:val="24"/>
          <w:szCs w:val="24"/>
        </w:rPr>
        <w:t>0</w:t>
      </w:r>
    </w:p>
    <w:p w14:paraId="1FD8E50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H</w:t>
      </w:r>
      <w:r>
        <w:rPr>
          <w:rFonts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ℼ</w:t>
      </w:r>
      <w:r>
        <w:rPr>
          <w:rFonts w:ascii="Times New Roman" w:hAnsi="Times New Roman" w:eastAsia="宋体" w:cs="Times New Roman"/>
          <w:sz w:val="24"/>
          <w:szCs w:val="24"/>
          <w:vertAlign w:val="subscript"/>
        </w:rPr>
        <w:t>11</w:t>
      </w:r>
      <w:r>
        <w:rPr>
          <w:rFonts w:ascii="Times New Roman" w:hAnsi="Times New Roman" w:eastAsia="宋体" w:cs="Times New Roman"/>
          <w:sz w:val="24"/>
          <w:szCs w:val="24"/>
        </w:rPr>
        <w:t>- ℼ</w:t>
      </w:r>
      <w:r>
        <w:rPr>
          <w:rFonts w:ascii="Times New Roman" w:hAnsi="Times New Roman" w:eastAsia="宋体" w:cs="Times New Roman"/>
          <w:sz w:val="24"/>
          <w:szCs w:val="24"/>
          <w:vertAlign w:val="subscript"/>
        </w:rPr>
        <w:t>10</w:t>
      </w:r>
      <w:r>
        <w:rPr>
          <w:rFonts w:ascii="Times New Roman" w:hAnsi="Times New Roman" w:eastAsia="宋体" w:cs="Times New Roman"/>
          <w:sz w:val="24"/>
          <w:szCs w:val="24"/>
        </w:rPr>
        <w:t>&gt; 0</w:t>
      </w:r>
      <w:r>
        <w:rPr>
          <w:rFonts w:hint="eastAsia" w:ascii="Times New Roman" w:hAnsi="Times New Roman" w:eastAsia="宋体" w:cs="Times New Roman"/>
          <w:sz w:val="24"/>
          <w:szCs w:val="24"/>
        </w:rPr>
        <w:t>且</w:t>
      </w:r>
      <w:r>
        <w:rPr>
          <w:rFonts w:ascii="Times New Roman" w:hAnsi="Times New Roman" w:eastAsia="宋体" w:cs="Times New Roman"/>
          <w:sz w:val="24"/>
          <w:szCs w:val="24"/>
        </w:rPr>
        <w:t>ℼ</w:t>
      </w:r>
      <w:r>
        <w:rPr>
          <w:rFonts w:ascii="Times New Roman" w:hAnsi="Times New Roman" w:eastAsia="宋体" w:cs="Times New Roman"/>
          <w:sz w:val="24"/>
          <w:szCs w:val="24"/>
          <w:vertAlign w:val="subscript"/>
        </w:rPr>
        <w:t>21</w:t>
      </w:r>
      <w:r>
        <w:rPr>
          <w:rFonts w:ascii="Times New Roman" w:hAnsi="Times New Roman" w:eastAsia="宋体" w:cs="Times New Roman"/>
          <w:sz w:val="24"/>
          <w:szCs w:val="24"/>
        </w:rPr>
        <w:t>- ℼ</w:t>
      </w:r>
      <w:r>
        <w:rPr>
          <w:rFonts w:ascii="Times New Roman" w:hAnsi="Times New Roman" w:eastAsia="宋体" w:cs="Times New Roman"/>
          <w:sz w:val="24"/>
          <w:szCs w:val="24"/>
          <w:vertAlign w:val="subscript"/>
        </w:rPr>
        <w:t>20</w:t>
      </w:r>
      <w:r>
        <w:rPr>
          <w:rFonts w:ascii="Times New Roman" w:hAnsi="Times New Roman" w:eastAsia="宋体" w:cs="Times New Roman"/>
          <w:sz w:val="24"/>
          <w:szCs w:val="24"/>
        </w:rPr>
        <w:t>&gt; 0</w:t>
      </w:r>
      <w:r>
        <w:rPr>
          <w:rFonts w:hint="eastAsia" w:ascii="Times New Roman" w:hAnsi="Times New Roman" w:eastAsia="宋体" w:cs="Times New Roman"/>
          <w:sz w:val="24"/>
          <w:szCs w:val="24"/>
        </w:rPr>
        <w:t>；</w:t>
      </w:r>
    </w:p>
    <w:p w14:paraId="6BC89F28">
      <w:pPr>
        <w:spacing w:before="4" w:line="360" w:lineRule="auto"/>
        <w:ind w:firstLine="480" w:firstLineChars="200"/>
        <w:jc w:val="both"/>
        <w:rPr>
          <w:rFonts w:ascii="Times New Roman" w:hAnsi="Times New Roman" w:cs="Times New Roman"/>
          <w:sz w:val="24"/>
          <w:szCs w:val="24"/>
        </w:rPr>
      </w:pPr>
      <w:r>
        <w:rPr>
          <w:rFonts w:ascii="Times New Roman" w:hAnsi="Times New Roman" w:eastAsia="宋体" w:cs="Times New Roman"/>
          <w:sz w:val="24"/>
          <w:szCs w:val="24"/>
        </w:rPr>
        <w:t>Alpha = 0.025</w:t>
      </w:r>
      <w:r>
        <w:rPr>
          <w:rFonts w:hint="eastAsia" w:ascii="Times New Roman" w:hAnsi="Times New Roman" w:eastAsia="宋体" w:cs="Times New Roman"/>
          <w:sz w:val="24"/>
          <w:szCs w:val="24"/>
        </w:rPr>
        <w:t>（单侧）</w:t>
      </w:r>
    </w:p>
    <w:p w14:paraId="4409F507">
      <w:pPr>
        <w:pStyle w:val="116"/>
        <w:numPr>
          <w:ilvl w:val="2"/>
          <w:numId w:val="12"/>
        </w:numPr>
        <w:ind w:left="301" w:hanging="301" w:hangingChars="125"/>
        <w:jc w:val="left"/>
        <w:outlineLvl w:val="2"/>
        <w:rPr>
          <w:rFonts w:cs="Times New Roman"/>
          <w:sz w:val="24"/>
          <w:szCs w:val="24"/>
        </w:rPr>
      </w:pPr>
      <w:bookmarkStart w:id="346" w:name="_Toc217032327"/>
      <w:r>
        <w:rPr>
          <w:rFonts w:hint="eastAsia" w:cs="Times New Roman"/>
          <w:sz w:val="24"/>
          <w:szCs w:val="24"/>
        </w:rPr>
        <w:t>多重性校正</w:t>
      </w:r>
      <w:bookmarkEnd w:id="346"/>
    </w:p>
    <w:p w14:paraId="02BD5968">
      <w:pPr>
        <w:spacing w:before="4" w:line="360" w:lineRule="auto"/>
        <w:ind w:firstLine="480" w:firstLineChars="200"/>
        <w:jc w:val="both"/>
        <w:rPr>
          <w:rFonts w:ascii="Times New Roman" w:hAnsi="Times New Roman" w:cs="Times New Roman"/>
          <w:i/>
          <w:sz w:val="24"/>
          <w:szCs w:val="24"/>
        </w:rPr>
      </w:pPr>
      <w:r>
        <w:rPr>
          <w:rFonts w:hint="eastAsia" w:ascii="Times New Roman" w:hAnsi="Times New Roman" w:eastAsia="宋体" w:cs="Times New Roman"/>
          <w:sz w:val="24"/>
          <w:szCs w:val="24"/>
        </w:rPr>
        <w:t>Ⅲ期研究设定两个主要终点，根据上述的假设检验，针对每个主要终点，试验组均需优于安慰剂组才可以拒绝原假设，故不涉及</w:t>
      </w:r>
      <w:r>
        <w:rPr>
          <w:rFonts w:ascii="Times New Roman" w:hAnsi="Times New Roman" w:eastAsia="宋体" w:cs="Times New Roman"/>
          <w:sz w:val="24"/>
          <w:szCs w:val="24"/>
        </w:rPr>
        <w:t>alpha</w:t>
      </w:r>
      <w:r>
        <w:rPr>
          <w:rFonts w:hint="eastAsia" w:ascii="Times New Roman" w:hAnsi="Times New Roman" w:eastAsia="宋体" w:cs="Times New Roman"/>
          <w:sz w:val="24"/>
          <w:szCs w:val="24"/>
        </w:rPr>
        <w:t>的分配。在研究中整体</w:t>
      </w:r>
      <w:r>
        <w:rPr>
          <w:rFonts w:ascii="Times New Roman" w:hAnsi="Times New Roman" w:eastAsia="宋体" w:cs="Times New Roman"/>
          <w:sz w:val="24"/>
          <w:szCs w:val="24"/>
        </w:rPr>
        <w:t>alpha</w:t>
      </w:r>
      <w:r>
        <w:rPr>
          <w:rFonts w:hint="eastAsia" w:ascii="Times New Roman" w:hAnsi="Times New Roman" w:eastAsia="宋体" w:cs="Times New Roman"/>
          <w:sz w:val="24"/>
          <w:szCs w:val="24"/>
        </w:rPr>
        <w:t>水平仍然维持在单侧</w:t>
      </w:r>
      <w:r>
        <w:rPr>
          <w:rFonts w:ascii="Times New Roman" w:hAnsi="Times New Roman" w:eastAsia="宋体" w:cs="Times New Roman"/>
          <w:sz w:val="24"/>
          <w:szCs w:val="24"/>
        </w:rPr>
        <w:t>alpha=0.025</w:t>
      </w:r>
      <w:r>
        <w:rPr>
          <w:rFonts w:hint="eastAsia" w:ascii="Times New Roman" w:hAnsi="Times New Roman" w:eastAsia="宋体" w:cs="Times New Roman"/>
          <w:sz w:val="24"/>
          <w:szCs w:val="24"/>
        </w:rPr>
        <w:t>的水平上。</w:t>
      </w:r>
    </w:p>
    <w:p w14:paraId="2CA7AB25">
      <w:pPr>
        <w:pStyle w:val="116"/>
        <w:numPr>
          <w:ilvl w:val="1"/>
          <w:numId w:val="12"/>
        </w:numPr>
        <w:rPr>
          <w:rFonts w:cs="Times New Roman"/>
          <w:sz w:val="24"/>
          <w:szCs w:val="24"/>
        </w:rPr>
      </w:pPr>
      <w:bookmarkStart w:id="347" w:name="_Toc217032328"/>
      <w:r>
        <w:rPr>
          <w:rFonts w:hint="eastAsia" w:cs="Times New Roman"/>
          <w:sz w:val="24"/>
          <w:szCs w:val="24"/>
        </w:rPr>
        <w:t>样本量计算</w:t>
      </w:r>
      <w:bookmarkEnd w:id="347"/>
    </w:p>
    <w:p w14:paraId="60581642">
      <w:pPr>
        <w:pStyle w:val="60"/>
        <w:ind w:firstLine="0" w:firstLineChars="0"/>
        <w:rPr>
          <w:rStyle w:val="99"/>
          <w:rFonts w:cs="Times New Roman"/>
          <w:b/>
          <w:bCs/>
          <w:sz w:val="24"/>
          <w:szCs w:val="24"/>
          <w:u w:val="single"/>
          <w:lang w:eastAsia="zh-Hans"/>
        </w:rPr>
      </w:pPr>
      <w:r>
        <w:rPr>
          <w:rFonts w:hint="eastAsia" w:cs="Times New Roman"/>
          <w:b/>
          <w:bCs/>
          <w:color w:val="000000"/>
          <w:sz w:val="24"/>
          <w:szCs w:val="24"/>
          <w:u w:val="single"/>
          <w:lang w:eastAsia="zh-Hans"/>
        </w:rPr>
        <w:t>Ⅱ期</w:t>
      </w:r>
      <w:r>
        <w:rPr>
          <w:rStyle w:val="99"/>
          <w:rFonts w:hint="eastAsia" w:cs="Times New Roman"/>
          <w:b/>
          <w:bCs/>
          <w:sz w:val="24"/>
          <w:szCs w:val="24"/>
          <w:u w:val="single"/>
          <w:lang w:eastAsia="zh-Hans"/>
        </w:rPr>
        <w:t>临床阶段</w:t>
      </w:r>
    </w:p>
    <w:p w14:paraId="4AEFAD14">
      <w:pPr>
        <w:pStyle w:val="60"/>
        <w:ind w:firstLine="480"/>
        <w:rPr>
          <w:rStyle w:val="99"/>
          <w:rFonts w:cs="Times New Roman"/>
          <w:sz w:val="24"/>
          <w:szCs w:val="24"/>
          <w:lang w:eastAsia="zh-Hans"/>
        </w:rPr>
      </w:pPr>
      <w:r>
        <w:rPr>
          <w:rStyle w:val="99"/>
          <w:rFonts w:hint="eastAsia" w:cs="Times New Roman"/>
          <w:sz w:val="24"/>
          <w:szCs w:val="24"/>
          <w:lang w:eastAsia="zh-Hans"/>
        </w:rPr>
        <w:t>Ⅱ期临床阶段的主要终点是第</w:t>
      </w:r>
      <w:r>
        <w:rPr>
          <w:rStyle w:val="99"/>
          <w:rFonts w:cs="Times New Roman"/>
          <w:sz w:val="24"/>
          <w:szCs w:val="24"/>
          <w:lang w:eastAsia="zh-Hans"/>
        </w:rPr>
        <w:t>12</w:t>
      </w:r>
      <w:r>
        <w:rPr>
          <w:rStyle w:val="99"/>
          <w:rFonts w:hint="eastAsia" w:cs="Times New Roman"/>
          <w:sz w:val="24"/>
          <w:szCs w:val="24"/>
          <w:lang w:eastAsia="zh-Hans"/>
        </w:rPr>
        <w:t>周达到</w:t>
      </w:r>
      <w:r>
        <w:rPr>
          <w:rStyle w:val="99"/>
          <w:rFonts w:cs="Times New Roman"/>
          <w:sz w:val="24"/>
          <w:szCs w:val="24"/>
          <w:lang w:eastAsia="zh-Hans"/>
        </w:rPr>
        <w:t>PASI 75</w:t>
      </w:r>
      <w:r>
        <w:rPr>
          <w:rStyle w:val="99"/>
          <w:rFonts w:hint="eastAsia" w:cs="Times New Roman"/>
          <w:sz w:val="24"/>
          <w:szCs w:val="24"/>
          <w:lang w:eastAsia="zh-Hans"/>
        </w:rPr>
        <w:t>应答的</w:t>
      </w:r>
      <w:r>
        <w:rPr>
          <w:rStyle w:val="99"/>
          <w:rFonts w:hint="eastAsia" w:cs="Times New Roman"/>
          <w:sz w:val="24"/>
          <w:szCs w:val="24"/>
        </w:rPr>
        <w:t>参与者</w:t>
      </w:r>
      <w:r>
        <w:rPr>
          <w:rStyle w:val="99"/>
          <w:rFonts w:hint="eastAsia" w:cs="Times New Roman"/>
          <w:sz w:val="24"/>
          <w:szCs w:val="24"/>
          <w:lang w:eastAsia="zh-Hans"/>
        </w:rPr>
        <w:t>比例。本阶段研究的主要目的为剂量</w:t>
      </w:r>
      <w:r>
        <w:rPr>
          <w:rStyle w:val="99"/>
          <w:rFonts w:hint="eastAsia" w:cs="Times New Roman"/>
          <w:sz w:val="24"/>
          <w:szCs w:val="24"/>
        </w:rPr>
        <w:t>探索</w:t>
      </w:r>
      <w:r>
        <w:rPr>
          <w:rStyle w:val="99"/>
          <w:rFonts w:hint="eastAsia" w:cs="Times New Roman"/>
          <w:sz w:val="24"/>
          <w:szCs w:val="24"/>
          <w:lang w:eastAsia="zh-Hans"/>
        </w:rPr>
        <w:t>，样本量的估算不做正式的假设检验。</w:t>
      </w:r>
      <w:r>
        <w:rPr>
          <w:rStyle w:val="99"/>
          <w:rFonts w:cs="Times New Roman"/>
          <w:sz w:val="24"/>
          <w:szCs w:val="24"/>
          <w:lang w:eastAsia="zh-Hans"/>
        </w:rPr>
        <w:t>2</w:t>
      </w:r>
      <w:r>
        <w:rPr>
          <w:rStyle w:val="99"/>
          <w:rFonts w:hint="eastAsia" w:cs="Times New Roman"/>
          <w:sz w:val="24"/>
          <w:szCs w:val="24"/>
          <w:lang w:eastAsia="zh-Hans"/>
        </w:rPr>
        <w:t>个剂量组与安慰剂组，随机比例为</w:t>
      </w:r>
      <w:r>
        <w:rPr>
          <w:rStyle w:val="99"/>
          <w:rFonts w:cs="Times New Roman"/>
          <w:sz w:val="24"/>
          <w:szCs w:val="24"/>
          <w:lang w:eastAsia="zh-Hans"/>
        </w:rPr>
        <w:t>1:1:1</w:t>
      </w:r>
      <w:r>
        <w:rPr>
          <w:rStyle w:val="99"/>
          <w:rFonts w:hint="eastAsia" w:cs="Times New Roman"/>
          <w:sz w:val="24"/>
          <w:szCs w:val="24"/>
          <w:lang w:eastAsia="zh-Hans"/>
        </w:rPr>
        <w:t>，预计每组纳入</w:t>
      </w:r>
      <w:r>
        <w:rPr>
          <w:rStyle w:val="99"/>
          <w:rFonts w:cs="Times New Roman"/>
          <w:sz w:val="24"/>
          <w:szCs w:val="24"/>
          <w:lang w:eastAsia="zh-Hans"/>
        </w:rPr>
        <w:t>40</w:t>
      </w:r>
      <w:r>
        <w:rPr>
          <w:rStyle w:val="99"/>
          <w:rFonts w:hint="eastAsia" w:cs="Times New Roman"/>
          <w:sz w:val="24"/>
          <w:szCs w:val="24"/>
          <w:lang w:eastAsia="zh-Hans"/>
        </w:rPr>
        <w:t>例，合计</w:t>
      </w:r>
      <w:r>
        <w:rPr>
          <w:rStyle w:val="99"/>
          <w:rFonts w:hint="eastAsia" w:cs="Times New Roman"/>
          <w:sz w:val="24"/>
          <w:szCs w:val="24"/>
        </w:rPr>
        <w:t>约</w:t>
      </w:r>
      <w:r>
        <w:rPr>
          <w:rStyle w:val="99"/>
          <w:rFonts w:cs="Times New Roman"/>
          <w:sz w:val="24"/>
          <w:szCs w:val="24"/>
        </w:rPr>
        <w:t>120</w:t>
      </w:r>
      <w:r>
        <w:rPr>
          <w:rStyle w:val="99"/>
          <w:rFonts w:hint="eastAsia" w:cs="Times New Roman"/>
          <w:sz w:val="24"/>
          <w:szCs w:val="24"/>
        </w:rPr>
        <w:t>例参与者</w:t>
      </w:r>
      <w:r>
        <w:rPr>
          <w:rStyle w:val="99"/>
          <w:rFonts w:hint="eastAsia" w:cs="Times New Roman"/>
          <w:sz w:val="24"/>
          <w:szCs w:val="24"/>
          <w:lang w:eastAsia="zh-Hans"/>
        </w:rPr>
        <w:t>参与本次Ⅱ期临床试验。</w:t>
      </w:r>
    </w:p>
    <w:p w14:paraId="659554FB">
      <w:pPr>
        <w:pStyle w:val="60"/>
        <w:ind w:firstLine="0" w:firstLineChars="0"/>
        <w:rPr>
          <w:rStyle w:val="99"/>
          <w:rFonts w:cs="Times New Roman"/>
          <w:b/>
          <w:bCs/>
          <w:sz w:val="24"/>
          <w:szCs w:val="24"/>
          <w:u w:val="single"/>
          <w:lang w:eastAsia="zh-Hans"/>
        </w:rPr>
      </w:pPr>
      <w:r>
        <w:rPr>
          <w:rStyle w:val="99"/>
          <w:rFonts w:hint="eastAsia" w:cs="Times New Roman"/>
          <w:b/>
          <w:bCs/>
          <w:sz w:val="24"/>
          <w:szCs w:val="24"/>
          <w:u w:val="single"/>
          <w:lang w:eastAsia="zh-Hans"/>
        </w:rPr>
        <w:t>Ⅲ期临床阶段</w:t>
      </w:r>
    </w:p>
    <w:p w14:paraId="1DDC47F6">
      <w:pPr>
        <w:pStyle w:val="60"/>
        <w:ind w:firstLine="480"/>
        <w:rPr>
          <w:rFonts w:cs="Times New Roman"/>
          <w:sz w:val="24"/>
          <w:szCs w:val="24"/>
        </w:rPr>
      </w:pPr>
      <w:r>
        <w:rPr>
          <w:rStyle w:val="99"/>
          <w:rFonts w:hint="eastAsia" w:cs="Times New Roman"/>
          <w:sz w:val="24"/>
          <w:szCs w:val="24"/>
          <w:lang w:eastAsia="zh-Hans"/>
        </w:rPr>
        <w:t>本研究为随机、双盲、安慰剂对照评价</w:t>
      </w:r>
      <w:r>
        <w:rPr>
          <w:rStyle w:val="99"/>
          <w:rFonts w:cs="Times New Roman"/>
          <w:sz w:val="24"/>
          <w:szCs w:val="24"/>
          <w:lang w:eastAsia="zh-Hans"/>
        </w:rPr>
        <w:t>CMS-D001</w:t>
      </w:r>
      <w:r>
        <w:rPr>
          <w:rStyle w:val="99"/>
          <w:rFonts w:hint="eastAsia" w:cs="Times New Roman"/>
          <w:sz w:val="24"/>
          <w:szCs w:val="24"/>
          <w:lang w:eastAsia="zh-Hans"/>
        </w:rPr>
        <w:t>片治疗中度至重度斑块状银屑病的疗效，采用优效设计，即试验组第</w:t>
      </w:r>
      <w:r>
        <w:rPr>
          <w:rStyle w:val="99"/>
          <w:rFonts w:cs="Times New Roman"/>
          <w:sz w:val="24"/>
          <w:szCs w:val="24"/>
          <w:lang w:eastAsia="zh-Hans"/>
        </w:rPr>
        <w:t>16</w:t>
      </w:r>
      <w:r>
        <w:rPr>
          <w:rStyle w:val="99"/>
          <w:rFonts w:hint="eastAsia" w:cs="Times New Roman"/>
          <w:sz w:val="24"/>
          <w:szCs w:val="24"/>
          <w:lang w:eastAsia="zh-Hans"/>
        </w:rPr>
        <w:t>周达到</w:t>
      </w:r>
      <w:r>
        <w:rPr>
          <w:rStyle w:val="99"/>
          <w:rFonts w:cs="Times New Roman"/>
          <w:sz w:val="24"/>
          <w:szCs w:val="24"/>
          <w:lang w:eastAsia="zh-Hans"/>
        </w:rPr>
        <w:t>PASI 75</w:t>
      </w:r>
      <w:r>
        <w:rPr>
          <w:rStyle w:val="99"/>
          <w:rFonts w:hint="eastAsia" w:cs="Times New Roman"/>
          <w:sz w:val="24"/>
          <w:szCs w:val="24"/>
          <w:lang w:eastAsia="zh-Hans"/>
        </w:rPr>
        <w:t>应答的</w:t>
      </w:r>
      <w:r>
        <w:rPr>
          <w:rStyle w:val="99"/>
          <w:rFonts w:hint="eastAsia" w:cs="Times New Roman"/>
          <w:sz w:val="24"/>
          <w:szCs w:val="24"/>
        </w:rPr>
        <w:t>参与者</w:t>
      </w:r>
      <w:r>
        <w:rPr>
          <w:rStyle w:val="99"/>
          <w:rFonts w:hint="eastAsia" w:cs="Times New Roman"/>
          <w:sz w:val="24"/>
          <w:szCs w:val="24"/>
          <w:lang w:eastAsia="zh-Hans"/>
        </w:rPr>
        <w:t>比例优于安慰剂组。国外同类药物</w:t>
      </w:r>
      <w:r>
        <w:rPr>
          <w:rStyle w:val="99"/>
          <w:rFonts w:cs="Times New Roman"/>
          <w:sz w:val="24"/>
          <w:szCs w:val="24"/>
          <w:lang w:eastAsia="zh-Hans"/>
        </w:rPr>
        <w:t>Deucravacitin</w:t>
      </w:r>
      <w:r>
        <w:rPr>
          <w:rStyle w:val="99"/>
          <w:rFonts w:cs="Times New Roman"/>
          <w:sz w:val="24"/>
          <w:szCs w:val="24"/>
        </w:rPr>
        <w:t>ib</w:t>
      </w:r>
      <w:r>
        <w:rPr>
          <w:rStyle w:val="99"/>
          <w:rFonts w:hint="eastAsia" w:cs="Times New Roman"/>
          <w:sz w:val="24"/>
          <w:szCs w:val="24"/>
          <w:lang w:eastAsia="zh-Hans"/>
        </w:rPr>
        <w:t>两项</w:t>
      </w:r>
      <w:r>
        <w:rPr>
          <w:rFonts w:hint="eastAsia" w:cs="Times New Roman"/>
          <w:color w:val="000000"/>
          <w:sz w:val="24"/>
          <w:szCs w:val="24"/>
        </w:rPr>
        <w:t>Ⅲ期</w:t>
      </w:r>
      <w:r>
        <w:rPr>
          <w:rStyle w:val="99"/>
          <w:rFonts w:hint="eastAsia" w:cs="Times New Roman"/>
          <w:sz w:val="24"/>
          <w:szCs w:val="24"/>
          <w:lang w:eastAsia="zh-Hans"/>
        </w:rPr>
        <w:t>临床试验结果的</w:t>
      </w:r>
      <w:r>
        <w:rPr>
          <w:rStyle w:val="99"/>
          <w:rFonts w:cs="Times New Roman"/>
          <w:sz w:val="24"/>
          <w:szCs w:val="24"/>
          <w:lang w:eastAsia="zh-Hans"/>
        </w:rPr>
        <w:t>meta</w:t>
      </w:r>
      <w:r>
        <w:rPr>
          <w:rStyle w:val="99"/>
          <w:rFonts w:hint="eastAsia" w:cs="Times New Roman"/>
          <w:sz w:val="24"/>
          <w:szCs w:val="24"/>
          <w:lang w:eastAsia="zh-Hans"/>
        </w:rPr>
        <w:t>分析显示，试验组第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lang w:eastAsia="zh-Hans"/>
        </w:rPr>
        <w:t>PASI 75</w:t>
      </w:r>
      <w:r>
        <w:rPr>
          <w:rStyle w:val="99"/>
          <w:rFonts w:hint="eastAsia" w:cs="Times New Roman"/>
          <w:sz w:val="24"/>
          <w:szCs w:val="24"/>
          <w:lang w:eastAsia="zh-Hans"/>
        </w:rPr>
        <w:t>应答率</w:t>
      </w:r>
      <w:r>
        <w:rPr>
          <w:rStyle w:val="99"/>
          <w:rFonts w:cs="Times New Roman"/>
          <w:sz w:val="24"/>
          <w:szCs w:val="24"/>
          <w:lang w:eastAsia="zh-Hans"/>
        </w:rPr>
        <w:t>55.2% [51.8%; 58.5%]</w:t>
      </w:r>
      <w:r>
        <w:rPr>
          <w:rStyle w:val="99"/>
          <w:rFonts w:hint="eastAsia" w:cs="Times New Roman"/>
          <w:sz w:val="24"/>
          <w:szCs w:val="24"/>
          <w:lang w:eastAsia="zh-Hans"/>
        </w:rPr>
        <w:t>，安慰剂组为</w:t>
      </w:r>
      <w:r>
        <w:rPr>
          <w:rStyle w:val="99"/>
          <w:rFonts w:cs="Times New Roman"/>
          <w:sz w:val="24"/>
          <w:szCs w:val="24"/>
          <w:lang w:eastAsia="zh-Hans"/>
        </w:rPr>
        <w:t>10.7% [7.8%; 13.9%]</w:t>
      </w:r>
      <w:r>
        <w:rPr>
          <w:rStyle w:val="99"/>
          <w:rFonts w:hint="eastAsia" w:cs="Times New Roman"/>
          <w:sz w:val="24"/>
          <w:szCs w:val="24"/>
          <w:lang w:eastAsia="zh-Hans"/>
        </w:rPr>
        <w:t>，试验组与安慰剂组第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lang w:eastAsia="zh-Hans"/>
        </w:rPr>
        <w:t>PASI 75</w:t>
      </w:r>
      <w:r>
        <w:rPr>
          <w:rStyle w:val="99"/>
          <w:rFonts w:hint="eastAsia" w:cs="Times New Roman"/>
          <w:sz w:val="24"/>
          <w:szCs w:val="24"/>
          <w:lang w:eastAsia="zh-Hans"/>
        </w:rPr>
        <w:t>应答率差值为</w:t>
      </w:r>
      <w:r>
        <w:rPr>
          <w:rStyle w:val="99"/>
          <w:rFonts w:cs="Times New Roman"/>
          <w:sz w:val="24"/>
          <w:szCs w:val="24"/>
          <w:lang w:eastAsia="zh-Hans"/>
        </w:rPr>
        <w:t>44.5% [40.0%; 49.0%]</w:t>
      </w:r>
      <w:r>
        <w:rPr>
          <w:rStyle w:val="99"/>
          <w:rFonts w:hint="eastAsia" w:cs="Times New Roman"/>
          <w:sz w:val="24"/>
          <w:szCs w:val="24"/>
          <w:lang w:eastAsia="zh-Hans"/>
        </w:rPr>
        <w:t>，假定本研究药物的疗效与国外同类药物相似，保守估计安慰剂组应答率为</w:t>
      </w:r>
      <w:r>
        <w:rPr>
          <w:rStyle w:val="99"/>
          <w:rFonts w:cs="Times New Roman"/>
          <w:sz w:val="24"/>
          <w:szCs w:val="24"/>
          <w:lang w:eastAsia="zh-Hans"/>
        </w:rPr>
        <w:t>13.9%</w:t>
      </w:r>
      <w:r>
        <w:rPr>
          <w:rStyle w:val="99"/>
          <w:rFonts w:hint="eastAsia" w:cs="Times New Roman"/>
          <w:sz w:val="24"/>
          <w:szCs w:val="24"/>
          <w:lang w:eastAsia="zh-Hans"/>
        </w:rPr>
        <w:t>，两组差异为</w:t>
      </w:r>
      <w:r>
        <w:rPr>
          <w:rStyle w:val="99"/>
          <w:rFonts w:cs="Times New Roman"/>
          <w:sz w:val="24"/>
          <w:szCs w:val="24"/>
          <w:lang w:eastAsia="zh-Hans"/>
        </w:rPr>
        <w:t>40.0%</w:t>
      </w:r>
      <w:r>
        <w:rPr>
          <w:rStyle w:val="99"/>
          <w:rFonts w:hint="eastAsia" w:cs="Times New Roman"/>
          <w:sz w:val="24"/>
          <w:szCs w:val="24"/>
          <w:lang w:eastAsia="zh-Hans"/>
        </w:rPr>
        <w:t>，单侧检验显著性水平</w:t>
      </w:r>
      <w:r>
        <w:rPr>
          <w:rStyle w:val="99"/>
          <w:rFonts w:cs="Times New Roman"/>
          <w:sz w:val="24"/>
          <w:szCs w:val="24"/>
          <w:lang w:eastAsia="zh-Hans"/>
        </w:rPr>
        <w:t>α=0.025</w:t>
      </w:r>
      <w:r>
        <w:rPr>
          <w:rStyle w:val="99"/>
          <w:rFonts w:hint="eastAsia" w:cs="Times New Roman"/>
          <w:sz w:val="24"/>
          <w:szCs w:val="24"/>
          <w:lang w:eastAsia="zh-Hans"/>
        </w:rPr>
        <w:t>，按照</w:t>
      </w:r>
      <w:r>
        <w:rPr>
          <w:rStyle w:val="99"/>
          <w:rFonts w:cs="Times New Roman"/>
          <w:sz w:val="24"/>
          <w:szCs w:val="24"/>
        </w:rPr>
        <w:t>2</w:t>
      </w:r>
      <w:r>
        <w:rPr>
          <w:rStyle w:val="99"/>
          <w:rFonts w:cs="Times New Roman"/>
          <w:sz w:val="24"/>
          <w:szCs w:val="24"/>
          <w:lang w:eastAsia="zh-Hans"/>
        </w:rPr>
        <w:t>:1</w:t>
      </w:r>
      <w:r>
        <w:rPr>
          <w:rStyle w:val="99"/>
          <w:rFonts w:hint="eastAsia" w:cs="Times New Roman"/>
          <w:sz w:val="24"/>
          <w:szCs w:val="24"/>
          <w:lang w:eastAsia="zh-Hans"/>
        </w:rPr>
        <w:t>比例随机分配至试验组与安慰剂组，两组合计</w:t>
      </w:r>
      <w:r>
        <w:rPr>
          <w:rStyle w:val="99"/>
          <w:rFonts w:cs="Times New Roman"/>
          <w:sz w:val="24"/>
          <w:szCs w:val="24"/>
          <w:lang w:eastAsia="zh-Hans"/>
        </w:rPr>
        <w:t>2</w:t>
      </w:r>
      <w:r>
        <w:rPr>
          <w:rStyle w:val="99"/>
          <w:rFonts w:cs="Times New Roman"/>
          <w:sz w:val="24"/>
          <w:szCs w:val="24"/>
        </w:rPr>
        <w:t>01</w:t>
      </w:r>
      <w:r>
        <w:rPr>
          <w:rStyle w:val="99"/>
          <w:rFonts w:hint="eastAsia" w:cs="Times New Roman"/>
          <w:sz w:val="24"/>
          <w:szCs w:val="24"/>
          <w:lang w:eastAsia="zh-Hans"/>
        </w:rPr>
        <w:t>例</w:t>
      </w:r>
      <w:r>
        <w:rPr>
          <w:rStyle w:val="99"/>
          <w:rFonts w:hint="eastAsia" w:cs="Times New Roman"/>
          <w:sz w:val="24"/>
          <w:szCs w:val="24"/>
        </w:rPr>
        <w:t>参与者</w:t>
      </w:r>
      <w:r>
        <w:rPr>
          <w:rStyle w:val="99"/>
          <w:rFonts w:hint="eastAsia" w:cs="Times New Roman"/>
          <w:sz w:val="24"/>
          <w:szCs w:val="24"/>
          <w:lang w:eastAsia="zh-Hans"/>
        </w:rPr>
        <w:t>完成第</w:t>
      </w:r>
      <w:r>
        <w:rPr>
          <w:rStyle w:val="99"/>
          <w:rFonts w:cs="Times New Roman"/>
          <w:sz w:val="24"/>
          <w:szCs w:val="24"/>
          <w:lang w:eastAsia="zh-Hans"/>
        </w:rPr>
        <w:t>16</w:t>
      </w:r>
      <w:r>
        <w:rPr>
          <w:rStyle w:val="99"/>
          <w:rFonts w:hint="eastAsia" w:cs="Times New Roman"/>
          <w:sz w:val="24"/>
          <w:szCs w:val="24"/>
          <w:lang w:eastAsia="zh-Hans"/>
        </w:rPr>
        <w:t>周评估，有</w:t>
      </w:r>
      <w:r>
        <w:rPr>
          <w:rStyle w:val="99"/>
          <w:rFonts w:cs="Times New Roman"/>
          <w:sz w:val="24"/>
          <w:szCs w:val="24"/>
          <w:lang w:eastAsia="zh-Hans"/>
        </w:rPr>
        <w:t>99%</w:t>
      </w:r>
      <w:r>
        <w:rPr>
          <w:rStyle w:val="99"/>
          <w:rFonts w:hint="eastAsia" w:cs="Times New Roman"/>
          <w:sz w:val="24"/>
          <w:szCs w:val="24"/>
          <w:lang w:eastAsia="zh-Hans"/>
        </w:rPr>
        <w:t>的把握度检验出试验组</w:t>
      </w:r>
      <w:r>
        <w:rPr>
          <w:rStyle w:val="99"/>
          <w:rFonts w:cs="Times New Roman"/>
          <w:sz w:val="24"/>
          <w:szCs w:val="24"/>
          <w:lang w:eastAsia="zh-Hans"/>
        </w:rPr>
        <w:t>PASI 75</w:t>
      </w:r>
      <w:r>
        <w:rPr>
          <w:rStyle w:val="99"/>
          <w:rFonts w:hint="eastAsia" w:cs="Times New Roman"/>
          <w:sz w:val="24"/>
          <w:szCs w:val="24"/>
          <w:lang w:eastAsia="zh-Hans"/>
        </w:rPr>
        <w:t>应答率显著优于安慰剂组。</w:t>
      </w:r>
    </w:p>
    <w:p w14:paraId="11E6026C">
      <w:pPr>
        <w:pStyle w:val="60"/>
        <w:ind w:firstLine="480"/>
        <w:rPr>
          <w:rStyle w:val="99"/>
          <w:rFonts w:cs="Times New Roman"/>
          <w:sz w:val="24"/>
          <w:szCs w:val="24"/>
          <w:lang w:eastAsia="zh-Hans"/>
        </w:rPr>
      </w:pPr>
      <w:r>
        <w:rPr>
          <w:rStyle w:val="99"/>
          <w:rFonts w:hint="eastAsia" w:cs="Times New Roman"/>
          <w:sz w:val="24"/>
          <w:szCs w:val="24"/>
          <w:lang w:eastAsia="zh-Hans"/>
        </w:rPr>
        <w:t>同时，根据</w:t>
      </w:r>
      <w:r>
        <w:rPr>
          <w:rStyle w:val="99"/>
          <w:rFonts w:cs="Times New Roman"/>
          <w:sz w:val="24"/>
          <w:szCs w:val="24"/>
          <w:lang w:eastAsia="zh-Hans"/>
        </w:rPr>
        <w:t>Deucravacitin</w:t>
      </w:r>
      <w:r>
        <w:rPr>
          <w:rStyle w:val="99"/>
          <w:rFonts w:cs="Times New Roman"/>
          <w:sz w:val="24"/>
          <w:szCs w:val="24"/>
        </w:rPr>
        <w:t>ib</w:t>
      </w:r>
      <w:r>
        <w:rPr>
          <w:rStyle w:val="99"/>
          <w:rFonts w:hint="eastAsia" w:cs="Times New Roman"/>
          <w:sz w:val="24"/>
          <w:szCs w:val="24"/>
          <w:lang w:eastAsia="zh-Hans"/>
        </w:rPr>
        <w:t>两项Ⅲ期临床试验结果的</w:t>
      </w:r>
      <w:r>
        <w:rPr>
          <w:rStyle w:val="99"/>
          <w:rFonts w:cs="Times New Roman"/>
          <w:sz w:val="24"/>
          <w:szCs w:val="24"/>
          <w:lang w:eastAsia="zh-Hans"/>
        </w:rPr>
        <w:t>meta</w:t>
      </w:r>
      <w:r>
        <w:rPr>
          <w:rStyle w:val="99"/>
          <w:rFonts w:hint="eastAsia" w:cs="Times New Roman"/>
          <w:sz w:val="24"/>
          <w:szCs w:val="24"/>
          <w:lang w:eastAsia="zh-Hans"/>
        </w:rPr>
        <w:t>分析显示，试验组第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lang w:eastAsia="zh-Hans"/>
        </w:rPr>
        <w:t>PGA-TS</w:t>
      </w:r>
      <w:r>
        <w:rPr>
          <w:rStyle w:val="99"/>
          <w:rFonts w:hint="eastAsia" w:cs="Times New Roman"/>
          <w:sz w:val="24"/>
          <w:szCs w:val="24"/>
          <w:lang w:eastAsia="zh-Hans"/>
        </w:rPr>
        <w:t>应答率</w:t>
      </w:r>
      <w:r>
        <w:rPr>
          <w:rStyle w:val="99"/>
          <w:rFonts w:cs="Times New Roman"/>
          <w:sz w:val="24"/>
          <w:szCs w:val="24"/>
          <w:lang w:eastAsia="zh-Hans"/>
        </w:rPr>
        <w:t>51.3% [47.9%; 54.6%]</w:t>
      </w:r>
      <w:r>
        <w:rPr>
          <w:rStyle w:val="99"/>
          <w:rFonts w:hint="eastAsia" w:cs="Times New Roman"/>
          <w:sz w:val="24"/>
          <w:szCs w:val="24"/>
          <w:lang w:eastAsia="zh-Hans"/>
        </w:rPr>
        <w:t>，安慰剂组为</w:t>
      </w:r>
      <w:r>
        <w:rPr>
          <w:rStyle w:val="99"/>
          <w:rFonts w:cs="Times New Roman"/>
          <w:sz w:val="24"/>
          <w:szCs w:val="24"/>
          <w:lang w:eastAsia="zh-Hans"/>
        </w:rPr>
        <w:t>8.1% [5.8%; 11.1%]</w:t>
      </w:r>
      <w:r>
        <w:rPr>
          <w:rStyle w:val="99"/>
          <w:rFonts w:hint="eastAsia" w:cs="Times New Roman"/>
          <w:sz w:val="24"/>
          <w:szCs w:val="24"/>
          <w:lang w:eastAsia="zh-Hans"/>
        </w:rPr>
        <w:t>，试验组与安慰剂组第</w:t>
      </w:r>
      <w:r>
        <w:rPr>
          <w:rStyle w:val="99"/>
          <w:rFonts w:cs="Times New Roman"/>
          <w:sz w:val="24"/>
          <w:szCs w:val="24"/>
          <w:lang w:eastAsia="zh-Hans"/>
        </w:rPr>
        <w:t>16</w:t>
      </w:r>
      <w:r>
        <w:rPr>
          <w:rStyle w:val="99"/>
          <w:rFonts w:hint="eastAsia" w:cs="Times New Roman"/>
          <w:sz w:val="24"/>
          <w:szCs w:val="24"/>
          <w:lang w:eastAsia="zh-Hans"/>
        </w:rPr>
        <w:t>周时</w:t>
      </w:r>
      <w:r>
        <w:rPr>
          <w:rStyle w:val="99"/>
          <w:rFonts w:cs="Times New Roman"/>
          <w:sz w:val="24"/>
          <w:szCs w:val="24"/>
          <w:lang w:eastAsia="zh-Hans"/>
        </w:rPr>
        <w:t>PGA-TS</w:t>
      </w:r>
      <w:r>
        <w:rPr>
          <w:rStyle w:val="99"/>
          <w:rFonts w:hint="eastAsia" w:cs="Times New Roman"/>
          <w:sz w:val="24"/>
          <w:szCs w:val="24"/>
          <w:lang w:eastAsia="zh-Hans"/>
        </w:rPr>
        <w:t>应答率差值为</w:t>
      </w:r>
      <w:r>
        <w:rPr>
          <w:rStyle w:val="99"/>
          <w:rFonts w:cs="Times New Roman"/>
          <w:sz w:val="24"/>
          <w:szCs w:val="24"/>
          <w:lang w:eastAsia="zh-Hans"/>
        </w:rPr>
        <w:t>43.2% [38.9%; 47.4%]</w:t>
      </w:r>
      <w:r>
        <w:rPr>
          <w:rStyle w:val="99"/>
          <w:rFonts w:hint="eastAsia" w:cs="Times New Roman"/>
          <w:sz w:val="24"/>
          <w:szCs w:val="24"/>
          <w:lang w:eastAsia="zh-Hans"/>
        </w:rPr>
        <w:t>，保守假定安慰剂组第</w:t>
      </w:r>
      <w:r>
        <w:rPr>
          <w:rStyle w:val="99"/>
          <w:rFonts w:cs="Times New Roman"/>
          <w:sz w:val="24"/>
          <w:szCs w:val="24"/>
          <w:lang w:eastAsia="zh-Hans"/>
        </w:rPr>
        <w:t>16</w:t>
      </w:r>
      <w:r>
        <w:rPr>
          <w:rStyle w:val="99"/>
          <w:rFonts w:hint="eastAsia" w:cs="Times New Roman"/>
          <w:sz w:val="24"/>
          <w:szCs w:val="24"/>
          <w:lang w:eastAsia="zh-Hans"/>
        </w:rPr>
        <w:t>周</w:t>
      </w:r>
      <w:r>
        <w:rPr>
          <w:rStyle w:val="99"/>
          <w:rFonts w:cs="Times New Roman"/>
          <w:sz w:val="24"/>
          <w:szCs w:val="24"/>
          <w:lang w:eastAsia="zh-Hans"/>
        </w:rPr>
        <w:t>PGA-TS</w:t>
      </w:r>
      <w:r>
        <w:rPr>
          <w:rStyle w:val="99"/>
          <w:rFonts w:hint="eastAsia" w:cs="Times New Roman"/>
          <w:sz w:val="24"/>
          <w:szCs w:val="24"/>
          <w:lang w:eastAsia="zh-Hans"/>
        </w:rPr>
        <w:t>应答率为</w:t>
      </w:r>
      <w:r>
        <w:rPr>
          <w:rStyle w:val="99"/>
          <w:rFonts w:cs="Times New Roman"/>
          <w:sz w:val="24"/>
          <w:szCs w:val="24"/>
          <w:lang w:eastAsia="zh-Hans"/>
        </w:rPr>
        <w:t>11.1%</w:t>
      </w:r>
      <w:r>
        <w:rPr>
          <w:rStyle w:val="99"/>
          <w:rFonts w:hint="eastAsia" w:cs="Times New Roman"/>
          <w:sz w:val="24"/>
          <w:szCs w:val="24"/>
          <w:lang w:eastAsia="zh-Hans"/>
        </w:rPr>
        <w:t>，试验组与安慰剂组的差异为</w:t>
      </w:r>
      <w:r>
        <w:rPr>
          <w:rStyle w:val="99"/>
          <w:rFonts w:cs="Times New Roman"/>
          <w:sz w:val="24"/>
          <w:szCs w:val="24"/>
          <w:lang w:eastAsia="zh-Hans"/>
        </w:rPr>
        <w:t>47.4%</w:t>
      </w:r>
      <w:r>
        <w:rPr>
          <w:rStyle w:val="99"/>
          <w:rFonts w:hint="eastAsia" w:cs="Times New Roman"/>
          <w:sz w:val="24"/>
          <w:szCs w:val="24"/>
          <w:lang w:eastAsia="zh-Hans"/>
        </w:rPr>
        <w:t>，上述</w:t>
      </w:r>
      <w:r>
        <w:rPr>
          <w:rStyle w:val="99"/>
          <w:rFonts w:cs="Times New Roman"/>
          <w:sz w:val="24"/>
          <w:szCs w:val="24"/>
          <w:lang w:eastAsia="zh-Hans"/>
        </w:rPr>
        <w:t>201</w:t>
      </w:r>
      <w:r>
        <w:rPr>
          <w:rStyle w:val="99"/>
          <w:rFonts w:hint="eastAsia" w:cs="Times New Roman"/>
          <w:sz w:val="24"/>
          <w:szCs w:val="24"/>
          <w:lang w:eastAsia="zh-Hans"/>
        </w:rPr>
        <w:t>例参与者同样可提供</w:t>
      </w:r>
      <w:r>
        <w:rPr>
          <w:rStyle w:val="99"/>
          <w:rFonts w:cs="Times New Roman"/>
          <w:sz w:val="24"/>
          <w:szCs w:val="24"/>
          <w:lang w:eastAsia="zh-Hans"/>
        </w:rPr>
        <w:t>99%</w:t>
      </w:r>
      <w:r>
        <w:rPr>
          <w:rStyle w:val="99"/>
          <w:rFonts w:hint="eastAsia" w:cs="Times New Roman"/>
          <w:sz w:val="24"/>
          <w:szCs w:val="24"/>
          <w:lang w:eastAsia="zh-Hans"/>
        </w:rPr>
        <w:t>的把握度在单侧</w:t>
      </w:r>
      <w:r>
        <w:rPr>
          <w:rStyle w:val="99"/>
          <w:rFonts w:cs="Times New Roman"/>
          <w:sz w:val="24"/>
          <w:szCs w:val="24"/>
          <w:lang w:eastAsia="zh-Hans"/>
        </w:rPr>
        <w:t>alpha=0.025</w:t>
      </w:r>
      <w:r>
        <w:rPr>
          <w:rStyle w:val="99"/>
          <w:rFonts w:hint="eastAsia" w:cs="Times New Roman"/>
          <w:sz w:val="24"/>
          <w:szCs w:val="24"/>
          <w:lang w:eastAsia="zh-Hans"/>
        </w:rPr>
        <w:t>的水平上检验出两组的差异。</w:t>
      </w:r>
    </w:p>
    <w:p w14:paraId="0B5D0EC0">
      <w:pPr>
        <w:pStyle w:val="60"/>
        <w:ind w:firstLine="480"/>
        <w:rPr>
          <w:rStyle w:val="99"/>
          <w:rFonts w:eastAsia="黑体" w:cs="Times New Roman"/>
          <w:color w:val="auto"/>
          <w:sz w:val="24"/>
          <w:szCs w:val="24"/>
          <w:lang w:eastAsia="zh-Hans"/>
        </w:rPr>
      </w:pPr>
      <w:r>
        <w:rPr>
          <w:rStyle w:val="99"/>
          <w:rFonts w:hint="eastAsia" w:cs="Times New Roman"/>
          <w:sz w:val="24"/>
          <w:szCs w:val="24"/>
          <w:lang w:eastAsia="zh-Hans"/>
        </w:rPr>
        <w:t>本次Ⅲ期临床试验计划按照Ⅱ期临床试验设置</w:t>
      </w:r>
      <w:r>
        <w:rPr>
          <w:rStyle w:val="99"/>
          <w:rFonts w:cs="Times New Roman"/>
          <w:sz w:val="24"/>
          <w:szCs w:val="24"/>
          <w:lang w:eastAsia="zh-Hans"/>
        </w:rPr>
        <w:t>2</w:t>
      </w:r>
      <w:r>
        <w:rPr>
          <w:rStyle w:val="99"/>
          <w:rFonts w:hint="eastAsia" w:cs="Times New Roman"/>
          <w:sz w:val="24"/>
          <w:szCs w:val="24"/>
          <w:lang w:eastAsia="zh-Hans"/>
        </w:rPr>
        <w:t>个剂量组</w:t>
      </w:r>
      <w:r>
        <w:rPr>
          <w:rFonts w:hint="eastAsia" w:cs="Times New Roman"/>
          <w:sz w:val="24"/>
          <w:szCs w:val="24"/>
          <w:lang w:eastAsia="zh-Hans"/>
        </w:rPr>
        <w:t>（或基于Ⅱ期研究结果确定的推荐剂量组）</w:t>
      </w:r>
      <w:r>
        <w:rPr>
          <w:rStyle w:val="99"/>
          <w:rFonts w:hint="eastAsia" w:cs="Times New Roman"/>
          <w:sz w:val="24"/>
          <w:szCs w:val="24"/>
          <w:lang w:eastAsia="zh-Hans"/>
        </w:rPr>
        <w:t>和</w:t>
      </w:r>
      <w:r>
        <w:rPr>
          <w:rStyle w:val="99"/>
          <w:rFonts w:cs="Times New Roman"/>
          <w:sz w:val="24"/>
          <w:szCs w:val="24"/>
          <w:lang w:eastAsia="zh-Hans"/>
        </w:rPr>
        <w:t>1</w:t>
      </w:r>
      <w:r>
        <w:rPr>
          <w:rStyle w:val="99"/>
          <w:rFonts w:hint="eastAsia" w:cs="Times New Roman"/>
          <w:sz w:val="24"/>
          <w:szCs w:val="24"/>
          <w:lang w:eastAsia="zh-Hans"/>
        </w:rPr>
        <w:t>个安慰剂组，考虑</w:t>
      </w:r>
      <w:r>
        <w:rPr>
          <w:rStyle w:val="99"/>
          <w:rFonts w:cs="Times New Roman"/>
          <w:sz w:val="24"/>
          <w:szCs w:val="24"/>
          <w:lang w:eastAsia="zh-Hans"/>
        </w:rPr>
        <w:t>20%</w:t>
      </w:r>
      <w:r>
        <w:rPr>
          <w:rStyle w:val="99"/>
          <w:rFonts w:hint="eastAsia" w:cs="Times New Roman"/>
          <w:sz w:val="24"/>
          <w:szCs w:val="24"/>
          <w:lang w:eastAsia="zh-Hans"/>
        </w:rPr>
        <w:t>的脱落，计划最多入组</w:t>
      </w:r>
      <w:r>
        <w:rPr>
          <w:rStyle w:val="99"/>
          <w:rFonts w:cs="Times New Roman"/>
          <w:sz w:val="24"/>
          <w:szCs w:val="24"/>
          <w:lang w:eastAsia="zh-Hans"/>
        </w:rPr>
        <w:t>420</w:t>
      </w:r>
      <w:r>
        <w:rPr>
          <w:rStyle w:val="99"/>
          <w:rFonts w:hint="eastAsia" w:cs="Times New Roman"/>
          <w:sz w:val="24"/>
          <w:szCs w:val="24"/>
          <w:lang w:eastAsia="zh-Hans"/>
        </w:rPr>
        <w:t>例</w:t>
      </w:r>
      <w:r>
        <w:rPr>
          <w:rStyle w:val="99"/>
          <w:rFonts w:hint="eastAsia" w:cs="Times New Roman"/>
          <w:sz w:val="24"/>
          <w:szCs w:val="24"/>
        </w:rPr>
        <w:t>参与者</w:t>
      </w:r>
      <w:r>
        <w:rPr>
          <w:rStyle w:val="99"/>
          <w:rFonts w:hint="eastAsia" w:cs="Times New Roman"/>
          <w:sz w:val="24"/>
          <w:szCs w:val="24"/>
          <w:lang w:eastAsia="zh-Hans"/>
        </w:rPr>
        <w:t>，按照</w:t>
      </w:r>
      <w:r>
        <w:rPr>
          <w:rStyle w:val="99"/>
          <w:rFonts w:cs="Times New Roman"/>
          <w:sz w:val="24"/>
          <w:szCs w:val="24"/>
        </w:rPr>
        <w:t>2:2:1</w:t>
      </w:r>
      <w:r>
        <w:rPr>
          <w:rStyle w:val="99"/>
          <w:rFonts w:hint="eastAsia" w:cs="Times New Roman"/>
          <w:sz w:val="24"/>
          <w:szCs w:val="24"/>
        </w:rPr>
        <w:t>的比例</w:t>
      </w:r>
      <w:r>
        <w:rPr>
          <w:rStyle w:val="99"/>
          <w:rFonts w:hint="eastAsia" w:cs="Times New Roman"/>
          <w:sz w:val="24"/>
          <w:szCs w:val="24"/>
          <w:lang w:eastAsia="zh-Hans"/>
        </w:rPr>
        <w:t>分配至试验组或安慰剂组</w:t>
      </w:r>
      <w:r>
        <w:rPr>
          <w:rStyle w:val="99"/>
          <w:rFonts w:hint="eastAsia" w:cs="Times New Roman"/>
          <w:sz w:val="24"/>
          <w:szCs w:val="24"/>
        </w:rPr>
        <w:t>（其中每个试验组不计转组治疗例数时最多</w:t>
      </w:r>
      <w:r>
        <w:rPr>
          <w:rStyle w:val="99"/>
          <w:rFonts w:cs="Times New Roman"/>
          <w:sz w:val="24"/>
          <w:szCs w:val="24"/>
        </w:rPr>
        <w:t>168</w:t>
      </w:r>
      <w:r>
        <w:rPr>
          <w:rStyle w:val="99"/>
          <w:rFonts w:hint="eastAsia" w:cs="Times New Roman"/>
          <w:sz w:val="24"/>
          <w:szCs w:val="24"/>
        </w:rPr>
        <w:t>例，安慰剂组最多</w:t>
      </w:r>
      <w:r>
        <w:rPr>
          <w:rStyle w:val="99"/>
          <w:rFonts w:cs="Times New Roman"/>
          <w:sz w:val="24"/>
          <w:szCs w:val="24"/>
        </w:rPr>
        <w:t>84</w:t>
      </w:r>
      <w:r>
        <w:rPr>
          <w:rStyle w:val="99"/>
          <w:rFonts w:hint="eastAsia" w:cs="Times New Roman"/>
          <w:sz w:val="24"/>
          <w:szCs w:val="24"/>
        </w:rPr>
        <w:t>例）</w:t>
      </w:r>
      <w:r>
        <w:rPr>
          <w:rStyle w:val="99"/>
          <w:rFonts w:hint="eastAsia" w:cs="Times New Roman"/>
          <w:sz w:val="24"/>
          <w:szCs w:val="24"/>
          <w:lang w:eastAsia="zh-Hans"/>
        </w:rPr>
        <w:t>，可同时满足疗效与安全性分析需求。</w:t>
      </w:r>
    </w:p>
    <w:p w14:paraId="74988896">
      <w:pPr>
        <w:pStyle w:val="116"/>
        <w:numPr>
          <w:ilvl w:val="1"/>
          <w:numId w:val="12"/>
        </w:numPr>
        <w:rPr>
          <w:rFonts w:cs="Times New Roman"/>
          <w:sz w:val="24"/>
          <w:szCs w:val="24"/>
        </w:rPr>
      </w:pPr>
      <w:bookmarkStart w:id="348" w:name="_Toc217032329"/>
      <w:r>
        <w:rPr>
          <w:rFonts w:hint="eastAsia" w:cs="Times New Roman"/>
          <w:sz w:val="24"/>
          <w:szCs w:val="24"/>
        </w:rPr>
        <w:t>统计分析集的定义</w:t>
      </w:r>
      <w:bookmarkEnd w:id="348"/>
    </w:p>
    <w:p w14:paraId="7F1AFEB4">
      <w:pPr>
        <w:pStyle w:val="60"/>
        <w:ind w:firstLine="482"/>
        <w:rPr>
          <w:rStyle w:val="99"/>
          <w:rFonts w:cs="Times New Roman"/>
          <w:b/>
          <w:bCs/>
          <w:sz w:val="24"/>
          <w:szCs w:val="24"/>
        </w:rPr>
      </w:pPr>
      <w:r>
        <w:rPr>
          <w:rStyle w:val="99"/>
          <w:rFonts w:hint="eastAsia" w:cs="Times New Roman"/>
          <w:b/>
          <w:bCs/>
          <w:sz w:val="24"/>
          <w:szCs w:val="24"/>
          <w:lang w:eastAsia="zh-Hans"/>
        </w:rPr>
        <w:t>统计分析数据集</w:t>
      </w:r>
      <w:r>
        <w:rPr>
          <w:rStyle w:val="99"/>
          <w:rFonts w:hint="eastAsia" w:cs="Times New Roman"/>
          <w:b/>
          <w:bCs/>
          <w:sz w:val="24"/>
          <w:szCs w:val="24"/>
        </w:rPr>
        <w:t>：</w:t>
      </w:r>
    </w:p>
    <w:p w14:paraId="1F68FA2C">
      <w:pPr>
        <w:pStyle w:val="60"/>
        <w:ind w:firstLine="480"/>
        <w:rPr>
          <w:rStyle w:val="99"/>
          <w:rFonts w:cs="Times New Roman"/>
          <w:sz w:val="24"/>
          <w:szCs w:val="24"/>
        </w:rPr>
      </w:pPr>
      <w:r>
        <w:rPr>
          <w:rStyle w:val="99"/>
          <w:rFonts w:cs="Times New Roman"/>
          <w:sz w:val="24"/>
          <w:szCs w:val="24"/>
        </w:rPr>
        <w:t>ITT</w:t>
      </w:r>
      <w:r>
        <w:rPr>
          <w:rStyle w:val="99"/>
          <w:rFonts w:hint="eastAsia" w:cs="Times New Roman"/>
          <w:sz w:val="24"/>
          <w:szCs w:val="24"/>
        </w:rPr>
        <w:t>集（</w:t>
      </w:r>
      <w:r>
        <w:rPr>
          <w:rStyle w:val="99"/>
          <w:rFonts w:cs="Times New Roman"/>
          <w:sz w:val="24"/>
          <w:szCs w:val="24"/>
        </w:rPr>
        <w:t>Intention-to-Treat</w:t>
      </w:r>
      <w:r>
        <w:rPr>
          <w:rStyle w:val="99"/>
          <w:rFonts w:hint="eastAsia" w:cs="Times New Roman"/>
          <w:sz w:val="24"/>
          <w:szCs w:val="24"/>
        </w:rPr>
        <w:t>，</w:t>
      </w:r>
      <w:r>
        <w:rPr>
          <w:rStyle w:val="99"/>
          <w:rFonts w:cs="Times New Roman"/>
          <w:sz w:val="24"/>
          <w:szCs w:val="24"/>
        </w:rPr>
        <w:t>ITT</w:t>
      </w:r>
      <w:r>
        <w:rPr>
          <w:rStyle w:val="99"/>
          <w:rFonts w:hint="eastAsia" w:cs="Times New Roman"/>
          <w:sz w:val="24"/>
          <w:szCs w:val="24"/>
        </w:rPr>
        <w:t>）：包括所有经随机化分组后的参与者。参与者将根据随机分配的治疗组进行分析。</w:t>
      </w:r>
      <w:r>
        <w:rPr>
          <w:rStyle w:val="99"/>
          <w:rFonts w:cs="Times New Roman"/>
          <w:sz w:val="24"/>
          <w:szCs w:val="24"/>
        </w:rPr>
        <w:t>ITT</w:t>
      </w:r>
      <w:r>
        <w:rPr>
          <w:rStyle w:val="99"/>
          <w:rFonts w:hint="eastAsia" w:cs="Times New Roman"/>
          <w:sz w:val="24"/>
          <w:szCs w:val="24"/>
        </w:rPr>
        <w:t>集将作为人口学、基线及有效性指标的主要分析集。</w:t>
      </w:r>
    </w:p>
    <w:p w14:paraId="0A3B3016">
      <w:pPr>
        <w:pStyle w:val="60"/>
        <w:ind w:firstLine="480"/>
        <w:rPr>
          <w:rStyle w:val="99"/>
          <w:rFonts w:cs="Times New Roman"/>
          <w:sz w:val="24"/>
          <w:szCs w:val="24"/>
        </w:rPr>
      </w:pPr>
      <w:r>
        <w:rPr>
          <w:rStyle w:val="99"/>
          <w:rFonts w:hint="eastAsia" w:cs="Times New Roman"/>
          <w:sz w:val="24"/>
          <w:szCs w:val="24"/>
        </w:rPr>
        <w:t>安全性分析集（</w:t>
      </w:r>
      <w:r>
        <w:rPr>
          <w:rStyle w:val="99"/>
          <w:rFonts w:cs="Times New Roman"/>
          <w:sz w:val="24"/>
          <w:szCs w:val="24"/>
        </w:rPr>
        <w:t>Safety Set</w:t>
      </w:r>
      <w:r>
        <w:rPr>
          <w:rStyle w:val="99"/>
          <w:rFonts w:hint="eastAsia" w:cs="Times New Roman"/>
          <w:sz w:val="24"/>
          <w:szCs w:val="24"/>
        </w:rPr>
        <w:t>，</w:t>
      </w:r>
      <w:r>
        <w:rPr>
          <w:rStyle w:val="99"/>
          <w:rFonts w:cs="Times New Roman"/>
          <w:sz w:val="24"/>
          <w:szCs w:val="24"/>
        </w:rPr>
        <w:t>SS</w:t>
      </w:r>
      <w:r>
        <w:rPr>
          <w:rStyle w:val="99"/>
          <w:rFonts w:hint="eastAsia" w:cs="Times New Roman"/>
          <w:sz w:val="24"/>
          <w:szCs w:val="24"/>
        </w:rPr>
        <w:t>）：包括所有经随机化分组且至少接受一次试验用药品且具有用药后安全性评价数据的参与者。安全性人群将主要用于药物暴露和其他安全性数据的分析，将基于接受的实际治疗进行分析。</w:t>
      </w:r>
    </w:p>
    <w:p w14:paraId="0B204A29">
      <w:pPr>
        <w:pStyle w:val="60"/>
        <w:ind w:firstLine="480"/>
        <w:rPr>
          <w:rStyle w:val="99"/>
          <w:rFonts w:cs="Times New Roman"/>
          <w:sz w:val="24"/>
          <w:szCs w:val="24"/>
        </w:rPr>
      </w:pPr>
      <w:r>
        <w:rPr>
          <w:rStyle w:val="99"/>
          <w:rFonts w:hint="eastAsia" w:cs="Times New Roman"/>
          <w:sz w:val="24"/>
          <w:szCs w:val="24"/>
        </w:rPr>
        <w:t>药代动力学浓度集（</w:t>
      </w:r>
      <w:r>
        <w:rPr>
          <w:rStyle w:val="99"/>
          <w:rFonts w:cs="Times New Roman"/>
          <w:sz w:val="24"/>
          <w:szCs w:val="24"/>
        </w:rPr>
        <w:t>Pharmacokinetics Concentration Set</w:t>
      </w:r>
      <w:r>
        <w:rPr>
          <w:rStyle w:val="99"/>
          <w:rFonts w:hint="eastAsia" w:cs="Times New Roman"/>
          <w:sz w:val="24"/>
          <w:szCs w:val="24"/>
        </w:rPr>
        <w:t>，</w:t>
      </w:r>
      <w:r>
        <w:rPr>
          <w:rStyle w:val="99"/>
          <w:rFonts w:cs="Times New Roman"/>
          <w:sz w:val="24"/>
          <w:szCs w:val="24"/>
        </w:rPr>
        <w:t>PKCS</w:t>
      </w:r>
      <w:r>
        <w:rPr>
          <w:rStyle w:val="99"/>
          <w:rFonts w:hint="eastAsia" w:cs="Times New Roman"/>
          <w:sz w:val="24"/>
          <w:szCs w:val="24"/>
        </w:rPr>
        <w:t>）：包括所有经随机化分组且至少接受一次</w:t>
      </w:r>
      <w:r>
        <w:rPr>
          <w:rStyle w:val="99"/>
          <w:rFonts w:cs="Times New Roman"/>
          <w:sz w:val="24"/>
          <w:szCs w:val="24"/>
        </w:rPr>
        <w:t>CMS-D001</w:t>
      </w:r>
      <w:r>
        <w:rPr>
          <w:rStyle w:val="99"/>
          <w:rFonts w:hint="eastAsia" w:cs="Times New Roman"/>
          <w:sz w:val="24"/>
          <w:szCs w:val="24"/>
        </w:rPr>
        <w:t>片，且至少有</w:t>
      </w:r>
      <w:r>
        <w:rPr>
          <w:rStyle w:val="99"/>
          <w:rFonts w:cs="Times New Roman"/>
          <w:sz w:val="24"/>
          <w:szCs w:val="24"/>
        </w:rPr>
        <w:t>1</w:t>
      </w:r>
      <w:r>
        <w:rPr>
          <w:rStyle w:val="99"/>
          <w:rFonts w:hint="eastAsia" w:cs="Times New Roman"/>
          <w:sz w:val="24"/>
          <w:szCs w:val="24"/>
        </w:rPr>
        <w:t>个给药后</w:t>
      </w:r>
      <w:r>
        <w:rPr>
          <w:rStyle w:val="99"/>
          <w:rFonts w:cs="Times New Roman"/>
          <w:sz w:val="24"/>
          <w:szCs w:val="24"/>
        </w:rPr>
        <w:t>CMS-D001</w:t>
      </w:r>
      <w:r>
        <w:rPr>
          <w:rStyle w:val="99"/>
          <w:rFonts w:hint="eastAsia" w:cs="Times New Roman"/>
          <w:color w:val="auto"/>
          <w:sz w:val="24"/>
          <w:szCs w:val="24"/>
        </w:rPr>
        <w:t>及其主要代谢产物（如适用）</w:t>
      </w:r>
      <w:r>
        <w:rPr>
          <w:rStyle w:val="99"/>
          <w:rFonts w:hint="eastAsia" w:cs="Times New Roman"/>
          <w:sz w:val="24"/>
          <w:szCs w:val="24"/>
        </w:rPr>
        <w:t>有效血浆浓度数据的所有参与者。</w:t>
      </w:r>
    </w:p>
    <w:p w14:paraId="4CEFDD6F">
      <w:pPr>
        <w:pStyle w:val="60"/>
        <w:ind w:firstLine="480"/>
        <w:rPr>
          <w:rStyle w:val="99"/>
          <w:rFonts w:cs="Times New Roman"/>
          <w:sz w:val="24"/>
          <w:szCs w:val="24"/>
        </w:rPr>
      </w:pPr>
      <w:r>
        <w:rPr>
          <w:rStyle w:val="99"/>
          <w:rFonts w:hint="eastAsia" w:cs="Times New Roman"/>
          <w:sz w:val="24"/>
          <w:szCs w:val="24"/>
        </w:rPr>
        <w:t>药效学分析集（</w:t>
      </w:r>
      <w:r>
        <w:rPr>
          <w:rStyle w:val="99"/>
        </w:rPr>
        <w:t>Pharmacodynamic</w:t>
      </w:r>
      <w:r>
        <w:rPr>
          <w:rStyle w:val="99"/>
          <w:rFonts w:hint="eastAsia"/>
        </w:rPr>
        <w:t xml:space="preserve"> Set，</w:t>
      </w:r>
      <w:r>
        <w:rPr>
          <w:rStyle w:val="99"/>
          <w:rFonts w:cs="Times New Roman"/>
          <w:sz w:val="24"/>
          <w:szCs w:val="24"/>
        </w:rPr>
        <w:t>PDS</w:t>
      </w:r>
      <w:r>
        <w:rPr>
          <w:rStyle w:val="99"/>
          <w:rFonts w:hint="eastAsia" w:cs="Times New Roman"/>
          <w:sz w:val="24"/>
          <w:szCs w:val="24"/>
        </w:rPr>
        <w:t>）：所有随机化后至少接受</w:t>
      </w:r>
      <w:r>
        <w:rPr>
          <w:rStyle w:val="99"/>
          <w:rFonts w:cs="Times New Roman"/>
          <w:sz w:val="24"/>
          <w:szCs w:val="24"/>
        </w:rPr>
        <w:t>1</w:t>
      </w:r>
      <w:r>
        <w:rPr>
          <w:rStyle w:val="99"/>
          <w:rFonts w:hint="eastAsia" w:cs="Times New Roman"/>
          <w:sz w:val="24"/>
          <w:szCs w:val="24"/>
        </w:rPr>
        <w:t>次试验用药品，且至少有</w:t>
      </w:r>
      <w:r>
        <w:rPr>
          <w:rStyle w:val="99"/>
          <w:rFonts w:cs="Times New Roman"/>
          <w:sz w:val="24"/>
          <w:szCs w:val="24"/>
        </w:rPr>
        <w:t>1</w:t>
      </w:r>
      <w:r>
        <w:rPr>
          <w:rStyle w:val="99"/>
          <w:rFonts w:hint="eastAsia" w:cs="Times New Roman"/>
          <w:sz w:val="24"/>
          <w:szCs w:val="24"/>
        </w:rPr>
        <w:t>个给药后有效</w:t>
      </w:r>
      <w:r>
        <w:rPr>
          <w:rStyle w:val="99"/>
          <w:rFonts w:cs="Times New Roman"/>
          <w:sz w:val="24"/>
          <w:szCs w:val="24"/>
        </w:rPr>
        <w:t>PD</w:t>
      </w:r>
      <w:r>
        <w:rPr>
          <w:rStyle w:val="99"/>
          <w:rFonts w:hint="eastAsia" w:cs="Times New Roman"/>
          <w:sz w:val="24"/>
          <w:szCs w:val="24"/>
        </w:rPr>
        <w:t>数据的参与者。</w:t>
      </w:r>
    </w:p>
    <w:p w14:paraId="5CF29930">
      <w:pPr>
        <w:pStyle w:val="60"/>
        <w:ind w:firstLine="480"/>
        <w:rPr>
          <w:rFonts w:cs="Times New Roman"/>
          <w:sz w:val="24"/>
          <w:szCs w:val="24"/>
        </w:rPr>
      </w:pPr>
      <w:r>
        <w:rPr>
          <w:rStyle w:val="99"/>
          <w:rFonts w:hint="eastAsia" w:cs="Times New Roman"/>
          <w:sz w:val="24"/>
          <w:szCs w:val="24"/>
          <w:lang w:eastAsia="zh-Hans"/>
        </w:rPr>
        <w:t>Ⅱ期临床阶段和</w:t>
      </w:r>
      <w:r>
        <w:rPr>
          <w:rFonts w:hint="eastAsia" w:cs="Times New Roman"/>
          <w:color w:val="000000"/>
          <w:sz w:val="24"/>
          <w:szCs w:val="24"/>
        </w:rPr>
        <w:t>Ⅲ期</w:t>
      </w:r>
      <w:r>
        <w:rPr>
          <w:rStyle w:val="99"/>
          <w:rFonts w:hint="eastAsia" w:cs="Times New Roman"/>
          <w:sz w:val="24"/>
          <w:szCs w:val="24"/>
          <w:lang w:eastAsia="zh-Hans"/>
        </w:rPr>
        <w:t>基础研究阶段各个分析数据集的划分及剔除各分析数据集的</w:t>
      </w:r>
      <w:r>
        <w:rPr>
          <w:rStyle w:val="99"/>
          <w:rFonts w:hint="eastAsia" w:cs="Times New Roman"/>
          <w:sz w:val="24"/>
          <w:szCs w:val="24"/>
        </w:rPr>
        <w:t>参与者</w:t>
      </w:r>
      <w:r>
        <w:rPr>
          <w:rStyle w:val="99"/>
          <w:rFonts w:hint="eastAsia" w:cs="Times New Roman"/>
          <w:sz w:val="24"/>
          <w:szCs w:val="24"/>
          <w:lang w:eastAsia="zh-Hans"/>
        </w:rPr>
        <w:t>名单均在盲态数据审核后，在数据库锁库和揭盲之前确定。</w:t>
      </w:r>
    </w:p>
    <w:p w14:paraId="107FAEAF">
      <w:pPr>
        <w:pStyle w:val="116"/>
        <w:numPr>
          <w:ilvl w:val="1"/>
          <w:numId w:val="12"/>
        </w:numPr>
        <w:rPr>
          <w:rFonts w:cs="Times New Roman"/>
          <w:sz w:val="24"/>
          <w:szCs w:val="24"/>
        </w:rPr>
      </w:pPr>
      <w:bookmarkStart w:id="349" w:name="_Toc217032330"/>
      <w:r>
        <w:rPr>
          <w:rFonts w:hint="eastAsia" w:cs="Times New Roman"/>
          <w:sz w:val="24"/>
          <w:szCs w:val="24"/>
        </w:rPr>
        <w:t>统计分析</w:t>
      </w:r>
      <w:bookmarkEnd w:id="349"/>
    </w:p>
    <w:p w14:paraId="68AD7073">
      <w:pPr>
        <w:pStyle w:val="116"/>
        <w:numPr>
          <w:ilvl w:val="2"/>
          <w:numId w:val="12"/>
        </w:numPr>
        <w:outlineLvl w:val="2"/>
        <w:rPr>
          <w:rFonts w:cs="Times New Roman"/>
          <w:sz w:val="24"/>
          <w:szCs w:val="24"/>
        </w:rPr>
      </w:pPr>
      <w:bookmarkStart w:id="350" w:name="_Toc217032331"/>
      <w:r>
        <w:rPr>
          <w:rFonts w:hint="eastAsia" w:cs="Times New Roman"/>
          <w:sz w:val="24"/>
          <w:szCs w:val="24"/>
        </w:rPr>
        <w:t>一般方法</w:t>
      </w:r>
      <w:bookmarkEnd w:id="350"/>
    </w:p>
    <w:p w14:paraId="25E90890">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所有疗效及安全性统计分析使用</w:t>
      </w:r>
      <w:r>
        <w:rPr>
          <w:rFonts w:ascii="Times New Roman" w:hAnsi="Times New Roman" w:eastAsia="宋体" w:cs="Times New Roman"/>
          <w:kern w:val="2"/>
          <w:sz w:val="24"/>
          <w:szCs w:val="24"/>
        </w:rPr>
        <w:t>SAS9.4</w:t>
      </w:r>
      <w:r>
        <w:rPr>
          <w:rFonts w:hint="eastAsia" w:ascii="Times New Roman" w:hAnsi="Times New Roman" w:eastAsia="宋体" w:cs="Times New Roman"/>
          <w:kern w:val="2"/>
          <w:sz w:val="24"/>
          <w:szCs w:val="24"/>
        </w:rPr>
        <w:t>（或以上版本）软件完成。</w:t>
      </w:r>
      <w:r>
        <w:rPr>
          <w:rFonts w:ascii="Times New Roman" w:hAnsi="Times New Roman" w:eastAsia="宋体" w:cs="Times New Roman"/>
          <w:kern w:val="2"/>
          <w:sz w:val="24"/>
          <w:szCs w:val="24"/>
        </w:rPr>
        <w:t>PK</w:t>
      </w:r>
      <w:r>
        <w:rPr>
          <w:rFonts w:hint="eastAsia" w:ascii="Times New Roman" w:hAnsi="Times New Roman" w:eastAsia="宋体" w:cs="Times New Roman"/>
          <w:kern w:val="2"/>
          <w:sz w:val="24"/>
          <w:szCs w:val="24"/>
        </w:rPr>
        <w:t>参数的统计分析将采用</w:t>
      </w:r>
      <w:r>
        <w:rPr>
          <w:rFonts w:ascii="Times New Roman" w:hAnsi="Times New Roman" w:eastAsia="宋体" w:cs="Times New Roman"/>
          <w:kern w:val="2"/>
          <w:sz w:val="24"/>
          <w:szCs w:val="24"/>
        </w:rPr>
        <w:t>WinNonlin</w:t>
      </w:r>
      <w:r>
        <w:rPr>
          <w:rFonts w:hint="eastAsia" w:ascii="Times New Roman" w:hAnsi="Times New Roman" w:eastAsia="宋体" w:cs="Times New Roman"/>
          <w:kern w:val="2"/>
          <w:sz w:val="24"/>
          <w:szCs w:val="24"/>
        </w:rPr>
        <w:t>软件（</w:t>
      </w:r>
      <w:r>
        <w:rPr>
          <w:rFonts w:ascii="Times New Roman" w:hAnsi="Times New Roman" w:eastAsia="宋体" w:cs="Times New Roman"/>
          <w:kern w:val="2"/>
          <w:sz w:val="24"/>
          <w:szCs w:val="24"/>
        </w:rPr>
        <w:t>8.1</w:t>
      </w:r>
      <w:r>
        <w:rPr>
          <w:rFonts w:hint="eastAsia" w:ascii="Times New Roman" w:hAnsi="Times New Roman" w:eastAsia="宋体" w:cs="Times New Roman"/>
          <w:kern w:val="2"/>
          <w:sz w:val="24"/>
          <w:szCs w:val="24"/>
        </w:rPr>
        <w:t>或以上版本）完成。</w:t>
      </w:r>
    </w:p>
    <w:p w14:paraId="71BFB900">
      <w:pPr>
        <w:autoSpaceDE/>
        <w:autoSpaceDN/>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kern w:val="2"/>
          <w:sz w:val="24"/>
          <w:szCs w:val="24"/>
        </w:rPr>
        <w:t>对连续型变量，描述性统计量包括观测数、均数、中位数、标准差、最大值和最小值。对分类变量，描述性统计量将包括参与者例数和百分比。所有疾病史和不良事件均采用最新版监管活动医学词典（</w:t>
      </w:r>
      <w:r>
        <w:rPr>
          <w:rFonts w:ascii="Times New Roman" w:hAnsi="Times New Roman" w:eastAsia="宋体" w:cs="Times New Roman"/>
          <w:kern w:val="2"/>
          <w:sz w:val="24"/>
          <w:szCs w:val="24"/>
        </w:rPr>
        <w:t>Medical Dictionary for Regulatory Activities</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MedDRA</w:t>
      </w:r>
      <w:r>
        <w:rPr>
          <w:rFonts w:hint="eastAsia" w:ascii="Times New Roman" w:hAnsi="Times New Roman" w:eastAsia="宋体" w:cs="Times New Roman"/>
          <w:kern w:val="2"/>
          <w:sz w:val="24"/>
          <w:szCs w:val="24"/>
        </w:rPr>
        <w:t>）进行编码，并按照</w:t>
      </w:r>
      <w:r>
        <w:rPr>
          <w:rFonts w:ascii="Times New Roman" w:hAnsi="Times New Roman" w:eastAsia="宋体" w:cs="Times New Roman"/>
          <w:kern w:val="2"/>
          <w:sz w:val="24"/>
          <w:szCs w:val="24"/>
        </w:rPr>
        <w:t>MedDRA</w:t>
      </w:r>
      <w:r>
        <w:rPr>
          <w:rFonts w:hint="eastAsia" w:ascii="Times New Roman" w:hAnsi="Times New Roman" w:eastAsia="宋体" w:cs="Times New Roman"/>
          <w:kern w:val="2"/>
          <w:sz w:val="24"/>
          <w:szCs w:val="24"/>
        </w:rPr>
        <w:t>编码中的系统器官分类（</w:t>
      </w:r>
      <w:r>
        <w:rPr>
          <w:rFonts w:ascii="Times New Roman" w:hAnsi="Times New Roman" w:eastAsia="宋体" w:cs="Times New Roman"/>
          <w:kern w:val="2"/>
          <w:sz w:val="24"/>
          <w:szCs w:val="24"/>
        </w:rPr>
        <w:t>System Organ Class</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SOC</w:t>
      </w:r>
      <w:r>
        <w:rPr>
          <w:rFonts w:hint="eastAsia" w:ascii="Times New Roman" w:hAnsi="Times New Roman" w:eastAsia="宋体" w:cs="Times New Roman"/>
          <w:kern w:val="2"/>
          <w:sz w:val="24"/>
          <w:szCs w:val="24"/>
        </w:rPr>
        <w:t>）和首选语（</w:t>
      </w:r>
      <w:r>
        <w:rPr>
          <w:rFonts w:ascii="Times New Roman" w:hAnsi="Times New Roman" w:eastAsia="宋体" w:cs="Times New Roman"/>
          <w:kern w:val="2"/>
          <w:sz w:val="24"/>
          <w:szCs w:val="24"/>
        </w:rPr>
        <w:t>Preferred Terms</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PT</w:t>
      </w:r>
      <w:r>
        <w:rPr>
          <w:rFonts w:hint="eastAsia" w:ascii="Times New Roman" w:hAnsi="Times New Roman" w:eastAsia="宋体" w:cs="Times New Roman"/>
          <w:kern w:val="2"/>
          <w:sz w:val="24"/>
          <w:szCs w:val="24"/>
        </w:rPr>
        <w:t>）进行相应的汇总分析。所有合并药物的治疗将使用最新版本世界卫生组织药物词典（</w:t>
      </w:r>
      <w:r>
        <w:rPr>
          <w:rFonts w:ascii="Times New Roman" w:hAnsi="Times New Roman" w:eastAsia="宋体" w:cs="Times New Roman"/>
          <w:kern w:val="2"/>
          <w:sz w:val="24"/>
          <w:szCs w:val="24"/>
        </w:rPr>
        <w:t>World Health Organization Drug Dictionaries</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WHO Drug</w:t>
      </w:r>
      <w:r>
        <w:rPr>
          <w:rFonts w:hint="eastAsia" w:ascii="Times New Roman" w:hAnsi="Times New Roman" w:eastAsia="宋体" w:cs="Times New Roman"/>
          <w:kern w:val="2"/>
          <w:sz w:val="24"/>
          <w:szCs w:val="24"/>
        </w:rPr>
        <w:t>）进行编码。</w:t>
      </w:r>
    </w:p>
    <w:p w14:paraId="3DB21FDA">
      <w:pPr>
        <w:pStyle w:val="116"/>
        <w:numPr>
          <w:ilvl w:val="2"/>
          <w:numId w:val="12"/>
        </w:numPr>
        <w:outlineLvl w:val="2"/>
        <w:rPr>
          <w:rFonts w:cs="Times New Roman"/>
          <w:sz w:val="24"/>
          <w:szCs w:val="24"/>
        </w:rPr>
      </w:pPr>
      <w:bookmarkStart w:id="351" w:name="_Toc217032332"/>
      <w:r>
        <w:rPr>
          <w:rFonts w:hint="eastAsia" w:cs="Times New Roman"/>
          <w:sz w:val="24"/>
          <w:szCs w:val="24"/>
        </w:rPr>
        <w:t>参与者入组分析</w:t>
      </w:r>
      <w:bookmarkEnd w:id="351"/>
    </w:p>
    <w:p w14:paraId="478A0F98">
      <w:pPr>
        <w:pStyle w:val="60"/>
        <w:ind w:firstLine="480"/>
        <w:rPr>
          <w:rStyle w:val="99"/>
          <w:rFonts w:cs="Times New Roman"/>
          <w:sz w:val="24"/>
          <w:szCs w:val="24"/>
        </w:rPr>
      </w:pPr>
      <w:r>
        <w:rPr>
          <w:rStyle w:val="99"/>
          <w:rFonts w:hint="eastAsia" w:cs="Times New Roman"/>
          <w:sz w:val="24"/>
          <w:szCs w:val="24"/>
        </w:rPr>
        <w:t>Ⅱ期临床阶段，列出总体入选及完成参与者例数，对各分析集的纳入和剔除情况进行总结。提供提前结束试验的参与者清单，对各分析集的参与者分布进行详细列表。</w:t>
      </w:r>
    </w:p>
    <w:p w14:paraId="59F01586">
      <w:pPr>
        <w:spacing w:line="360" w:lineRule="auto"/>
        <w:ind w:firstLine="440"/>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Ⅲ期临床阶段，列出总体入选、完成</w:t>
      </w:r>
      <w:r>
        <w:rPr>
          <w:rStyle w:val="99"/>
          <w:rFonts w:ascii="Times New Roman" w:hAnsi="Times New Roman" w:eastAsia="宋体" w:cs="Times New Roman"/>
          <w:color w:val="000000" w:themeColor="text1"/>
          <w:sz w:val="24"/>
          <w:szCs w:val="24"/>
          <w14:textFill>
            <w14:solidFill>
              <w14:schemeClr w14:val="tx1"/>
            </w14:solidFill>
          </w14:textFill>
        </w:rPr>
        <w:t>16</w:t>
      </w:r>
      <w:r>
        <w:rPr>
          <w:rStyle w:val="99"/>
          <w:rFonts w:hint="eastAsia" w:ascii="Times New Roman" w:hAnsi="Times New Roman" w:eastAsia="宋体" w:cs="Times New Roman"/>
          <w:color w:val="000000" w:themeColor="text1"/>
          <w:sz w:val="24"/>
          <w:szCs w:val="24"/>
          <w14:textFill>
            <w14:solidFill>
              <w14:schemeClr w14:val="tx1"/>
            </w14:solidFill>
          </w14:textFill>
        </w:rPr>
        <w:t>周基础期治疗、扩展期治疗以及完成试验的参与者例数，对各分析集的纳入和剔除情况进行总结。提供提前结束试验的参与者清单，对各分析集的参与者分布进行详细列表。</w:t>
      </w:r>
    </w:p>
    <w:p w14:paraId="192285AA">
      <w:pPr>
        <w:pStyle w:val="116"/>
        <w:numPr>
          <w:ilvl w:val="2"/>
          <w:numId w:val="12"/>
        </w:numPr>
        <w:outlineLvl w:val="2"/>
        <w:rPr>
          <w:rStyle w:val="99"/>
          <w:rFonts w:eastAsia="黑体" w:cs="Times New Roman"/>
          <w:b w:val="0"/>
          <w:color w:val="auto"/>
          <w:sz w:val="24"/>
          <w:szCs w:val="24"/>
        </w:rPr>
      </w:pPr>
      <w:bookmarkStart w:id="352" w:name="_Toc217032333"/>
      <w:r>
        <w:rPr>
          <w:rStyle w:val="99"/>
          <w:rFonts w:hint="eastAsia" w:cs="Times New Roman"/>
          <w:sz w:val="24"/>
          <w:szCs w:val="24"/>
        </w:rPr>
        <w:t>人口统计学和基线特征分析</w:t>
      </w:r>
      <w:bookmarkEnd w:id="352"/>
    </w:p>
    <w:p w14:paraId="2D5AD683">
      <w:pPr>
        <w:pStyle w:val="60"/>
        <w:ind w:firstLine="480"/>
        <w:rPr>
          <w:rStyle w:val="99"/>
          <w:rFonts w:cs="Times New Roman"/>
          <w:sz w:val="24"/>
          <w:szCs w:val="24"/>
        </w:rPr>
      </w:pPr>
      <w:r>
        <w:rPr>
          <w:rStyle w:val="99"/>
          <w:rFonts w:hint="eastAsia" w:cs="Times New Roman"/>
          <w:sz w:val="24"/>
          <w:szCs w:val="24"/>
        </w:rPr>
        <w:t>将基于</w:t>
      </w:r>
      <w:r>
        <w:rPr>
          <w:rStyle w:val="99"/>
          <w:rFonts w:cs="Times New Roman"/>
          <w:sz w:val="24"/>
          <w:szCs w:val="24"/>
        </w:rPr>
        <w:t>ITT</w:t>
      </w:r>
      <w:r>
        <w:rPr>
          <w:rStyle w:val="99"/>
          <w:rFonts w:hint="eastAsia" w:cs="Times New Roman"/>
          <w:sz w:val="24"/>
          <w:szCs w:val="24"/>
        </w:rPr>
        <w:t>集，采用描述性统计方法来总结按组别及总体的参与者人口统计学特征和基线特性。</w:t>
      </w:r>
    </w:p>
    <w:p w14:paraId="3682A73D">
      <w:pPr>
        <w:pStyle w:val="116"/>
        <w:numPr>
          <w:ilvl w:val="2"/>
          <w:numId w:val="12"/>
        </w:numPr>
        <w:outlineLvl w:val="2"/>
        <w:rPr>
          <w:rFonts w:cs="Times New Roman"/>
          <w:sz w:val="24"/>
          <w:szCs w:val="24"/>
        </w:rPr>
      </w:pPr>
      <w:bookmarkStart w:id="353" w:name="_Toc217032334"/>
      <w:r>
        <w:rPr>
          <w:rFonts w:hint="eastAsia" w:cs="Times New Roman"/>
          <w:sz w:val="24"/>
          <w:szCs w:val="24"/>
        </w:rPr>
        <w:t>药物治疗与非药物治疗分析</w:t>
      </w:r>
      <w:bookmarkEnd w:id="353"/>
    </w:p>
    <w:p w14:paraId="28508662">
      <w:pPr>
        <w:pStyle w:val="60"/>
        <w:ind w:firstLine="480"/>
        <w:rPr>
          <w:rFonts w:cs="Times New Roman"/>
          <w:sz w:val="24"/>
          <w:szCs w:val="24"/>
        </w:rPr>
      </w:pPr>
      <w:r>
        <w:rPr>
          <w:rFonts w:hint="eastAsia" w:cs="Times New Roman"/>
          <w:sz w:val="24"/>
          <w:szCs w:val="24"/>
        </w:rPr>
        <w:t>根据</w:t>
      </w:r>
      <w:r>
        <w:rPr>
          <w:rFonts w:cs="Times New Roman"/>
          <w:sz w:val="24"/>
          <w:szCs w:val="24"/>
        </w:rPr>
        <w:t>WHO Drug</w:t>
      </w:r>
      <w:r>
        <w:rPr>
          <w:rFonts w:hint="eastAsia" w:cs="Times New Roman"/>
          <w:sz w:val="24"/>
          <w:szCs w:val="24"/>
        </w:rPr>
        <w:t>分类统计合并用药的参与者例数和百分比；</w:t>
      </w:r>
    </w:p>
    <w:p w14:paraId="3525F417">
      <w:pPr>
        <w:pStyle w:val="60"/>
        <w:ind w:firstLine="480"/>
        <w:rPr>
          <w:rFonts w:cs="Times New Roman"/>
          <w:sz w:val="24"/>
          <w:szCs w:val="24"/>
        </w:rPr>
      </w:pPr>
      <w:r>
        <w:rPr>
          <w:rFonts w:hint="eastAsia" w:cs="Times New Roman"/>
          <w:sz w:val="24"/>
          <w:szCs w:val="24"/>
        </w:rPr>
        <w:t>根据</w:t>
      </w:r>
      <w:r>
        <w:rPr>
          <w:rFonts w:cs="Times New Roman"/>
          <w:sz w:val="24"/>
          <w:szCs w:val="24"/>
        </w:rPr>
        <w:t>MedDRA</w:t>
      </w:r>
      <w:r>
        <w:rPr>
          <w:rFonts w:hint="eastAsia" w:cs="Times New Roman"/>
          <w:sz w:val="24"/>
          <w:szCs w:val="24"/>
        </w:rPr>
        <w:t>编码的系统器官分类（</w:t>
      </w:r>
      <w:r>
        <w:rPr>
          <w:rFonts w:cs="Times New Roman"/>
          <w:sz w:val="24"/>
          <w:szCs w:val="24"/>
        </w:rPr>
        <w:t>SOC</w:t>
      </w:r>
      <w:r>
        <w:rPr>
          <w:rFonts w:hint="eastAsia" w:cs="Times New Roman"/>
          <w:sz w:val="24"/>
          <w:szCs w:val="24"/>
        </w:rPr>
        <w:t>）和首选术语（</w:t>
      </w:r>
      <w:r>
        <w:rPr>
          <w:rFonts w:cs="Times New Roman"/>
          <w:sz w:val="24"/>
          <w:szCs w:val="24"/>
        </w:rPr>
        <w:t>PT</w:t>
      </w:r>
      <w:r>
        <w:rPr>
          <w:rFonts w:hint="eastAsia" w:cs="Times New Roman"/>
          <w:sz w:val="24"/>
          <w:szCs w:val="24"/>
        </w:rPr>
        <w:t>）分类统计合并治疗的参与者例数与百分比。</w:t>
      </w:r>
    </w:p>
    <w:p w14:paraId="2C37998C">
      <w:pPr>
        <w:pStyle w:val="116"/>
        <w:numPr>
          <w:ilvl w:val="2"/>
          <w:numId w:val="12"/>
        </w:numPr>
        <w:jc w:val="left"/>
        <w:outlineLvl w:val="2"/>
        <w:rPr>
          <w:rFonts w:cs="Times New Roman"/>
          <w:sz w:val="24"/>
          <w:szCs w:val="24"/>
        </w:rPr>
      </w:pPr>
      <w:bookmarkStart w:id="354" w:name="_Toc217032335"/>
      <w:r>
        <w:rPr>
          <w:rFonts w:hint="eastAsia" w:cs="Times New Roman"/>
          <w:sz w:val="24"/>
          <w:szCs w:val="24"/>
        </w:rPr>
        <w:t>疗效分析</w:t>
      </w:r>
      <w:bookmarkEnd w:id="354"/>
    </w:p>
    <w:p w14:paraId="4995E324">
      <w:pPr>
        <w:pStyle w:val="116"/>
        <w:numPr>
          <w:ilvl w:val="3"/>
          <w:numId w:val="12"/>
        </w:numPr>
        <w:ind w:hanging="708"/>
        <w:jc w:val="left"/>
        <w:outlineLvl w:val="3"/>
        <w:rPr>
          <w:rFonts w:cs="Times New Roman"/>
          <w:sz w:val="24"/>
          <w:szCs w:val="24"/>
        </w:rPr>
      </w:pPr>
      <w:bookmarkStart w:id="355" w:name="_Toc217032336"/>
      <w:bookmarkStart w:id="356" w:name="_Toc215214149"/>
      <w:bookmarkStart w:id="357" w:name="_Toc215213439"/>
      <w:r>
        <w:rPr>
          <w:rFonts w:hint="eastAsia" w:cs="Times New Roman"/>
          <w:sz w:val="24"/>
          <w:szCs w:val="24"/>
        </w:rPr>
        <w:t>Ⅱ期临床研究阶段</w:t>
      </w:r>
      <w:bookmarkEnd w:id="355"/>
      <w:bookmarkEnd w:id="356"/>
      <w:bookmarkEnd w:id="357"/>
    </w:p>
    <w:p w14:paraId="5DF9E4F5">
      <w:pPr>
        <w:pStyle w:val="116"/>
        <w:numPr>
          <w:ilvl w:val="4"/>
          <w:numId w:val="12"/>
        </w:numPr>
        <w:ind w:hanging="849"/>
        <w:jc w:val="left"/>
        <w:outlineLvl w:val="4"/>
        <w:rPr>
          <w:rFonts w:cs="Times New Roman"/>
          <w:sz w:val="24"/>
          <w:szCs w:val="24"/>
        </w:rPr>
      </w:pPr>
      <w:bookmarkStart w:id="358" w:name="_Toc215214150"/>
      <w:bookmarkStart w:id="359" w:name="_Toc217032337"/>
      <w:bookmarkStart w:id="360" w:name="_Toc215213440"/>
      <w:r>
        <w:rPr>
          <w:rFonts w:hint="eastAsia" w:cs="Times New Roman"/>
          <w:sz w:val="24"/>
          <w:szCs w:val="24"/>
        </w:rPr>
        <w:t>主要疗效指标分析</w:t>
      </w:r>
      <w:bookmarkEnd w:id="358"/>
      <w:bookmarkEnd w:id="359"/>
      <w:bookmarkEnd w:id="360"/>
    </w:p>
    <w:p w14:paraId="47D0721A">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主要疗效指标为第</w:t>
      </w:r>
      <w:r>
        <w:rPr>
          <w:rFonts w:ascii="Times New Roman" w:hAnsi="Times New Roman" w:eastAsia="宋体" w:cs="Times New Roman"/>
          <w:kern w:val="2"/>
          <w:sz w:val="24"/>
          <w:szCs w:val="24"/>
        </w:rPr>
        <w:t>12</w:t>
      </w:r>
      <w:r>
        <w:rPr>
          <w:rFonts w:hint="eastAsia" w:ascii="Times New Roman" w:hAnsi="Times New Roman" w:eastAsia="宋体" w:cs="Times New Roman"/>
          <w:kern w:val="2"/>
          <w:sz w:val="24"/>
          <w:szCs w:val="24"/>
        </w:rPr>
        <w:t>周，银屑病面积和严重程度指数较基线改善至少</w:t>
      </w:r>
      <w:r>
        <w:rPr>
          <w:rFonts w:ascii="Times New Roman" w:hAnsi="Times New Roman" w:eastAsia="宋体" w:cs="Times New Roman"/>
          <w:kern w:val="2"/>
          <w:sz w:val="24"/>
          <w:szCs w:val="24"/>
        </w:rPr>
        <w:t>75%</w:t>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PASI-75</w:t>
      </w:r>
      <w:r>
        <w:rPr>
          <w:rFonts w:hint="eastAsia" w:ascii="Times New Roman" w:hAnsi="Times New Roman" w:eastAsia="宋体" w:cs="Times New Roman"/>
          <w:kern w:val="2"/>
          <w:sz w:val="24"/>
          <w:szCs w:val="24"/>
        </w:rPr>
        <w:t>）的参与者比例。将采用</w:t>
      </w:r>
      <w:r>
        <w:rPr>
          <w:rFonts w:ascii="Times New Roman" w:hAnsi="Times New Roman" w:eastAsia="宋体" w:cs="Times New Roman"/>
          <w:sz w:val="24"/>
          <w:szCs w:val="24"/>
        </w:rPr>
        <w:t>CMH</w:t>
      </w:r>
      <w:r>
        <w:rPr>
          <w:rFonts w:hint="eastAsia" w:ascii="Times New Roman" w:hAnsi="Times New Roman" w:eastAsia="宋体" w:cs="Times New Roman"/>
          <w:sz w:val="24"/>
          <w:szCs w:val="24"/>
        </w:rPr>
        <w:t>检验</w:t>
      </w:r>
      <w:r>
        <w:rPr>
          <w:rFonts w:hint="eastAsia" w:ascii="Times New Roman" w:hAnsi="Times New Roman" w:eastAsia="宋体" w:cs="Times New Roman"/>
          <w:kern w:val="2"/>
          <w:sz w:val="24"/>
          <w:szCs w:val="24"/>
        </w:rPr>
        <w:t>比较各剂量组与安慰剂组间</w:t>
      </w:r>
      <w:r>
        <w:rPr>
          <w:rFonts w:ascii="Times New Roman" w:hAnsi="Times New Roman" w:eastAsia="宋体" w:cs="Times New Roman"/>
          <w:kern w:val="2"/>
          <w:sz w:val="24"/>
          <w:szCs w:val="24"/>
        </w:rPr>
        <w:t>PASI-75</w:t>
      </w:r>
      <w:r>
        <w:rPr>
          <w:rFonts w:hint="eastAsia" w:ascii="Times New Roman" w:hAnsi="Times New Roman" w:eastAsia="宋体" w:cs="Times New Roman"/>
          <w:kern w:val="2"/>
          <w:sz w:val="24"/>
          <w:szCs w:val="24"/>
        </w:rPr>
        <w:t>应答率的差异及其</w:t>
      </w:r>
      <w:r>
        <w:rPr>
          <w:rFonts w:ascii="Times New Roman" w:hAnsi="Times New Roman" w:eastAsia="宋体" w:cs="Times New Roman"/>
          <w:kern w:val="2"/>
          <w:sz w:val="24"/>
          <w:szCs w:val="24"/>
        </w:rPr>
        <w:t>95%</w:t>
      </w:r>
      <w:r>
        <w:rPr>
          <w:rFonts w:hint="eastAsia" w:ascii="Times New Roman" w:hAnsi="Times New Roman" w:eastAsia="宋体" w:cs="Times New Roman"/>
          <w:kern w:val="2"/>
          <w:sz w:val="24"/>
          <w:szCs w:val="24"/>
        </w:rPr>
        <w:t>的置信区间。主要疗效指标的缺失，将采用多重填补。</w:t>
      </w:r>
    </w:p>
    <w:p w14:paraId="63198F67">
      <w:pPr>
        <w:autoSpaceDE/>
        <w:autoSpaceDN/>
        <w:spacing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针对主要疗效指标的缺失还将采用末次观察结转（</w:t>
      </w:r>
      <w:r>
        <w:rPr>
          <w:rFonts w:ascii="Times New Roman" w:hAnsi="Times New Roman" w:eastAsia="宋体" w:cs="Times New Roman"/>
          <w:sz w:val="24"/>
          <w:szCs w:val="24"/>
        </w:rPr>
        <w:t>Last Observational Carried Forward</w:t>
      </w:r>
      <w:r>
        <w:rPr>
          <w:rFonts w:hint="eastAsia" w:ascii="Times New Roman" w:hAnsi="Times New Roman" w:eastAsia="宋体" w:cs="Times New Roman"/>
          <w:sz w:val="24"/>
          <w:szCs w:val="24"/>
        </w:rPr>
        <w:t>，</w:t>
      </w:r>
      <w:r>
        <w:rPr>
          <w:rFonts w:ascii="Times New Roman" w:hAnsi="Times New Roman" w:eastAsia="宋体" w:cs="Times New Roman"/>
          <w:kern w:val="2"/>
          <w:sz w:val="24"/>
          <w:szCs w:val="24"/>
        </w:rPr>
        <w:t>LOCF</w:t>
      </w:r>
      <w:r>
        <w:rPr>
          <w:rFonts w:hint="eastAsia" w:ascii="Times New Roman" w:hAnsi="Times New Roman" w:eastAsia="宋体" w:cs="Times New Roman"/>
          <w:kern w:val="2"/>
          <w:sz w:val="24"/>
          <w:szCs w:val="24"/>
        </w:rPr>
        <w:t>）、无应答填补（</w:t>
      </w:r>
      <w:r>
        <w:rPr>
          <w:rStyle w:val="99"/>
          <w:rFonts w:ascii="Times New Roman" w:hAnsi="Times New Roman" w:eastAsia="宋体" w:cs="Times New Roman"/>
          <w:sz w:val="24"/>
          <w:szCs w:val="24"/>
        </w:rPr>
        <w:t>Non-Response Imputation</w:t>
      </w:r>
      <w:r>
        <w:rPr>
          <w:rStyle w:val="99"/>
          <w:rFonts w:hint="eastAsia" w:ascii="Times New Roman" w:hAnsi="Times New Roman" w:eastAsia="宋体" w:cs="Times New Roman"/>
          <w:sz w:val="24"/>
          <w:szCs w:val="24"/>
        </w:rPr>
        <w:t>，</w:t>
      </w:r>
      <w:r>
        <w:rPr>
          <w:rFonts w:ascii="Times New Roman" w:hAnsi="Times New Roman" w:eastAsia="宋体" w:cs="Times New Roman"/>
          <w:kern w:val="2"/>
          <w:sz w:val="24"/>
          <w:szCs w:val="24"/>
        </w:rPr>
        <w:t>NRI</w:t>
      </w:r>
      <w:r>
        <w:rPr>
          <w:rFonts w:hint="eastAsia" w:ascii="Times New Roman" w:hAnsi="Times New Roman" w:eastAsia="宋体" w:cs="Times New Roman"/>
          <w:kern w:val="2"/>
          <w:sz w:val="24"/>
          <w:szCs w:val="24"/>
        </w:rPr>
        <w:t>）法等进行敏感性分析。</w:t>
      </w:r>
    </w:p>
    <w:p w14:paraId="341867C3">
      <w:pPr>
        <w:pStyle w:val="116"/>
        <w:numPr>
          <w:ilvl w:val="4"/>
          <w:numId w:val="12"/>
        </w:numPr>
        <w:ind w:hanging="849"/>
        <w:jc w:val="left"/>
        <w:outlineLvl w:val="4"/>
        <w:rPr>
          <w:rFonts w:cs="Times New Roman"/>
          <w:kern w:val="2"/>
          <w:sz w:val="24"/>
          <w:szCs w:val="24"/>
        </w:rPr>
      </w:pPr>
      <w:bookmarkStart w:id="361" w:name="_Toc215213441"/>
      <w:bookmarkStart w:id="362" w:name="_Toc215214151"/>
      <w:bookmarkStart w:id="363" w:name="_Toc217032338"/>
      <w:r>
        <w:rPr>
          <w:rFonts w:hint="eastAsia" w:cs="Times New Roman"/>
          <w:kern w:val="2"/>
          <w:sz w:val="24"/>
          <w:szCs w:val="24"/>
        </w:rPr>
        <w:t>次要疗效指标分析</w:t>
      </w:r>
      <w:bookmarkEnd w:id="361"/>
      <w:bookmarkEnd w:id="362"/>
      <w:bookmarkEnd w:id="363"/>
    </w:p>
    <w:p w14:paraId="7371EF68">
      <w:pPr>
        <w:pStyle w:val="60"/>
        <w:ind w:firstLine="480"/>
        <w:rPr>
          <w:rStyle w:val="99"/>
          <w:rFonts w:cs="Times New Roman"/>
          <w:sz w:val="24"/>
          <w:szCs w:val="24"/>
        </w:rPr>
      </w:pPr>
      <w:r>
        <w:rPr>
          <w:rStyle w:val="99"/>
          <w:rFonts w:hint="eastAsia" w:cs="Times New Roman"/>
          <w:sz w:val="24"/>
          <w:szCs w:val="24"/>
        </w:rPr>
        <w:t>针对次要疗效指标为分类变量的，将采用与主要疗效指标相同的分析方法进行分析。</w:t>
      </w:r>
    </w:p>
    <w:p w14:paraId="241FF2C0">
      <w:pPr>
        <w:pStyle w:val="60"/>
        <w:ind w:firstLine="480"/>
        <w:rPr>
          <w:rStyle w:val="99"/>
          <w:rFonts w:cs="Times New Roman"/>
          <w:sz w:val="24"/>
          <w:szCs w:val="24"/>
        </w:rPr>
      </w:pPr>
      <w:r>
        <w:rPr>
          <w:rStyle w:val="99"/>
          <w:rFonts w:hint="eastAsia" w:cs="Times New Roman"/>
          <w:sz w:val="24"/>
          <w:szCs w:val="24"/>
        </w:rPr>
        <w:t>针对次要疗效指标为连续性变量的，将采用协方差分析进行分析，该模型将治疗组及分层因素作为固定效应，基线为协变量。将计算各组相对基线的变化的最小二乘回归均值及其</w:t>
      </w:r>
      <w:r>
        <w:rPr>
          <w:rStyle w:val="99"/>
          <w:rFonts w:cs="Times New Roman"/>
          <w:sz w:val="24"/>
          <w:szCs w:val="24"/>
        </w:rPr>
        <w:t>95%</w:t>
      </w:r>
      <w:r>
        <w:rPr>
          <w:rStyle w:val="99"/>
          <w:rFonts w:hint="eastAsia" w:cs="Times New Roman"/>
          <w:sz w:val="24"/>
          <w:szCs w:val="24"/>
        </w:rPr>
        <w:t>置信区间，并计算各剂量组分别与安慰剂组的均值差及其</w:t>
      </w:r>
      <w:r>
        <w:rPr>
          <w:rStyle w:val="99"/>
          <w:rFonts w:cs="Times New Roman"/>
          <w:sz w:val="24"/>
          <w:szCs w:val="24"/>
        </w:rPr>
        <w:t>95%</w:t>
      </w:r>
      <w:r>
        <w:rPr>
          <w:rStyle w:val="99"/>
          <w:rFonts w:hint="eastAsia" w:cs="Times New Roman"/>
          <w:sz w:val="24"/>
          <w:szCs w:val="24"/>
        </w:rPr>
        <w:t>置信区间。</w:t>
      </w:r>
    </w:p>
    <w:p w14:paraId="456395CC">
      <w:pPr>
        <w:pStyle w:val="60"/>
        <w:ind w:firstLine="480"/>
        <w:rPr>
          <w:rFonts w:cs="Times New Roman"/>
          <w:sz w:val="24"/>
          <w:szCs w:val="24"/>
        </w:rPr>
      </w:pPr>
      <w:r>
        <w:rPr>
          <w:rStyle w:val="99"/>
          <w:rFonts w:hint="eastAsia" w:cs="Times New Roman"/>
          <w:sz w:val="24"/>
          <w:szCs w:val="24"/>
        </w:rPr>
        <w:t>按各访视点绘制疗效评价指标的变化趋势图。</w:t>
      </w:r>
    </w:p>
    <w:p w14:paraId="020F287D">
      <w:pPr>
        <w:pStyle w:val="116"/>
        <w:numPr>
          <w:ilvl w:val="3"/>
          <w:numId w:val="12"/>
        </w:numPr>
        <w:ind w:hanging="708"/>
        <w:jc w:val="left"/>
        <w:outlineLvl w:val="3"/>
        <w:rPr>
          <w:rFonts w:cs="Times New Roman"/>
          <w:sz w:val="24"/>
          <w:szCs w:val="24"/>
        </w:rPr>
      </w:pPr>
      <w:bookmarkStart w:id="364" w:name="_Toc217032339"/>
      <w:bookmarkStart w:id="365" w:name="_Toc215214152"/>
      <w:bookmarkStart w:id="366" w:name="_Toc215213442"/>
      <w:r>
        <w:rPr>
          <w:rFonts w:hint="eastAsia" w:cs="Times New Roman"/>
          <w:sz w:val="24"/>
          <w:szCs w:val="24"/>
        </w:rPr>
        <w:t>Ⅲ期临床研究阶段</w:t>
      </w:r>
      <w:bookmarkEnd w:id="364"/>
      <w:bookmarkEnd w:id="365"/>
      <w:bookmarkEnd w:id="366"/>
    </w:p>
    <w:p w14:paraId="08AC5732">
      <w:pPr>
        <w:pStyle w:val="60"/>
        <w:ind w:firstLine="480"/>
        <w:rPr>
          <w:rFonts w:cs="Times New Roman"/>
          <w:sz w:val="24"/>
          <w:szCs w:val="24"/>
        </w:rPr>
      </w:pPr>
      <w:r>
        <w:rPr>
          <w:rFonts w:hint="eastAsia" w:cs="Times New Roman"/>
          <w:sz w:val="24"/>
          <w:szCs w:val="24"/>
        </w:rPr>
        <w:t>疗效分析基于</w:t>
      </w:r>
      <w:r>
        <w:rPr>
          <w:rFonts w:cs="Times New Roman"/>
          <w:sz w:val="24"/>
          <w:szCs w:val="24"/>
        </w:rPr>
        <w:t>ITT</w:t>
      </w:r>
      <w:r>
        <w:rPr>
          <w:rFonts w:hint="eastAsia" w:cs="Times New Roman"/>
          <w:sz w:val="24"/>
          <w:szCs w:val="24"/>
        </w:rPr>
        <w:t>数据集进行分析。</w:t>
      </w:r>
    </w:p>
    <w:p w14:paraId="6CD5B70E">
      <w:pPr>
        <w:pStyle w:val="116"/>
        <w:numPr>
          <w:ilvl w:val="4"/>
          <w:numId w:val="12"/>
        </w:numPr>
        <w:ind w:hanging="849"/>
        <w:jc w:val="left"/>
        <w:outlineLvl w:val="4"/>
        <w:rPr>
          <w:rFonts w:cs="Times New Roman"/>
          <w:sz w:val="24"/>
          <w:szCs w:val="24"/>
        </w:rPr>
      </w:pPr>
      <w:bookmarkStart w:id="367" w:name="_Toc215214153"/>
      <w:bookmarkStart w:id="368" w:name="_Toc215213443"/>
      <w:bookmarkStart w:id="369" w:name="_Toc217032340"/>
      <w:r>
        <w:rPr>
          <w:rFonts w:hint="eastAsia" w:cs="Times New Roman"/>
          <w:sz w:val="24"/>
          <w:szCs w:val="24"/>
        </w:rPr>
        <w:t>主要估计目标分析</w:t>
      </w:r>
      <w:bookmarkEnd w:id="367"/>
      <w:bookmarkEnd w:id="368"/>
      <w:bookmarkEnd w:id="369"/>
    </w:p>
    <w:p w14:paraId="7F8F5806">
      <w:pPr>
        <w:spacing w:line="360" w:lineRule="auto"/>
        <w:ind w:firstLine="482" w:firstLineChars="200"/>
        <w:jc w:val="both"/>
        <w:rPr>
          <w:rFonts w:ascii="Times New Roman" w:hAnsi="Times New Roman" w:eastAsia="宋体" w:cs="Times New Roman"/>
          <w:sz w:val="24"/>
          <w:szCs w:val="24"/>
        </w:rPr>
      </w:pPr>
      <w:r>
        <w:rPr>
          <w:rFonts w:hint="eastAsia" w:ascii="Times New Roman" w:hAnsi="Times New Roman" w:cs="Times New Roman" w:eastAsiaTheme="majorEastAsia"/>
          <w:b/>
          <w:sz w:val="24"/>
          <w:szCs w:val="24"/>
        </w:rPr>
        <w:t>主要统计分析</w:t>
      </w:r>
      <w:r>
        <w:rPr>
          <w:rFonts w:hint="eastAsia" w:ascii="Times New Roman" w:hAnsi="Times New Roman" w:cs="Times New Roman"/>
          <w:b/>
          <w:sz w:val="24"/>
          <w:szCs w:val="24"/>
        </w:rPr>
        <w:t>：</w:t>
      </w:r>
      <w:r>
        <w:rPr>
          <w:rFonts w:hint="eastAsia" w:ascii="Times New Roman" w:hAnsi="Times New Roman" w:eastAsia="宋体" w:cs="Times New Roman"/>
          <w:bCs/>
          <w:sz w:val="24"/>
          <w:szCs w:val="24"/>
        </w:rPr>
        <w:t>基于</w:t>
      </w:r>
      <w:r>
        <w:rPr>
          <w:rFonts w:ascii="Times New Roman" w:hAnsi="Times New Roman" w:eastAsia="宋体" w:cs="Times New Roman"/>
          <w:bCs/>
          <w:sz w:val="24"/>
          <w:szCs w:val="24"/>
        </w:rPr>
        <w:t>ITT</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分别计算</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片组和安慰剂组第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sz w:val="24"/>
          <w:szCs w:val="24"/>
        </w:rPr>
        <w:t>PASI-75</w:t>
      </w:r>
      <w:r>
        <w:rPr>
          <w:rFonts w:hint="eastAsia" w:ascii="Times New Roman" w:hAnsi="Times New Roman" w:eastAsia="宋体" w:cs="Times New Roman"/>
          <w:sz w:val="24"/>
          <w:szCs w:val="24"/>
        </w:rPr>
        <w:t>应答参与者例数和百分比、第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kern w:val="2"/>
          <w:sz w:val="24"/>
          <w:szCs w:val="24"/>
        </w:rPr>
        <w:t>PGA</w:t>
      </w:r>
      <w:r>
        <w:rPr>
          <w:rFonts w:hint="eastAsia" w:ascii="Times New Roman" w:hAnsi="Times New Roman" w:eastAsia="宋体" w:cs="Times New Roman"/>
          <w:kern w:val="2"/>
          <w:sz w:val="24"/>
          <w:szCs w:val="24"/>
        </w:rPr>
        <w:t>评分为</w:t>
      </w:r>
      <w:r>
        <w:rPr>
          <w:rFonts w:ascii="Times New Roman" w:hAnsi="Times New Roman" w:eastAsia="宋体" w:cs="Times New Roman"/>
          <w:kern w:val="2"/>
          <w:sz w:val="24"/>
          <w:szCs w:val="24"/>
        </w:rPr>
        <w:t>0</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应答</w:t>
      </w:r>
      <w:r>
        <w:rPr>
          <w:rFonts w:hint="eastAsia" w:ascii="Times New Roman" w:hAnsi="Times New Roman" w:eastAsia="宋体" w:cs="Times New Roman"/>
          <w:sz w:val="24"/>
          <w:szCs w:val="24"/>
        </w:rPr>
        <w:t>的参与者例数和百分比。如果终点指标访视前发生伴发事件，主要估计目标值按前文描述的处理策略进行填补，在考虑伴发事件的处理策略及相应的数据填补</w:t>
      </w:r>
      <w:r>
        <w:rPr>
          <w:rFonts w:ascii="Times New Roman" w:hAnsi="Times New Roman" w:eastAsia="宋体" w:cs="Times New Roman"/>
          <w:sz w:val="24"/>
          <w:szCs w:val="24"/>
        </w:rPr>
        <w:t>/</w:t>
      </w:r>
      <w:r>
        <w:rPr>
          <w:rFonts w:hint="eastAsia" w:ascii="Times New Roman" w:hAnsi="Times New Roman" w:eastAsia="宋体" w:cs="Times New Roman"/>
          <w:sz w:val="24"/>
          <w:szCs w:val="24"/>
        </w:rPr>
        <w:t>预测措施后第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w:t>
      </w:r>
      <w:r>
        <w:rPr>
          <w:rFonts w:ascii="Times New Roman" w:hAnsi="Times New Roman" w:eastAsia="宋体" w:cs="Times New Roman"/>
          <w:sz w:val="24"/>
          <w:szCs w:val="24"/>
        </w:rPr>
        <w:t>PASI-75</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PGA</w:t>
      </w:r>
      <w:r>
        <w:rPr>
          <w:rFonts w:hint="eastAsia" w:ascii="Times New Roman" w:hAnsi="Times New Roman" w:eastAsia="宋体" w:cs="Times New Roman"/>
          <w:sz w:val="24"/>
          <w:szCs w:val="24"/>
        </w:rPr>
        <w:t>仍缺失的数据将采用多重填补（</w:t>
      </w:r>
      <w:r>
        <w:rPr>
          <w:rFonts w:ascii="Times New Roman" w:hAnsi="Times New Roman" w:eastAsia="宋体" w:cs="Times New Roman"/>
          <w:sz w:val="24"/>
          <w:szCs w:val="24"/>
        </w:rPr>
        <w:t>Multiple Imputation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MI</w:t>
      </w:r>
      <w:r>
        <w:rPr>
          <w:rFonts w:hint="eastAsia" w:ascii="Times New Roman" w:hAnsi="Times New Roman" w:eastAsia="宋体" w:cs="Times New Roman"/>
          <w:sz w:val="24"/>
          <w:szCs w:val="24"/>
        </w:rPr>
        <w:t>）法进行填补。将以</w:t>
      </w:r>
      <w:r>
        <w:rPr>
          <w:rStyle w:val="99"/>
          <w:rFonts w:hint="eastAsia" w:ascii="Times New Roman" w:hAnsi="Times New Roman" w:eastAsia="宋体" w:cs="Times New Roman"/>
          <w:sz w:val="24"/>
          <w:szCs w:val="24"/>
        </w:rPr>
        <w:t>分层因素</w:t>
      </w:r>
      <w:r>
        <w:rPr>
          <w:rFonts w:hint="eastAsia" w:ascii="Times New Roman" w:hAnsi="Times New Roman" w:eastAsia="宋体" w:cs="Times New Roman"/>
          <w:sz w:val="24"/>
          <w:szCs w:val="24"/>
        </w:rPr>
        <w:t>为固定因素，采用</w:t>
      </w:r>
      <w:r>
        <w:rPr>
          <w:rFonts w:ascii="Times New Roman" w:hAnsi="Times New Roman" w:eastAsia="宋体" w:cs="Times New Roman"/>
          <w:sz w:val="24"/>
          <w:szCs w:val="24"/>
        </w:rPr>
        <w:t>CMH</w:t>
      </w:r>
      <w:r>
        <w:rPr>
          <w:rFonts w:hint="eastAsia" w:ascii="Times New Roman" w:hAnsi="Times New Roman" w:eastAsia="宋体" w:cs="Times New Roman"/>
          <w:sz w:val="24"/>
          <w:szCs w:val="24"/>
        </w:rPr>
        <w:t>检验比较</w:t>
      </w:r>
      <w:r>
        <w:rPr>
          <w:rFonts w:ascii="Times New Roman" w:hAnsi="Times New Roman" w:eastAsia="宋体" w:cs="Times New Roman"/>
          <w:sz w:val="24"/>
          <w:szCs w:val="24"/>
        </w:rPr>
        <w:t>CMS-D001</w:t>
      </w:r>
      <w:r>
        <w:rPr>
          <w:rFonts w:hint="eastAsia" w:ascii="Times New Roman" w:hAnsi="Times New Roman" w:eastAsia="宋体" w:cs="Times New Roman"/>
          <w:sz w:val="24"/>
          <w:szCs w:val="24"/>
        </w:rPr>
        <w:t>片组和安慰剂组第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sz w:val="24"/>
          <w:szCs w:val="24"/>
        </w:rPr>
        <w:t>PASI-75</w:t>
      </w:r>
      <w:r>
        <w:rPr>
          <w:rFonts w:hint="eastAsia" w:ascii="Times New Roman" w:hAnsi="Times New Roman" w:eastAsia="宋体" w:cs="Times New Roman"/>
          <w:sz w:val="24"/>
          <w:szCs w:val="24"/>
        </w:rPr>
        <w:t>应答参与者比例差异，第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周达到</w:t>
      </w:r>
      <w:r>
        <w:rPr>
          <w:rFonts w:ascii="Times New Roman" w:hAnsi="Times New Roman" w:eastAsia="宋体" w:cs="Times New Roman"/>
          <w:kern w:val="2"/>
          <w:sz w:val="24"/>
          <w:szCs w:val="24"/>
        </w:rPr>
        <w:t>PGA</w:t>
      </w:r>
      <w:r>
        <w:rPr>
          <w:rFonts w:hint="eastAsia" w:ascii="Times New Roman" w:hAnsi="Times New Roman" w:eastAsia="宋体" w:cs="Times New Roman"/>
          <w:kern w:val="2"/>
          <w:sz w:val="24"/>
          <w:szCs w:val="24"/>
        </w:rPr>
        <w:t>评分为</w:t>
      </w:r>
      <w:r>
        <w:rPr>
          <w:rFonts w:ascii="Times New Roman" w:hAnsi="Times New Roman" w:eastAsia="宋体" w:cs="Times New Roman"/>
          <w:kern w:val="2"/>
          <w:sz w:val="24"/>
          <w:szCs w:val="24"/>
        </w:rPr>
        <w:t>0</w:t>
      </w:r>
      <w:r>
        <w:rPr>
          <w:rFonts w:hint="eastAsia" w:ascii="Times New Roman" w:hAnsi="Times New Roman" w:eastAsia="宋体" w:cs="Times New Roman"/>
          <w:kern w:val="2"/>
          <w:sz w:val="24"/>
          <w:szCs w:val="24"/>
        </w:rPr>
        <w:t>或</w:t>
      </w:r>
      <w:r>
        <w:rPr>
          <w:rFonts w:ascii="Times New Roman" w:hAnsi="Times New Roman" w:eastAsia="宋体" w:cs="Times New Roman"/>
          <w:kern w:val="2"/>
          <w:sz w:val="24"/>
          <w:szCs w:val="24"/>
        </w:rPr>
        <w:t>1</w:t>
      </w:r>
      <w:r>
        <w:rPr>
          <w:rFonts w:hint="eastAsia" w:ascii="Times New Roman" w:hAnsi="Times New Roman" w:eastAsia="宋体" w:cs="Times New Roman"/>
          <w:kern w:val="2"/>
          <w:sz w:val="24"/>
          <w:szCs w:val="24"/>
        </w:rPr>
        <w:t>应答</w:t>
      </w:r>
      <w:r>
        <w:rPr>
          <w:rFonts w:hint="eastAsia" w:ascii="Times New Roman" w:hAnsi="Times New Roman" w:eastAsia="宋体" w:cs="Times New Roman"/>
          <w:sz w:val="24"/>
          <w:szCs w:val="24"/>
        </w:rPr>
        <w:t>的参与者比例的差异，并计算相应的</w:t>
      </w:r>
      <w:r>
        <w:rPr>
          <w:rFonts w:ascii="Times New Roman" w:hAnsi="Times New Roman" w:eastAsia="宋体" w:cs="Times New Roman"/>
          <w:sz w:val="24"/>
          <w:szCs w:val="24"/>
        </w:rPr>
        <w:t>95%</w:t>
      </w:r>
      <w:r>
        <w:rPr>
          <w:rFonts w:hint="eastAsia" w:ascii="Times New Roman" w:hAnsi="Times New Roman" w:eastAsia="宋体" w:cs="Times New Roman"/>
          <w:sz w:val="24"/>
          <w:szCs w:val="24"/>
        </w:rPr>
        <w:t>的置信区间。</w:t>
      </w:r>
      <w:r>
        <w:rPr>
          <w:rFonts w:ascii="Times New Roman" w:hAnsi="Times New Roman" w:eastAsia="宋体" w:cs="Times New Roman"/>
          <w:bCs/>
          <w:sz w:val="24"/>
          <w:szCs w:val="24"/>
        </w:rPr>
        <w:t xml:space="preserve"> </w:t>
      </w:r>
    </w:p>
    <w:p w14:paraId="1E4D5BB5">
      <w:pPr>
        <w:spacing w:line="360" w:lineRule="auto"/>
        <w:ind w:firstLine="482" w:firstLineChars="200"/>
        <w:jc w:val="both"/>
        <w:rPr>
          <w:rFonts w:ascii="Times New Roman" w:hAnsi="Times New Roman" w:eastAsia="宋体" w:cs="Times New Roman"/>
          <w:bCs/>
          <w:sz w:val="24"/>
          <w:szCs w:val="24"/>
        </w:rPr>
      </w:pPr>
      <w:r>
        <w:rPr>
          <w:rFonts w:hint="eastAsia" w:ascii="Times New Roman" w:hAnsi="Times New Roman" w:eastAsia="宋体" w:cs="Times New Roman"/>
          <w:b/>
          <w:sz w:val="24"/>
          <w:szCs w:val="24"/>
        </w:rPr>
        <w:t>敏感性分析</w:t>
      </w:r>
      <w:r>
        <w:rPr>
          <w:rFonts w:ascii="Times New Roman" w:hAnsi="Times New Roman" w:eastAsia="宋体" w:cs="Times New Roman"/>
          <w:b/>
          <w:sz w:val="24"/>
          <w:szCs w:val="24"/>
        </w:rPr>
        <w:t>1</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在考虑伴发事件的处理策略及相应的数据填补</w:t>
      </w:r>
      <w:r>
        <w:rPr>
          <w:rFonts w:ascii="Times New Roman" w:hAnsi="Times New Roman" w:eastAsia="宋体" w:cs="Times New Roman"/>
          <w:sz w:val="24"/>
          <w:szCs w:val="24"/>
        </w:rPr>
        <w:t>/</w:t>
      </w:r>
      <w:r>
        <w:rPr>
          <w:rFonts w:hint="eastAsia" w:ascii="Times New Roman" w:hAnsi="Times New Roman" w:eastAsia="宋体" w:cs="Times New Roman"/>
          <w:sz w:val="24"/>
          <w:szCs w:val="24"/>
        </w:rPr>
        <w:t>预测措施后第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周主要终点评价指标仍缺失的数据，采用</w:t>
      </w:r>
      <w:r>
        <w:rPr>
          <w:rFonts w:hint="eastAsia" w:ascii="Times New Roman" w:hAnsi="Times New Roman" w:eastAsia="宋体" w:cs="Times New Roman"/>
          <w:kern w:val="2"/>
          <w:sz w:val="24"/>
          <w:szCs w:val="24"/>
        </w:rPr>
        <w:t>无应答</w:t>
      </w:r>
      <w:r>
        <w:rPr>
          <w:rFonts w:hint="eastAsia" w:ascii="Times New Roman" w:hAnsi="Times New Roman" w:eastAsia="宋体" w:cs="Times New Roman"/>
          <w:sz w:val="24"/>
          <w:szCs w:val="24"/>
        </w:rPr>
        <w:t>进行填补</w:t>
      </w:r>
      <w:r>
        <w:rPr>
          <w:rFonts w:hint="eastAsia" w:ascii="Times New Roman" w:hAnsi="Times New Roman" w:eastAsia="宋体" w:cs="Times New Roman"/>
          <w:bCs/>
          <w:sz w:val="24"/>
          <w:szCs w:val="24"/>
        </w:rPr>
        <w:t>。</w:t>
      </w:r>
    </w:p>
    <w:p w14:paraId="54D31958">
      <w:pPr>
        <w:spacing w:line="360" w:lineRule="auto"/>
        <w:ind w:firstLine="482" w:firstLineChars="200"/>
        <w:jc w:val="both"/>
        <w:rPr>
          <w:rFonts w:ascii="Times New Roman" w:hAnsi="Times New Roman" w:eastAsia="宋体" w:cs="Times New Roman"/>
          <w:bCs/>
          <w:sz w:val="24"/>
          <w:szCs w:val="24"/>
        </w:rPr>
      </w:pPr>
      <w:r>
        <w:rPr>
          <w:rFonts w:hint="eastAsia" w:ascii="Times New Roman" w:hAnsi="Times New Roman" w:eastAsia="宋体" w:cs="Times New Roman"/>
          <w:b/>
          <w:sz w:val="24"/>
          <w:szCs w:val="24"/>
        </w:rPr>
        <w:t>敏感性分析</w:t>
      </w:r>
      <w:r>
        <w:rPr>
          <w:rFonts w:ascii="Times New Roman" w:hAnsi="Times New Roman" w:eastAsia="宋体" w:cs="Times New Roman"/>
          <w:b/>
          <w:sz w:val="24"/>
          <w:szCs w:val="24"/>
        </w:rPr>
        <w:t>2</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在考虑伴发事件的处理策略及相应的数据填补</w:t>
      </w:r>
      <w:r>
        <w:rPr>
          <w:rFonts w:ascii="Times New Roman" w:hAnsi="Times New Roman" w:eastAsia="宋体" w:cs="Times New Roman"/>
          <w:sz w:val="24"/>
          <w:szCs w:val="24"/>
        </w:rPr>
        <w:t>/</w:t>
      </w:r>
      <w:r>
        <w:rPr>
          <w:rFonts w:hint="eastAsia" w:ascii="Times New Roman" w:hAnsi="Times New Roman" w:eastAsia="宋体" w:cs="Times New Roman"/>
          <w:sz w:val="24"/>
          <w:szCs w:val="24"/>
        </w:rPr>
        <w:t>预测措施后第</w:t>
      </w:r>
      <w:r>
        <w:rPr>
          <w:rFonts w:ascii="Times New Roman" w:hAnsi="Times New Roman" w:eastAsia="宋体" w:cs="Times New Roman"/>
          <w:sz w:val="24"/>
          <w:szCs w:val="24"/>
        </w:rPr>
        <w:t>16</w:t>
      </w:r>
      <w:r>
        <w:rPr>
          <w:rFonts w:hint="eastAsia" w:ascii="Times New Roman" w:hAnsi="Times New Roman" w:eastAsia="宋体" w:cs="Times New Roman"/>
          <w:sz w:val="24"/>
          <w:szCs w:val="24"/>
        </w:rPr>
        <w:t>周主要终点评价指标仍缺失的数据，采用末次观察结转（</w:t>
      </w:r>
      <w:r>
        <w:rPr>
          <w:rFonts w:ascii="Times New Roman" w:hAnsi="Times New Roman" w:eastAsia="宋体" w:cs="Times New Roman"/>
          <w:sz w:val="24"/>
          <w:szCs w:val="24"/>
        </w:rPr>
        <w:t>Last Observational Carried Forward</w:t>
      </w:r>
      <w:r>
        <w:rPr>
          <w:rFonts w:hint="eastAsia" w:ascii="Times New Roman" w:hAnsi="Times New Roman" w:eastAsia="宋体" w:cs="Times New Roman"/>
          <w:sz w:val="24"/>
          <w:szCs w:val="24"/>
        </w:rPr>
        <w:t>，</w:t>
      </w:r>
      <w:r>
        <w:rPr>
          <w:rFonts w:ascii="Times New Roman" w:hAnsi="Times New Roman" w:eastAsia="宋体" w:cs="Times New Roman"/>
          <w:bCs/>
          <w:sz w:val="24"/>
          <w:szCs w:val="24"/>
        </w:rPr>
        <w:t>LOCF</w:t>
      </w:r>
      <w:r>
        <w:rPr>
          <w:rFonts w:hint="eastAsia" w:ascii="Times New Roman" w:hAnsi="Times New Roman" w:eastAsia="宋体" w:cs="Times New Roman"/>
          <w:bCs/>
          <w:sz w:val="24"/>
          <w:szCs w:val="24"/>
        </w:rPr>
        <w:t>）法进行填补。</w:t>
      </w:r>
    </w:p>
    <w:p w14:paraId="14E874DA">
      <w:pPr>
        <w:spacing w:line="360" w:lineRule="auto"/>
        <w:ind w:firstLine="482" w:firstLineChars="200"/>
        <w:jc w:val="both"/>
        <w:rPr>
          <w:rFonts w:ascii="Times New Roman" w:hAnsi="Times New Roman" w:eastAsia="宋体" w:cs="Times New Roman"/>
          <w:bCs/>
          <w:sz w:val="24"/>
          <w:szCs w:val="24"/>
        </w:rPr>
      </w:pPr>
      <w:r>
        <w:rPr>
          <w:rFonts w:hint="eastAsia" w:ascii="Times New Roman" w:hAnsi="Times New Roman" w:eastAsia="宋体" w:cs="Times New Roman"/>
          <w:b/>
          <w:sz w:val="24"/>
          <w:szCs w:val="24"/>
        </w:rPr>
        <w:t>主要估计目标的亚组分析：</w:t>
      </w:r>
      <w:r>
        <w:rPr>
          <w:rFonts w:hint="eastAsia" w:ascii="Times New Roman" w:hAnsi="Times New Roman" w:eastAsia="宋体" w:cs="Times New Roman"/>
          <w:bCs/>
          <w:sz w:val="24"/>
          <w:szCs w:val="24"/>
        </w:rPr>
        <w:t>将在不同</w:t>
      </w:r>
      <w:r>
        <w:rPr>
          <w:rFonts w:ascii="Times New Roman" w:hAnsi="Times New Roman" w:eastAsia="宋体" w:cs="Times New Roman"/>
          <w:bCs/>
          <w:sz w:val="24"/>
          <w:szCs w:val="24"/>
        </w:rPr>
        <w:t>PGA</w:t>
      </w:r>
      <w:r>
        <w:rPr>
          <w:rFonts w:hint="eastAsia" w:ascii="Times New Roman" w:hAnsi="Times New Roman" w:eastAsia="宋体" w:cs="Times New Roman"/>
          <w:bCs/>
          <w:sz w:val="24"/>
          <w:szCs w:val="24"/>
        </w:rPr>
        <w:t>评分（</w:t>
      </w: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4</w:t>
      </w:r>
      <w:r>
        <w:rPr>
          <w:rFonts w:hint="eastAsia" w:ascii="Times New Roman" w:hAnsi="Times New Roman" w:eastAsia="宋体" w:cs="Times New Roman"/>
          <w:bCs/>
          <w:sz w:val="24"/>
          <w:szCs w:val="24"/>
        </w:rPr>
        <w:t>分）、既往是否接受过生物制剂治疗（是、否）的参与者中进行组间比较，分析方法同主要估计目标的分析。</w:t>
      </w:r>
    </w:p>
    <w:p w14:paraId="445E57F1">
      <w:pPr>
        <w:pStyle w:val="116"/>
        <w:numPr>
          <w:ilvl w:val="4"/>
          <w:numId w:val="12"/>
        </w:numPr>
        <w:ind w:hanging="849"/>
        <w:jc w:val="left"/>
        <w:outlineLvl w:val="4"/>
        <w:rPr>
          <w:rFonts w:cs="Times New Roman"/>
          <w:bCs/>
          <w:sz w:val="24"/>
          <w:szCs w:val="24"/>
        </w:rPr>
      </w:pPr>
      <w:bookmarkStart w:id="370" w:name="_Toc215214154"/>
      <w:bookmarkStart w:id="371" w:name="_Toc215213444"/>
      <w:bookmarkStart w:id="372" w:name="_Toc217032341"/>
      <w:r>
        <w:rPr>
          <w:rFonts w:hint="eastAsia" w:cs="Times New Roman"/>
          <w:sz w:val="24"/>
          <w:szCs w:val="24"/>
          <w:lang w:eastAsia="zh-Hans"/>
        </w:rPr>
        <w:t>次要</w:t>
      </w:r>
      <w:r>
        <w:rPr>
          <w:rFonts w:hint="eastAsia" w:cs="Times New Roman"/>
          <w:sz w:val="24"/>
          <w:szCs w:val="24"/>
        </w:rPr>
        <w:t>疗效指标分析</w:t>
      </w:r>
      <w:bookmarkEnd w:id="370"/>
      <w:bookmarkEnd w:id="371"/>
      <w:bookmarkEnd w:id="372"/>
    </w:p>
    <w:p w14:paraId="767BBFB5">
      <w:pPr>
        <w:spacing w:line="360" w:lineRule="auto"/>
        <w:ind w:firstLine="480" w:firstLineChars="200"/>
        <w:jc w:val="both"/>
        <w:rPr>
          <w:rFonts w:ascii="Times New Roman" w:hAnsi="Times New Roman" w:eastAsia="宋体" w:cs="Times New Roman"/>
          <w:color w:val="000000"/>
          <w:sz w:val="24"/>
          <w:szCs w:val="24"/>
        </w:rPr>
      </w:pPr>
      <w:r>
        <w:rPr>
          <w:rFonts w:hint="eastAsia" w:ascii="Times New Roman" w:hAnsi="Times New Roman" w:eastAsia="宋体" w:cs="Times New Roman"/>
          <w:bCs/>
          <w:sz w:val="24"/>
          <w:szCs w:val="24"/>
        </w:rPr>
        <w:t>次要疗效分析将在</w:t>
      </w:r>
      <w:r>
        <w:rPr>
          <w:rFonts w:ascii="Times New Roman" w:hAnsi="Times New Roman" w:eastAsia="宋体" w:cs="Times New Roman"/>
          <w:bCs/>
          <w:sz w:val="24"/>
          <w:szCs w:val="24"/>
        </w:rPr>
        <w:t>ITT</w:t>
      </w:r>
      <w:r>
        <w:rPr>
          <w:rFonts w:hint="eastAsia" w:ascii="Times New Roman" w:hAnsi="Times New Roman" w:eastAsia="宋体" w:cs="Times New Roman"/>
          <w:bCs/>
          <w:sz w:val="24"/>
          <w:szCs w:val="24"/>
        </w:rPr>
        <w:t>人群中进行，对于二次分类结局的次要估计目标（如：</w:t>
      </w:r>
      <w:r>
        <w:rPr>
          <w:rFonts w:ascii="Times New Roman" w:hAnsi="Times New Roman" w:eastAsia="宋体" w:cs="Times New Roman"/>
          <w:bCs/>
          <w:sz w:val="24"/>
          <w:szCs w:val="24"/>
        </w:rPr>
        <w:t>PASI 50/90</w:t>
      </w:r>
      <w:r>
        <w:rPr>
          <w:rFonts w:hint="eastAsia" w:ascii="Times New Roman" w:hAnsi="Times New Roman" w:eastAsia="宋体" w:cs="Times New Roman"/>
          <w:bCs/>
          <w:sz w:val="24"/>
          <w:szCs w:val="24"/>
        </w:rPr>
        <w:t>应答等）将采用与主要终点主分析相同的方法进行分析。</w:t>
      </w:r>
      <w:r>
        <w:rPr>
          <w:rFonts w:hint="eastAsia" w:ascii="Times New Roman" w:hAnsi="Times New Roman" w:eastAsia="宋体" w:cs="Times New Roman"/>
          <w:sz w:val="24"/>
          <w:szCs w:val="24"/>
        </w:rPr>
        <w:t>对于评价较基线变化或百分比变化的定量指标</w:t>
      </w:r>
      <w:r>
        <w:rPr>
          <w:rFonts w:hint="eastAsia" w:ascii="Times New Roman" w:hAnsi="Times New Roman" w:eastAsia="宋体" w:cs="Times New Roman"/>
          <w:sz w:val="24"/>
          <w:szCs w:val="24"/>
          <w:shd w:val="clear" w:color="auto" w:fill="FFFFFF"/>
        </w:rPr>
        <w:t>采用协方差分析（</w:t>
      </w:r>
      <w:r>
        <w:rPr>
          <w:rFonts w:ascii="Times New Roman" w:hAnsi="Times New Roman" w:eastAsia="宋体" w:cs="Times New Roman"/>
          <w:sz w:val="24"/>
          <w:szCs w:val="24"/>
          <w:shd w:val="clear" w:color="auto" w:fill="FFFFFF"/>
        </w:rPr>
        <w:t>Analysis of covariance</w:t>
      </w:r>
      <w:r>
        <w:rPr>
          <w:rFonts w:hint="eastAsia" w:ascii="Times New Roman" w:hAnsi="Times New Roman" w:eastAsia="宋体" w:cs="Times New Roman"/>
          <w:sz w:val="24"/>
          <w:szCs w:val="24"/>
          <w:shd w:val="clear" w:color="auto" w:fill="FFFFFF"/>
        </w:rPr>
        <w:t>，</w:t>
      </w:r>
      <w:r>
        <w:rPr>
          <w:rFonts w:ascii="Times New Roman" w:hAnsi="Times New Roman" w:eastAsia="宋体" w:cs="Times New Roman"/>
          <w:sz w:val="24"/>
          <w:szCs w:val="24"/>
          <w:shd w:val="clear" w:color="auto" w:fill="FFFFFF"/>
        </w:rPr>
        <w:t>ANCOVA</w:t>
      </w:r>
      <w:r>
        <w:rPr>
          <w:rFonts w:hint="eastAsia" w:ascii="Times New Roman" w:hAnsi="Times New Roman" w:eastAsia="宋体" w:cs="Times New Roman"/>
          <w:sz w:val="24"/>
          <w:szCs w:val="24"/>
          <w:shd w:val="clear" w:color="auto" w:fill="FFFFFF"/>
        </w:rPr>
        <w:t>）比较组间治疗</w:t>
      </w:r>
      <w:r>
        <w:rPr>
          <w:rFonts w:ascii="Times New Roman" w:hAnsi="Times New Roman" w:eastAsia="宋体" w:cs="Times New Roman"/>
          <w:sz w:val="24"/>
          <w:szCs w:val="24"/>
          <w:shd w:val="clear" w:color="auto" w:fill="FFFFFF"/>
        </w:rPr>
        <w:t>16</w:t>
      </w:r>
      <w:r>
        <w:rPr>
          <w:rFonts w:hint="eastAsia" w:ascii="Times New Roman" w:hAnsi="Times New Roman" w:eastAsia="宋体" w:cs="Times New Roman"/>
          <w:sz w:val="24"/>
          <w:szCs w:val="24"/>
          <w:shd w:val="clear" w:color="auto" w:fill="FFFFFF"/>
        </w:rPr>
        <w:t>周时较基线变化或百分比变化</w:t>
      </w:r>
      <w:r>
        <w:rPr>
          <w:rFonts w:hint="eastAsia" w:ascii="Times New Roman" w:hAnsi="Times New Roman" w:eastAsia="宋体" w:cs="Times New Roman"/>
          <w:bCs/>
          <w:sz w:val="24"/>
          <w:szCs w:val="24"/>
        </w:rPr>
        <w:t>，模型中以治疗组、分层因素和基线值作为协变量，并计算</w:t>
      </w:r>
      <w:r>
        <w:rPr>
          <w:rFonts w:ascii="Times New Roman" w:hAnsi="Times New Roman" w:eastAsia="宋体" w:cs="Times New Roman"/>
          <w:bCs/>
          <w:sz w:val="24"/>
          <w:szCs w:val="24"/>
        </w:rPr>
        <w:t>CMS-D001</w:t>
      </w:r>
      <w:r>
        <w:rPr>
          <w:rFonts w:hint="eastAsia" w:ascii="Times New Roman" w:hAnsi="Times New Roman" w:eastAsia="宋体" w:cs="Times New Roman"/>
          <w:bCs/>
          <w:sz w:val="24"/>
          <w:szCs w:val="24"/>
        </w:rPr>
        <w:t>片组与安慰剂组的最小二乘回归均值及其之间的差异。</w:t>
      </w:r>
    </w:p>
    <w:p w14:paraId="4348D8BF">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bCs/>
          <w:sz w:val="24"/>
          <w:szCs w:val="24"/>
        </w:rPr>
        <w:t>所有其他次要疗效指标将使用描述性统计量汇总。对于分类变量，汇总统计将包括参与者例数、频率和百分比。对于连续变量，汇总统计将包括受试者例数、平均值、中位值、标准差、最小值和最大值。对于连续疗效终点，包括实际测量值、相对基线的变化和相对基线的百分比变化，也可通过重复测量的混合效应模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Mixed-effect models for repeated measures</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MMRM</w:t>
      </w:r>
      <w:r>
        <w:rPr>
          <w:rFonts w:hint="eastAsia" w:ascii="Times New Roman" w:hAnsi="Times New Roman" w:eastAsia="宋体" w:cs="Times New Roman"/>
          <w:color w:val="000000"/>
          <w:sz w:val="24"/>
          <w:szCs w:val="24"/>
        </w:rPr>
        <w:t>）</w:t>
      </w:r>
      <w:r>
        <w:rPr>
          <w:rFonts w:hint="eastAsia" w:ascii="Times New Roman" w:hAnsi="Times New Roman" w:eastAsia="宋体" w:cs="Times New Roman"/>
          <w:bCs/>
          <w:sz w:val="24"/>
          <w:szCs w:val="24"/>
        </w:rPr>
        <w:t>进行分析。</w:t>
      </w:r>
    </w:p>
    <w:p w14:paraId="3CB85053">
      <w:pPr>
        <w:pStyle w:val="116"/>
        <w:numPr>
          <w:ilvl w:val="2"/>
          <w:numId w:val="12"/>
        </w:numPr>
        <w:outlineLvl w:val="2"/>
        <w:rPr>
          <w:rFonts w:cs="Times New Roman"/>
          <w:sz w:val="24"/>
          <w:szCs w:val="24"/>
        </w:rPr>
      </w:pPr>
      <w:bookmarkStart w:id="373" w:name="_Toc217032342"/>
      <w:r>
        <w:rPr>
          <w:rFonts w:hint="eastAsia" w:cs="Times New Roman"/>
          <w:sz w:val="24"/>
          <w:szCs w:val="24"/>
        </w:rPr>
        <w:t>安全性分析</w:t>
      </w:r>
      <w:bookmarkEnd w:id="373"/>
    </w:p>
    <w:p w14:paraId="61F91961">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bCs/>
          <w:sz w:val="24"/>
          <w:szCs w:val="24"/>
        </w:rPr>
        <w:t>不良事件（</w:t>
      </w:r>
      <w:r>
        <w:rPr>
          <w:rFonts w:ascii="Times New Roman" w:hAnsi="Times New Roman" w:eastAsia="宋体" w:cs="Times New Roman"/>
          <w:bCs/>
          <w:sz w:val="24"/>
          <w:szCs w:val="24"/>
        </w:rPr>
        <w:t>AE</w:t>
      </w:r>
      <w:r>
        <w:rPr>
          <w:rFonts w:hint="eastAsia" w:ascii="Times New Roman" w:hAnsi="Times New Roman" w:eastAsia="宋体" w:cs="Times New Roman"/>
          <w:bCs/>
          <w:sz w:val="24"/>
          <w:szCs w:val="24"/>
        </w:rPr>
        <w:t>）采用</w:t>
      </w:r>
      <w:r>
        <w:rPr>
          <w:rFonts w:ascii="Times New Roman" w:hAnsi="Times New Roman" w:eastAsia="宋体" w:cs="Times New Roman"/>
          <w:bCs/>
          <w:sz w:val="24"/>
          <w:szCs w:val="24"/>
        </w:rPr>
        <w:t>MedDRA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28.0</w:t>
      </w:r>
      <w:r>
        <w:rPr>
          <w:rFonts w:hint="eastAsia" w:ascii="Times New Roman" w:hAnsi="Times New Roman" w:eastAsia="宋体" w:cs="Times New Roman"/>
          <w:bCs/>
          <w:sz w:val="24"/>
          <w:szCs w:val="24"/>
        </w:rPr>
        <w:t>版本或届时最高版本）进行编码，依据系统器官分类（</w:t>
      </w:r>
      <w:r>
        <w:rPr>
          <w:rFonts w:ascii="Times New Roman" w:hAnsi="Times New Roman" w:eastAsia="宋体" w:cs="Times New Roman"/>
          <w:bCs/>
          <w:sz w:val="24"/>
          <w:szCs w:val="24"/>
        </w:rPr>
        <w:t>SOC</w:t>
      </w:r>
      <w:r>
        <w:rPr>
          <w:rFonts w:hint="eastAsia" w:ascii="Times New Roman" w:hAnsi="Times New Roman" w:eastAsia="宋体" w:cs="Times New Roman"/>
          <w:bCs/>
          <w:sz w:val="24"/>
          <w:szCs w:val="24"/>
        </w:rPr>
        <w:t>）和首选语（</w:t>
      </w:r>
      <w:r>
        <w:rPr>
          <w:rFonts w:ascii="Times New Roman" w:hAnsi="Times New Roman" w:eastAsia="宋体" w:cs="Times New Roman"/>
          <w:bCs/>
          <w:sz w:val="24"/>
          <w:szCs w:val="24"/>
        </w:rPr>
        <w:t>PT</w:t>
      </w:r>
      <w:r>
        <w:rPr>
          <w:rFonts w:hint="eastAsia" w:ascii="Times New Roman" w:hAnsi="Times New Roman" w:eastAsia="宋体" w:cs="Times New Roman"/>
          <w:bCs/>
          <w:sz w:val="24"/>
          <w:szCs w:val="24"/>
        </w:rPr>
        <w:t>）进行汇总，Ⅲ期临床阶段将分别对各组</w:t>
      </w:r>
      <w:r>
        <w:rPr>
          <w:rFonts w:ascii="Times New Roman" w:hAnsi="Times New Roman" w:eastAsia="宋体" w:cs="Times New Roman"/>
          <w:bCs/>
          <w:sz w:val="24"/>
          <w:szCs w:val="24"/>
        </w:rPr>
        <w:t>16</w:t>
      </w:r>
      <w:r>
        <w:rPr>
          <w:rFonts w:hint="eastAsia" w:ascii="Times New Roman" w:hAnsi="Times New Roman" w:eastAsia="宋体" w:cs="Times New Roman"/>
          <w:bCs/>
          <w:sz w:val="24"/>
          <w:szCs w:val="24"/>
        </w:rPr>
        <w:t>周基础期</w:t>
      </w:r>
      <w:r>
        <w:rPr>
          <w:rStyle w:val="99"/>
          <w:rFonts w:hint="eastAsia" w:ascii="Times New Roman" w:hAnsi="Times New Roman" w:eastAsia="宋体" w:cs="Times New Roman"/>
          <w:color w:val="000000" w:themeColor="text1"/>
          <w:sz w:val="24"/>
          <w:szCs w:val="24"/>
          <w14:textFill>
            <w14:solidFill>
              <w14:schemeClr w14:val="tx1"/>
            </w14:solidFill>
          </w14:textFill>
        </w:rPr>
        <w:t>和整个研究期的</w:t>
      </w:r>
      <w:r>
        <w:rPr>
          <w:rStyle w:val="99"/>
          <w:rFonts w:ascii="Times New Roman" w:hAnsi="Times New Roman" w:eastAsia="宋体" w:cs="Times New Roman"/>
          <w:color w:val="000000" w:themeColor="text1"/>
          <w:sz w:val="24"/>
          <w:szCs w:val="24"/>
          <w14:textFill>
            <w14:solidFill>
              <w14:schemeClr w14:val="tx1"/>
            </w14:solidFill>
          </w14:textFill>
        </w:rPr>
        <w:t>AE</w:t>
      </w:r>
      <w:r>
        <w:rPr>
          <w:rStyle w:val="99"/>
          <w:rFonts w:hint="eastAsia" w:ascii="Times New Roman" w:hAnsi="Times New Roman" w:eastAsia="宋体" w:cs="Times New Roman"/>
          <w:color w:val="000000" w:themeColor="text1"/>
          <w:sz w:val="24"/>
          <w:szCs w:val="24"/>
          <w14:textFill>
            <w14:solidFill>
              <w14:schemeClr w14:val="tx1"/>
            </w14:solidFill>
          </w14:textFill>
        </w:rPr>
        <w:t>进行汇总</w:t>
      </w:r>
      <w:r>
        <w:rPr>
          <w:rFonts w:hint="eastAsia" w:ascii="Times New Roman" w:hAnsi="Times New Roman" w:eastAsia="宋体" w:cs="Times New Roman"/>
          <w:bCs/>
          <w:sz w:val="24"/>
          <w:szCs w:val="24"/>
        </w:rPr>
        <w:t>。主要报告发生治疗期出现的不良事件（</w:t>
      </w:r>
      <w:r>
        <w:rPr>
          <w:rFonts w:ascii="Times New Roman" w:hAnsi="Times New Roman" w:eastAsia="宋体" w:cs="Times New Roman"/>
          <w:bCs/>
          <w:sz w:val="24"/>
          <w:szCs w:val="24"/>
        </w:rPr>
        <w:t>TEAE</w:t>
      </w:r>
      <w:r>
        <w:rPr>
          <w:rFonts w:hint="eastAsia" w:ascii="Times New Roman" w:hAnsi="Times New Roman" w:eastAsia="宋体" w:cs="Times New Roman"/>
          <w:bCs/>
          <w:sz w:val="24"/>
          <w:szCs w:val="24"/>
        </w:rPr>
        <w:t>）（即在治疗过程中出现的事件，在治疗前并未出现或相对于治疗前发生恶化的事件）的参与者例数、例次和发生率，并按照不良事件类型、与研究药物的因果关系及严重程度汇总</w:t>
      </w:r>
      <w:r>
        <w:rPr>
          <w:rFonts w:ascii="Times New Roman" w:hAnsi="Times New Roman" w:eastAsia="宋体" w:cs="Times New Roman"/>
          <w:bCs/>
          <w:sz w:val="24"/>
          <w:szCs w:val="24"/>
        </w:rPr>
        <w:t>TEAE</w:t>
      </w:r>
      <w:r>
        <w:rPr>
          <w:rFonts w:hint="eastAsia" w:ascii="Times New Roman" w:hAnsi="Times New Roman" w:eastAsia="宋体" w:cs="Times New Roman"/>
          <w:bCs/>
          <w:sz w:val="24"/>
          <w:szCs w:val="24"/>
        </w:rPr>
        <w:t>并列表。对于与研究药物相关的</w:t>
      </w:r>
      <w:r>
        <w:rPr>
          <w:rFonts w:ascii="Times New Roman" w:hAnsi="Times New Roman" w:eastAsia="宋体" w:cs="Times New Roman"/>
          <w:bCs/>
          <w:sz w:val="24"/>
          <w:szCs w:val="24"/>
        </w:rPr>
        <w:t>TEAE</w:t>
      </w:r>
      <w:r>
        <w:rPr>
          <w:rFonts w:hint="eastAsia" w:ascii="Times New Roman" w:hAnsi="Times New Roman" w:eastAsia="宋体" w:cs="Times New Roman"/>
          <w:bCs/>
          <w:sz w:val="24"/>
          <w:szCs w:val="24"/>
        </w:rPr>
        <w:t>、导致永久停用研究药物的</w:t>
      </w:r>
      <w:r>
        <w:rPr>
          <w:rFonts w:ascii="Times New Roman" w:hAnsi="Times New Roman" w:eastAsia="宋体" w:cs="Times New Roman"/>
          <w:bCs/>
          <w:sz w:val="24"/>
          <w:szCs w:val="24"/>
        </w:rPr>
        <w:t>TEAE</w:t>
      </w:r>
      <w:r>
        <w:rPr>
          <w:rFonts w:hint="eastAsia" w:ascii="Times New Roman" w:hAnsi="Times New Roman" w:eastAsia="宋体" w:cs="Times New Roman"/>
          <w:bCs/>
          <w:sz w:val="24"/>
          <w:szCs w:val="24"/>
        </w:rPr>
        <w:t>、导致退出试验的</w:t>
      </w:r>
      <w:r>
        <w:rPr>
          <w:rFonts w:ascii="Times New Roman" w:hAnsi="Times New Roman" w:eastAsia="宋体" w:cs="Times New Roman"/>
          <w:bCs/>
          <w:sz w:val="24"/>
          <w:szCs w:val="24"/>
        </w:rPr>
        <w:t>TEAE</w:t>
      </w:r>
      <w:r>
        <w:rPr>
          <w:rFonts w:hint="eastAsia" w:ascii="Times New Roman" w:hAnsi="Times New Roman" w:eastAsia="宋体" w:cs="Times New Roman"/>
          <w:bCs/>
          <w:sz w:val="24"/>
          <w:szCs w:val="24"/>
        </w:rPr>
        <w:t>、导致中断治疗（暂停给药）的</w:t>
      </w:r>
      <w:r>
        <w:rPr>
          <w:rFonts w:ascii="Times New Roman" w:hAnsi="Times New Roman" w:eastAsia="宋体" w:cs="Times New Roman"/>
          <w:bCs/>
          <w:sz w:val="24"/>
          <w:szCs w:val="24"/>
        </w:rPr>
        <w:t>TEAE</w:t>
      </w:r>
      <w:r>
        <w:rPr>
          <w:rFonts w:hint="eastAsia" w:ascii="Times New Roman" w:hAnsi="Times New Roman" w:eastAsia="宋体" w:cs="Times New Roman"/>
          <w:bCs/>
          <w:sz w:val="24"/>
          <w:szCs w:val="24"/>
        </w:rPr>
        <w:t>、严重不良事件、死亡事件进行单独汇总并列表。对治疗前（即签署知情同意后，接受试验用药品前以及接受试验用药品后未发生严重程度加重的不良医学事件）发生的不良医学事件以清单形式列出。</w:t>
      </w:r>
    </w:p>
    <w:p w14:paraId="616A4D6B">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bCs/>
          <w:sz w:val="24"/>
          <w:szCs w:val="24"/>
        </w:rPr>
        <w:t>按照组别对在计划的评价时间点的参与者血常规和血生化等实验室检查、生命体征的结果进行统计汇总，描述指标检查结果相对于基线的变化情况，主要关注治疗前正常而治疗后异常的发生情况，以及治疗前异常但在治疗后异常加重的参与者，需列表描述上述两种情况。以交叉表的形式，分别列出各组别例数和百分比。将按照参与者对所有异常检查结果进行列表。</w:t>
      </w:r>
    </w:p>
    <w:p w14:paraId="24A22964">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bCs/>
          <w:sz w:val="24"/>
          <w:szCs w:val="24"/>
        </w:rPr>
        <w:t>按照组别对受试者的体格检查数据进行列表，以交叉表的形式，分别描述例数和百分比，并对异常结果进行汇总。</w:t>
      </w:r>
    </w:p>
    <w:p w14:paraId="650EFDA8">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bCs/>
          <w:sz w:val="24"/>
          <w:szCs w:val="24"/>
        </w:rPr>
        <w:t>列出所有具有生育能力的女性的血妊娠检查结果。</w:t>
      </w:r>
    </w:p>
    <w:p w14:paraId="74AFE451">
      <w:pPr>
        <w:spacing w:before="60"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按照组别对合并用药及治疗进行汇总并列表。</w:t>
      </w:r>
    </w:p>
    <w:p w14:paraId="2B5B0AD0">
      <w:pPr>
        <w:pStyle w:val="116"/>
        <w:numPr>
          <w:ilvl w:val="2"/>
          <w:numId w:val="12"/>
        </w:numPr>
        <w:outlineLvl w:val="2"/>
        <w:rPr>
          <w:rFonts w:cs="Times New Roman"/>
          <w:sz w:val="24"/>
          <w:szCs w:val="24"/>
        </w:rPr>
      </w:pPr>
      <w:bookmarkStart w:id="374" w:name="_Toc217032343"/>
      <w:r>
        <w:rPr>
          <w:rFonts w:hint="eastAsia" w:cs="Times New Roman"/>
          <w:sz w:val="24"/>
          <w:szCs w:val="24"/>
        </w:rPr>
        <w:t>药代动力学分析</w:t>
      </w:r>
      <w:bookmarkEnd w:id="374"/>
    </w:p>
    <w:p w14:paraId="318C995D">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本研究将基于</w:t>
      </w:r>
      <w:r>
        <w:rPr>
          <w:rFonts w:ascii="Times New Roman" w:hAnsi="Times New Roman" w:eastAsia="宋体" w:cs="Times New Roman"/>
          <w:bCs/>
          <w:sz w:val="24"/>
          <w:szCs w:val="24"/>
        </w:rPr>
        <w:t>PKCS</w:t>
      </w:r>
      <w:r>
        <w:rPr>
          <w:rFonts w:hint="eastAsia" w:ascii="Times New Roman" w:hAnsi="Times New Roman" w:eastAsia="宋体" w:cs="Times New Roman"/>
          <w:bCs/>
          <w:sz w:val="24"/>
          <w:szCs w:val="24"/>
        </w:rPr>
        <w:t>，按照剂量组对各计划</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采样时间的</w:t>
      </w:r>
      <w:r>
        <w:rPr>
          <w:rFonts w:ascii="Times New Roman" w:hAnsi="Times New Roman" w:eastAsia="宋体" w:cs="Times New Roman"/>
          <w:bCs/>
          <w:sz w:val="24"/>
          <w:szCs w:val="24"/>
        </w:rPr>
        <w:t>CMS-D001</w:t>
      </w:r>
      <w:r>
        <w:rPr>
          <w:rFonts w:hint="eastAsia" w:ascii="Times New Roman" w:hAnsi="Times New Roman" w:eastAsia="宋体" w:cs="Times New Roman"/>
          <w:bCs/>
          <w:sz w:val="24"/>
          <w:szCs w:val="24"/>
        </w:rPr>
        <w:t>及其主要代谢产物（如适用）血药浓度（血浆</w:t>
      </w:r>
      <w:r>
        <w:rPr>
          <w:rFonts w:ascii="Times New Roman" w:hAnsi="Times New Roman" w:eastAsia="宋体" w:cs="Times New Roman"/>
          <w:bCs/>
          <w:sz w:val="24"/>
          <w:szCs w:val="24"/>
        </w:rPr>
        <w:t>C</w:t>
      </w:r>
      <w:r>
        <w:rPr>
          <w:rFonts w:ascii="Times New Roman" w:hAnsi="Times New Roman" w:eastAsia="宋体" w:cs="Times New Roman"/>
          <w:bCs/>
          <w:sz w:val="24"/>
          <w:szCs w:val="24"/>
          <w:vertAlign w:val="subscript"/>
        </w:rPr>
        <w:t>trough</w:t>
      </w:r>
      <w:r>
        <w:rPr>
          <w:rFonts w:hint="eastAsia" w:ascii="Times New Roman" w:hAnsi="Times New Roman" w:eastAsia="宋体" w:cs="Times New Roman"/>
          <w:bCs/>
          <w:sz w:val="24"/>
          <w:szCs w:val="24"/>
        </w:rPr>
        <w:t>或</w:t>
      </w:r>
      <w:r>
        <w:rPr>
          <w:rFonts w:ascii="Times New Roman" w:hAnsi="Times New Roman" w:eastAsia="宋体" w:cs="Times New Roman"/>
          <w:bCs/>
          <w:sz w:val="24"/>
          <w:szCs w:val="24"/>
        </w:rPr>
        <w:t>C</w:t>
      </w:r>
      <w:r>
        <w:rPr>
          <w:rFonts w:ascii="Times New Roman" w:hAnsi="Times New Roman" w:eastAsia="宋体" w:cs="Times New Roman"/>
          <w:bCs/>
          <w:sz w:val="24"/>
          <w:szCs w:val="24"/>
          <w:vertAlign w:val="subscript"/>
        </w:rPr>
        <w:t>max</w:t>
      </w:r>
      <w:r>
        <w:rPr>
          <w:rFonts w:hint="eastAsia" w:ascii="Times New Roman" w:hAnsi="Times New Roman" w:eastAsia="宋体" w:cs="Times New Roman"/>
          <w:bCs/>
          <w:sz w:val="24"/>
          <w:szCs w:val="24"/>
        </w:rPr>
        <w:t>）进行列表和描述性统计汇总，包括例数、算术均值、标准差、变异系数、几何均值、几何变异系数、中位数、最大值和最小值等。还将按实际</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采样时间，绘制个体血药浓度</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时间曲线图（线性和半对数）；按计划</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采样时间，绘制各剂量组的平均血药浓度</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时间曲线图（线性和半对数）。</w:t>
      </w:r>
    </w:p>
    <w:p w14:paraId="67EE1500">
      <w:pPr>
        <w:pStyle w:val="116"/>
        <w:numPr>
          <w:ilvl w:val="2"/>
          <w:numId w:val="12"/>
        </w:numPr>
        <w:outlineLvl w:val="2"/>
        <w:rPr>
          <w:rFonts w:cs="Times New Roman"/>
          <w:sz w:val="24"/>
          <w:szCs w:val="24"/>
        </w:rPr>
      </w:pPr>
      <w:bookmarkStart w:id="375" w:name="_Toc217032344"/>
      <w:r>
        <w:rPr>
          <w:rFonts w:hint="eastAsia" w:cs="Times New Roman"/>
          <w:sz w:val="24"/>
          <w:szCs w:val="24"/>
        </w:rPr>
        <w:t>群体药代动力学分析</w:t>
      </w:r>
      <w:bookmarkEnd w:id="375"/>
    </w:p>
    <w:p w14:paraId="2B204AC8">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在本研究中获得的所有</w:t>
      </w:r>
      <w:r>
        <w:rPr>
          <w:rFonts w:ascii="Times New Roman" w:hAnsi="Times New Roman" w:eastAsia="宋体" w:cs="Times New Roman"/>
          <w:bCs/>
          <w:sz w:val="24"/>
          <w:szCs w:val="24"/>
        </w:rPr>
        <w:t>CMS-D001</w:t>
      </w:r>
      <w:r>
        <w:rPr>
          <w:rFonts w:hint="eastAsia" w:ascii="Times New Roman" w:hAnsi="Times New Roman" w:eastAsia="宋体" w:cs="Times New Roman"/>
          <w:bCs/>
          <w:sz w:val="24"/>
          <w:szCs w:val="24"/>
        </w:rPr>
        <w:t>及其主要代谢产物（如适用）的血药浓度数据将与前期已完成研究的数据合并，用于</w:t>
      </w:r>
      <w:r>
        <w:rPr>
          <w:rFonts w:ascii="Times New Roman" w:hAnsi="Times New Roman" w:eastAsia="宋体" w:cs="Times New Roman"/>
          <w:bCs/>
          <w:sz w:val="24"/>
          <w:szCs w:val="24"/>
        </w:rPr>
        <w:t>PopPK</w:t>
      </w:r>
      <w:r>
        <w:rPr>
          <w:rFonts w:hint="eastAsia" w:ascii="Times New Roman" w:hAnsi="Times New Roman" w:eastAsia="宋体" w:cs="Times New Roman"/>
          <w:bCs/>
          <w:sz w:val="24"/>
          <w:szCs w:val="24"/>
        </w:rPr>
        <w:t>分析（使用非线性混合效应模型</w:t>
      </w:r>
      <w:r>
        <w:rPr>
          <w:rFonts w:ascii="Times New Roman" w:hAnsi="Times New Roman" w:eastAsia="宋体" w:cs="Times New Roman"/>
          <w:bCs/>
          <w:sz w:val="24"/>
          <w:szCs w:val="24"/>
        </w:rPr>
        <w:t>[NONMEM]</w:t>
      </w:r>
      <w:r>
        <w:rPr>
          <w:rFonts w:hint="eastAsia" w:ascii="Times New Roman" w:hAnsi="Times New Roman" w:eastAsia="宋体" w:cs="Times New Roman"/>
          <w:bCs/>
          <w:sz w:val="24"/>
          <w:szCs w:val="24"/>
        </w:rPr>
        <w:t>），建立</w:t>
      </w:r>
      <w:r>
        <w:rPr>
          <w:rFonts w:ascii="Times New Roman" w:hAnsi="Times New Roman" w:eastAsia="宋体" w:cs="Times New Roman"/>
          <w:bCs/>
          <w:sz w:val="24"/>
          <w:szCs w:val="24"/>
        </w:rPr>
        <w:t>PopPK</w:t>
      </w:r>
      <w:r>
        <w:rPr>
          <w:rFonts w:hint="eastAsia" w:ascii="Times New Roman" w:hAnsi="Times New Roman" w:eastAsia="宋体" w:cs="Times New Roman"/>
          <w:bCs/>
          <w:sz w:val="24"/>
          <w:szCs w:val="24"/>
        </w:rPr>
        <w:t>模型以表征</w:t>
      </w:r>
      <w:r>
        <w:rPr>
          <w:rFonts w:ascii="Times New Roman" w:hAnsi="Times New Roman" w:eastAsia="宋体" w:cs="Times New Roman"/>
          <w:bCs/>
          <w:sz w:val="24"/>
          <w:szCs w:val="24"/>
        </w:rPr>
        <w:t>CMS-D001</w:t>
      </w:r>
      <w:r>
        <w:rPr>
          <w:rFonts w:hint="eastAsia" w:ascii="Times New Roman" w:hAnsi="Times New Roman" w:eastAsia="宋体" w:cs="Times New Roman"/>
          <w:bCs/>
          <w:sz w:val="24"/>
          <w:szCs w:val="24"/>
        </w:rPr>
        <w:t>及其主要代谢产物（如适用）的</w:t>
      </w:r>
      <w:r>
        <w:rPr>
          <w:rFonts w:ascii="Times New Roman" w:hAnsi="Times New Roman" w:eastAsia="宋体" w:cs="Times New Roman"/>
          <w:bCs/>
          <w:sz w:val="24"/>
          <w:szCs w:val="24"/>
        </w:rPr>
        <w:t>PK</w:t>
      </w:r>
      <w:r>
        <w:rPr>
          <w:rFonts w:hint="eastAsia" w:ascii="Times New Roman" w:hAnsi="Times New Roman" w:eastAsia="宋体" w:cs="Times New Roman"/>
          <w:bCs/>
          <w:sz w:val="24"/>
          <w:szCs w:val="24"/>
        </w:rPr>
        <w:t>特征。这些分析将另行准备定量药理分析计划及报告。</w:t>
      </w:r>
    </w:p>
    <w:p w14:paraId="3874630F">
      <w:pPr>
        <w:pStyle w:val="116"/>
        <w:numPr>
          <w:ilvl w:val="2"/>
          <w:numId w:val="12"/>
        </w:numPr>
        <w:outlineLvl w:val="2"/>
        <w:rPr>
          <w:rFonts w:cs="Times New Roman"/>
          <w:sz w:val="24"/>
          <w:szCs w:val="24"/>
        </w:rPr>
      </w:pPr>
      <w:bookmarkStart w:id="376" w:name="_Toc217032345"/>
      <w:r>
        <w:rPr>
          <w:rFonts w:hint="eastAsia" w:cs="Times New Roman"/>
          <w:sz w:val="24"/>
          <w:szCs w:val="24"/>
        </w:rPr>
        <w:t>暴露</w:t>
      </w:r>
      <w:r>
        <w:rPr>
          <w:rFonts w:cs="Times New Roman"/>
          <w:sz w:val="24"/>
          <w:szCs w:val="24"/>
        </w:rPr>
        <w:t>-</w:t>
      </w:r>
      <w:r>
        <w:rPr>
          <w:rFonts w:hint="eastAsia" w:cs="Times New Roman"/>
          <w:sz w:val="24"/>
          <w:szCs w:val="24"/>
        </w:rPr>
        <w:t>效应分析</w:t>
      </w:r>
      <w:bookmarkEnd w:id="376"/>
    </w:p>
    <w:p w14:paraId="62AA24AE">
      <w:pPr>
        <w:spacing w:line="360" w:lineRule="auto"/>
        <w:ind w:firstLine="480" w:firstLineChars="200"/>
        <w:jc w:val="both"/>
        <w:rPr>
          <w:rFonts w:ascii="Times New Roman" w:hAnsi="Times New Roman" w:eastAsia="宋体" w:cs="Times New Roman"/>
          <w:bCs/>
          <w:sz w:val="24"/>
          <w:szCs w:val="24"/>
        </w:rPr>
      </w:pPr>
      <w:r>
        <w:rPr>
          <w:rFonts w:hint="eastAsia" w:ascii="Times New Roman" w:hAnsi="Times New Roman" w:eastAsia="宋体" w:cs="Times New Roman"/>
          <w:bCs/>
          <w:sz w:val="24"/>
          <w:szCs w:val="24"/>
        </w:rPr>
        <w:t>如数据允许，根据建立的最终</w:t>
      </w:r>
      <w:r>
        <w:rPr>
          <w:rFonts w:ascii="Times New Roman" w:hAnsi="Times New Roman" w:eastAsia="宋体" w:cs="Times New Roman"/>
          <w:bCs/>
          <w:sz w:val="24"/>
          <w:szCs w:val="24"/>
        </w:rPr>
        <w:t>PopPK</w:t>
      </w:r>
      <w:r>
        <w:rPr>
          <w:rFonts w:hint="eastAsia" w:ascii="Times New Roman" w:hAnsi="Times New Roman" w:eastAsia="宋体" w:cs="Times New Roman"/>
          <w:bCs/>
          <w:sz w:val="24"/>
          <w:szCs w:val="24"/>
        </w:rPr>
        <w:t>模型参数估计值，估算个体暴露参数，用于进一步的暴露</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效应分析，包括暴露</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疗效、暴露</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安全性的相关性探索。这些分析将另行准备定量药理分析计划及报告。</w:t>
      </w:r>
    </w:p>
    <w:p w14:paraId="4502E5EC">
      <w:pPr>
        <w:pStyle w:val="116"/>
        <w:numPr>
          <w:ilvl w:val="2"/>
          <w:numId w:val="12"/>
        </w:numPr>
        <w:jc w:val="left"/>
        <w:outlineLvl w:val="2"/>
        <w:rPr>
          <w:rFonts w:cs="Times New Roman"/>
          <w:sz w:val="24"/>
          <w:szCs w:val="24"/>
        </w:rPr>
      </w:pPr>
      <w:bookmarkStart w:id="377" w:name="_Toc217032346"/>
      <w:r>
        <w:rPr>
          <w:rFonts w:hint="eastAsia" w:cs="Times New Roman"/>
          <w:sz w:val="24"/>
          <w:szCs w:val="24"/>
        </w:rPr>
        <w:t>期中分析</w:t>
      </w:r>
      <w:bookmarkEnd w:id="377"/>
    </w:p>
    <w:p w14:paraId="02B9C9BB">
      <w:pPr>
        <w:spacing w:line="360" w:lineRule="auto"/>
        <w:ind w:firstLine="480" w:firstLineChars="200"/>
        <w:jc w:val="both"/>
        <w:rPr>
          <w:rStyle w:val="99"/>
          <w:rFonts w:ascii="Times New Roman" w:hAnsi="Times New Roman" w:cs="Times New Roman"/>
          <w:b/>
          <w:bCs/>
          <w:szCs w:val="21"/>
        </w:rPr>
      </w:pPr>
      <w:r>
        <w:rPr>
          <w:rStyle w:val="99"/>
          <w:rFonts w:hint="eastAsia" w:ascii="Times New Roman" w:hAnsi="Times New Roman" w:eastAsia="宋体" w:cs="Times New Roman"/>
          <w:bCs/>
          <w:sz w:val="24"/>
          <w:szCs w:val="24"/>
        </w:rPr>
        <w:t>本研究包含一个预设的期中分析。该分析的主要目的是基于累积的</w:t>
      </w:r>
      <w:r>
        <w:rPr>
          <w:rStyle w:val="99"/>
          <w:rFonts w:ascii="Times New Roman" w:hAnsi="Times New Roman" w:eastAsia="宋体" w:cs="Times New Roman"/>
          <w:bCs/>
          <w:sz w:val="24"/>
          <w:szCs w:val="24"/>
        </w:rPr>
        <w:t>II</w:t>
      </w:r>
      <w:r>
        <w:rPr>
          <w:rStyle w:val="99"/>
          <w:rFonts w:hint="eastAsia" w:ascii="Times New Roman" w:hAnsi="Times New Roman" w:eastAsia="宋体" w:cs="Times New Roman"/>
          <w:bCs/>
          <w:sz w:val="24"/>
          <w:szCs w:val="24"/>
        </w:rPr>
        <w:t>期</w:t>
      </w:r>
      <w:r>
        <w:rPr>
          <w:rFonts w:hint="eastAsia" w:ascii="Times New Roman" w:hAnsi="Times New Roman" w:eastAsia="宋体" w:cs="Times New Roman"/>
          <w:bCs/>
          <w:sz w:val="24"/>
          <w:szCs w:val="24"/>
        </w:rPr>
        <w:t>研究</w:t>
      </w:r>
      <w:r>
        <w:rPr>
          <w:rStyle w:val="99"/>
          <w:rFonts w:hint="eastAsia" w:ascii="Times New Roman" w:hAnsi="Times New Roman" w:eastAsia="宋体" w:cs="Times New Roman"/>
          <w:bCs/>
          <w:sz w:val="24"/>
          <w:szCs w:val="24"/>
        </w:rPr>
        <w:t>的有效性和安全性数据，由独立数据监查委员会（</w:t>
      </w:r>
      <w:r>
        <w:rPr>
          <w:rStyle w:val="99"/>
          <w:rFonts w:ascii="Times New Roman" w:hAnsi="Times New Roman" w:eastAsia="宋体" w:cs="Times New Roman"/>
          <w:bCs/>
          <w:sz w:val="24"/>
          <w:szCs w:val="24"/>
        </w:rPr>
        <w:t>IDMC</w:t>
      </w:r>
      <w:r>
        <w:rPr>
          <w:rStyle w:val="99"/>
          <w:rFonts w:hint="eastAsia" w:ascii="Times New Roman" w:hAnsi="Times New Roman" w:eastAsia="宋体" w:cs="Times New Roman"/>
          <w:bCs/>
          <w:sz w:val="24"/>
          <w:szCs w:val="24"/>
        </w:rPr>
        <w:t>）向申办方提供正式建议：</w:t>
      </w:r>
      <w:r>
        <w:rPr>
          <w:rStyle w:val="99"/>
          <w:rFonts w:hint="eastAsia" w:ascii="Times New Roman" w:hAnsi="Times New Roman" w:eastAsia="宋体" w:cs="Times New Roman"/>
          <w:bCs/>
          <w:i/>
          <w:iCs/>
          <w:sz w:val="24"/>
          <w:szCs w:val="24"/>
        </w:rPr>
        <w:t>包括能否继续进行Ⅲ期临床研究，</w:t>
      </w:r>
      <w:r>
        <w:rPr>
          <w:rStyle w:val="99"/>
          <w:rFonts w:hint="eastAsia" w:ascii="Times New Roman" w:hAnsi="Times New Roman" w:eastAsia="宋体" w:cs="Times New Roman"/>
          <w:bCs/>
          <w:sz w:val="24"/>
          <w:szCs w:val="24"/>
        </w:rPr>
        <w:t>以及</w:t>
      </w:r>
      <w:r>
        <w:rPr>
          <w:rStyle w:val="99"/>
          <w:rFonts w:hint="eastAsia" w:ascii="Times New Roman" w:hAnsi="Times New Roman" w:eastAsia="宋体" w:cs="Times New Roman"/>
          <w:bCs/>
          <w:i/>
          <w:iCs/>
          <w:sz w:val="24"/>
          <w:szCs w:val="24"/>
        </w:rPr>
        <w:t>推荐Ⅲ期研究的剂量等。</w:t>
      </w:r>
      <w:r>
        <w:rPr>
          <w:rStyle w:val="99"/>
          <w:rFonts w:hint="eastAsia" w:ascii="Times New Roman" w:hAnsi="Times New Roman" w:eastAsia="宋体" w:cs="Times New Roman"/>
          <w:bCs/>
          <w:sz w:val="24"/>
          <w:szCs w:val="24"/>
        </w:rPr>
        <w:t>期中分析将在</w:t>
      </w:r>
      <w:r>
        <w:rPr>
          <w:rStyle w:val="99"/>
          <w:rFonts w:ascii="Times New Roman" w:hAnsi="Times New Roman" w:eastAsia="宋体" w:cs="Times New Roman"/>
          <w:bCs/>
          <w:sz w:val="24"/>
          <w:szCs w:val="24"/>
        </w:rPr>
        <w:t>II</w:t>
      </w:r>
      <w:r>
        <w:rPr>
          <w:rStyle w:val="99"/>
          <w:rFonts w:hint="eastAsia" w:ascii="Times New Roman" w:hAnsi="Times New Roman" w:eastAsia="宋体" w:cs="Times New Roman"/>
          <w:bCs/>
          <w:sz w:val="24"/>
          <w:szCs w:val="24"/>
        </w:rPr>
        <w:t>期的</w:t>
      </w:r>
      <w:r>
        <w:rPr>
          <w:rFonts w:ascii="Times New Roman" w:hAnsi="Times New Roman" w:eastAsia="宋体" w:cs="Times New Roman"/>
          <w:bCs/>
          <w:sz w:val="24"/>
          <w:szCs w:val="24"/>
        </w:rPr>
        <w:t>50%</w:t>
      </w:r>
      <w:r>
        <w:rPr>
          <w:rStyle w:val="99"/>
          <w:rFonts w:hint="eastAsia" w:ascii="Times New Roman" w:hAnsi="Times New Roman" w:eastAsia="宋体" w:cs="Times New Roman"/>
          <w:bCs/>
          <w:sz w:val="24"/>
          <w:szCs w:val="24"/>
        </w:rPr>
        <w:t>参与者完成第</w:t>
      </w:r>
      <w:r>
        <w:rPr>
          <w:rStyle w:val="99"/>
          <w:rFonts w:ascii="Times New Roman" w:hAnsi="Times New Roman" w:eastAsia="宋体" w:cs="Times New Roman"/>
          <w:bCs/>
          <w:sz w:val="24"/>
          <w:szCs w:val="24"/>
        </w:rPr>
        <w:t>12</w:t>
      </w:r>
      <w:r>
        <w:rPr>
          <w:rStyle w:val="99"/>
          <w:rFonts w:hint="eastAsia" w:ascii="Times New Roman" w:hAnsi="Times New Roman" w:eastAsia="宋体" w:cs="Times New Roman"/>
          <w:bCs/>
          <w:sz w:val="24"/>
          <w:szCs w:val="24"/>
        </w:rPr>
        <w:t>周访视的主要疗效评估后启动，将由独立的统计团队进行分析并将结果提交给</w:t>
      </w:r>
      <w:r>
        <w:rPr>
          <w:rStyle w:val="99"/>
          <w:rFonts w:ascii="Times New Roman" w:hAnsi="Times New Roman" w:eastAsia="宋体" w:cs="Times New Roman"/>
          <w:bCs/>
          <w:sz w:val="24"/>
          <w:szCs w:val="24"/>
        </w:rPr>
        <w:t>IDMC</w:t>
      </w:r>
      <w:r>
        <w:rPr>
          <w:rStyle w:val="99"/>
          <w:rFonts w:hint="eastAsia" w:ascii="Times New Roman" w:hAnsi="Times New Roman" w:eastAsia="宋体" w:cs="Times New Roman"/>
          <w:bCs/>
          <w:sz w:val="24"/>
          <w:szCs w:val="24"/>
        </w:rPr>
        <w:t>。</w:t>
      </w:r>
      <w:r>
        <w:rPr>
          <w:rFonts w:ascii="Times New Roman" w:hAnsi="Times New Roman" w:eastAsia="宋体" w:cs="Times New Roman"/>
          <w:bCs/>
          <w:sz w:val="24"/>
          <w:szCs w:val="24"/>
        </w:rPr>
        <w:t>IDMC</w:t>
      </w:r>
      <w:r>
        <w:rPr>
          <w:rFonts w:hint="eastAsia" w:ascii="Times New Roman" w:hAnsi="Times New Roman" w:eastAsia="宋体" w:cs="Times New Roman"/>
          <w:bCs/>
          <w:sz w:val="24"/>
          <w:szCs w:val="24"/>
        </w:rPr>
        <w:t>将综合评估所有疗效和安全性证据来形成建议。期中分析的具体细节可见独立的期中统计分析计划。</w:t>
      </w:r>
    </w:p>
    <w:p w14:paraId="23D9B513">
      <w:pPr>
        <w:pStyle w:val="114"/>
        <w:numPr>
          <w:ilvl w:val="0"/>
          <w:numId w:val="12"/>
        </w:numPr>
        <w:rPr>
          <w:rFonts w:cs="Times New Roman"/>
          <w:szCs w:val="28"/>
        </w:rPr>
      </w:pPr>
      <w:bookmarkStart w:id="378" w:name="_Toc175665859"/>
      <w:bookmarkEnd w:id="378"/>
      <w:bookmarkStart w:id="379" w:name="_Toc175665861"/>
      <w:bookmarkEnd w:id="379"/>
      <w:bookmarkStart w:id="380" w:name="_Toc175666164"/>
      <w:bookmarkEnd w:id="380"/>
      <w:bookmarkStart w:id="381" w:name="_Toc175666165"/>
      <w:bookmarkEnd w:id="381"/>
      <w:bookmarkStart w:id="382" w:name="_Toc175665860"/>
      <w:bookmarkEnd w:id="382"/>
      <w:bookmarkStart w:id="383" w:name="_Toc175666166"/>
      <w:bookmarkEnd w:id="383"/>
      <w:bookmarkStart w:id="384" w:name="_Toc217032347"/>
      <w:r>
        <w:rPr>
          <w:rFonts w:hint="eastAsia" w:cs="Times New Roman"/>
          <w:szCs w:val="28"/>
        </w:rPr>
        <w:t>数据采集与管理</w:t>
      </w:r>
      <w:bookmarkEnd w:id="384"/>
    </w:p>
    <w:p w14:paraId="6C5BAAD3">
      <w:pPr>
        <w:pStyle w:val="116"/>
        <w:numPr>
          <w:ilvl w:val="1"/>
          <w:numId w:val="12"/>
        </w:numPr>
        <w:jc w:val="left"/>
        <w:rPr>
          <w:rFonts w:cs="Times New Roman"/>
          <w:sz w:val="24"/>
          <w:szCs w:val="24"/>
        </w:rPr>
      </w:pPr>
      <w:bookmarkStart w:id="385" w:name="_Toc217032348"/>
      <w:r>
        <w:rPr>
          <w:rFonts w:hint="eastAsia" w:cs="Times New Roman"/>
          <w:sz w:val="24"/>
          <w:szCs w:val="24"/>
        </w:rPr>
        <w:t>数据质量保证</w:t>
      </w:r>
      <w:bookmarkEnd w:id="385"/>
    </w:p>
    <w:p w14:paraId="15A1312A">
      <w:pPr>
        <w:widowControl/>
        <w:topLinePunct/>
        <w:spacing w:line="360" w:lineRule="auto"/>
        <w:ind w:firstLine="480" w:firstLineChars="200"/>
        <w:jc w:val="both"/>
        <w:rPr>
          <w:rFonts w:ascii="Times New Roman" w:hAnsi="Times New Roman" w:cs="Times New Roman" w:eastAsiaTheme="minorEastAsia"/>
          <w:sz w:val="24"/>
          <w:szCs w:val="24"/>
          <w:lang w:bidi="ar"/>
        </w:rPr>
      </w:pPr>
      <w:r>
        <w:rPr>
          <w:rFonts w:hint="eastAsia" w:ascii="Times New Roman" w:hAnsi="Times New Roman" w:cs="Times New Roman" w:eastAsiaTheme="minorEastAsia"/>
          <w:color w:val="000000" w:themeColor="text1"/>
          <w:sz w:val="24"/>
          <w:szCs w:val="24"/>
          <w:lang w:bidi="ar"/>
          <w14:textFill>
            <w14:solidFill>
              <w14:schemeClr w14:val="tx1"/>
            </w14:solidFill>
          </w14:textFill>
        </w:rPr>
        <w:t>申办者将负责本研究的数据管理，包括数据的质量检查。将通过使用</w:t>
      </w:r>
      <w:r>
        <w:rPr>
          <w:rFonts w:ascii="Times New Roman" w:hAnsi="Times New Roman" w:cs="Times New Roman" w:eastAsiaTheme="minorEastAsia"/>
          <w:color w:val="000000" w:themeColor="text1"/>
          <w:sz w:val="24"/>
          <w:szCs w:val="24"/>
          <w:lang w:bidi="ar"/>
          <w14:textFill>
            <w14:solidFill>
              <w14:schemeClr w14:val="tx1"/>
            </w14:solidFill>
          </w14:textFill>
        </w:rPr>
        <w:t>eCRFs</w:t>
      </w:r>
      <w:r>
        <w:rPr>
          <w:rFonts w:hint="eastAsia" w:ascii="Times New Roman" w:hAnsi="Times New Roman" w:cs="Times New Roman" w:eastAsiaTheme="minorEastAsia"/>
          <w:color w:val="000000" w:themeColor="text1"/>
          <w:sz w:val="24"/>
          <w:szCs w:val="24"/>
          <w:lang w:bidi="ar"/>
          <w14:textFill>
            <w14:solidFill>
              <w14:schemeClr w14:val="tx1"/>
            </w14:solidFill>
          </w14:textFill>
        </w:rPr>
        <w:t>，由研究中心负责将数据手动输入</w:t>
      </w:r>
      <w:r>
        <w:rPr>
          <w:rFonts w:hint="eastAsia" w:ascii="Times New Roman" w:hAnsi="Times New Roman" w:eastAsia="宋体" w:cs="Times New Roman"/>
          <w:sz w:val="24"/>
          <w:szCs w:val="24"/>
          <w:shd w:val="clear" w:color="auto" w:fill="FFFFFF"/>
        </w:rPr>
        <w:t>电子数据采集系统（</w:t>
      </w:r>
      <w:r>
        <w:rPr>
          <w:rFonts w:ascii="Times New Roman" w:hAnsi="Times New Roman" w:eastAsia="宋体" w:cs="Times New Roman"/>
          <w:sz w:val="24"/>
          <w:szCs w:val="24"/>
          <w:shd w:val="clear" w:color="auto" w:fill="FFFFFF"/>
        </w:rPr>
        <w:t>Electronic data capture</w:t>
      </w:r>
      <w:r>
        <w:rPr>
          <w:rFonts w:hint="eastAsia" w:ascii="Times New Roman" w:hAnsi="Times New Roman" w:eastAsia="宋体" w:cs="Times New Roman"/>
          <w:sz w:val="24"/>
          <w:szCs w:val="24"/>
          <w:shd w:val="clear" w:color="auto" w:fill="FFFFFF"/>
        </w:rPr>
        <w:t>，</w:t>
      </w:r>
      <w:r>
        <w:rPr>
          <w:rFonts w:ascii="Times New Roman" w:hAnsi="Times New Roman" w:cs="Times New Roman" w:eastAsiaTheme="minorEastAsia"/>
          <w:color w:val="000000" w:themeColor="text1"/>
          <w:sz w:val="24"/>
          <w:szCs w:val="24"/>
          <w:lang w:bidi="ar"/>
          <w14:textFill>
            <w14:solidFill>
              <w14:schemeClr w14:val="tx1"/>
            </w14:solidFill>
          </w14:textFill>
        </w:rPr>
        <w:t>EDC</w:t>
      </w:r>
      <w:r>
        <w:rPr>
          <w:rFonts w:hint="eastAsia" w:ascii="Times New Roman" w:hAnsi="Times New Roman" w:cs="Times New Roman" w:eastAsiaTheme="minorEastAsia"/>
          <w:color w:val="000000" w:themeColor="text1"/>
          <w:sz w:val="24"/>
          <w:szCs w:val="24"/>
          <w:lang w:bidi="ar"/>
          <w14:textFill>
            <w14:solidFill>
              <w14:schemeClr w14:val="tx1"/>
            </w14:solidFill>
          </w14:textFill>
        </w:rPr>
        <w:t>）。如果数据不一致，申办者将要求研究中心澄清数据，研究中心将在</w:t>
      </w:r>
      <w:r>
        <w:rPr>
          <w:rFonts w:ascii="Times New Roman" w:hAnsi="Times New Roman" w:cs="Times New Roman" w:eastAsiaTheme="minorEastAsia"/>
          <w:color w:val="000000" w:themeColor="text1"/>
          <w:sz w:val="24"/>
          <w:szCs w:val="24"/>
          <w:lang w:bidi="ar"/>
          <w14:textFill>
            <w14:solidFill>
              <w14:schemeClr w14:val="tx1"/>
            </w14:solidFill>
          </w14:textFill>
        </w:rPr>
        <w:t xml:space="preserve"> EDC </w:t>
      </w:r>
      <w:r>
        <w:rPr>
          <w:rFonts w:hint="eastAsia" w:ascii="Times New Roman" w:hAnsi="Times New Roman" w:cs="Times New Roman" w:eastAsiaTheme="minorEastAsia"/>
          <w:color w:val="000000" w:themeColor="text1"/>
          <w:sz w:val="24"/>
          <w:szCs w:val="24"/>
          <w:lang w:bidi="ar"/>
          <w14:textFill>
            <w14:solidFill>
              <w14:schemeClr w14:val="tx1"/>
            </w14:solidFill>
          </w14:textFill>
        </w:rPr>
        <w:t>系统中解决数据质疑。研究实施方案所需的</w:t>
      </w:r>
      <w:r>
        <w:rPr>
          <w:rFonts w:ascii="Times New Roman" w:hAnsi="Times New Roman" w:cs="Times New Roman" w:eastAsiaTheme="minorEastAsia"/>
          <w:color w:val="000000" w:themeColor="text1"/>
          <w:sz w:val="24"/>
          <w:szCs w:val="24"/>
          <w:lang w:bidi="ar"/>
          <w14:textFill>
            <w14:solidFill>
              <w14:schemeClr w14:val="tx1"/>
            </w14:solidFill>
          </w14:textFill>
        </w:rPr>
        <w:t>EDC</w:t>
      </w:r>
      <w:r>
        <w:rPr>
          <w:rFonts w:hint="eastAsia" w:ascii="Times New Roman" w:hAnsi="Times New Roman" w:cs="Times New Roman" w:eastAsiaTheme="minorEastAsia"/>
          <w:color w:val="000000" w:themeColor="text1"/>
          <w:sz w:val="24"/>
          <w:szCs w:val="24"/>
          <w:lang w:bidi="ar"/>
          <w14:textFill>
            <w14:solidFill>
              <w14:schemeClr w14:val="tx1"/>
            </w14:solidFill>
          </w14:textFill>
        </w:rPr>
        <w:t>系统之外的其他数据，如中心实验室的数据将直接发送给申办者，根据申办者的标准程序处理和加工这些数据的电子传输。</w:t>
      </w:r>
    </w:p>
    <w:p w14:paraId="2D4E414C">
      <w:pPr>
        <w:pStyle w:val="116"/>
        <w:numPr>
          <w:ilvl w:val="1"/>
          <w:numId w:val="12"/>
        </w:numPr>
        <w:rPr>
          <w:rFonts w:cs="Times New Roman"/>
          <w:sz w:val="24"/>
          <w:szCs w:val="24"/>
        </w:rPr>
      </w:pPr>
      <w:bookmarkStart w:id="386" w:name="_Toc217032349"/>
      <w:r>
        <w:rPr>
          <w:rFonts w:hint="eastAsia" w:cs="Times New Roman"/>
          <w:sz w:val="24"/>
          <w:szCs w:val="24"/>
        </w:rPr>
        <w:t>电子病例报告表（</w:t>
      </w:r>
      <w:r>
        <w:rPr>
          <w:rFonts w:cs="Times New Roman"/>
          <w:sz w:val="24"/>
          <w:szCs w:val="24"/>
        </w:rPr>
        <w:t>eCRF</w:t>
      </w:r>
      <w:r>
        <w:rPr>
          <w:rFonts w:hint="eastAsia" w:cs="Times New Roman"/>
          <w:sz w:val="24"/>
          <w:szCs w:val="24"/>
        </w:rPr>
        <w:t>）</w:t>
      </w:r>
      <w:bookmarkEnd w:id="386"/>
    </w:p>
    <w:p w14:paraId="4EC3B16A">
      <w:pPr>
        <w:pStyle w:val="60"/>
        <w:ind w:firstLine="420" w:firstLineChars="0"/>
        <w:rPr>
          <w:rStyle w:val="99"/>
          <w:rFonts w:eastAsia="黑体" w:cs="Times New Roman"/>
          <w:color w:val="auto"/>
          <w:sz w:val="24"/>
          <w:szCs w:val="24"/>
        </w:rPr>
      </w:pPr>
      <w:r>
        <w:rPr>
          <w:rStyle w:val="99"/>
          <w:rFonts w:hint="eastAsia" w:cs="Times New Roman"/>
          <w:sz w:val="24"/>
          <w:szCs w:val="24"/>
        </w:rPr>
        <w:t>数据管理将在经验证的</w:t>
      </w:r>
      <w:r>
        <w:rPr>
          <w:rStyle w:val="99"/>
          <w:rFonts w:cs="Times New Roman"/>
          <w:sz w:val="24"/>
          <w:szCs w:val="24"/>
        </w:rPr>
        <w:t>EDC</w:t>
      </w:r>
      <w:r>
        <w:rPr>
          <w:rStyle w:val="99"/>
          <w:rFonts w:hint="eastAsia" w:cs="Times New Roman"/>
          <w:sz w:val="24"/>
          <w:szCs w:val="24"/>
        </w:rPr>
        <w:t>系统中进行。通过使用申办者指定的</w:t>
      </w:r>
      <w:r>
        <w:rPr>
          <w:rStyle w:val="99"/>
          <w:rFonts w:cs="Times New Roman"/>
          <w:sz w:val="24"/>
          <w:szCs w:val="24"/>
        </w:rPr>
        <w:t>EDC</w:t>
      </w:r>
      <w:r>
        <w:rPr>
          <w:rStyle w:val="99"/>
          <w:rFonts w:hint="eastAsia" w:cs="Times New Roman"/>
          <w:sz w:val="24"/>
          <w:szCs w:val="24"/>
        </w:rPr>
        <w:t>系统完成</w:t>
      </w:r>
      <w:r>
        <w:rPr>
          <w:rStyle w:val="99"/>
          <w:rFonts w:cs="Times New Roman"/>
          <w:sz w:val="24"/>
          <w:szCs w:val="24"/>
        </w:rPr>
        <w:t>eCRFs</w:t>
      </w:r>
      <w:r>
        <w:rPr>
          <w:rStyle w:val="99"/>
          <w:rFonts w:hint="eastAsia" w:cs="Times New Roman"/>
          <w:sz w:val="24"/>
          <w:szCs w:val="24"/>
        </w:rPr>
        <w:t>。研究中心将接受培训并获得相应的</w:t>
      </w:r>
      <w:r>
        <w:rPr>
          <w:rStyle w:val="99"/>
          <w:rFonts w:cs="Times New Roman"/>
          <w:sz w:val="24"/>
          <w:szCs w:val="24"/>
        </w:rPr>
        <w:t>eCRF</w:t>
      </w:r>
      <w:r>
        <w:rPr>
          <w:rStyle w:val="99"/>
          <w:rFonts w:hint="eastAsia" w:cs="Times New Roman"/>
          <w:sz w:val="24"/>
          <w:szCs w:val="24"/>
        </w:rPr>
        <w:t>填写手册。</w:t>
      </w:r>
      <w:r>
        <w:rPr>
          <w:rStyle w:val="99"/>
          <w:rFonts w:cs="Times New Roman"/>
          <w:sz w:val="24"/>
          <w:szCs w:val="24"/>
        </w:rPr>
        <w:t>eCRFs</w:t>
      </w:r>
      <w:r>
        <w:rPr>
          <w:rStyle w:val="99"/>
          <w:rFonts w:hint="eastAsia" w:cs="Times New Roman"/>
          <w:sz w:val="24"/>
          <w:szCs w:val="24"/>
        </w:rPr>
        <w:t>将以电子方式提交给申办者，并按申办者的指示处理。所有</w:t>
      </w:r>
      <w:r>
        <w:rPr>
          <w:rStyle w:val="99"/>
          <w:rFonts w:cs="Times New Roman"/>
          <w:sz w:val="24"/>
          <w:szCs w:val="24"/>
        </w:rPr>
        <w:t>eCRFs</w:t>
      </w:r>
      <w:r>
        <w:rPr>
          <w:rStyle w:val="99"/>
          <w:rFonts w:hint="eastAsia" w:cs="Times New Roman"/>
          <w:sz w:val="24"/>
          <w:szCs w:val="24"/>
        </w:rPr>
        <w:t>应由研究中心经过培训的指定工作人员完成。</w:t>
      </w:r>
      <w:r>
        <w:rPr>
          <w:rStyle w:val="99"/>
          <w:rFonts w:cs="Times New Roman"/>
          <w:sz w:val="24"/>
          <w:szCs w:val="24"/>
        </w:rPr>
        <w:t>eCRFs</w:t>
      </w:r>
      <w:r>
        <w:rPr>
          <w:rStyle w:val="99"/>
          <w:rFonts w:hint="eastAsia" w:cs="Times New Roman"/>
          <w:sz w:val="24"/>
          <w:szCs w:val="24"/>
        </w:rPr>
        <w:t>应由研究者或指定人员审查并以电子方式签名和注明日期。</w:t>
      </w:r>
    </w:p>
    <w:p w14:paraId="5C6D6272">
      <w:pPr>
        <w:pStyle w:val="116"/>
        <w:numPr>
          <w:ilvl w:val="1"/>
          <w:numId w:val="12"/>
        </w:numPr>
        <w:rPr>
          <w:rFonts w:cs="Times New Roman"/>
          <w:sz w:val="24"/>
          <w:szCs w:val="24"/>
        </w:rPr>
      </w:pPr>
      <w:bookmarkStart w:id="387" w:name="_Toc217032350"/>
      <w:r>
        <w:rPr>
          <w:rFonts w:hint="eastAsia" w:cs="Times New Roman"/>
          <w:sz w:val="24"/>
          <w:szCs w:val="24"/>
        </w:rPr>
        <w:t>源数据</w:t>
      </w:r>
      <w:r>
        <w:rPr>
          <w:rFonts w:cs="Times New Roman"/>
          <w:sz w:val="24"/>
          <w:szCs w:val="24"/>
        </w:rPr>
        <w:t>/</w:t>
      </w:r>
      <w:r>
        <w:rPr>
          <w:rFonts w:hint="eastAsia" w:cs="Times New Roman"/>
          <w:sz w:val="24"/>
          <w:szCs w:val="24"/>
        </w:rPr>
        <w:t>源文件</w:t>
      </w:r>
      <w:bookmarkEnd w:id="387"/>
    </w:p>
    <w:p w14:paraId="2927BCCA">
      <w:pPr>
        <w:widowControl/>
        <w:spacing w:line="360" w:lineRule="auto"/>
        <w:ind w:firstLine="480" w:firstLineChars="200"/>
        <w:jc w:val="both"/>
        <w:rPr>
          <w:rStyle w:val="99"/>
          <w:rFonts w:ascii="Times New Roman" w:hAnsi="Times New Roman" w:eastAsia="宋体" w:cs="Times New Roman"/>
          <w:b/>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源文件是指临床试验中产生的原始医学记录、医疗文件和数据，例如医院病历、医学图像、实验室记录、仪器自动记录的数据、临床试验的相关备忘录、发药记录、药房保存的处方、参与者临床试验日记等，可包括复制或抄录的核证副本。源数据是指临床试验中的原始记录或其复印件（核证副本）上记载的所有信息。</w:t>
      </w:r>
      <w:r>
        <w:rPr>
          <w:rStyle w:val="99"/>
          <w:rFonts w:ascii="Times New Roman" w:hAnsi="Times New Roman" w:eastAsia="宋体" w:cs="Times New Roman"/>
          <w:color w:val="000000" w:themeColor="text1"/>
          <w:sz w:val="24"/>
          <w:szCs w:val="24"/>
          <w14:textFill>
            <w14:solidFill>
              <w14:schemeClr w14:val="tx1"/>
            </w14:solidFill>
          </w14:textFill>
        </w:rPr>
        <w:t xml:space="preserve"> </w:t>
      </w:r>
    </w:p>
    <w:p w14:paraId="7A82DE27">
      <w:pPr>
        <w:widowControl/>
        <w:spacing w:line="360" w:lineRule="auto"/>
        <w:ind w:firstLine="480" w:firstLineChars="200"/>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在研究开始前，将在研究监查计划中明确定义研究生成的源文件类型，这包括任何直接输入</w:t>
      </w:r>
      <w:r>
        <w:rPr>
          <w:rStyle w:val="99"/>
          <w:rFonts w:ascii="Times New Roman" w:hAnsi="Times New Roman" w:eastAsia="宋体" w:cs="Times New Roman"/>
          <w:color w:val="000000" w:themeColor="text1"/>
          <w:sz w:val="24"/>
          <w:szCs w:val="24"/>
          <w14:textFill>
            <w14:solidFill>
              <w14:schemeClr w14:val="tx1"/>
            </w14:solidFill>
          </w14:textFill>
        </w:rPr>
        <w:t xml:space="preserve"> eCRFs </w:t>
      </w:r>
      <w:r>
        <w:rPr>
          <w:rStyle w:val="99"/>
          <w:rFonts w:hint="eastAsia" w:ascii="Times New Roman" w:hAnsi="Times New Roman" w:eastAsia="宋体" w:cs="Times New Roman"/>
          <w:color w:val="000000" w:themeColor="text1"/>
          <w:sz w:val="24"/>
          <w:szCs w:val="24"/>
          <w14:textFill>
            <w14:solidFill>
              <w14:schemeClr w14:val="tx1"/>
            </w14:solidFill>
          </w14:textFill>
        </w:rPr>
        <w:t>的按方案要求采集的数据（即，之前没有此数据的书面或电子记录），此类数据应视为源数据。</w:t>
      </w:r>
      <w:r>
        <w:rPr>
          <w:rStyle w:val="99"/>
          <w:rFonts w:ascii="Times New Roman" w:hAnsi="Times New Roman" w:eastAsia="宋体" w:cs="Times New Roman"/>
          <w:color w:val="000000" w:themeColor="text1"/>
          <w:sz w:val="24"/>
          <w:szCs w:val="24"/>
          <w14:textFill>
            <w14:solidFill>
              <w14:schemeClr w14:val="tx1"/>
            </w14:solidFill>
          </w14:textFill>
        </w:rPr>
        <w:t xml:space="preserve"> </w:t>
      </w:r>
    </w:p>
    <w:p w14:paraId="2D07B056">
      <w:pPr>
        <w:widowControl/>
        <w:spacing w:line="360" w:lineRule="auto"/>
        <w:ind w:firstLine="480" w:firstLineChars="200"/>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无论数据为书面手写还是以电子方式录入，研究者负责确保源数据准确、清晰、具有同期性、为原始数据且可归因溯源。在常规临床试验活动中，如果通过计算机系统（和</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或任何其他类型的电子设备）创建（第一次录入）、修改、维护、归档、检索或通过电子方式传输源数据，此类系统必须符合所有适用的管辖电子记录和</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或电子签名的使用的法律和法规。此类系统可能包括但不限于：电子医疗</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健康档案、不良事件跟踪</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报告、方案要求的评价，和</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或药物计数记录。采用通过此类系统获得的书面记录来取代电子格式进行规定的活动时，此类书面记录应有经核证的副本。经核证的副本由已验证的原始信息的副本组成，有研究人员的签字及签字日期，具有和原件相同的所有属性。如果修改了计算机系统中的原始数据，在系统上应保留可查看的审核跟踪，显示原始数据及变更原因、进行更改的人员姓名，以及更改的日期。</w:t>
      </w:r>
    </w:p>
    <w:p w14:paraId="2FC11197">
      <w:pPr>
        <w:widowControl/>
        <w:spacing w:line="360" w:lineRule="auto"/>
        <w:ind w:firstLine="480" w:firstLineChars="200"/>
        <w:jc w:val="both"/>
        <w:rPr>
          <w:rStyle w:val="99"/>
          <w:rFonts w:ascii="Times New Roman" w:hAnsi="Times New Roman" w:eastAsia="宋体" w:cs="Times New Roman"/>
          <w:color w:val="000000" w:themeColor="text1"/>
          <w:sz w:val="24"/>
          <w:szCs w:val="24"/>
          <w14:textFill>
            <w14:solidFill>
              <w14:schemeClr w14:val="tx1"/>
            </w14:solidFill>
          </w14:textFill>
        </w:rPr>
      </w:pPr>
      <w:r>
        <w:rPr>
          <w:rStyle w:val="99"/>
          <w:rFonts w:hint="eastAsia" w:ascii="Times New Roman" w:hAnsi="Times New Roman" w:eastAsia="宋体" w:cs="Times New Roman"/>
          <w:color w:val="000000" w:themeColor="text1"/>
          <w:sz w:val="24"/>
          <w:szCs w:val="24"/>
          <w14:textFill>
            <w14:solidFill>
              <w14:schemeClr w14:val="tx1"/>
            </w14:solidFill>
          </w14:textFill>
        </w:rPr>
        <w:t>用于验证</w:t>
      </w:r>
      <w:r>
        <w:rPr>
          <w:rStyle w:val="99"/>
          <w:rFonts w:ascii="Times New Roman" w:hAnsi="Times New Roman" w:eastAsia="宋体" w:cs="Times New Roman"/>
          <w:color w:val="000000" w:themeColor="text1"/>
          <w:sz w:val="24"/>
          <w:szCs w:val="24"/>
          <w14:textFill>
            <w14:solidFill>
              <w14:schemeClr w14:val="tx1"/>
            </w14:solidFill>
          </w14:textFill>
        </w:rPr>
        <w:t>eCRFs</w:t>
      </w:r>
      <w:r>
        <w:rPr>
          <w:rStyle w:val="99"/>
          <w:rFonts w:hint="eastAsia" w:ascii="Times New Roman" w:hAnsi="Times New Roman" w:eastAsia="宋体" w:cs="Times New Roman"/>
          <w:color w:val="000000" w:themeColor="text1"/>
          <w:sz w:val="24"/>
          <w:szCs w:val="24"/>
          <w14:textFill>
            <w14:solidFill>
              <w14:schemeClr w14:val="tx1"/>
            </w14:solidFill>
          </w14:textFill>
        </w:rPr>
        <w:t>输入数据正确性和完整性的源文件不得被清除或销毁，且必须按照第</w:t>
      </w:r>
      <w:r>
        <w:rPr>
          <w:rStyle w:val="99"/>
          <w:rFonts w:ascii="Times New Roman" w:hAnsi="Times New Roman" w:eastAsia="宋体" w:cs="Times New Roman"/>
          <w:color w:val="000000" w:themeColor="text1"/>
          <w:sz w:val="24"/>
          <w:szCs w:val="24"/>
          <w14:textFill>
            <w14:solidFill>
              <w14:schemeClr w14:val="tx1"/>
            </w14:solidFill>
          </w14:textFill>
        </w:rPr>
        <w:t>9.4</w:t>
      </w:r>
      <w:r>
        <w:rPr>
          <w:rStyle w:val="99"/>
          <w:rFonts w:hint="eastAsia" w:ascii="Times New Roman" w:hAnsi="Times New Roman" w:eastAsia="宋体" w:cs="Times New Roman"/>
          <w:color w:val="000000" w:themeColor="text1"/>
          <w:sz w:val="24"/>
          <w:szCs w:val="24"/>
          <w14:textFill>
            <w14:solidFill>
              <w14:schemeClr w14:val="tx1"/>
            </w14:solidFill>
          </w14:textFill>
        </w:rPr>
        <w:t>节中描述的记录保存要求保存。为方便于源数据验证，研究者和机构必须允许申办者因为研究相关的监查、申办者稽查和</w:t>
      </w:r>
      <w:r>
        <w:rPr>
          <w:rStyle w:val="99"/>
          <w:rFonts w:ascii="Times New Roman" w:hAnsi="Times New Roman" w:eastAsia="宋体" w:cs="Times New Roman"/>
          <w:color w:val="000000" w:themeColor="text1"/>
          <w:sz w:val="24"/>
          <w:szCs w:val="24"/>
          <w14:textFill>
            <w14:solidFill>
              <w14:schemeClr w14:val="tx1"/>
            </w14:solidFill>
          </w14:textFill>
        </w:rPr>
        <w:t xml:space="preserve"> </w:t>
      </w:r>
      <w:r>
        <w:rPr>
          <w:rFonts w:hint="eastAsia" w:ascii="Times New Roman" w:hAnsi="Times New Roman" w:eastAsia="宋体" w:cs="Times New Roman"/>
          <w:sz w:val="24"/>
          <w:szCs w:val="24"/>
          <w:shd w:val="clear" w:color="auto" w:fill="FFFFFF"/>
        </w:rPr>
        <w:t>机构审查委员会</w:t>
      </w:r>
      <w:r>
        <w:rPr>
          <w:rFonts w:ascii="Times New Roman" w:hAnsi="Times New Roman" w:eastAsia="宋体" w:cs="Times New Roman"/>
          <w:sz w:val="24"/>
          <w:szCs w:val="24"/>
          <w:shd w:val="clear" w:color="auto" w:fill="FFFFFF"/>
        </w:rPr>
        <w:t>/</w:t>
      </w:r>
      <w:r>
        <w:rPr>
          <w:rFonts w:hint="eastAsia" w:ascii="Times New Roman" w:hAnsi="Times New Roman" w:eastAsia="宋体" w:cs="Times New Roman"/>
          <w:sz w:val="24"/>
          <w:szCs w:val="24"/>
          <w:shd w:val="clear" w:color="auto" w:fill="FFFFFF"/>
        </w:rPr>
        <w:t>伦理委员会（</w:t>
      </w:r>
      <w:r>
        <w:rPr>
          <w:rFonts w:ascii="Times New Roman" w:hAnsi="Times New Roman" w:eastAsia="宋体" w:cs="Times New Roman"/>
          <w:sz w:val="24"/>
          <w:szCs w:val="24"/>
          <w:shd w:val="clear" w:color="auto" w:fill="FFFFFF"/>
        </w:rPr>
        <w:t>Institutional Review Board/Ethics Committee</w:t>
      </w:r>
      <w:r>
        <w:rPr>
          <w:rFonts w:hint="eastAsia" w:ascii="Times New Roman" w:hAnsi="Times New Roman" w:eastAsia="宋体" w:cs="Times New Roman"/>
          <w:sz w:val="24"/>
          <w:szCs w:val="24"/>
          <w:shd w:val="clear" w:color="auto" w:fill="FFFFFF"/>
        </w:rPr>
        <w:t>，</w:t>
      </w:r>
      <w:r>
        <w:rPr>
          <w:rStyle w:val="99"/>
          <w:rFonts w:ascii="Times New Roman" w:hAnsi="Times New Roman" w:eastAsia="宋体" w:cs="Times New Roman"/>
          <w:color w:val="000000" w:themeColor="text1"/>
          <w:sz w:val="24"/>
          <w:szCs w:val="24"/>
          <w14:textFill>
            <w14:solidFill>
              <w14:schemeClr w14:val="tx1"/>
            </w14:solidFill>
          </w14:textFill>
        </w:rPr>
        <w:t>IRB/EC</w:t>
      </w:r>
      <w:r>
        <w:rPr>
          <w:rStyle w:val="99"/>
          <w:rFonts w:hint="eastAsia" w:ascii="Times New Roman" w:hAnsi="Times New Roman" w:eastAsia="宋体" w:cs="Times New Roman"/>
          <w:color w:val="000000" w:themeColor="text1"/>
          <w:sz w:val="24"/>
          <w:szCs w:val="24"/>
          <w14:textFill>
            <w14:solidFill>
              <w14:schemeClr w14:val="tx1"/>
            </w14:solidFill>
          </w14:textFill>
        </w:rPr>
        <w:t>）审查而直接访问源文件和报告（如得到法律允许，也可以复制）。研究中心还必须允许监管当局对源数据</w:t>
      </w:r>
      <w:r>
        <w:rPr>
          <w:rStyle w:val="99"/>
          <w:rFonts w:ascii="Times New Roman" w:hAnsi="Times New Roman" w:eastAsia="宋体" w:cs="Times New Roman"/>
          <w:color w:val="000000" w:themeColor="text1"/>
          <w:sz w:val="24"/>
          <w:szCs w:val="24"/>
          <w14:textFill>
            <w14:solidFill>
              <w14:schemeClr w14:val="tx1"/>
            </w14:solidFill>
          </w14:textFill>
        </w:rPr>
        <w:t>/</w:t>
      </w:r>
      <w:r>
        <w:rPr>
          <w:rStyle w:val="99"/>
          <w:rFonts w:hint="eastAsia" w:ascii="Times New Roman" w:hAnsi="Times New Roman" w:eastAsia="宋体" w:cs="Times New Roman"/>
          <w:color w:val="000000" w:themeColor="text1"/>
          <w:sz w:val="24"/>
          <w:szCs w:val="24"/>
          <w14:textFill>
            <w14:solidFill>
              <w14:schemeClr w14:val="tx1"/>
            </w14:solidFill>
          </w14:textFill>
        </w:rPr>
        <w:t>源文件进行检查。</w:t>
      </w:r>
      <w:r>
        <w:rPr>
          <w:rStyle w:val="99"/>
          <w:rFonts w:ascii="Times New Roman" w:hAnsi="Times New Roman" w:eastAsia="宋体" w:cs="Times New Roman"/>
          <w:color w:val="000000" w:themeColor="text1"/>
          <w:sz w:val="24"/>
          <w:szCs w:val="24"/>
          <w14:textFill>
            <w14:solidFill>
              <w14:schemeClr w14:val="tx1"/>
            </w14:solidFill>
          </w14:textFill>
        </w:rPr>
        <w:t xml:space="preserve"> </w:t>
      </w:r>
    </w:p>
    <w:p w14:paraId="0F5075F5">
      <w:pPr>
        <w:pStyle w:val="116"/>
        <w:numPr>
          <w:ilvl w:val="1"/>
          <w:numId w:val="12"/>
        </w:numPr>
        <w:jc w:val="left"/>
        <w:rPr>
          <w:rFonts w:cs="Times New Roman"/>
          <w:sz w:val="24"/>
          <w:szCs w:val="24"/>
        </w:rPr>
      </w:pPr>
      <w:bookmarkStart w:id="388" w:name="_Toc217032351"/>
      <w:r>
        <w:rPr>
          <w:rFonts w:hint="eastAsia" w:cs="Times New Roman"/>
          <w:sz w:val="24"/>
          <w:szCs w:val="24"/>
        </w:rPr>
        <w:t>记录</w:t>
      </w:r>
      <w:r>
        <w:rPr>
          <w:rFonts w:cs="Times New Roman"/>
          <w:sz w:val="24"/>
          <w:szCs w:val="24"/>
        </w:rPr>
        <w:t>/</w:t>
      </w:r>
      <w:r>
        <w:rPr>
          <w:rFonts w:hint="eastAsia" w:cs="Times New Roman"/>
          <w:sz w:val="24"/>
          <w:szCs w:val="24"/>
        </w:rPr>
        <w:t>文件的保存</w:t>
      </w:r>
      <w:bookmarkEnd w:id="388"/>
      <w:bookmarkStart w:id="389" w:name="OLE_LINK1"/>
    </w:p>
    <w:bookmarkEnd w:id="389"/>
    <w:p w14:paraId="6B1A3FC9">
      <w:pPr>
        <w:pStyle w:val="60"/>
        <w:numPr>
          <w:ilvl w:val="255"/>
          <w:numId w:val="0"/>
        </w:numPr>
        <w:ind w:firstLine="480" w:firstLineChars="200"/>
        <w:rPr>
          <w:rStyle w:val="99"/>
          <w:rFonts w:cs="Times New Roman"/>
          <w:sz w:val="24"/>
          <w:szCs w:val="24"/>
        </w:rPr>
      </w:pPr>
      <w:r>
        <w:rPr>
          <w:rStyle w:val="99"/>
          <w:rFonts w:hint="eastAsia" w:cs="Times New Roman"/>
          <w:sz w:val="24"/>
          <w:szCs w:val="24"/>
        </w:rPr>
        <w:t>临床研究文件需按照</w:t>
      </w:r>
      <w:r>
        <w:rPr>
          <w:rStyle w:val="99"/>
          <w:rFonts w:cs="Times New Roman"/>
          <w:sz w:val="24"/>
          <w:szCs w:val="24"/>
        </w:rPr>
        <w:t>GCP</w:t>
      </w:r>
      <w:r>
        <w:rPr>
          <w:rStyle w:val="99"/>
          <w:rFonts w:hint="eastAsia" w:cs="Times New Roman"/>
          <w:sz w:val="24"/>
          <w:szCs w:val="24"/>
        </w:rPr>
        <w:t>等相关法律法规的要求进行保存和管理。研究中心和申办者应保存研究必备文件至试验药物被批准上市后至少</w:t>
      </w:r>
      <w:r>
        <w:rPr>
          <w:rStyle w:val="99"/>
          <w:rFonts w:cs="Times New Roman"/>
          <w:sz w:val="24"/>
          <w:szCs w:val="24"/>
        </w:rPr>
        <w:t>5</w:t>
      </w:r>
      <w:r>
        <w:rPr>
          <w:rStyle w:val="99"/>
          <w:rFonts w:hint="eastAsia" w:cs="Times New Roman"/>
          <w:sz w:val="24"/>
          <w:szCs w:val="24"/>
        </w:rPr>
        <w:t>年或至临床试验结束后至少</w:t>
      </w:r>
      <w:r>
        <w:rPr>
          <w:rStyle w:val="99"/>
          <w:rFonts w:cs="Times New Roman"/>
          <w:sz w:val="24"/>
          <w:szCs w:val="24"/>
        </w:rPr>
        <w:t>5</w:t>
      </w:r>
      <w:r>
        <w:rPr>
          <w:rStyle w:val="99"/>
          <w:rFonts w:hint="eastAsia" w:cs="Times New Roman"/>
          <w:sz w:val="24"/>
          <w:szCs w:val="24"/>
        </w:rPr>
        <w:t>年（以较长时间为准）。研究文件应合理保存，以便日后访问或数据溯源。申办者、研究者和临床试验机构应当确认均有保存临床试验必备文件的场所和条件。</w:t>
      </w:r>
      <w:r>
        <w:rPr>
          <w:rStyle w:val="99"/>
          <w:rFonts w:cs="Times New Roman"/>
          <w:sz w:val="24"/>
          <w:szCs w:val="24"/>
        </w:rPr>
        <w:t xml:space="preserve"> </w:t>
      </w:r>
    </w:p>
    <w:p w14:paraId="4C693B22">
      <w:pPr>
        <w:pStyle w:val="60"/>
        <w:numPr>
          <w:ilvl w:val="255"/>
          <w:numId w:val="0"/>
        </w:numPr>
        <w:ind w:firstLine="480" w:firstLineChars="200"/>
        <w:rPr>
          <w:rFonts w:cs="Times New Roman"/>
          <w:sz w:val="24"/>
          <w:szCs w:val="24"/>
        </w:rPr>
      </w:pPr>
      <w:r>
        <w:rPr>
          <w:rStyle w:val="99"/>
          <w:rFonts w:hint="eastAsia" w:cs="Times New Roman"/>
          <w:sz w:val="24"/>
          <w:szCs w:val="24"/>
        </w:rPr>
        <w:t>研究文件的转移、保管人的变更、研究文件的销毁等，必须得到申办者的书面许可。</w:t>
      </w:r>
    </w:p>
    <w:p w14:paraId="4F0E2B2F">
      <w:pPr>
        <w:pStyle w:val="114"/>
        <w:numPr>
          <w:ilvl w:val="0"/>
          <w:numId w:val="12"/>
        </w:numPr>
        <w:rPr>
          <w:rFonts w:cs="Times New Roman"/>
        </w:rPr>
      </w:pPr>
      <w:bookmarkStart w:id="390" w:name="_Toc217032352"/>
      <w:r>
        <w:rPr>
          <w:rFonts w:hint="eastAsia" w:cs="Times New Roman"/>
        </w:rPr>
        <w:t>伦理考虑</w:t>
      </w:r>
      <w:bookmarkEnd w:id="390"/>
    </w:p>
    <w:p w14:paraId="22626F1A">
      <w:pPr>
        <w:pStyle w:val="116"/>
        <w:numPr>
          <w:ilvl w:val="1"/>
          <w:numId w:val="12"/>
        </w:numPr>
        <w:rPr>
          <w:rFonts w:cs="Times New Roman"/>
          <w:sz w:val="24"/>
          <w:szCs w:val="24"/>
        </w:rPr>
      </w:pPr>
      <w:bookmarkStart w:id="391" w:name="_Toc217032353"/>
      <w:r>
        <w:rPr>
          <w:rFonts w:hint="eastAsia" w:cs="Times New Roman"/>
          <w:sz w:val="24"/>
          <w:szCs w:val="24"/>
        </w:rPr>
        <w:t>遵守法律法规</w:t>
      </w:r>
      <w:bookmarkEnd w:id="391"/>
    </w:p>
    <w:p w14:paraId="31E97EDF">
      <w:pPr>
        <w:pStyle w:val="60"/>
        <w:numPr>
          <w:ilvl w:val="255"/>
          <w:numId w:val="0"/>
        </w:numPr>
        <w:ind w:firstLine="480" w:firstLineChars="200"/>
        <w:rPr>
          <w:rFonts w:cs="Times New Roman"/>
          <w:sz w:val="24"/>
          <w:szCs w:val="24"/>
        </w:rPr>
      </w:pPr>
      <w:r>
        <w:rPr>
          <w:rFonts w:hint="eastAsia" w:cs="Times New Roman"/>
          <w:sz w:val="24"/>
          <w:szCs w:val="24"/>
        </w:rPr>
        <w:t>本研究将完全按照</w:t>
      </w:r>
      <w:r>
        <w:rPr>
          <w:rFonts w:cs="Times New Roman"/>
          <w:sz w:val="24"/>
          <w:szCs w:val="24"/>
        </w:rPr>
        <w:t>ICH E6</w:t>
      </w:r>
      <w:r>
        <w:rPr>
          <w:rFonts w:hint="eastAsia" w:cs="Times New Roman"/>
          <w:sz w:val="24"/>
          <w:szCs w:val="24"/>
        </w:rPr>
        <w:t>和我国</w:t>
      </w:r>
      <w:r>
        <w:rPr>
          <w:rFonts w:cs="Times New Roman"/>
          <w:sz w:val="24"/>
          <w:szCs w:val="24"/>
        </w:rPr>
        <w:t>GCP</w:t>
      </w:r>
      <w:r>
        <w:rPr>
          <w:rFonts w:hint="eastAsia" w:cs="Times New Roman"/>
          <w:sz w:val="24"/>
          <w:szCs w:val="24"/>
        </w:rPr>
        <w:t>指导原则、赫尔辛基宣言、相关法律法规及伦理委员会审核意见进行，以提供并加强对个人的保护。</w:t>
      </w:r>
    </w:p>
    <w:p w14:paraId="1FF8C817">
      <w:pPr>
        <w:pStyle w:val="60"/>
        <w:numPr>
          <w:ilvl w:val="255"/>
          <w:numId w:val="0"/>
        </w:numPr>
        <w:ind w:firstLine="480" w:firstLineChars="200"/>
        <w:rPr>
          <w:rFonts w:cs="Times New Roman"/>
          <w:sz w:val="24"/>
          <w:szCs w:val="24"/>
        </w:rPr>
      </w:pPr>
      <w:r>
        <w:rPr>
          <w:rFonts w:hint="eastAsia" w:cs="Times New Roman"/>
          <w:sz w:val="24"/>
          <w:szCs w:val="24"/>
        </w:rPr>
        <w:t>在研究开始之前，研究者应将研究方案、知情同意书以及其他必需的材料交于伦理委员会供其审阅及批准。申办者只有在接到伦理委员会的批准件后才能提供研究药物。同时必须告知伦理委员会可能会影响参与者安全和继续参加研究的后续方案增补件和在试验过程中发生的严重不良事件。研究者有责任向伦理委员会报告有关研究的进展情况。此外，研究者必须及时将与伦理委员会之间的所有的通讯副本交于申办者。伦理委员会在审阅及批准研究方案时，必须确认方案</w:t>
      </w:r>
      <w:r>
        <w:rPr>
          <w:rFonts w:cs="Times New Roman"/>
          <w:sz w:val="24"/>
          <w:szCs w:val="24"/>
        </w:rPr>
        <w:t>/</w:t>
      </w:r>
      <w:r>
        <w:rPr>
          <w:rFonts w:hint="eastAsia" w:cs="Times New Roman"/>
          <w:sz w:val="24"/>
          <w:szCs w:val="24"/>
        </w:rPr>
        <w:t>研究标题，方案</w:t>
      </w:r>
      <w:r>
        <w:rPr>
          <w:rFonts w:cs="Times New Roman"/>
          <w:sz w:val="24"/>
          <w:szCs w:val="24"/>
        </w:rPr>
        <w:t>/</w:t>
      </w:r>
      <w:r>
        <w:rPr>
          <w:rFonts w:hint="eastAsia" w:cs="Times New Roman"/>
          <w:sz w:val="24"/>
          <w:szCs w:val="24"/>
        </w:rPr>
        <w:t>研究编号，并注明已评审的方案文件及评审日期。在研究进行期间，如果研究方案、知情同意书等有任何新增修订，都应根据法规再次获得相关管理单位的书面核准意见。</w:t>
      </w:r>
    </w:p>
    <w:p w14:paraId="420682C3">
      <w:pPr>
        <w:pStyle w:val="116"/>
        <w:numPr>
          <w:ilvl w:val="1"/>
          <w:numId w:val="12"/>
        </w:numPr>
        <w:jc w:val="left"/>
        <w:rPr>
          <w:rFonts w:cs="Times New Roman"/>
          <w:sz w:val="24"/>
          <w:szCs w:val="24"/>
        </w:rPr>
      </w:pPr>
      <w:bookmarkStart w:id="392" w:name="_Toc217032354"/>
      <w:r>
        <w:rPr>
          <w:rFonts w:hint="eastAsia" w:cs="Times New Roman"/>
          <w:sz w:val="24"/>
          <w:szCs w:val="24"/>
        </w:rPr>
        <w:t>知情同意</w:t>
      </w:r>
      <w:bookmarkEnd w:id="392"/>
    </w:p>
    <w:p w14:paraId="48A221AA">
      <w:pPr>
        <w:spacing w:line="360" w:lineRule="auto"/>
        <w:ind w:firstLine="424" w:firstLineChars="177"/>
        <w:jc w:val="both"/>
        <w:rPr>
          <w:rFonts w:ascii="Times New Roman" w:hAnsi="Times New Roman" w:eastAsia="宋体" w:cs="Times New Roman"/>
          <w:sz w:val="24"/>
          <w:szCs w:val="24"/>
        </w:rPr>
      </w:pPr>
      <w:r>
        <w:rPr>
          <w:rFonts w:ascii="Times New Roman" w:hAnsi="Times New Roman" w:eastAsia="宋体" w:cs="Times New Roman"/>
          <w:sz w:val="24"/>
          <w:szCs w:val="24"/>
        </w:rPr>
        <w:t>ICF</w:t>
      </w:r>
      <w:r>
        <w:rPr>
          <w:rFonts w:hint="eastAsia" w:ascii="Times New Roman" w:hAnsi="Times New Roman" w:eastAsia="宋体" w:cs="Times New Roman"/>
          <w:sz w:val="24"/>
          <w:szCs w:val="24"/>
        </w:rPr>
        <w:t>（和研究方案一起）必须经伦理委员会审查及批准。</w:t>
      </w:r>
    </w:p>
    <w:p w14:paraId="590D4061">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研究者必须以口头和书面两种方式告知有关本研究的信息。若参与者或者其监护人无阅读能力，公正见证人须阅读</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和其他书面资料（如有），并见证知情同意。研究者或其指定人员有责任用参与者可以理解的方式和措词就</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的内容向参与者（或其监护人、见证人）解释，使参与者或者其监护人、见证人易于理解。研究者获得可能影响参与者继续参加研究的新信息时，应及时告知参与者（或其监护人），并做相应记录。</w:t>
      </w:r>
    </w:p>
    <w:p w14:paraId="39F658AB">
      <w:pPr>
        <w:spacing w:line="360" w:lineRule="auto"/>
        <w:ind w:firstLine="480" w:firstLineChars="20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最终的</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文本和提供给参与者的其他资料应包含以下内容：研究概况、研究目的、研究的过程与期限、参与者需要遵守的研究步骤、参与者的义务、参与者预期可能的受益（包括不获益的可能性）和风险，告知参与者可能被分配到研究的不同组别及分配至各组的可能性；如发生与研究相关的损害时，参与者可以获得的治疗和相应的补偿；参与者参加临床研究可能获得的补偿；参与者自愿参加本研究；参与者个人资料的保密原则等。</w:t>
      </w:r>
    </w:p>
    <w:p w14:paraId="669AF58A">
      <w:pPr>
        <w:spacing w:line="360" w:lineRule="auto"/>
        <w:ind w:firstLine="480" w:firstLineChars="200"/>
        <w:jc w:val="both"/>
        <w:rPr>
          <w:rFonts w:ascii="Times New Roman" w:hAnsi="Times New Roman" w:cs="Times New Roman"/>
          <w:sz w:val="24"/>
          <w:szCs w:val="24"/>
        </w:rPr>
      </w:pPr>
      <w:r>
        <w:rPr>
          <w:rFonts w:hint="eastAsia" w:ascii="Times New Roman" w:hAnsi="Times New Roman" w:eastAsia="宋体" w:cs="Times New Roman"/>
          <w:sz w:val="24"/>
          <w:szCs w:val="24"/>
        </w:rPr>
        <w:t>签署</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之前，研究者或其指定研究人员应当给予参与者（或其监护人）充分的时间和机会了解临床研究的详细情况。参与者（或其监护人）以及执行知情同意的研究者应当在</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上分别签名并注明日期（若非参与者本人签署，应当注明关系）。</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应由研究者和参与者各保留</w:t>
      </w:r>
      <w:r>
        <w:rPr>
          <w:rFonts w:ascii="Times New Roman" w:hAnsi="Times New Roman" w:eastAsia="宋体" w:cs="Times New Roman"/>
          <w:sz w:val="24"/>
          <w:szCs w:val="24"/>
        </w:rPr>
        <w:t>1</w:t>
      </w:r>
      <w:r>
        <w:rPr>
          <w:rFonts w:hint="eastAsia" w:ascii="Times New Roman" w:hAnsi="Times New Roman" w:eastAsia="宋体" w:cs="Times New Roman"/>
          <w:sz w:val="24"/>
          <w:szCs w:val="24"/>
        </w:rPr>
        <w:t>份。如发现涉及研究药物的重要新资料，则必须将</w:t>
      </w:r>
      <w:r>
        <w:rPr>
          <w:rFonts w:ascii="Times New Roman" w:hAnsi="Times New Roman" w:eastAsia="宋体" w:cs="Times New Roman"/>
          <w:sz w:val="24"/>
          <w:szCs w:val="24"/>
        </w:rPr>
        <w:t>ICF</w:t>
      </w:r>
      <w:r>
        <w:rPr>
          <w:rFonts w:hint="eastAsia" w:ascii="Times New Roman" w:hAnsi="Times New Roman" w:eastAsia="宋体" w:cs="Times New Roman"/>
          <w:sz w:val="24"/>
          <w:szCs w:val="24"/>
        </w:rPr>
        <w:t>作书面修改送伦理委员会批准后，再次取得参与者（或其监护人）同意。</w:t>
      </w:r>
    </w:p>
    <w:p w14:paraId="1988B683">
      <w:pPr>
        <w:pStyle w:val="116"/>
        <w:numPr>
          <w:ilvl w:val="1"/>
          <w:numId w:val="12"/>
        </w:numPr>
        <w:jc w:val="left"/>
        <w:rPr>
          <w:rFonts w:cs="Times New Roman"/>
          <w:sz w:val="24"/>
          <w:szCs w:val="24"/>
        </w:rPr>
      </w:pPr>
      <w:bookmarkStart w:id="393" w:name="_Toc217032355"/>
      <w:r>
        <w:rPr>
          <w:rFonts w:hint="eastAsia" w:cs="Times New Roman"/>
          <w:sz w:val="24"/>
          <w:szCs w:val="24"/>
        </w:rPr>
        <w:t>机构审查委员会或伦理委员会</w:t>
      </w:r>
      <w:bookmarkEnd w:id="393"/>
    </w:p>
    <w:p w14:paraId="5B324892">
      <w:pPr>
        <w:pStyle w:val="60"/>
        <w:numPr>
          <w:ilvl w:val="255"/>
          <w:numId w:val="0"/>
        </w:numPr>
        <w:ind w:firstLine="480" w:firstLineChars="200"/>
        <w:rPr>
          <w:rFonts w:cs="Times New Roman"/>
          <w:sz w:val="24"/>
          <w:szCs w:val="24"/>
        </w:rPr>
      </w:pPr>
      <w:r>
        <w:rPr>
          <w:rFonts w:hint="eastAsia" w:cs="Times New Roman"/>
          <w:sz w:val="24"/>
          <w:szCs w:val="24"/>
        </w:rPr>
        <w:t>在研究启动前，本方案、知情同意书、提供给参与者的任何信息，以及相关支持信息必须提交给</w:t>
      </w:r>
      <w:r>
        <w:rPr>
          <w:rFonts w:cs="Times New Roman"/>
          <w:sz w:val="24"/>
          <w:szCs w:val="24"/>
        </w:rPr>
        <w:t>IRB/EC</w:t>
      </w:r>
      <w:r>
        <w:rPr>
          <w:rFonts w:hint="eastAsia" w:cs="Times New Roman"/>
          <w:sz w:val="24"/>
          <w:szCs w:val="24"/>
        </w:rPr>
        <w:t>审查和批准。此外，任何参与者招募材料也必须经</w:t>
      </w:r>
      <w:r>
        <w:rPr>
          <w:rFonts w:cs="Times New Roman"/>
          <w:sz w:val="24"/>
          <w:szCs w:val="24"/>
        </w:rPr>
        <w:t>IRB/EC</w:t>
      </w:r>
      <w:r>
        <w:rPr>
          <w:rFonts w:hint="eastAsia" w:cs="Times New Roman"/>
          <w:sz w:val="24"/>
          <w:szCs w:val="24"/>
        </w:rPr>
        <w:t>批准。</w:t>
      </w:r>
    </w:p>
    <w:p w14:paraId="30E40497">
      <w:pPr>
        <w:pStyle w:val="60"/>
        <w:numPr>
          <w:ilvl w:val="255"/>
          <w:numId w:val="0"/>
        </w:numPr>
        <w:ind w:firstLine="480" w:firstLineChars="200"/>
        <w:rPr>
          <w:rFonts w:cs="Times New Roman"/>
          <w:sz w:val="24"/>
          <w:szCs w:val="24"/>
        </w:rPr>
      </w:pPr>
      <w:r>
        <w:rPr>
          <w:rFonts w:hint="eastAsia" w:cs="Times New Roman"/>
          <w:sz w:val="24"/>
          <w:szCs w:val="24"/>
        </w:rPr>
        <w:t>根据</w:t>
      </w:r>
      <w:r>
        <w:rPr>
          <w:rFonts w:cs="Times New Roman"/>
          <w:sz w:val="24"/>
          <w:szCs w:val="24"/>
        </w:rPr>
        <w:t>IRB/EC</w:t>
      </w:r>
      <w:r>
        <w:rPr>
          <w:rFonts w:hint="eastAsia" w:cs="Times New Roman"/>
          <w:sz w:val="24"/>
          <w:szCs w:val="24"/>
        </w:rPr>
        <w:t>要求或既定程序，主要研究者负责每年或更频繁地向</w:t>
      </w:r>
      <w:r>
        <w:rPr>
          <w:rFonts w:cs="Times New Roman"/>
          <w:sz w:val="24"/>
          <w:szCs w:val="24"/>
        </w:rPr>
        <w:t>IRB/EC</w:t>
      </w:r>
      <w:r>
        <w:rPr>
          <w:rFonts w:hint="eastAsia" w:cs="Times New Roman"/>
          <w:sz w:val="24"/>
          <w:szCs w:val="24"/>
        </w:rPr>
        <w:t>提交书面的研究进展报告。研究者也负责及时通知</w:t>
      </w:r>
      <w:r>
        <w:rPr>
          <w:rFonts w:cs="Times New Roman"/>
          <w:sz w:val="24"/>
          <w:szCs w:val="24"/>
        </w:rPr>
        <w:t>IRB/EC</w:t>
      </w:r>
      <w:r>
        <w:rPr>
          <w:rFonts w:hint="eastAsia" w:cs="Times New Roman"/>
          <w:sz w:val="24"/>
          <w:szCs w:val="24"/>
        </w:rPr>
        <w:t>任何方案修正案。</w:t>
      </w:r>
    </w:p>
    <w:p w14:paraId="03C3E1CD">
      <w:pPr>
        <w:pStyle w:val="60"/>
        <w:numPr>
          <w:ilvl w:val="255"/>
          <w:numId w:val="0"/>
        </w:numPr>
        <w:ind w:firstLine="480" w:firstLineChars="200"/>
        <w:rPr>
          <w:rFonts w:cs="Times New Roman"/>
          <w:sz w:val="24"/>
          <w:szCs w:val="24"/>
        </w:rPr>
      </w:pPr>
      <w:r>
        <w:rPr>
          <w:rFonts w:hint="eastAsia" w:cs="Times New Roman"/>
          <w:sz w:val="24"/>
          <w:szCs w:val="24"/>
        </w:rPr>
        <w:t>除向申办者报告</w:t>
      </w:r>
      <w:r>
        <w:rPr>
          <w:rFonts w:cs="Times New Roman"/>
          <w:sz w:val="24"/>
          <w:szCs w:val="24"/>
        </w:rPr>
        <w:t>SAE</w:t>
      </w:r>
      <w:r>
        <w:rPr>
          <w:rFonts w:hint="eastAsia" w:cs="Times New Roman"/>
          <w:sz w:val="24"/>
          <w:szCs w:val="24"/>
        </w:rPr>
        <w:t>之外，适用时研究者还必须按要求向卫生主管部门和</w:t>
      </w:r>
      <w:r>
        <w:rPr>
          <w:rFonts w:cs="Times New Roman"/>
          <w:sz w:val="24"/>
          <w:szCs w:val="24"/>
        </w:rPr>
        <w:t>IRB/EC</w:t>
      </w:r>
      <w:r>
        <w:rPr>
          <w:rFonts w:hint="eastAsia" w:cs="Times New Roman"/>
          <w:sz w:val="24"/>
          <w:szCs w:val="24"/>
        </w:rPr>
        <w:t>报告</w:t>
      </w:r>
      <w:r>
        <w:rPr>
          <w:rFonts w:cs="Times New Roman"/>
          <w:sz w:val="24"/>
          <w:szCs w:val="24"/>
        </w:rPr>
        <w:t>SAE</w:t>
      </w:r>
      <w:r>
        <w:rPr>
          <w:rFonts w:hint="eastAsia" w:cs="Times New Roman"/>
          <w:sz w:val="24"/>
          <w:szCs w:val="24"/>
        </w:rPr>
        <w:t>。研究者可能会收到来自申办者的相关安全性报告或通信，研究者负责确保此类报告的审查和处理符合卫生主管部门要求及</w:t>
      </w:r>
      <w:r>
        <w:rPr>
          <w:rFonts w:cs="Times New Roman"/>
          <w:sz w:val="24"/>
          <w:szCs w:val="24"/>
        </w:rPr>
        <w:t>IRB/EC</w:t>
      </w:r>
      <w:r>
        <w:rPr>
          <w:rFonts w:hint="eastAsia" w:cs="Times New Roman"/>
          <w:sz w:val="24"/>
          <w:szCs w:val="24"/>
        </w:rPr>
        <w:t>既定的政策和程序，并存档在研究中心的研究文件中。</w:t>
      </w:r>
    </w:p>
    <w:p w14:paraId="1046525B">
      <w:pPr>
        <w:pStyle w:val="116"/>
        <w:numPr>
          <w:ilvl w:val="1"/>
          <w:numId w:val="12"/>
        </w:numPr>
        <w:rPr>
          <w:rFonts w:cs="Times New Roman"/>
          <w:sz w:val="24"/>
          <w:szCs w:val="24"/>
        </w:rPr>
      </w:pPr>
      <w:bookmarkStart w:id="394" w:name="_Toc217032356"/>
      <w:r>
        <w:rPr>
          <w:rFonts w:hint="eastAsia" w:cs="Times New Roman"/>
          <w:sz w:val="24"/>
          <w:szCs w:val="24"/>
        </w:rPr>
        <w:t>保密</w:t>
      </w:r>
      <w:bookmarkEnd w:id="394"/>
    </w:p>
    <w:p w14:paraId="36DB3C6C">
      <w:pPr>
        <w:pStyle w:val="60"/>
        <w:numPr>
          <w:ilvl w:val="255"/>
          <w:numId w:val="0"/>
        </w:numPr>
        <w:ind w:firstLine="480" w:firstLineChars="200"/>
        <w:rPr>
          <w:rFonts w:cs="Times New Roman"/>
          <w:sz w:val="24"/>
          <w:szCs w:val="24"/>
        </w:rPr>
      </w:pPr>
      <w:r>
        <w:rPr>
          <w:rFonts w:hint="eastAsia" w:cs="Times New Roman"/>
          <w:sz w:val="24"/>
          <w:szCs w:val="24"/>
        </w:rPr>
        <w:t>研究中心将会对本次研究采集到的信息进行保密。参与者通过分配的唯一识别号参与研究，这意味着参与者姓名不会出现在传输至任何地方的数据集中。</w:t>
      </w:r>
    </w:p>
    <w:p w14:paraId="70BBC3B4">
      <w:pPr>
        <w:pStyle w:val="60"/>
        <w:numPr>
          <w:ilvl w:val="255"/>
          <w:numId w:val="0"/>
        </w:numPr>
        <w:ind w:firstLine="480" w:firstLineChars="200"/>
        <w:rPr>
          <w:rFonts w:cs="Times New Roman"/>
          <w:sz w:val="24"/>
          <w:szCs w:val="24"/>
        </w:rPr>
      </w:pPr>
      <w:r>
        <w:rPr>
          <w:rFonts w:hint="eastAsia" w:cs="Times New Roman"/>
          <w:sz w:val="24"/>
          <w:szCs w:val="24"/>
        </w:rPr>
        <w:t>本研究获得的参与者医疗信息是保密的。除非法律允许或要求，否则，仅在参与者签署的知情同意书允许（或单独授权使用和披露个人健康信息）的情况下，可能会向第三方披露。</w:t>
      </w:r>
    </w:p>
    <w:p w14:paraId="073A6B88">
      <w:pPr>
        <w:pStyle w:val="60"/>
        <w:numPr>
          <w:ilvl w:val="255"/>
          <w:numId w:val="0"/>
        </w:numPr>
        <w:ind w:firstLine="480" w:firstLineChars="200"/>
        <w:rPr>
          <w:rFonts w:cs="Times New Roman"/>
          <w:sz w:val="24"/>
          <w:szCs w:val="24"/>
        </w:rPr>
      </w:pPr>
      <w:r>
        <w:rPr>
          <w:rFonts w:hint="eastAsia" w:cs="Times New Roman"/>
          <w:sz w:val="24"/>
          <w:szCs w:val="24"/>
        </w:rPr>
        <w:t>研究期间向参与者收集的信息，将会得到妥善保管，只有研究者或授权的人员可以查看。参与者所有信息都会用数字、字母进行编号，而不使用参与者的姓名。只有研究者知道参与者对应的编号。在不违反保密原则和相关法规的情况下，研究者、申办者的相关人员（或代表）及法规机构和</w:t>
      </w:r>
      <w:r>
        <w:rPr>
          <w:rFonts w:cs="Times New Roman"/>
          <w:sz w:val="24"/>
          <w:szCs w:val="24"/>
        </w:rPr>
        <w:t>EC</w:t>
      </w:r>
      <w:r>
        <w:rPr>
          <w:rFonts w:hint="eastAsia" w:cs="Times New Roman"/>
          <w:sz w:val="24"/>
          <w:szCs w:val="24"/>
        </w:rPr>
        <w:t>可能在研究相关的监查、稽查、</w:t>
      </w:r>
      <w:r>
        <w:rPr>
          <w:rFonts w:cs="Times New Roman"/>
          <w:sz w:val="24"/>
          <w:szCs w:val="24"/>
        </w:rPr>
        <w:t>EC/IRB</w:t>
      </w:r>
      <w:r>
        <w:rPr>
          <w:rFonts w:hint="eastAsia" w:cs="Times New Roman"/>
          <w:sz w:val="24"/>
          <w:szCs w:val="24"/>
        </w:rPr>
        <w:t>审核过程中审查参与者的个人医疗记录。研究中心将会在法律允许范围内，全力保护参与者的隐私和健康信息。</w:t>
      </w:r>
    </w:p>
    <w:p w14:paraId="5562BC76">
      <w:pPr>
        <w:pStyle w:val="60"/>
        <w:numPr>
          <w:ilvl w:val="255"/>
          <w:numId w:val="0"/>
        </w:numPr>
        <w:ind w:firstLine="480" w:firstLineChars="200"/>
        <w:rPr>
          <w:rFonts w:cs="Times New Roman"/>
          <w:sz w:val="24"/>
          <w:szCs w:val="24"/>
        </w:rPr>
      </w:pPr>
      <w:r>
        <w:rPr>
          <w:rFonts w:hint="eastAsia" w:cs="Times New Roman"/>
          <w:sz w:val="24"/>
          <w:szCs w:val="24"/>
        </w:rPr>
        <w:t>医疗信息可能向参与者的私人医生或负责参与者卫生福利或治疗目的的其他医疗人员提供。鉴于样品分析的复杂性和探究性，除非法律要求，否则通常不会向研究者或参与者提供来源于探究性生物标志物样本的数据。</w:t>
      </w:r>
    </w:p>
    <w:p w14:paraId="3523D568">
      <w:pPr>
        <w:pStyle w:val="60"/>
        <w:numPr>
          <w:ilvl w:val="255"/>
          <w:numId w:val="0"/>
        </w:numPr>
        <w:ind w:firstLine="480" w:firstLineChars="200"/>
        <w:rPr>
          <w:rFonts w:cs="Times New Roman"/>
        </w:rPr>
      </w:pPr>
      <w:r>
        <w:rPr>
          <w:rFonts w:hint="eastAsia" w:cs="Times New Roman"/>
          <w:sz w:val="24"/>
          <w:szCs w:val="24"/>
        </w:rPr>
        <w:t>本研究生成的数据必须接受国家和地方卫生监管机构的代表、申办者监查员、各研究中心的代表、合作者和</w:t>
      </w:r>
      <w:r>
        <w:rPr>
          <w:rFonts w:cs="Times New Roman"/>
          <w:sz w:val="24"/>
          <w:szCs w:val="24"/>
        </w:rPr>
        <w:t>IRB/EC</w:t>
      </w:r>
      <w:r>
        <w:rPr>
          <w:rFonts w:hint="eastAsia" w:cs="Times New Roman"/>
          <w:sz w:val="24"/>
          <w:szCs w:val="24"/>
        </w:rPr>
        <w:t>（如适用）的检查。</w:t>
      </w:r>
    </w:p>
    <w:p w14:paraId="4F43A0D7">
      <w:pPr>
        <w:pStyle w:val="114"/>
        <w:numPr>
          <w:ilvl w:val="0"/>
          <w:numId w:val="12"/>
        </w:numPr>
        <w:jc w:val="left"/>
        <w:rPr>
          <w:rFonts w:cs="Times New Roman"/>
        </w:rPr>
      </w:pPr>
      <w:bookmarkStart w:id="395" w:name="_Toc217032357"/>
      <w:r>
        <w:rPr>
          <w:rFonts w:hint="eastAsia" w:cs="Times New Roman"/>
        </w:rPr>
        <w:t>研究文件、监查和管理</w:t>
      </w:r>
      <w:bookmarkEnd w:id="395"/>
    </w:p>
    <w:p w14:paraId="1AA46F8F">
      <w:pPr>
        <w:pStyle w:val="116"/>
        <w:numPr>
          <w:ilvl w:val="1"/>
          <w:numId w:val="12"/>
        </w:numPr>
        <w:jc w:val="left"/>
        <w:rPr>
          <w:rFonts w:cs="Times New Roman"/>
          <w:sz w:val="24"/>
          <w:szCs w:val="24"/>
        </w:rPr>
      </w:pPr>
      <w:bookmarkStart w:id="396" w:name="_Toc217032358"/>
      <w:r>
        <w:rPr>
          <w:rFonts w:hint="eastAsia" w:cs="Times New Roman"/>
          <w:sz w:val="24"/>
          <w:szCs w:val="24"/>
        </w:rPr>
        <w:t>研究文件</w:t>
      </w:r>
      <w:bookmarkEnd w:id="396"/>
    </w:p>
    <w:p w14:paraId="36D4F311">
      <w:pPr>
        <w:pStyle w:val="60"/>
        <w:numPr>
          <w:ilvl w:val="255"/>
          <w:numId w:val="0"/>
        </w:numPr>
        <w:ind w:firstLine="480" w:firstLineChars="200"/>
        <w:rPr>
          <w:rFonts w:cs="Times New Roman"/>
          <w:sz w:val="24"/>
          <w:szCs w:val="24"/>
        </w:rPr>
      </w:pPr>
      <w:bookmarkStart w:id="397" w:name="OLE_LINK2"/>
      <w:r>
        <w:rPr>
          <w:rFonts w:hint="eastAsia" w:cs="Times New Roman"/>
          <w:sz w:val="24"/>
          <w:szCs w:val="24"/>
        </w:rPr>
        <w:t>研究者必须保存足够且准确的记录，以便完整记录研究的执行过程，包括但不限于方案、方案修正案、知情同意书和</w:t>
      </w:r>
      <w:r>
        <w:rPr>
          <w:rFonts w:cs="Times New Roman"/>
          <w:sz w:val="24"/>
          <w:szCs w:val="24"/>
        </w:rPr>
        <w:t>IRB/EC</w:t>
      </w:r>
      <w:r>
        <w:rPr>
          <w:rFonts w:hint="eastAsia" w:cs="Times New Roman"/>
          <w:sz w:val="24"/>
          <w:szCs w:val="24"/>
        </w:rPr>
        <w:t>与政府批准文件。此外，在研究结束时，研究者可以获得该中心的参与者数据，包括含有所有数据变更完整记录的稽查跟踪数据。</w:t>
      </w:r>
    </w:p>
    <w:p w14:paraId="567AB6C1">
      <w:pPr>
        <w:pStyle w:val="60"/>
        <w:numPr>
          <w:ilvl w:val="255"/>
          <w:numId w:val="0"/>
        </w:numPr>
        <w:ind w:firstLine="480" w:firstLineChars="200"/>
        <w:rPr>
          <w:rFonts w:cs="Times New Roman"/>
          <w:sz w:val="24"/>
          <w:szCs w:val="24"/>
        </w:rPr>
      </w:pPr>
      <w:r>
        <w:rPr>
          <w:rFonts w:hint="eastAsia" w:cs="Times New Roman"/>
          <w:sz w:val="24"/>
          <w:szCs w:val="24"/>
        </w:rPr>
        <w:t>研究开始时，研究中心、分析检测单位、申办者三方均应各自建立研究文件的档案管理。研究结束时，监查员必须审核确认各研究中心、分析检测单位、申办者各自的文件，这些文件必须被妥善的保存在各自的临床研究档案卷宗内。</w:t>
      </w:r>
    </w:p>
    <w:bookmarkEnd w:id="397"/>
    <w:p w14:paraId="62A1E5BE">
      <w:pPr>
        <w:pStyle w:val="116"/>
        <w:numPr>
          <w:ilvl w:val="1"/>
          <w:numId w:val="12"/>
        </w:numPr>
        <w:jc w:val="left"/>
        <w:rPr>
          <w:rFonts w:cs="Times New Roman"/>
          <w:sz w:val="24"/>
          <w:szCs w:val="24"/>
        </w:rPr>
      </w:pPr>
      <w:bookmarkStart w:id="398" w:name="_Toc217032359"/>
      <w:r>
        <w:rPr>
          <w:rFonts w:hint="eastAsia" w:cs="Times New Roman"/>
          <w:sz w:val="24"/>
          <w:szCs w:val="24"/>
        </w:rPr>
        <w:t>方案偏离</w:t>
      </w:r>
      <w:bookmarkEnd w:id="398"/>
      <w:bookmarkStart w:id="399" w:name="OLE_LINK3"/>
    </w:p>
    <w:p w14:paraId="19D515E5">
      <w:pPr>
        <w:pStyle w:val="60"/>
        <w:numPr>
          <w:ilvl w:val="255"/>
          <w:numId w:val="0"/>
        </w:numPr>
        <w:ind w:firstLine="480" w:firstLineChars="200"/>
        <w:rPr>
          <w:rStyle w:val="99"/>
          <w:rFonts w:cs="Times New Roman"/>
          <w:sz w:val="24"/>
          <w:szCs w:val="24"/>
        </w:rPr>
      </w:pPr>
      <w:r>
        <w:rPr>
          <w:rStyle w:val="99"/>
          <w:rFonts w:hint="eastAsia" w:cs="Times New Roman"/>
          <w:sz w:val="24"/>
          <w:szCs w:val="24"/>
        </w:rPr>
        <w:t>研究方案中规定的所有要求，必须严格执行。任何有意或无意偏离试验方案和</w:t>
      </w:r>
      <w:r>
        <w:rPr>
          <w:rStyle w:val="99"/>
          <w:rFonts w:cs="Times New Roman"/>
          <w:sz w:val="24"/>
          <w:szCs w:val="24"/>
        </w:rPr>
        <w:t>GCP</w:t>
      </w:r>
      <w:r>
        <w:rPr>
          <w:rStyle w:val="99"/>
          <w:rFonts w:hint="eastAsia" w:cs="Times New Roman"/>
          <w:sz w:val="24"/>
          <w:szCs w:val="24"/>
        </w:rPr>
        <w:t>原则的行为，均可归类为偏离方案。临床监查员在监查过程中，如果发现偏离方案时应填写偏离方案记录，详细记录事件发生的时间、过程、原因、相应的处理措施等适用项，由研究者签字，并通报伦理委员会及申办者。在数据统计和总结报告中，研究者对发生的方案偏离对最终数据和结论的影响进行分析和报告。</w:t>
      </w:r>
    </w:p>
    <w:p w14:paraId="73F3E3B9">
      <w:pPr>
        <w:pStyle w:val="60"/>
        <w:numPr>
          <w:ilvl w:val="255"/>
          <w:numId w:val="0"/>
        </w:numPr>
        <w:ind w:firstLine="480" w:firstLineChars="200"/>
        <w:rPr>
          <w:rFonts w:cs="Times New Roman"/>
          <w:sz w:val="24"/>
          <w:szCs w:val="24"/>
        </w:rPr>
      </w:pPr>
      <w:r>
        <w:rPr>
          <w:rStyle w:val="99"/>
          <w:rFonts w:hint="eastAsia" w:cs="Times New Roman"/>
          <w:sz w:val="24"/>
          <w:szCs w:val="24"/>
        </w:rPr>
        <w:t>所有方案偏离情况必须记录在源文件中。所有方案偏离必须按照伦理委员会规定递交以供审查。研究者有责任知悉并遵行伦理委员会相关规定。当发生严重方案偏离时，应进行评估。必要时，参与者需退出研究。</w:t>
      </w:r>
    </w:p>
    <w:bookmarkEnd w:id="399"/>
    <w:p w14:paraId="433075AA">
      <w:pPr>
        <w:pStyle w:val="116"/>
        <w:numPr>
          <w:ilvl w:val="1"/>
          <w:numId w:val="12"/>
        </w:numPr>
        <w:rPr>
          <w:rFonts w:cs="Times New Roman"/>
          <w:sz w:val="24"/>
          <w:szCs w:val="24"/>
        </w:rPr>
      </w:pPr>
      <w:bookmarkStart w:id="400" w:name="_Toc217032360"/>
      <w:r>
        <w:rPr>
          <w:rFonts w:hint="eastAsia" w:cs="Times New Roman"/>
          <w:sz w:val="24"/>
          <w:szCs w:val="24"/>
        </w:rPr>
        <w:t>现场监查</w:t>
      </w:r>
      <w:r>
        <w:rPr>
          <w:rFonts w:cs="Times New Roman"/>
          <w:sz w:val="24"/>
          <w:szCs w:val="24"/>
        </w:rPr>
        <w:t>/</w:t>
      </w:r>
      <w:r>
        <w:rPr>
          <w:rFonts w:hint="eastAsia" w:cs="Times New Roman"/>
          <w:sz w:val="24"/>
          <w:szCs w:val="24"/>
        </w:rPr>
        <w:t>检查</w:t>
      </w:r>
      <w:bookmarkEnd w:id="400"/>
    </w:p>
    <w:p w14:paraId="0F9E577A">
      <w:pPr>
        <w:pStyle w:val="60"/>
        <w:numPr>
          <w:ilvl w:val="255"/>
          <w:numId w:val="0"/>
        </w:numPr>
        <w:ind w:firstLine="480" w:firstLineChars="200"/>
        <w:rPr>
          <w:rFonts w:cs="Times New Roman"/>
          <w:sz w:val="24"/>
          <w:szCs w:val="24"/>
        </w:rPr>
      </w:pPr>
      <w:r>
        <w:rPr>
          <w:rFonts w:hint="eastAsia" w:cs="Times New Roman"/>
          <w:sz w:val="24"/>
          <w:szCs w:val="24"/>
        </w:rPr>
        <w:t>研究中心访视将由申办者或授权的代表进行研究数据、参与者病历和</w:t>
      </w:r>
      <w:r>
        <w:rPr>
          <w:rFonts w:cs="Times New Roman"/>
          <w:sz w:val="24"/>
          <w:szCs w:val="24"/>
        </w:rPr>
        <w:t>eCRFs</w:t>
      </w:r>
      <w:r>
        <w:rPr>
          <w:rFonts w:hint="eastAsia" w:cs="Times New Roman"/>
          <w:sz w:val="24"/>
          <w:szCs w:val="24"/>
        </w:rPr>
        <w:t>的监查。研究者将允许国家和地方卫生当局、申办者监查员、代表和合作者，以及</w:t>
      </w:r>
      <w:r>
        <w:rPr>
          <w:rFonts w:cs="Times New Roman"/>
          <w:sz w:val="24"/>
          <w:szCs w:val="24"/>
        </w:rPr>
        <w:t>IRB/EC</w:t>
      </w:r>
      <w:r>
        <w:rPr>
          <w:rFonts w:hint="eastAsia" w:cs="Times New Roman"/>
          <w:sz w:val="24"/>
          <w:szCs w:val="24"/>
        </w:rPr>
        <w:t>检查与本研究相关的设施和记录。</w:t>
      </w:r>
    </w:p>
    <w:p w14:paraId="4A28C8A1">
      <w:pPr>
        <w:pStyle w:val="116"/>
        <w:numPr>
          <w:ilvl w:val="1"/>
          <w:numId w:val="12"/>
        </w:numPr>
        <w:rPr>
          <w:rFonts w:cs="Times New Roman"/>
          <w:sz w:val="24"/>
          <w:szCs w:val="24"/>
        </w:rPr>
      </w:pPr>
      <w:bookmarkStart w:id="401" w:name="_Toc217032361"/>
      <w:r>
        <w:rPr>
          <w:rFonts w:hint="eastAsia" w:cs="Times New Roman"/>
          <w:sz w:val="24"/>
          <w:szCs w:val="24"/>
        </w:rPr>
        <w:t>管理结构</w:t>
      </w:r>
      <w:bookmarkEnd w:id="401"/>
    </w:p>
    <w:p w14:paraId="47BB7E6F">
      <w:pPr>
        <w:pStyle w:val="60"/>
        <w:numPr>
          <w:ilvl w:val="255"/>
          <w:numId w:val="0"/>
        </w:numPr>
        <w:ind w:firstLine="480" w:firstLineChars="200"/>
        <w:rPr>
          <w:rFonts w:cs="Times New Roman"/>
          <w:sz w:val="24"/>
          <w:szCs w:val="24"/>
        </w:rPr>
      </w:pPr>
      <w:r>
        <w:rPr>
          <w:rFonts w:hint="eastAsia" w:cs="Times New Roman"/>
          <w:sz w:val="24"/>
          <w:szCs w:val="24"/>
        </w:rPr>
        <w:t>申办者或其代理人将执行项目管理、研究管理、监查、供应商管理和统计编程。可使用</w:t>
      </w:r>
      <w:r>
        <w:rPr>
          <w:rFonts w:cs="Times New Roman"/>
          <w:sz w:val="24"/>
          <w:szCs w:val="24"/>
        </w:rPr>
        <w:t>IWRS</w:t>
      </w:r>
      <w:r>
        <w:rPr>
          <w:rFonts w:hint="eastAsia" w:cs="Times New Roman"/>
          <w:sz w:val="24"/>
          <w:szCs w:val="24"/>
        </w:rPr>
        <w:t>进行参与者筛查和随机分组，以及研究药物申请和运输的管理。研究中心将负责生物样品在运输至申办者或其指定分析单位之前的保存。数据将使用</w:t>
      </w:r>
      <w:r>
        <w:rPr>
          <w:rFonts w:cs="Times New Roman"/>
          <w:sz w:val="24"/>
          <w:szCs w:val="24"/>
        </w:rPr>
        <w:t>eCRFs</w:t>
      </w:r>
      <w:r>
        <w:rPr>
          <w:rFonts w:hint="eastAsia" w:cs="Times New Roman"/>
          <w:sz w:val="24"/>
          <w:szCs w:val="24"/>
        </w:rPr>
        <w:t>通过</w:t>
      </w:r>
      <w:r>
        <w:rPr>
          <w:rFonts w:cs="Times New Roman"/>
          <w:sz w:val="24"/>
          <w:szCs w:val="24"/>
        </w:rPr>
        <w:t>EDC</w:t>
      </w:r>
      <w:r>
        <w:rPr>
          <w:rFonts w:hint="eastAsia" w:cs="Times New Roman"/>
          <w:sz w:val="24"/>
          <w:szCs w:val="24"/>
        </w:rPr>
        <w:t>系统记录，或以电子方式转发给申办者（例如，药代动力学数据）。</w:t>
      </w:r>
    </w:p>
    <w:p w14:paraId="21B53589">
      <w:pPr>
        <w:pStyle w:val="116"/>
        <w:numPr>
          <w:ilvl w:val="1"/>
          <w:numId w:val="12"/>
        </w:numPr>
        <w:rPr>
          <w:rFonts w:cs="Times New Roman"/>
          <w:sz w:val="24"/>
          <w:szCs w:val="24"/>
        </w:rPr>
      </w:pPr>
      <w:bookmarkStart w:id="402" w:name="_Toc217032362"/>
      <w:r>
        <w:rPr>
          <w:rFonts w:hint="eastAsia" w:cs="Times New Roman"/>
          <w:sz w:val="24"/>
          <w:szCs w:val="24"/>
        </w:rPr>
        <w:t>数据发布和商业秘密的保护</w:t>
      </w:r>
      <w:bookmarkEnd w:id="402"/>
    </w:p>
    <w:p w14:paraId="1CA19BAB">
      <w:pPr>
        <w:pStyle w:val="60"/>
        <w:numPr>
          <w:ilvl w:val="255"/>
          <w:numId w:val="0"/>
        </w:numPr>
        <w:ind w:firstLine="480" w:firstLineChars="200"/>
        <w:rPr>
          <w:rFonts w:cs="Times New Roman"/>
          <w:sz w:val="24"/>
          <w:szCs w:val="24"/>
        </w:rPr>
      </w:pPr>
      <w:r>
        <w:rPr>
          <w:rFonts w:hint="eastAsia" w:cs="Times New Roman"/>
          <w:sz w:val="24"/>
          <w:szCs w:val="24"/>
        </w:rPr>
        <w:t>应按照现行的法规要求将临床研究得出的结果都记录在完整的临床研究报告中。</w:t>
      </w:r>
    </w:p>
    <w:p w14:paraId="3E491145">
      <w:pPr>
        <w:pStyle w:val="60"/>
        <w:numPr>
          <w:ilvl w:val="255"/>
          <w:numId w:val="0"/>
        </w:numPr>
        <w:ind w:firstLine="480" w:firstLineChars="200"/>
        <w:rPr>
          <w:rFonts w:cs="Times New Roman"/>
          <w:sz w:val="24"/>
          <w:szCs w:val="24"/>
        </w:rPr>
      </w:pPr>
      <w:r>
        <w:rPr>
          <w:rFonts w:hint="eastAsia" w:cs="Times New Roman"/>
          <w:sz w:val="24"/>
          <w:szCs w:val="24"/>
        </w:rPr>
        <w:t>本研究的所有资料，所有权属于申办者，除国家药品监督管理局要求外，未经申办者书面同意，研究者不得以任何方式提供给第三者。申办者可自由地将研究中收集到的数据用于药品注册、世界范围内的科学产品记录以及出版物的发表。</w:t>
      </w:r>
    </w:p>
    <w:p w14:paraId="60CC0BE8">
      <w:pPr>
        <w:pStyle w:val="60"/>
        <w:numPr>
          <w:ilvl w:val="255"/>
          <w:numId w:val="0"/>
        </w:numPr>
        <w:ind w:firstLine="480" w:firstLineChars="200"/>
        <w:rPr>
          <w:rFonts w:cs="Times New Roman"/>
          <w:sz w:val="24"/>
          <w:szCs w:val="24"/>
        </w:rPr>
      </w:pPr>
      <w:r>
        <w:rPr>
          <w:rFonts w:hint="eastAsia" w:cs="Times New Roman"/>
          <w:sz w:val="24"/>
          <w:szCs w:val="24"/>
        </w:rPr>
        <w:t>无论研究结果如何，申办者致力于通过科学大会和同行评审期刊向医疗专业人员和公众公开研究相关信息。申办者将遵守所有研究结果出版的要求。</w:t>
      </w:r>
    </w:p>
    <w:p w14:paraId="119D65B9">
      <w:pPr>
        <w:pStyle w:val="60"/>
        <w:numPr>
          <w:ilvl w:val="255"/>
          <w:numId w:val="0"/>
        </w:numPr>
        <w:ind w:firstLine="480" w:firstLineChars="200"/>
        <w:rPr>
          <w:rFonts w:cs="Times New Roman"/>
          <w:sz w:val="24"/>
          <w:szCs w:val="24"/>
        </w:rPr>
      </w:pPr>
      <w:r>
        <w:rPr>
          <w:rFonts w:hint="eastAsia" w:cs="Times New Roman"/>
          <w:sz w:val="24"/>
          <w:szCs w:val="24"/>
        </w:rPr>
        <w:t>根据常规编辑和道德规范，申办者通常仅支持基于完整研究的多中心研究结果的发表，而不是单个中心的数据发表。在这种情况下，经相互同意，将可能指定一名协调研究者。</w:t>
      </w:r>
    </w:p>
    <w:p w14:paraId="23DBC441">
      <w:pPr>
        <w:pStyle w:val="60"/>
        <w:numPr>
          <w:ilvl w:val="255"/>
          <w:numId w:val="0"/>
        </w:numPr>
        <w:ind w:firstLine="480" w:firstLineChars="200"/>
        <w:rPr>
          <w:rFonts w:cs="Times New Roman"/>
          <w:sz w:val="24"/>
          <w:szCs w:val="24"/>
        </w:rPr>
      </w:pPr>
      <w:r>
        <w:rPr>
          <w:rFonts w:hint="eastAsia" w:cs="Times New Roman"/>
          <w:sz w:val="24"/>
          <w:szCs w:val="24"/>
        </w:rPr>
        <w:t>按照惯例，申办者与研究者一致同意，参与本研究的中心在完成本研究、数据解读以及发布最终报告之前，不得发表、介绍或讨论与本研究得到的数据和</w:t>
      </w:r>
      <w:r>
        <w:rPr>
          <w:rFonts w:cs="Times New Roman"/>
          <w:sz w:val="24"/>
          <w:szCs w:val="24"/>
        </w:rPr>
        <w:t>/</w:t>
      </w:r>
      <w:r>
        <w:rPr>
          <w:rFonts w:hint="eastAsia" w:cs="Times New Roman"/>
          <w:sz w:val="24"/>
          <w:szCs w:val="24"/>
        </w:rPr>
        <w:t>或结果相关的文章。</w:t>
      </w:r>
    </w:p>
    <w:p w14:paraId="4A8D638F">
      <w:pPr>
        <w:pStyle w:val="60"/>
        <w:numPr>
          <w:ilvl w:val="255"/>
          <w:numId w:val="0"/>
        </w:numPr>
        <w:ind w:firstLine="480" w:firstLineChars="200"/>
        <w:rPr>
          <w:rFonts w:cs="Times New Roman"/>
          <w:sz w:val="24"/>
          <w:szCs w:val="24"/>
        </w:rPr>
      </w:pPr>
      <w:r>
        <w:rPr>
          <w:rFonts w:hint="eastAsia" w:cs="Times New Roman"/>
          <w:sz w:val="24"/>
          <w:szCs w:val="24"/>
        </w:rPr>
        <w:t>申办者通常不反对研究者公开本研究得出的结果。但是，在公开或提交出版社发表之前，研究者必须向申办者提供原稿（纸质件或电子档）以供审核（同时附上一封信，在信中要告知申办者打算公开研究结果这一意愿），之所以采取这一程序是为防止提前泄露商业秘密或其他受专利保护的材料，而不是将其作为限制公开研究结果或表达研究者观点的措施。申办者审查完论文原稿后，将向研究者提供所有评论以及申办者关于研究结果发表的意见。</w:t>
      </w:r>
    </w:p>
    <w:p w14:paraId="39C91BD2">
      <w:pPr>
        <w:pStyle w:val="60"/>
        <w:numPr>
          <w:ilvl w:val="255"/>
          <w:numId w:val="0"/>
        </w:numPr>
        <w:ind w:firstLine="480" w:firstLineChars="200"/>
        <w:rPr>
          <w:rFonts w:cs="Times New Roman"/>
          <w:sz w:val="24"/>
          <w:szCs w:val="24"/>
        </w:rPr>
      </w:pPr>
      <w:r>
        <w:rPr>
          <w:rFonts w:hint="eastAsia" w:cs="Times New Roman"/>
          <w:sz w:val="24"/>
          <w:szCs w:val="24"/>
        </w:rPr>
        <w:t>申办者有权将本公司对本项目理论或研究工作做出实质性贡献的所有人员加入文章作者之列，而且还有权决定作者姓名先后顺序。文章发表费用可通过双方签订的书面协议进行规定。</w:t>
      </w:r>
    </w:p>
    <w:p w14:paraId="7A0FB39C">
      <w:pPr>
        <w:pStyle w:val="60"/>
        <w:numPr>
          <w:ilvl w:val="255"/>
          <w:numId w:val="0"/>
        </w:numPr>
        <w:ind w:firstLine="480" w:firstLineChars="200"/>
        <w:rPr>
          <w:rFonts w:cs="Times New Roman"/>
          <w:sz w:val="24"/>
          <w:szCs w:val="24"/>
        </w:rPr>
      </w:pPr>
      <w:r>
        <w:rPr>
          <w:rFonts w:hint="eastAsia" w:cs="Times New Roman"/>
          <w:sz w:val="24"/>
          <w:szCs w:val="24"/>
        </w:rPr>
        <w:t>如果研究结果（部分或全部）文章是由申办者撰写的，则会以书面形式询问研究者是否同意将其列为文章作者之一，研究者在合理时限</w:t>
      </w:r>
      <w:r>
        <w:rPr>
          <w:rFonts w:cs="Times New Roman"/>
          <w:sz w:val="24"/>
          <w:szCs w:val="24"/>
        </w:rPr>
        <w:t>[</w:t>
      </w:r>
      <w:r>
        <w:rPr>
          <w:rFonts w:hint="eastAsia" w:cs="Times New Roman"/>
          <w:sz w:val="24"/>
          <w:szCs w:val="24"/>
        </w:rPr>
        <w:t>例如</w:t>
      </w:r>
      <w:r>
        <w:rPr>
          <w:rFonts w:cs="Times New Roman"/>
          <w:sz w:val="24"/>
          <w:szCs w:val="24"/>
        </w:rPr>
        <w:t>30</w:t>
      </w:r>
      <w:r>
        <w:rPr>
          <w:rFonts w:hint="eastAsia" w:cs="Times New Roman"/>
          <w:sz w:val="24"/>
          <w:szCs w:val="24"/>
        </w:rPr>
        <w:t>个日历日</w:t>
      </w:r>
      <w:r>
        <w:rPr>
          <w:rFonts w:cs="Times New Roman"/>
          <w:sz w:val="24"/>
          <w:szCs w:val="24"/>
        </w:rPr>
        <w:t>]</w:t>
      </w:r>
      <w:r>
        <w:rPr>
          <w:rFonts w:hint="eastAsia" w:cs="Times New Roman"/>
          <w:sz w:val="24"/>
          <w:szCs w:val="24"/>
        </w:rPr>
        <w:t>内将书面形式的答复发送到申办者。</w:t>
      </w:r>
    </w:p>
    <w:p w14:paraId="1726F215">
      <w:pPr>
        <w:pStyle w:val="60"/>
        <w:numPr>
          <w:ilvl w:val="255"/>
          <w:numId w:val="0"/>
        </w:numPr>
        <w:ind w:firstLine="480" w:firstLineChars="200"/>
        <w:rPr>
          <w:rFonts w:cs="Times New Roman"/>
          <w:sz w:val="24"/>
          <w:szCs w:val="24"/>
        </w:rPr>
      </w:pPr>
      <w:r>
        <w:rPr>
          <w:rFonts w:hint="eastAsia" w:cs="Times New Roman"/>
          <w:sz w:val="24"/>
          <w:szCs w:val="24"/>
        </w:rPr>
        <w:t>任何出版物或手稿均不得包含申办者的任何商业秘密信息或申办者的任何专有或机密信息，且仅限于新发现和科学事实解释。如果申办者认为任何提交审查的出版物或手稿中包含可申请专利的主题，则申办者应立即向研究者确定该主题。如果申办者要求且申办者承担费用，研究者应尽最大努力协助申办者在任何发表前向专利和商标机构或通过专利合作条约提交涵盖此类主题的专利申请。</w:t>
      </w:r>
    </w:p>
    <w:p w14:paraId="05695C28">
      <w:pPr>
        <w:pStyle w:val="114"/>
        <w:numPr>
          <w:ilvl w:val="0"/>
          <w:numId w:val="12"/>
        </w:numPr>
        <w:jc w:val="left"/>
        <w:rPr>
          <w:rFonts w:cs="Times New Roman"/>
        </w:rPr>
      </w:pPr>
      <w:bookmarkStart w:id="403" w:name="_Toc175665884"/>
      <w:bookmarkEnd w:id="403"/>
      <w:bookmarkStart w:id="404" w:name="_Toc175666184"/>
      <w:bookmarkEnd w:id="404"/>
      <w:bookmarkStart w:id="405" w:name="_Toc175665881"/>
      <w:bookmarkEnd w:id="405"/>
      <w:bookmarkStart w:id="406" w:name="_Toc175666188"/>
      <w:bookmarkEnd w:id="406"/>
      <w:bookmarkStart w:id="407" w:name="_Toc175665892"/>
      <w:bookmarkEnd w:id="407"/>
      <w:bookmarkStart w:id="408" w:name="_Toc175665880"/>
      <w:bookmarkEnd w:id="408"/>
      <w:bookmarkStart w:id="409" w:name="_Toc175666190"/>
      <w:bookmarkEnd w:id="409"/>
      <w:bookmarkStart w:id="410" w:name="_Toc175666189"/>
      <w:bookmarkEnd w:id="410"/>
      <w:bookmarkStart w:id="411" w:name="_Toc175665883"/>
      <w:bookmarkEnd w:id="411"/>
      <w:bookmarkStart w:id="412" w:name="_Toc175666185"/>
      <w:bookmarkEnd w:id="412"/>
      <w:bookmarkStart w:id="413" w:name="_Toc175666194"/>
      <w:bookmarkEnd w:id="413"/>
      <w:bookmarkStart w:id="414" w:name="_Toc175666192"/>
      <w:bookmarkEnd w:id="414"/>
      <w:bookmarkStart w:id="415" w:name="_Toc175665888"/>
      <w:bookmarkEnd w:id="415"/>
      <w:bookmarkStart w:id="416" w:name="_Toc175665879"/>
      <w:bookmarkEnd w:id="416"/>
      <w:bookmarkStart w:id="417" w:name="_Toc175665885"/>
      <w:bookmarkEnd w:id="417"/>
      <w:bookmarkStart w:id="418" w:name="_Toc175666191"/>
      <w:bookmarkEnd w:id="418"/>
      <w:bookmarkStart w:id="419" w:name="_Toc175665890"/>
      <w:bookmarkEnd w:id="419"/>
      <w:bookmarkStart w:id="420" w:name="_Toc175666197"/>
      <w:bookmarkEnd w:id="420"/>
      <w:bookmarkStart w:id="421" w:name="_Toc175665882"/>
      <w:bookmarkEnd w:id="421"/>
      <w:bookmarkStart w:id="422" w:name="_Toc175666195"/>
      <w:bookmarkEnd w:id="422"/>
      <w:bookmarkStart w:id="423" w:name="_Toc175666186"/>
      <w:bookmarkEnd w:id="423"/>
      <w:bookmarkStart w:id="424" w:name="_Toc175665887"/>
      <w:bookmarkEnd w:id="424"/>
      <w:bookmarkStart w:id="425" w:name="_Toc175665889"/>
      <w:bookmarkEnd w:id="425"/>
      <w:bookmarkStart w:id="426" w:name="_Toc175666193"/>
      <w:bookmarkEnd w:id="426"/>
      <w:bookmarkStart w:id="427" w:name="_Toc175665886"/>
      <w:bookmarkEnd w:id="427"/>
      <w:bookmarkStart w:id="428" w:name="_Toc175665891"/>
      <w:bookmarkEnd w:id="428"/>
      <w:bookmarkStart w:id="429" w:name="_Toc175666187"/>
      <w:bookmarkEnd w:id="429"/>
      <w:bookmarkStart w:id="430" w:name="_Toc175666196"/>
      <w:bookmarkEnd w:id="430"/>
      <w:bookmarkStart w:id="431" w:name="_Toc217032363"/>
      <w:r>
        <w:rPr>
          <w:rFonts w:hint="eastAsia" w:cs="Times New Roman"/>
        </w:rPr>
        <w:t>方案修订</w:t>
      </w:r>
      <w:bookmarkEnd w:id="431"/>
    </w:p>
    <w:p w14:paraId="4621AAB6">
      <w:pPr>
        <w:pStyle w:val="60"/>
        <w:ind w:firstLine="480"/>
        <w:rPr>
          <w:rFonts w:cs="Times New Roman"/>
          <w:sz w:val="24"/>
          <w:szCs w:val="24"/>
        </w:rPr>
      </w:pPr>
      <w:r>
        <w:rPr>
          <w:rFonts w:hint="eastAsia" w:cs="Times New Roman"/>
          <w:sz w:val="24"/>
          <w:szCs w:val="24"/>
        </w:rPr>
        <w:t>方案任何的必须的改变，都需以方案修订形式进行，并需在获得申办者、主要研究者签字同意后提交伦理委员会审批或备案。</w:t>
      </w:r>
    </w:p>
    <w:tbl>
      <w:tblPr>
        <w:tblStyle w:val="9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0"/>
        <w:gridCol w:w="1634"/>
        <w:gridCol w:w="4268"/>
        <w:gridCol w:w="2144"/>
      </w:tblGrid>
      <w:tr w14:paraId="67038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jc w:val="center"/>
        </w:trPr>
        <w:tc>
          <w:tcPr>
            <w:tcW w:w="548" w:type="pct"/>
            <w:shd w:val="clear" w:color="auto" w:fill="D8D8D8" w:themeFill="background1" w:themeFillShade="D9"/>
          </w:tcPr>
          <w:p w14:paraId="1B8B27BD">
            <w:pPr>
              <w:pStyle w:val="60"/>
              <w:ind w:firstLine="422"/>
              <w:rPr>
                <w:rFonts w:cs="Times New Roman"/>
                <w:szCs w:val="21"/>
              </w:rPr>
            </w:pPr>
            <w:r>
              <w:rPr>
                <w:rStyle w:val="99"/>
                <w:rFonts w:hint="eastAsia" w:cs="Times New Roman"/>
                <w:b/>
                <w:szCs w:val="21"/>
              </w:rPr>
              <w:t>版本</w:t>
            </w:r>
          </w:p>
        </w:tc>
        <w:tc>
          <w:tcPr>
            <w:tcW w:w="904" w:type="pct"/>
            <w:shd w:val="clear" w:color="auto" w:fill="D8D8D8" w:themeFill="background1" w:themeFillShade="D9"/>
          </w:tcPr>
          <w:p w14:paraId="33937B9A">
            <w:pPr>
              <w:pStyle w:val="60"/>
              <w:ind w:firstLine="422"/>
              <w:rPr>
                <w:rFonts w:cs="Times New Roman"/>
                <w:szCs w:val="21"/>
              </w:rPr>
            </w:pPr>
            <w:r>
              <w:rPr>
                <w:rStyle w:val="99"/>
                <w:rFonts w:hint="eastAsia" w:cs="Times New Roman"/>
                <w:b/>
                <w:szCs w:val="21"/>
              </w:rPr>
              <w:t>日期</w:t>
            </w:r>
          </w:p>
        </w:tc>
        <w:tc>
          <w:tcPr>
            <w:tcW w:w="2362" w:type="pct"/>
            <w:shd w:val="clear" w:color="auto" w:fill="D8D8D8" w:themeFill="background1" w:themeFillShade="D9"/>
          </w:tcPr>
          <w:p w14:paraId="6E42EEEB">
            <w:pPr>
              <w:pStyle w:val="60"/>
              <w:ind w:firstLine="422"/>
              <w:rPr>
                <w:rFonts w:cs="Times New Roman"/>
                <w:szCs w:val="21"/>
              </w:rPr>
            </w:pPr>
            <w:r>
              <w:rPr>
                <w:rStyle w:val="99"/>
                <w:rFonts w:hint="eastAsia" w:cs="Times New Roman"/>
                <w:b/>
                <w:szCs w:val="21"/>
              </w:rPr>
              <w:t>变更说明</w:t>
            </w:r>
          </w:p>
        </w:tc>
        <w:tc>
          <w:tcPr>
            <w:tcW w:w="1186" w:type="pct"/>
            <w:shd w:val="clear" w:color="auto" w:fill="D8D8D8" w:themeFill="background1" w:themeFillShade="D9"/>
          </w:tcPr>
          <w:p w14:paraId="04F18FB9">
            <w:pPr>
              <w:pStyle w:val="60"/>
              <w:ind w:firstLine="422"/>
              <w:rPr>
                <w:rFonts w:cs="Times New Roman"/>
                <w:szCs w:val="21"/>
              </w:rPr>
            </w:pPr>
            <w:r>
              <w:rPr>
                <w:rStyle w:val="99"/>
                <w:rFonts w:hint="eastAsia" w:cs="Times New Roman"/>
                <w:b/>
                <w:szCs w:val="21"/>
              </w:rPr>
              <w:t>简要理由</w:t>
            </w:r>
          </w:p>
        </w:tc>
      </w:tr>
      <w:tr w14:paraId="6E97A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548" w:type="pct"/>
          </w:tcPr>
          <w:p w14:paraId="1B4180C2">
            <w:pPr>
              <w:pStyle w:val="60"/>
              <w:ind w:firstLine="420"/>
              <w:rPr>
                <w:rFonts w:cs="Times New Roman"/>
                <w:szCs w:val="21"/>
              </w:rPr>
            </w:pPr>
            <w:r>
              <w:rPr>
                <w:rFonts w:cs="Times New Roman"/>
                <w:szCs w:val="21"/>
              </w:rPr>
              <w:t>V1.0</w:t>
            </w:r>
          </w:p>
        </w:tc>
        <w:tc>
          <w:tcPr>
            <w:tcW w:w="904" w:type="pct"/>
          </w:tcPr>
          <w:p w14:paraId="07006C21">
            <w:pPr>
              <w:pStyle w:val="60"/>
              <w:ind w:firstLine="0" w:firstLineChars="0"/>
              <w:jc w:val="center"/>
              <w:rPr>
                <w:rFonts w:cs="Times New Roman"/>
                <w:szCs w:val="21"/>
              </w:rPr>
            </w:pPr>
            <w:r>
              <w:rPr>
                <w:rFonts w:cs="Times New Roman"/>
                <w:szCs w:val="21"/>
              </w:rPr>
              <w:t>2025</w:t>
            </w:r>
            <w:r>
              <w:rPr>
                <w:rFonts w:hint="eastAsia" w:cs="Times New Roman"/>
                <w:szCs w:val="21"/>
              </w:rPr>
              <w:t>年</w:t>
            </w:r>
            <w:r>
              <w:rPr>
                <w:rFonts w:cs="Times New Roman"/>
                <w:szCs w:val="21"/>
              </w:rPr>
              <w:t>12月10日</w:t>
            </w:r>
          </w:p>
        </w:tc>
        <w:tc>
          <w:tcPr>
            <w:tcW w:w="2362" w:type="pct"/>
          </w:tcPr>
          <w:p w14:paraId="1F8BC667">
            <w:pPr>
              <w:pStyle w:val="60"/>
              <w:ind w:firstLine="420"/>
              <w:rPr>
                <w:rFonts w:cs="Times New Roman"/>
                <w:szCs w:val="21"/>
              </w:rPr>
            </w:pPr>
            <w:r>
              <w:rPr>
                <w:rFonts w:cs="Times New Roman"/>
                <w:szCs w:val="21"/>
              </w:rPr>
              <w:t>NA</w:t>
            </w:r>
          </w:p>
        </w:tc>
        <w:tc>
          <w:tcPr>
            <w:tcW w:w="1186" w:type="pct"/>
          </w:tcPr>
          <w:p w14:paraId="734E337C">
            <w:pPr>
              <w:pStyle w:val="60"/>
              <w:ind w:firstLine="420"/>
              <w:rPr>
                <w:rFonts w:cs="Times New Roman"/>
                <w:szCs w:val="21"/>
              </w:rPr>
            </w:pPr>
            <w:r>
              <w:rPr>
                <w:rFonts w:cs="Times New Roman"/>
                <w:szCs w:val="21"/>
              </w:rPr>
              <w:t>NA</w:t>
            </w:r>
          </w:p>
        </w:tc>
      </w:tr>
      <w:tr w14:paraId="25ED0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548" w:type="pct"/>
          </w:tcPr>
          <w:p w14:paraId="44B76F82">
            <w:pPr>
              <w:pStyle w:val="60"/>
              <w:ind w:firstLine="420"/>
              <w:rPr>
                <w:rFonts w:cs="Times New Roman"/>
                <w:szCs w:val="21"/>
              </w:rPr>
            </w:pPr>
          </w:p>
        </w:tc>
        <w:tc>
          <w:tcPr>
            <w:tcW w:w="904" w:type="pct"/>
          </w:tcPr>
          <w:p w14:paraId="380824A6">
            <w:pPr>
              <w:pStyle w:val="60"/>
              <w:ind w:firstLine="420"/>
              <w:rPr>
                <w:rFonts w:cs="Times New Roman"/>
                <w:szCs w:val="21"/>
              </w:rPr>
            </w:pPr>
          </w:p>
        </w:tc>
        <w:tc>
          <w:tcPr>
            <w:tcW w:w="2362" w:type="pct"/>
          </w:tcPr>
          <w:p w14:paraId="1FC37492">
            <w:pPr>
              <w:pStyle w:val="60"/>
              <w:ind w:firstLine="420"/>
              <w:rPr>
                <w:rFonts w:cs="Times New Roman"/>
                <w:szCs w:val="21"/>
              </w:rPr>
            </w:pPr>
          </w:p>
        </w:tc>
        <w:tc>
          <w:tcPr>
            <w:tcW w:w="1186" w:type="pct"/>
          </w:tcPr>
          <w:p w14:paraId="7D1F7629">
            <w:pPr>
              <w:pStyle w:val="60"/>
              <w:ind w:firstLine="420"/>
              <w:rPr>
                <w:rFonts w:cs="Times New Roman"/>
                <w:szCs w:val="21"/>
              </w:rPr>
            </w:pPr>
          </w:p>
        </w:tc>
      </w:tr>
      <w:tr w14:paraId="108D8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9" w:hRule="atLeast"/>
          <w:jc w:val="center"/>
        </w:trPr>
        <w:tc>
          <w:tcPr>
            <w:tcW w:w="548" w:type="pct"/>
          </w:tcPr>
          <w:p w14:paraId="09B3F9A6">
            <w:pPr>
              <w:pStyle w:val="60"/>
              <w:ind w:firstLine="420"/>
              <w:rPr>
                <w:rFonts w:cs="Times New Roman"/>
                <w:szCs w:val="21"/>
              </w:rPr>
            </w:pPr>
          </w:p>
        </w:tc>
        <w:tc>
          <w:tcPr>
            <w:tcW w:w="904" w:type="pct"/>
          </w:tcPr>
          <w:p w14:paraId="396AB5D6">
            <w:pPr>
              <w:pStyle w:val="60"/>
              <w:ind w:firstLine="420"/>
              <w:rPr>
                <w:rFonts w:cs="Times New Roman"/>
                <w:szCs w:val="21"/>
              </w:rPr>
            </w:pPr>
          </w:p>
        </w:tc>
        <w:tc>
          <w:tcPr>
            <w:tcW w:w="2362" w:type="pct"/>
          </w:tcPr>
          <w:p w14:paraId="51E20D28">
            <w:pPr>
              <w:pStyle w:val="60"/>
              <w:ind w:firstLine="420"/>
              <w:rPr>
                <w:rFonts w:cs="Times New Roman"/>
                <w:szCs w:val="21"/>
              </w:rPr>
            </w:pPr>
          </w:p>
        </w:tc>
        <w:tc>
          <w:tcPr>
            <w:tcW w:w="1186" w:type="pct"/>
          </w:tcPr>
          <w:p w14:paraId="39E6C8C4">
            <w:pPr>
              <w:pStyle w:val="60"/>
              <w:ind w:firstLine="420"/>
              <w:rPr>
                <w:rFonts w:cs="Times New Roman"/>
                <w:szCs w:val="21"/>
              </w:rPr>
            </w:pPr>
          </w:p>
        </w:tc>
      </w:tr>
      <w:tr w14:paraId="10755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548" w:type="pct"/>
          </w:tcPr>
          <w:p w14:paraId="258421A3">
            <w:pPr>
              <w:pStyle w:val="60"/>
              <w:ind w:firstLine="420"/>
              <w:rPr>
                <w:rFonts w:cs="Times New Roman"/>
                <w:szCs w:val="21"/>
              </w:rPr>
            </w:pPr>
          </w:p>
        </w:tc>
        <w:tc>
          <w:tcPr>
            <w:tcW w:w="904" w:type="pct"/>
          </w:tcPr>
          <w:p w14:paraId="0D096AA6">
            <w:pPr>
              <w:pStyle w:val="60"/>
              <w:ind w:firstLine="420"/>
              <w:rPr>
                <w:rFonts w:cs="Times New Roman"/>
                <w:szCs w:val="21"/>
              </w:rPr>
            </w:pPr>
          </w:p>
        </w:tc>
        <w:tc>
          <w:tcPr>
            <w:tcW w:w="2362" w:type="pct"/>
          </w:tcPr>
          <w:p w14:paraId="1A4AAEF5">
            <w:pPr>
              <w:pStyle w:val="60"/>
              <w:ind w:firstLine="420"/>
              <w:rPr>
                <w:rFonts w:cs="Times New Roman"/>
                <w:szCs w:val="21"/>
              </w:rPr>
            </w:pPr>
          </w:p>
        </w:tc>
        <w:tc>
          <w:tcPr>
            <w:tcW w:w="1186" w:type="pct"/>
          </w:tcPr>
          <w:p w14:paraId="47E419DD">
            <w:pPr>
              <w:pStyle w:val="60"/>
              <w:ind w:firstLine="420"/>
              <w:rPr>
                <w:rFonts w:cs="Times New Roman"/>
                <w:szCs w:val="21"/>
              </w:rPr>
            </w:pPr>
          </w:p>
        </w:tc>
      </w:tr>
      <w:tr w14:paraId="4092A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548" w:type="pct"/>
          </w:tcPr>
          <w:p w14:paraId="52F8DCB5">
            <w:pPr>
              <w:pStyle w:val="60"/>
              <w:ind w:firstLine="420"/>
              <w:rPr>
                <w:rFonts w:cs="Times New Roman"/>
                <w:szCs w:val="21"/>
              </w:rPr>
            </w:pPr>
          </w:p>
        </w:tc>
        <w:tc>
          <w:tcPr>
            <w:tcW w:w="904" w:type="pct"/>
          </w:tcPr>
          <w:p w14:paraId="37DA460F">
            <w:pPr>
              <w:pStyle w:val="60"/>
              <w:ind w:firstLine="420"/>
              <w:rPr>
                <w:rFonts w:cs="Times New Roman"/>
                <w:szCs w:val="21"/>
              </w:rPr>
            </w:pPr>
          </w:p>
        </w:tc>
        <w:tc>
          <w:tcPr>
            <w:tcW w:w="2362" w:type="pct"/>
          </w:tcPr>
          <w:p w14:paraId="2483275D">
            <w:pPr>
              <w:pStyle w:val="60"/>
              <w:ind w:firstLine="420"/>
              <w:rPr>
                <w:rFonts w:cs="Times New Roman"/>
                <w:szCs w:val="21"/>
              </w:rPr>
            </w:pPr>
          </w:p>
        </w:tc>
        <w:tc>
          <w:tcPr>
            <w:tcW w:w="1186" w:type="pct"/>
          </w:tcPr>
          <w:p w14:paraId="42E89555">
            <w:pPr>
              <w:pStyle w:val="60"/>
              <w:ind w:firstLine="420"/>
              <w:rPr>
                <w:rFonts w:cs="Times New Roman"/>
                <w:szCs w:val="21"/>
              </w:rPr>
            </w:pPr>
          </w:p>
        </w:tc>
      </w:tr>
      <w:tr w14:paraId="3753D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2" w:hRule="atLeast"/>
          <w:jc w:val="center"/>
        </w:trPr>
        <w:tc>
          <w:tcPr>
            <w:tcW w:w="548" w:type="pct"/>
          </w:tcPr>
          <w:p w14:paraId="67B9A068">
            <w:pPr>
              <w:pStyle w:val="60"/>
              <w:ind w:firstLine="420"/>
              <w:rPr>
                <w:rFonts w:cs="Times New Roman"/>
                <w:szCs w:val="21"/>
              </w:rPr>
            </w:pPr>
          </w:p>
        </w:tc>
        <w:tc>
          <w:tcPr>
            <w:tcW w:w="904" w:type="pct"/>
          </w:tcPr>
          <w:p w14:paraId="0C68A810">
            <w:pPr>
              <w:pStyle w:val="60"/>
              <w:ind w:firstLine="420"/>
              <w:rPr>
                <w:rFonts w:cs="Times New Roman"/>
                <w:szCs w:val="21"/>
              </w:rPr>
            </w:pPr>
          </w:p>
        </w:tc>
        <w:tc>
          <w:tcPr>
            <w:tcW w:w="2362" w:type="pct"/>
          </w:tcPr>
          <w:p w14:paraId="2C3CB3CB">
            <w:pPr>
              <w:pStyle w:val="60"/>
              <w:ind w:firstLine="420"/>
              <w:rPr>
                <w:rFonts w:cs="Times New Roman"/>
                <w:szCs w:val="21"/>
              </w:rPr>
            </w:pPr>
          </w:p>
        </w:tc>
        <w:tc>
          <w:tcPr>
            <w:tcW w:w="1186" w:type="pct"/>
          </w:tcPr>
          <w:p w14:paraId="01704126">
            <w:pPr>
              <w:pStyle w:val="60"/>
              <w:ind w:firstLine="420"/>
              <w:rPr>
                <w:rFonts w:cs="Times New Roman"/>
                <w:szCs w:val="21"/>
              </w:rPr>
            </w:pPr>
          </w:p>
        </w:tc>
      </w:tr>
      <w:tr w14:paraId="2F706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548" w:type="pct"/>
          </w:tcPr>
          <w:p w14:paraId="2D48ED03">
            <w:pPr>
              <w:pStyle w:val="60"/>
              <w:ind w:firstLine="420"/>
              <w:rPr>
                <w:rFonts w:cs="Times New Roman"/>
                <w:szCs w:val="21"/>
              </w:rPr>
            </w:pPr>
          </w:p>
        </w:tc>
        <w:tc>
          <w:tcPr>
            <w:tcW w:w="904" w:type="pct"/>
          </w:tcPr>
          <w:p w14:paraId="31745A9D">
            <w:pPr>
              <w:pStyle w:val="60"/>
              <w:ind w:firstLine="420"/>
              <w:rPr>
                <w:rFonts w:cs="Times New Roman"/>
                <w:szCs w:val="21"/>
              </w:rPr>
            </w:pPr>
          </w:p>
        </w:tc>
        <w:tc>
          <w:tcPr>
            <w:tcW w:w="2362" w:type="pct"/>
          </w:tcPr>
          <w:p w14:paraId="3E2FA4B9">
            <w:pPr>
              <w:pStyle w:val="60"/>
              <w:ind w:firstLine="420"/>
              <w:rPr>
                <w:rFonts w:cs="Times New Roman"/>
                <w:szCs w:val="21"/>
              </w:rPr>
            </w:pPr>
          </w:p>
        </w:tc>
        <w:tc>
          <w:tcPr>
            <w:tcW w:w="1186" w:type="pct"/>
          </w:tcPr>
          <w:p w14:paraId="6F35D3B0">
            <w:pPr>
              <w:pStyle w:val="60"/>
              <w:ind w:firstLine="420"/>
              <w:rPr>
                <w:rFonts w:cs="Times New Roman"/>
                <w:szCs w:val="21"/>
              </w:rPr>
            </w:pPr>
          </w:p>
        </w:tc>
      </w:tr>
    </w:tbl>
    <w:p w14:paraId="6141239E">
      <w:pPr>
        <w:jc w:val="both"/>
        <w:rPr>
          <w:rFonts w:ascii="Times New Roman" w:hAnsi="Times New Roman" w:cs="Times New Roman"/>
          <w:sz w:val="20"/>
        </w:rPr>
      </w:pPr>
    </w:p>
    <w:p w14:paraId="1203CEEE">
      <w:pPr>
        <w:rPr>
          <w:rFonts w:ascii="Times New Roman" w:hAnsi="Times New Roman" w:cs="Times New Roman"/>
        </w:rPr>
      </w:pPr>
      <w:r>
        <w:rPr>
          <w:rFonts w:ascii="Times New Roman" w:hAnsi="Times New Roman" w:cs="Times New Roman"/>
        </w:rPr>
        <w:br w:type="page"/>
      </w:r>
    </w:p>
    <w:p w14:paraId="54605D92">
      <w:pPr>
        <w:pStyle w:val="114"/>
        <w:numPr>
          <w:ilvl w:val="0"/>
          <w:numId w:val="12"/>
        </w:numPr>
        <w:jc w:val="left"/>
        <w:rPr>
          <w:rFonts w:cs="Times New Roman"/>
        </w:rPr>
      </w:pPr>
      <w:bookmarkStart w:id="432" w:name="_Toc217032364"/>
      <w:r>
        <w:rPr>
          <w:rFonts w:hint="eastAsia" w:cs="Times New Roman"/>
        </w:rPr>
        <w:t>参考文献</w:t>
      </w:r>
      <w:bookmarkEnd w:id="432"/>
    </w:p>
    <w:p w14:paraId="3913DAB1">
      <w:pPr>
        <w:numPr>
          <w:ilvl w:val="0"/>
          <w:numId w:val="62"/>
        </w:numPr>
        <w:spacing w:line="360" w:lineRule="auto"/>
        <w:jc w:val="both"/>
        <w:rPr>
          <w:rFonts w:ascii="Times New Roman" w:hAnsi="Times New Roman" w:eastAsia="宋体" w:cs="Times New Roman"/>
          <w:sz w:val="21"/>
          <w:szCs w:val="21"/>
        </w:rPr>
      </w:pPr>
      <w:r>
        <w:rPr>
          <w:rFonts w:hint="eastAsia" w:ascii="Times New Roman" w:hAnsi="Times New Roman" w:eastAsia="宋体" w:cs="Times New Roman"/>
          <w:sz w:val="21"/>
          <w:szCs w:val="21"/>
        </w:rPr>
        <w:t>中华医学会皮肤性病学分会银屑病专业委员会</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中国银屑病诊疗指南（</w:t>
      </w:r>
      <w:r>
        <w:rPr>
          <w:rFonts w:ascii="Times New Roman" w:hAnsi="Times New Roman" w:eastAsia="宋体" w:cs="Times New Roman"/>
          <w:sz w:val="21"/>
          <w:szCs w:val="21"/>
        </w:rPr>
        <w:t>2023</w:t>
      </w:r>
      <w:r>
        <w:rPr>
          <w:rFonts w:hint="eastAsia" w:ascii="Times New Roman" w:hAnsi="Times New Roman" w:eastAsia="宋体" w:cs="Times New Roman"/>
          <w:sz w:val="21"/>
          <w:szCs w:val="21"/>
        </w:rPr>
        <w:t>版）</w:t>
      </w:r>
      <w:r>
        <w:rPr>
          <w:rFonts w:ascii="Times New Roman" w:hAnsi="Times New Roman" w:eastAsia="宋体" w:cs="Times New Roman"/>
          <w:sz w:val="21"/>
          <w:szCs w:val="21"/>
        </w:rPr>
        <w:t xml:space="preserve">[J]. </w:t>
      </w:r>
      <w:r>
        <w:rPr>
          <w:rFonts w:hint="eastAsia" w:ascii="Times New Roman" w:hAnsi="Times New Roman" w:eastAsia="宋体" w:cs="Times New Roman"/>
          <w:sz w:val="21"/>
          <w:szCs w:val="21"/>
        </w:rPr>
        <w:t>中华皮肤科杂志</w:t>
      </w:r>
      <w:r>
        <w:rPr>
          <w:rFonts w:ascii="Times New Roman" w:hAnsi="Times New Roman" w:eastAsia="宋体" w:cs="Times New Roman"/>
          <w:sz w:val="21"/>
          <w:szCs w:val="21"/>
        </w:rPr>
        <w:t xml:space="preserve">, 2023,56(7):573-625. </w:t>
      </w:r>
    </w:p>
    <w:p w14:paraId="6E70D21E">
      <w:pPr>
        <w:numPr>
          <w:ilvl w:val="0"/>
          <w:numId w:val="62"/>
        </w:numPr>
        <w:spacing w:line="360" w:lineRule="auto"/>
        <w:jc w:val="both"/>
        <w:rPr>
          <w:rFonts w:ascii="Times New Roman" w:hAnsi="Times New Roman" w:eastAsia="宋体" w:cs="Times New Roman"/>
          <w:sz w:val="21"/>
          <w:szCs w:val="21"/>
        </w:rPr>
      </w:pPr>
      <w:r>
        <w:rPr>
          <w:rFonts w:hint="eastAsia" w:ascii="Times New Roman" w:hAnsi="Times New Roman" w:eastAsia="宋体" w:cs="Times New Roman"/>
          <w:sz w:val="21"/>
          <w:szCs w:val="21"/>
        </w:rPr>
        <w:t>黄丹</w:t>
      </w:r>
      <w:r>
        <w:rPr>
          <w:rFonts w:ascii="Times New Roman" w:hAnsi="Times New Roman" w:eastAsia="宋体" w:cs="Times New Roman"/>
          <w:sz w:val="21"/>
          <w:szCs w:val="21"/>
        </w:rPr>
        <w:t>,</w:t>
      </w:r>
      <w:r>
        <w:rPr>
          <w:rFonts w:hint="eastAsia" w:ascii="Times New Roman" w:hAnsi="Times New Roman" w:eastAsia="宋体" w:cs="Times New Roman"/>
          <w:sz w:val="21"/>
          <w:szCs w:val="21"/>
        </w:rPr>
        <w:t>陈崑</w:t>
      </w:r>
      <w:r>
        <w:rPr>
          <w:rFonts w:ascii="Times New Roman" w:hAnsi="Times New Roman" w:eastAsia="宋体" w:cs="Times New Roman"/>
          <w:sz w:val="21"/>
          <w:szCs w:val="21"/>
        </w:rPr>
        <w:t>.</w:t>
      </w:r>
      <w:r>
        <w:rPr>
          <w:rFonts w:hint="eastAsia" w:ascii="Times New Roman" w:hAnsi="Times New Roman" w:eastAsia="宋体" w:cs="Times New Roman"/>
          <w:sz w:val="21"/>
          <w:szCs w:val="21"/>
        </w:rPr>
        <w:t>银屑病相关流行病学调查进展</w:t>
      </w:r>
      <w:r>
        <w:rPr>
          <w:rFonts w:ascii="Times New Roman" w:hAnsi="Times New Roman" w:eastAsia="宋体" w:cs="Times New Roman"/>
          <w:sz w:val="21"/>
          <w:szCs w:val="21"/>
        </w:rPr>
        <w:t>[J].</w:t>
      </w:r>
      <w:r>
        <w:rPr>
          <w:rFonts w:hint="eastAsia" w:ascii="Times New Roman" w:hAnsi="Times New Roman" w:eastAsia="宋体" w:cs="Times New Roman"/>
          <w:sz w:val="21"/>
          <w:szCs w:val="21"/>
        </w:rPr>
        <w:t>诊断学理论与实践</w:t>
      </w:r>
      <w:r>
        <w:rPr>
          <w:rFonts w:ascii="Times New Roman" w:hAnsi="Times New Roman" w:eastAsia="宋体" w:cs="Times New Roman"/>
          <w:sz w:val="21"/>
          <w:szCs w:val="21"/>
        </w:rPr>
        <w:t xml:space="preserve">,2021,20(01):48-52. </w:t>
      </w:r>
    </w:p>
    <w:p w14:paraId="4F8CB851">
      <w:pPr>
        <w:numPr>
          <w:ilvl w:val="0"/>
          <w:numId w:val="62"/>
        </w:numPr>
        <w:spacing w:line="360" w:lineRule="auto"/>
        <w:jc w:val="both"/>
        <w:rPr>
          <w:rFonts w:ascii="Times New Roman" w:hAnsi="Times New Roman" w:eastAsia="宋体" w:cs="Times New Roman"/>
          <w:sz w:val="21"/>
          <w:szCs w:val="21"/>
        </w:rPr>
      </w:pPr>
      <w:r>
        <w:rPr>
          <w:rFonts w:hint="eastAsia" w:ascii="Times New Roman" w:hAnsi="Times New Roman" w:eastAsia="宋体" w:cs="Times New Roman"/>
          <w:sz w:val="21"/>
          <w:szCs w:val="21"/>
        </w:rPr>
        <w:t>李慧贤</w:t>
      </w:r>
      <w:r>
        <w:rPr>
          <w:rFonts w:ascii="Times New Roman" w:hAnsi="Times New Roman" w:eastAsia="宋体" w:cs="Times New Roman"/>
          <w:sz w:val="21"/>
          <w:szCs w:val="21"/>
        </w:rPr>
        <w:t>,</w:t>
      </w:r>
      <w:r>
        <w:rPr>
          <w:rFonts w:hint="eastAsia" w:ascii="Times New Roman" w:hAnsi="Times New Roman" w:eastAsia="宋体" w:cs="Times New Roman"/>
          <w:sz w:val="21"/>
          <w:szCs w:val="21"/>
        </w:rPr>
        <w:t>胡丽</w:t>
      </w:r>
      <w:r>
        <w:rPr>
          <w:rFonts w:ascii="Times New Roman" w:hAnsi="Times New Roman" w:eastAsia="宋体" w:cs="Times New Roman"/>
          <w:sz w:val="21"/>
          <w:szCs w:val="21"/>
        </w:rPr>
        <w:t>,</w:t>
      </w:r>
      <w:r>
        <w:rPr>
          <w:rFonts w:hint="eastAsia" w:ascii="Times New Roman" w:hAnsi="Times New Roman" w:eastAsia="宋体" w:cs="Times New Roman"/>
          <w:sz w:val="21"/>
          <w:szCs w:val="21"/>
        </w:rPr>
        <w:t>郑焱</w:t>
      </w:r>
      <w:r>
        <w:rPr>
          <w:rFonts w:ascii="Times New Roman" w:hAnsi="Times New Roman" w:eastAsia="宋体" w:cs="Times New Roman"/>
          <w:sz w:val="21"/>
          <w:szCs w:val="21"/>
        </w:rPr>
        <w:t>,</w:t>
      </w:r>
      <w:r>
        <w:rPr>
          <w:rFonts w:hint="eastAsia" w:ascii="Times New Roman" w:hAnsi="Times New Roman" w:eastAsia="宋体" w:cs="Times New Roman"/>
          <w:sz w:val="21"/>
          <w:szCs w:val="21"/>
        </w:rPr>
        <w:t>等</w:t>
      </w:r>
      <w:r>
        <w:rPr>
          <w:rFonts w:ascii="Times New Roman" w:hAnsi="Times New Roman" w:eastAsia="宋体" w:cs="Times New Roman"/>
          <w:sz w:val="21"/>
          <w:szCs w:val="21"/>
        </w:rPr>
        <w:t>.</w:t>
      </w:r>
      <w:r>
        <w:rPr>
          <w:rFonts w:hint="eastAsia" w:ascii="Times New Roman" w:hAnsi="Times New Roman" w:eastAsia="宋体" w:cs="Times New Roman"/>
          <w:sz w:val="21"/>
          <w:szCs w:val="21"/>
        </w:rPr>
        <w:t>基于全球疾病负担</w:t>
      </w:r>
      <w:r>
        <w:rPr>
          <w:rFonts w:ascii="Times New Roman" w:hAnsi="Times New Roman" w:eastAsia="宋体" w:cs="Times New Roman"/>
          <w:sz w:val="21"/>
          <w:szCs w:val="21"/>
        </w:rPr>
        <w:t>(GBD)</w:t>
      </w:r>
      <w:r>
        <w:rPr>
          <w:rFonts w:hint="eastAsia" w:ascii="Times New Roman" w:hAnsi="Times New Roman" w:eastAsia="宋体" w:cs="Times New Roman"/>
          <w:sz w:val="21"/>
          <w:szCs w:val="21"/>
        </w:rPr>
        <w:t>大数据的中国银屑病流行病学负担分析</w:t>
      </w:r>
      <w:r>
        <w:rPr>
          <w:rFonts w:ascii="Times New Roman" w:hAnsi="Times New Roman" w:eastAsia="宋体" w:cs="Times New Roman"/>
          <w:sz w:val="21"/>
          <w:szCs w:val="21"/>
        </w:rPr>
        <w:t>[J].</w:t>
      </w:r>
      <w:r>
        <w:rPr>
          <w:rFonts w:hint="eastAsia" w:ascii="Times New Roman" w:hAnsi="Times New Roman" w:eastAsia="宋体" w:cs="Times New Roman"/>
          <w:sz w:val="21"/>
          <w:szCs w:val="21"/>
        </w:rPr>
        <w:t>中国皮肤性病学杂志</w:t>
      </w:r>
      <w:r>
        <w:rPr>
          <w:rFonts w:ascii="Times New Roman" w:hAnsi="Times New Roman" w:eastAsia="宋体" w:cs="Times New Roman"/>
          <w:sz w:val="21"/>
          <w:szCs w:val="21"/>
        </w:rPr>
        <w:t xml:space="preserve">,2021,35(04):386-392. </w:t>
      </w:r>
    </w:p>
    <w:p w14:paraId="3129604E">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Griffiths CEM, Armstrong AW, Gudjonsson JE, et al. Psoriasis. The Lancet. 2021;397:1301</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15. </w:t>
      </w:r>
    </w:p>
    <w:p w14:paraId="4CAD4ECA">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Armstrong AW, Read C. Pathophysiology, Clinical Presentation, and Treatment of Psoriasis: A Review. JAMA. 2020;323:1945</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60. </w:t>
      </w:r>
    </w:p>
    <w:p w14:paraId="7EF3EA92">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lang w:val="sv-SE"/>
        </w:rPr>
        <w:t xml:space="preserve">Xin P, Xu X, Deng C, et al. </w:t>
      </w:r>
      <w:r>
        <w:rPr>
          <w:rFonts w:ascii="Times New Roman" w:hAnsi="Times New Roman" w:eastAsia="宋体" w:cs="Times New Roman"/>
          <w:sz w:val="21"/>
          <w:szCs w:val="21"/>
        </w:rPr>
        <w:t xml:space="preserve">The role of JAK/STAT signaling pathway and its inhibitors in diseases. Int Immunopharmacol. 2020 Mar;80:106210. </w:t>
      </w:r>
    </w:p>
    <w:p w14:paraId="6A3C06AB">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 xml:space="preserve"> Krueger JG, McInnes IB, Blauvelt A. Tyrosine kinase 2 and Janus kinase‒signal transducer and activator of transcription signaling and inhibition in plaque psoriasis. J Am Acad Dermatol. 2022;86:148–57. </w:t>
      </w:r>
    </w:p>
    <w:p w14:paraId="227E9296">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Deucravacitinib. FDA Multi-Discipline Review. 2022.</w:t>
      </w:r>
    </w:p>
    <w:p w14:paraId="456CE580">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 xml:space="preserve">Feldman SR, Krueger GG. Psoriasis assessment tools in clinical trials. Ann Rheum Dis. 2005;64 Suppl 2:ii65-8; discussion ii69-73. </w:t>
      </w:r>
    </w:p>
    <w:p w14:paraId="645BF6C2">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Bożek A, Reich A. The reliability of three psoriasis assessment tools: Psoriasis area and severity index, body surface area and physician global assessment. Adv Clin Exp Med. 2017;26:851</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6. </w:t>
      </w:r>
    </w:p>
    <w:p w14:paraId="5707E4C6">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 xml:space="preserve">Thomas CL, Finlay AY. The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handprint</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approximates to 1% of the total body surface area whereas the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palm minus the fingers</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does not. Br J Dermatol. 2007;157:1080</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1. </w:t>
      </w:r>
    </w:p>
    <w:p w14:paraId="17863311">
      <w:pPr>
        <w:numPr>
          <w:ilvl w:val="0"/>
          <w:numId w:val="62"/>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Finlay AY, Khan GK. Dermatology Life Quality Index (DLQI)--a simple practical measure for routine clinical use. Clin Exp Dermatol. 1994;19:210</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6. </w:t>
      </w:r>
    </w:p>
    <w:p w14:paraId="2A0625D6">
      <w:pPr>
        <w:numPr>
          <w:ilvl w:val="0"/>
          <w:numId w:val="62"/>
        </w:numPr>
        <w:spacing w:line="360" w:lineRule="auto"/>
        <w:jc w:val="both"/>
        <w:rPr>
          <w:rFonts w:ascii="Times New Roman" w:hAnsi="Times New Roman" w:eastAsia="宋体" w:cs="Times New Roman"/>
          <w:sz w:val="21"/>
          <w:szCs w:val="21"/>
        </w:rPr>
        <w:sectPr>
          <w:headerReference r:id="rId6" w:type="default"/>
          <w:pgSz w:w="11906" w:h="16838"/>
          <w:pgMar w:top="1440" w:right="1440" w:bottom="1440" w:left="1440" w:header="720" w:footer="720" w:gutter="0"/>
          <w:cols w:space="425" w:num="1"/>
          <w:docGrid w:type="lines" w:linePitch="312" w:charSpace="0"/>
        </w:sectPr>
      </w:pPr>
      <w:r>
        <w:rPr>
          <w:rFonts w:hint="eastAsia" w:ascii="Times New Roman" w:hAnsi="Times New Roman" w:eastAsia="宋体" w:cs="Times New Roman"/>
          <w:sz w:val="21"/>
          <w:szCs w:val="21"/>
        </w:rPr>
        <w:t>国家药品监督管理局</w:t>
      </w:r>
      <w:r>
        <w:rPr>
          <w:rFonts w:ascii="Times New Roman" w:hAnsi="Times New Roman" w:eastAsia="宋体" w:cs="Times New Roman"/>
          <w:sz w:val="21"/>
          <w:szCs w:val="21"/>
        </w:rPr>
        <w:t>.</w:t>
      </w:r>
      <w:r>
        <w:rPr>
          <w:rFonts w:hint="eastAsia" w:ascii="Times New Roman" w:hAnsi="Times New Roman" w:eastAsia="宋体" w:cs="Times New Roman"/>
          <w:sz w:val="21"/>
          <w:szCs w:val="21"/>
        </w:rPr>
        <w:t>药品注册管理办法</w:t>
      </w:r>
      <w:r>
        <w:rPr>
          <w:rFonts w:ascii="Times New Roman" w:hAnsi="Times New Roman" w:eastAsia="宋体" w:cs="Times New Roman"/>
          <w:sz w:val="21"/>
          <w:szCs w:val="21"/>
        </w:rPr>
        <w:t>.2020.</w:t>
      </w:r>
    </w:p>
    <w:p w14:paraId="5D223B65">
      <w:pPr>
        <w:pStyle w:val="60"/>
        <w:ind w:firstLine="420"/>
        <w:rPr>
          <w:rFonts w:cs="Times New Roman"/>
        </w:rPr>
      </w:pPr>
    </w:p>
    <w:p w14:paraId="68B742C2">
      <w:pPr>
        <w:pStyle w:val="114"/>
        <w:numPr>
          <w:ilvl w:val="0"/>
          <w:numId w:val="12"/>
        </w:numPr>
        <w:jc w:val="left"/>
        <w:rPr>
          <w:rFonts w:cs="Times New Roman"/>
        </w:rPr>
      </w:pPr>
      <w:bookmarkStart w:id="433" w:name="_Toc217032365"/>
      <w:r>
        <w:rPr>
          <w:rFonts w:hint="eastAsia" w:cs="Times New Roman"/>
        </w:rPr>
        <w:t>附录</w:t>
      </w:r>
      <w:bookmarkEnd w:id="433"/>
    </w:p>
    <w:p w14:paraId="1030B0AC">
      <w:pPr>
        <w:pStyle w:val="60"/>
        <w:ind w:firstLine="0" w:firstLineChars="0"/>
        <w:rPr>
          <w:rStyle w:val="99"/>
          <w:rFonts w:cs="Times New Roman"/>
          <w:b/>
          <w:bCs/>
          <w:sz w:val="24"/>
          <w:szCs w:val="24"/>
        </w:rPr>
      </w:pPr>
      <w:r>
        <w:rPr>
          <w:rStyle w:val="99"/>
          <w:rFonts w:hint="eastAsia" w:cs="Times New Roman"/>
          <w:b/>
          <w:bCs/>
          <w:sz w:val="24"/>
          <w:szCs w:val="24"/>
        </w:rPr>
        <w:t>附录</w:t>
      </w:r>
      <w:r>
        <w:rPr>
          <w:rStyle w:val="99"/>
          <w:rFonts w:cs="Times New Roman"/>
          <w:b/>
          <w:bCs/>
          <w:sz w:val="24"/>
          <w:szCs w:val="24"/>
        </w:rPr>
        <w:t xml:space="preserve">1 </w:t>
      </w:r>
      <w:r>
        <w:rPr>
          <w:rStyle w:val="99"/>
          <w:rFonts w:hint="eastAsia" w:cs="Times New Roman"/>
          <w:b/>
          <w:bCs/>
          <w:sz w:val="24"/>
          <w:szCs w:val="24"/>
        </w:rPr>
        <w:t>避孕的规定与方法</w:t>
      </w:r>
    </w:p>
    <w:p w14:paraId="4EA00814">
      <w:pPr>
        <w:numPr>
          <w:ilvl w:val="0"/>
          <w:numId w:val="63"/>
        </w:num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有生育能力女性的定义</w:t>
      </w:r>
    </w:p>
    <w:p w14:paraId="7E3C7E47">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女性在月经初潮后至绝经前被认为是有生育能力的。</w:t>
      </w:r>
    </w:p>
    <w:p w14:paraId="78D663C6">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具有以下情况的女性不被视为有生育能力：</w:t>
      </w:r>
    </w:p>
    <w:p w14:paraId="54A9CCA9">
      <w:pPr>
        <w:pStyle w:val="97"/>
        <w:numPr>
          <w:ilvl w:val="0"/>
          <w:numId w:val="64"/>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尚未经历月经初潮</w:t>
      </w:r>
    </w:p>
    <w:p w14:paraId="5438F933">
      <w:pPr>
        <w:pStyle w:val="97"/>
        <w:numPr>
          <w:ilvl w:val="0"/>
          <w:numId w:val="64"/>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满足以下任一项的绝经前女性：</w:t>
      </w:r>
    </w:p>
    <w:p w14:paraId="7A3E15BC">
      <w:pPr>
        <w:pStyle w:val="97"/>
        <w:numPr>
          <w:ilvl w:val="0"/>
          <w:numId w:val="65"/>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子宫切除术史</w:t>
      </w:r>
    </w:p>
    <w:p w14:paraId="389F18C1">
      <w:pPr>
        <w:pStyle w:val="97"/>
        <w:numPr>
          <w:ilvl w:val="0"/>
          <w:numId w:val="65"/>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双侧输卵管切除术史</w:t>
      </w:r>
    </w:p>
    <w:p w14:paraId="7EA382B3">
      <w:pPr>
        <w:pStyle w:val="97"/>
        <w:numPr>
          <w:ilvl w:val="0"/>
          <w:numId w:val="65"/>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双侧卵巢切除术史</w:t>
      </w:r>
    </w:p>
    <w:p w14:paraId="69924F1A">
      <w:pPr>
        <w:spacing w:line="360" w:lineRule="auto"/>
        <w:ind w:firstLine="422" w:firstLineChars="200"/>
        <w:jc w:val="both"/>
        <w:rPr>
          <w:rFonts w:ascii="Times New Roman" w:hAnsi="Times New Roman" w:eastAsia="宋体" w:cs="Times New Roman"/>
          <w:sz w:val="21"/>
          <w:szCs w:val="21"/>
        </w:rPr>
      </w:pPr>
      <w:r>
        <w:rPr>
          <w:rFonts w:ascii="Times New Roman" w:hAnsi="Times New Roman" w:eastAsia="宋体" w:cs="Times New Roman"/>
          <w:b/>
          <w:bCs/>
          <w:sz w:val="21"/>
          <w:szCs w:val="21"/>
        </w:rPr>
        <w:t>注：</w:t>
      </w:r>
      <w:r>
        <w:rPr>
          <w:rFonts w:ascii="Times New Roman" w:hAnsi="Times New Roman" w:eastAsia="宋体" w:cs="Times New Roman"/>
          <w:sz w:val="21"/>
          <w:szCs w:val="21"/>
        </w:rPr>
        <w:t>通过参与者病历核查或医学检查或病史询问进行确认。</w:t>
      </w:r>
    </w:p>
    <w:p w14:paraId="537B661E">
      <w:pPr>
        <w:pStyle w:val="97"/>
        <w:numPr>
          <w:ilvl w:val="0"/>
          <w:numId w:val="64"/>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绝经后女性</w:t>
      </w:r>
    </w:p>
    <w:p w14:paraId="3F97E1F4">
      <w:pPr>
        <w:pStyle w:val="97"/>
        <w:numPr>
          <w:ilvl w:val="0"/>
          <w:numId w:val="66"/>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女性连续停经12个月，并排除妊娠及其他可能导致闭经的医疗原因后，即可临床诊断为绝经。</w:t>
      </w:r>
    </w:p>
    <w:p w14:paraId="59B24B3D">
      <w:pPr>
        <w:spacing w:line="360" w:lineRule="auto"/>
        <w:jc w:val="both"/>
        <w:rPr>
          <w:rFonts w:ascii="Times New Roman" w:hAnsi="Times New Roman" w:eastAsia="宋体" w:cs="Times New Roman"/>
          <w:b/>
          <w:bCs/>
          <w:sz w:val="21"/>
          <w:szCs w:val="21"/>
        </w:rPr>
      </w:pPr>
      <w:r>
        <w:rPr>
          <w:rFonts w:ascii="Times New Roman" w:hAnsi="Times New Roman" w:eastAsia="宋体" w:cs="Times New Roman"/>
          <w:b/>
          <w:bCs/>
          <w:sz w:val="21"/>
          <w:szCs w:val="21"/>
        </w:rPr>
        <w:t>2.有生育能力女性参与者的避孕规定与方法</w:t>
      </w:r>
    </w:p>
    <w:p w14:paraId="48E41C1E">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在筛选时血妊娠试验阴性后，必须开始采取适当的避孕措施。</w:t>
      </w:r>
    </w:p>
    <w:p w14:paraId="79277CA7">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从签署知情同意书之日开始至研究药物末次给药后3个月为止，期间参与者必须同意持续和正确地使用一种高效或可接受的避孕方法进行避孕（禁止使用激素类避孕）。研究者或指定人员应与参与者讨论，确认参与者已从允许的避孕方法中选择了最适合其避孕的方法（下述），并确认参与者已知晓研究期间需持续并正确地使用该方法。</w:t>
      </w:r>
    </w:p>
    <w:p w14:paraId="3C5C007C">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在研究流程中计划的访视点，研究者或指定人员将告知参与者需要持续使用高效或可接受的避孕方法，并在参与者病历中记录与之的对话和参与者的同意（参与者需要确认她同意将持续并正确使用至少1种选定的避孕方法）。此外，还应告知参与者，如果她已停用所选的避孕方法，或，已知或怀疑怀孕，需立即打电话给研究者或指定人员。</w:t>
      </w:r>
    </w:p>
    <w:p w14:paraId="413271DD">
      <w:pPr>
        <w:spacing w:line="360" w:lineRule="auto"/>
        <w:ind w:firstLine="422" w:firstLineChars="200"/>
        <w:jc w:val="both"/>
        <w:rPr>
          <w:rFonts w:ascii="Times New Roman" w:hAnsi="Times New Roman" w:eastAsia="宋体" w:cs="Times New Roman"/>
          <w:sz w:val="21"/>
          <w:szCs w:val="21"/>
        </w:rPr>
      </w:pPr>
      <w:r>
        <w:rPr>
          <w:rFonts w:ascii="Times New Roman" w:hAnsi="Times New Roman" w:eastAsia="宋体" w:cs="Times New Roman"/>
          <w:b/>
          <w:bCs/>
          <w:sz w:val="21"/>
          <w:szCs w:val="21"/>
          <w:u w:val="single"/>
        </w:rPr>
        <w:t>高效的避孕方法</w:t>
      </w:r>
      <w:r>
        <w:rPr>
          <w:rFonts w:ascii="Times New Roman" w:hAnsi="Times New Roman" w:eastAsia="宋体" w:cs="Times New Roman"/>
          <w:sz w:val="21"/>
          <w:szCs w:val="21"/>
        </w:rPr>
        <w:t>是指持续和正确地使用时，年失败率低于1%的避孕方法。包括：</w:t>
      </w:r>
    </w:p>
    <w:p w14:paraId="468ED62E">
      <w:pPr>
        <w:pStyle w:val="97"/>
        <w:numPr>
          <w:ilvl w:val="0"/>
          <w:numId w:val="67"/>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正确放置含铜的宫内节育器（Intrauterine-device</w:t>
      </w:r>
      <w:r>
        <w:rPr>
          <w:rFonts w:hint="eastAsia" w:ascii="Times New Roman" w:hAnsi="Times New Roman" w:eastAsia="宋体" w:cs="Times New Roman"/>
          <w:sz w:val="21"/>
          <w:szCs w:val="21"/>
        </w:rPr>
        <w:t>，</w:t>
      </w:r>
      <w:r>
        <w:rPr>
          <w:rFonts w:ascii="Times New Roman" w:hAnsi="Times New Roman" w:eastAsia="宋体" w:cs="Times New Roman"/>
          <w:sz w:val="21"/>
          <w:szCs w:val="21"/>
        </w:rPr>
        <w:t>IUD）</w:t>
      </w:r>
    </w:p>
    <w:p w14:paraId="6D1C0119">
      <w:pPr>
        <w:pStyle w:val="97"/>
        <w:numPr>
          <w:ilvl w:val="0"/>
          <w:numId w:val="67"/>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男性伴侣绝育</w:t>
      </w:r>
    </w:p>
    <w:p w14:paraId="6FB8C484">
      <w:pPr>
        <w:pStyle w:val="97"/>
        <w:numPr>
          <w:ilvl w:val="0"/>
          <w:numId w:val="67"/>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双侧输卵管结扎/双侧输卵管切除术/双侧输卵管闭塞术</w:t>
      </w:r>
    </w:p>
    <w:p w14:paraId="685244DA">
      <w:pPr>
        <w:pStyle w:val="97"/>
        <w:numPr>
          <w:ilvl w:val="0"/>
          <w:numId w:val="67"/>
        </w:num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禁欲。禁欲定义为完全和持续地避免所有的异性性交。禁欲的可靠性需要根据研究的持续时间以及参与者的首选和平常的生活方式进行评估</w:t>
      </w:r>
    </w:p>
    <w:p w14:paraId="242B2AB6">
      <w:pPr>
        <w:spacing w:line="360" w:lineRule="auto"/>
        <w:ind w:firstLine="422" w:firstLineChars="200"/>
        <w:jc w:val="both"/>
        <w:rPr>
          <w:rFonts w:ascii="Times New Roman" w:hAnsi="Times New Roman" w:eastAsia="宋体" w:cs="Times New Roman"/>
          <w:sz w:val="21"/>
          <w:szCs w:val="21"/>
        </w:rPr>
      </w:pPr>
      <w:r>
        <w:rPr>
          <w:rFonts w:ascii="Times New Roman" w:hAnsi="Times New Roman" w:eastAsia="宋体" w:cs="Times New Roman"/>
          <w:b/>
          <w:bCs/>
          <w:sz w:val="21"/>
          <w:szCs w:val="21"/>
          <w:u w:val="single"/>
        </w:rPr>
        <w:t>可接受的避孕方法</w:t>
      </w:r>
      <w:r>
        <w:rPr>
          <w:rFonts w:ascii="Times New Roman" w:hAnsi="Times New Roman" w:eastAsia="宋体" w:cs="Times New Roman"/>
          <w:sz w:val="21"/>
          <w:szCs w:val="21"/>
        </w:rPr>
        <w:t>：含杀精剂的男用避孕套或女用避孕套。男用避孕套和女用避孕套不能同时使用（存在因摩擦失效的风险）。采用可接受的避孕方法时，建议参与者在末次给药结束后每隔一个月经周期进行妊娠检查。对于月经延迟者，强烈建议进行妊娠检查以确认是否怀孕，此建议也适用于月经周期较长或不规律的参与者。</w:t>
      </w:r>
    </w:p>
    <w:p w14:paraId="32C1F556">
      <w:pPr>
        <w:spacing w:line="360" w:lineRule="auto"/>
        <w:ind w:firstLine="422" w:firstLineChars="200"/>
        <w:jc w:val="both"/>
        <w:rPr>
          <w:rFonts w:ascii="Times New Roman" w:hAnsi="Times New Roman" w:eastAsia="宋体" w:cs="Times New Roman"/>
          <w:sz w:val="21"/>
          <w:szCs w:val="21"/>
        </w:rPr>
      </w:pPr>
      <w:r>
        <w:rPr>
          <w:rFonts w:ascii="Times New Roman" w:hAnsi="Times New Roman" w:eastAsia="宋体" w:cs="Times New Roman"/>
          <w:b/>
          <w:bCs/>
          <w:sz w:val="21"/>
          <w:szCs w:val="21"/>
          <w:u w:val="single"/>
        </w:rPr>
        <w:t>不可接受的避孕方法</w:t>
      </w:r>
      <w:r>
        <w:rPr>
          <w:rFonts w:ascii="Times New Roman" w:hAnsi="Times New Roman" w:eastAsia="宋体" w:cs="Times New Roman"/>
          <w:sz w:val="21"/>
          <w:szCs w:val="21"/>
        </w:rPr>
        <w:t>：评价参与者的避孕首选，以及跟日常生活方式相关的禁欲的可靠性。定期禁欲（如推算日历法、排卵期法、症状体温避孕法或排卵后安全期避孕法）、男性或女性用避孕套（无杀精剂）、杀精海绵等，以及性交中断（或体外射精）都是本研究不可接受的避孕方法。</w:t>
      </w:r>
    </w:p>
    <w:p w14:paraId="2C5EAF43">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研究者应询问参与者的病史、月经史和最近的性行为，以降低纳入早期未被发现怀孕的女性的风险。</w:t>
      </w:r>
    </w:p>
    <w:p w14:paraId="6403A7FF">
      <w:pPr>
        <w:spacing w:line="360" w:lineRule="auto"/>
        <w:jc w:val="both"/>
        <w:rPr>
          <w:rFonts w:ascii="Times New Roman" w:hAnsi="Times New Roman" w:eastAsia="宋体" w:cs="Times New Roman"/>
          <w:b/>
          <w:bCs/>
          <w:sz w:val="21"/>
          <w:szCs w:val="21"/>
        </w:rPr>
      </w:pPr>
      <w:r>
        <w:rPr>
          <w:rFonts w:ascii="Times New Roman" w:hAnsi="Times New Roman" w:eastAsia="宋体" w:cs="Times New Roman"/>
          <w:b/>
          <w:bCs/>
          <w:sz w:val="21"/>
          <w:szCs w:val="21"/>
        </w:rPr>
        <w:t>3.有生育能力男性参与者的避孕规定</w:t>
      </w:r>
    </w:p>
    <w:p w14:paraId="71A9B284">
      <w:pPr>
        <w:spacing w:line="360" w:lineRule="auto"/>
        <w:ind w:firstLine="420" w:firstLineChars="200"/>
        <w:jc w:val="both"/>
        <w:rPr>
          <w:rFonts w:ascii="Times New Roman" w:hAnsi="Times New Roman" w:eastAsia="宋体" w:cs="Times New Roman"/>
          <w:sz w:val="21"/>
          <w:szCs w:val="21"/>
        </w:rPr>
      </w:pPr>
      <w:r>
        <w:rPr>
          <w:rFonts w:ascii="Times New Roman" w:hAnsi="Times New Roman" w:eastAsia="宋体" w:cs="Times New Roman"/>
          <w:sz w:val="21"/>
          <w:szCs w:val="21"/>
        </w:rPr>
        <w:t>所有经研究者认定有生育能力的男性参与者，自签署知情同意书之日开始至研究药物末次给药后3个月为止，期间必须同意以下关于避孕的规定：</w:t>
      </w:r>
    </w:p>
    <w:p w14:paraId="52710809">
      <w:pPr>
        <w:pStyle w:val="97"/>
        <w:numPr>
          <w:ilvl w:val="0"/>
          <w:numId w:val="68"/>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告知其女性伴侣，其本人正在参加药物临床试验，且需遵守研究中的避孕相关规定</w:t>
      </w:r>
    </w:p>
    <w:p w14:paraId="719FDBBE">
      <w:pPr>
        <w:pStyle w:val="97"/>
        <w:numPr>
          <w:ilvl w:val="0"/>
          <w:numId w:val="68"/>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男性参与者需使用避孕套，有单独的杀精产品（即泡沫、凝胶、薄膜、乳膏或栓剂）。男用和女用避孕套不能同时使用（存在因摩擦失效的风险）</w:t>
      </w:r>
    </w:p>
    <w:p w14:paraId="4F94510A">
      <w:pPr>
        <w:pStyle w:val="97"/>
        <w:numPr>
          <w:ilvl w:val="0"/>
          <w:numId w:val="68"/>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男性参与者的女性伴侣可考虑使用高效的避孕方法</w:t>
      </w:r>
    </w:p>
    <w:p w14:paraId="6C33C30E">
      <w:pPr>
        <w:pStyle w:val="97"/>
        <w:numPr>
          <w:ilvl w:val="0"/>
          <w:numId w:val="68"/>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禁欲。禁欲定义为完全和持续地避免所有的异性性交。禁欲的可靠性需要根据研究的持续时间以及参与者的首选和平常的生活方式进行评估。</w:t>
      </w:r>
    </w:p>
    <w:p w14:paraId="4265B4E6">
      <w:pPr>
        <w:pStyle w:val="97"/>
        <w:numPr>
          <w:ilvl w:val="0"/>
          <w:numId w:val="68"/>
        </w:numPr>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w:t>男性参与者的伴侣处于妊娠期或哺乳期的，尽量保持禁欲，如发生性交，男性参与者应使用避孕套</w:t>
      </w:r>
      <w:r>
        <w:rPr>
          <w:rFonts w:hint="eastAsia" w:ascii="Times New Roman" w:hAnsi="Times New Roman" w:eastAsia="宋体" w:cs="Times New Roman"/>
          <w:sz w:val="21"/>
          <w:szCs w:val="21"/>
        </w:rPr>
        <w:t>。</w:t>
      </w:r>
      <w:r>
        <w:rPr>
          <w:rFonts w:ascii="Times New Roman" w:hAnsi="Times New Roman" w:eastAsia="宋体" w:cs="Times New Roman"/>
          <w:sz w:val="21"/>
          <w:szCs w:val="21"/>
        </w:rPr>
        <w:br w:type="textWrapping"/>
      </w:r>
    </w:p>
    <w:p w14:paraId="672AA9BD">
      <w:pPr>
        <w:rPr>
          <w:rFonts w:ascii="Times New Roman" w:hAnsi="Times New Roman" w:eastAsia="宋体" w:cs="Times New Roman"/>
          <w:sz w:val="21"/>
          <w:szCs w:val="21"/>
        </w:rPr>
      </w:pPr>
      <w:r>
        <w:rPr>
          <w:rFonts w:ascii="Times New Roman" w:hAnsi="Times New Roman" w:eastAsia="宋体" w:cs="Times New Roman"/>
          <w:sz w:val="21"/>
          <w:szCs w:val="21"/>
        </w:rPr>
        <w:br w:type="page"/>
      </w:r>
    </w:p>
    <w:p w14:paraId="7BCBC7BB">
      <w:pPr>
        <w:pStyle w:val="60"/>
        <w:ind w:firstLine="0" w:firstLineChars="0"/>
        <w:rPr>
          <w:rFonts w:cs="Times New Roman"/>
          <w:b/>
          <w:bCs/>
          <w:sz w:val="24"/>
          <w:szCs w:val="24"/>
        </w:rPr>
      </w:pPr>
      <w:r>
        <w:rPr>
          <w:rStyle w:val="99"/>
          <w:rFonts w:hint="eastAsia" w:cs="Times New Roman"/>
          <w:b/>
          <w:bCs/>
          <w:sz w:val="24"/>
          <w:szCs w:val="24"/>
        </w:rPr>
        <w:t>附录</w:t>
      </w:r>
      <w:r>
        <w:rPr>
          <w:rStyle w:val="99"/>
          <w:rFonts w:cs="Times New Roman"/>
          <w:b/>
          <w:bCs/>
          <w:sz w:val="24"/>
          <w:szCs w:val="24"/>
        </w:rPr>
        <w:t xml:space="preserve">2 </w:t>
      </w:r>
      <w:r>
        <w:rPr>
          <w:rFonts w:cs="Times New Roman"/>
          <w:b/>
          <w:bCs/>
          <w:sz w:val="24"/>
          <w:szCs w:val="24"/>
        </w:rPr>
        <w:t xml:space="preserve"> eGFR的计算公式</w:t>
      </w:r>
    </w:p>
    <w:p w14:paraId="2551332B">
      <w:pPr>
        <w:topLinePunct/>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CKD-EPIscr公式（2021版）：</w:t>
      </w:r>
    </w:p>
    <w:p w14:paraId="5164195A">
      <w:pPr>
        <w:topLinePunct/>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eGFR</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 142 × min(S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/κ, 1)</w:t>
      </w:r>
      <w:r>
        <w:rPr>
          <w:rFonts w:ascii="Times New Roman" w:hAnsi="Times New Roman" w:eastAsia="宋体" w:cs="Times New Roman"/>
          <w:sz w:val="21"/>
          <w:szCs w:val="21"/>
          <w:vertAlign w:val="superscript"/>
        </w:rPr>
        <w:t>α</w:t>
      </w:r>
      <w:r>
        <w:rPr>
          <w:rFonts w:ascii="Times New Roman" w:hAnsi="Times New Roman" w:eastAsia="宋体" w:cs="Times New Roman"/>
          <w:sz w:val="21"/>
          <w:szCs w:val="21"/>
        </w:rPr>
        <w:t>× max(S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/κ, 1)</w:t>
      </w:r>
      <w:r>
        <w:rPr>
          <w:rFonts w:ascii="Times New Roman" w:hAnsi="Times New Roman" w:eastAsia="宋体" w:cs="Times New Roman"/>
          <w:sz w:val="21"/>
          <w:szCs w:val="21"/>
          <w:vertAlign w:val="superscript"/>
        </w:rPr>
        <w:t>-1.200</w:t>
      </w:r>
      <w:r>
        <w:rPr>
          <w:rFonts w:ascii="Times New Roman" w:hAnsi="Times New Roman" w:eastAsia="宋体" w:cs="Times New Roman"/>
          <w:sz w:val="21"/>
          <w:szCs w:val="21"/>
        </w:rPr>
        <w:t>× 0.9938</w:t>
      </w:r>
      <w:r>
        <w:rPr>
          <w:rFonts w:ascii="Times New Roman" w:hAnsi="Times New Roman" w:eastAsia="宋体" w:cs="Times New Roman"/>
          <w:sz w:val="21"/>
          <w:szCs w:val="21"/>
          <w:vertAlign w:val="superscript"/>
        </w:rPr>
        <w:t>年龄</w:t>
      </w:r>
      <w:r>
        <w:rPr>
          <w:rFonts w:ascii="Times New Roman" w:hAnsi="Times New Roman" w:eastAsia="宋体" w:cs="Times New Roman"/>
          <w:sz w:val="21"/>
          <w:szCs w:val="21"/>
        </w:rPr>
        <w:t>× 1.012 [如为女性]</w:t>
      </w:r>
    </w:p>
    <w:p w14:paraId="5739E55B">
      <w:pPr>
        <w:topLinePunct/>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：血肌酐值，单位为 mg/dL</w:t>
      </w:r>
    </w:p>
    <w:p w14:paraId="140F90D9">
      <w:pPr>
        <w:topLinePunct/>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κ：女性为 0.7，男性为 0.9</w:t>
      </w:r>
    </w:p>
    <w:p w14:paraId="425190BC">
      <w:pPr>
        <w:topLinePunct/>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α：女性为 -0.241，男性为 -0.302</w:t>
      </w:r>
    </w:p>
    <w:p w14:paraId="2428C3C0">
      <w:pPr>
        <w:topLinePunct/>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min(S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/κ, 1)：S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/κ</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1.0</w:t>
      </w:r>
      <w:r>
        <w:rPr>
          <w:rFonts w:hint="eastAsia" w:ascii="Times New Roman" w:hAnsi="Times New Roman" w:eastAsia="宋体" w:cs="Times New Roman"/>
          <w:sz w:val="21"/>
          <w:szCs w:val="21"/>
        </w:rPr>
        <w:t>中的最小值</w:t>
      </w:r>
    </w:p>
    <w:p w14:paraId="05C26B1C">
      <w:pPr>
        <w:rPr>
          <w:rFonts w:ascii="Times New Roman" w:hAnsi="Times New Roman" w:eastAsia="宋体" w:cs="Times New Roman"/>
          <w:sz w:val="21"/>
          <w:szCs w:val="21"/>
        </w:rPr>
      </w:pPr>
      <w:r>
        <w:rPr>
          <w:rFonts w:ascii="Times New Roman" w:hAnsi="Times New Roman" w:eastAsia="宋体" w:cs="Times New Roman"/>
          <w:sz w:val="21"/>
          <w:szCs w:val="21"/>
        </w:rPr>
        <w:t>max(S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/κ, 1)：S</w:t>
      </w:r>
      <w:r>
        <w:rPr>
          <w:rFonts w:ascii="Times New Roman" w:hAnsi="Times New Roman" w:eastAsia="宋体" w:cs="Times New Roman"/>
          <w:sz w:val="21"/>
          <w:szCs w:val="21"/>
          <w:vertAlign w:val="subscript"/>
        </w:rPr>
        <w:t>cr</w:t>
      </w:r>
      <w:r>
        <w:rPr>
          <w:rFonts w:ascii="Times New Roman" w:hAnsi="Times New Roman" w:eastAsia="宋体" w:cs="Times New Roman"/>
          <w:sz w:val="21"/>
          <w:szCs w:val="21"/>
        </w:rPr>
        <w:t>/κ</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1.0</w:t>
      </w:r>
      <w:r>
        <w:rPr>
          <w:rFonts w:hint="eastAsia" w:ascii="Times New Roman" w:hAnsi="Times New Roman" w:eastAsia="宋体" w:cs="Times New Roman"/>
          <w:sz w:val="21"/>
          <w:szCs w:val="21"/>
        </w:rPr>
        <w:t>中的最大值</w:t>
      </w:r>
    </w:p>
    <w:p w14:paraId="72306F72">
      <w:pPr>
        <w:rPr>
          <w:rFonts w:ascii="Times New Roman" w:hAnsi="Times New Roman" w:eastAsia="宋体" w:cs="Times New Roman"/>
          <w:sz w:val="21"/>
          <w:szCs w:val="21"/>
        </w:rPr>
      </w:pPr>
      <w:r>
        <w:rPr>
          <w:rFonts w:ascii="Times New Roman" w:hAnsi="Times New Roman" w:eastAsia="宋体" w:cs="Times New Roman"/>
          <w:sz w:val="21"/>
          <w:szCs w:val="21"/>
        </w:rPr>
        <w:br w:type="page"/>
      </w:r>
    </w:p>
    <w:p w14:paraId="3A6DFEF2">
      <w:pPr>
        <w:pStyle w:val="60"/>
        <w:ind w:firstLine="0" w:firstLineChars="0"/>
        <w:rPr>
          <w:rFonts w:cs="Times New Roman"/>
          <w:szCs w:val="21"/>
        </w:rPr>
      </w:pPr>
      <w:r>
        <w:rPr>
          <w:rStyle w:val="99"/>
          <w:rFonts w:hint="eastAsia" w:cs="Times New Roman"/>
          <w:b/>
          <w:bCs/>
          <w:sz w:val="24"/>
          <w:szCs w:val="24"/>
        </w:rPr>
        <w:t>附录</w:t>
      </w:r>
      <w:r>
        <w:rPr>
          <w:rStyle w:val="99"/>
          <w:rFonts w:cs="Times New Roman"/>
          <w:b/>
          <w:bCs/>
          <w:sz w:val="24"/>
          <w:szCs w:val="24"/>
        </w:rPr>
        <w:t xml:space="preserve">3 </w:t>
      </w:r>
      <w:r>
        <w:rPr>
          <w:rFonts w:cs="Times New Roman"/>
          <w:b/>
          <w:bCs/>
          <w:sz w:val="24"/>
          <w:szCs w:val="24"/>
        </w:rPr>
        <w:t xml:space="preserve"> CYP3A4</w:t>
      </w:r>
      <w:r>
        <w:rPr>
          <w:rFonts w:hint="eastAsia" w:cs="Times New Roman"/>
          <w:b/>
          <w:bCs/>
          <w:sz w:val="24"/>
          <w:szCs w:val="24"/>
        </w:rPr>
        <w:t>强</w:t>
      </w:r>
      <w:r>
        <w:rPr>
          <w:rFonts w:cs="Times New Roman"/>
          <w:b/>
          <w:bCs/>
          <w:sz w:val="24"/>
          <w:szCs w:val="24"/>
        </w:rPr>
        <w:t>诱导剂和抑制剂</w:t>
      </w:r>
    </w:p>
    <w:tbl>
      <w:tblPr>
        <w:tblStyle w:val="8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5"/>
      </w:tblGrid>
      <w:tr w14:paraId="5CA2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2499" w:type="pct"/>
            <w:shd w:val="clear" w:color="auto" w:fill="D8D8D8"/>
            <w:vAlign w:val="center"/>
          </w:tcPr>
          <w:p w14:paraId="4154802D">
            <w:pPr>
              <w:spacing w:line="360" w:lineRule="auto"/>
              <w:rPr>
                <w:rFonts w:ascii="Times New Roman" w:hAnsi="Times New Roman" w:eastAsia="宋体" w:cs="Times New Roman"/>
                <w:b/>
                <w:bCs/>
                <w:kern w:val="2"/>
                <w:sz w:val="21"/>
                <w:szCs w:val="21"/>
                <w:lang w:val="zh-CN"/>
              </w:rPr>
            </w:pPr>
            <w:r>
              <w:rPr>
                <w:rFonts w:ascii="Times New Roman" w:hAnsi="Times New Roman" w:eastAsia="宋体" w:cs="Times New Roman"/>
                <w:b/>
                <w:bCs/>
                <w:kern w:val="2"/>
                <w:sz w:val="21"/>
                <w:szCs w:val="21"/>
              </w:rPr>
              <w:t>CYP3A4强抑制剂</w:t>
            </w:r>
          </w:p>
        </w:tc>
        <w:tc>
          <w:tcPr>
            <w:tcW w:w="2501" w:type="pct"/>
            <w:shd w:val="clear" w:color="auto" w:fill="D8D8D8"/>
            <w:vAlign w:val="center"/>
          </w:tcPr>
          <w:p w14:paraId="425EF874">
            <w:pPr>
              <w:spacing w:line="360" w:lineRule="auto"/>
              <w:rPr>
                <w:rFonts w:ascii="Times New Roman" w:hAnsi="Times New Roman" w:eastAsia="宋体" w:cs="Times New Roman"/>
                <w:b/>
                <w:bCs/>
                <w:kern w:val="2"/>
                <w:sz w:val="21"/>
                <w:szCs w:val="21"/>
                <w:lang w:val="zh-CN"/>
              </w:rPr>
            </w:pPr>
            <w:r>
              <w:rPr>
                <w:rFonts w:ascii="Times New Roman" w:hAnsi="Times New Roman" w:eastAsia="宋体" w:cs="Times New Roman"/>
                <w:b/>
                <w:bCs/>
                <w:kern w:val="2"/>
                <w:sz w:val="21"/>
                <w:szCs w:val="21"/>
              </w:rPr>
              <w:t>CYP3A4强诱导剂</w:t>
            </w:r>
          </w:p>
        </w:tc>
      </w:tr>
      <w:tr w14:paraId="4870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7D3464E4">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色瑞替尼</w:t>
            </w:r>
          </w:p>
        </w:tc>
        <w:tc>
          <w:tcPr>
            <w:tcW w:w="2501" w:type="pct"/>
            <w:vAlign w:val="center"/>
          </w:tcPr>
          <w:p w14:paraId="00CCFA41">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阿帕鲁胺</w:t>
            </w:r>
          </w:p>
        </w:tc>
      </w:tr>
      <w:tr w14:paraId="3C7F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3FFAD27C">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克拉霉素</w:t>
            </w:r>
          </w:p>
        </w:tc>
        <w:tc>
          <w:tcPr>
            <w:tcW w:w="2501" w:type="pct"/>
            <w:vAlign w:val="center"/>
          </w:tcPr>
          <w:p w14:paraId="456A54BE">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利福平</w:t>
            </w:r>
          </w:p>
        </w:tc>
      </w:tr>
      <w:tr w14:paraId="02B7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0D950EEA">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艾代拉里斯</w:t>
            </w:r>
          </w:p>
        </w:tc>
        <w:tc>
          <w:tcPr>
            <w:tcW w:w="2501" w:type="pct"/>
            <w:vAlign w:val="center"/>
          </w:tcPr>
          <w:p w14:paraId="078D84FC">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卡马西平</w:t>
            </w:r>
          </w:p>
        </w:tc>
      </w:tr>
      <w:tr w14:paraId="57F5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56B8E830">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英地那韦</w:t>
            </w:r>
          </w:p>
        </w:tc>
        <w:tc>
          <w:tcPr>
            <w:tcW w:w="2501" w:type="pct"/>
            <w:vAlign w:val="center"/>
          </w:tcPr>
          <w:p w14:paraId="7E30E633">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苯妥英钠</w:t>
            </w:r>
          </w:p>
        </w:tc>
      </w:tr>
      <w:tr w14:paraId="2AC9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54246230">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伊曲康唑</w:t>
            </w:r>
          </w:p>
        </w:tc>
        <w:tc>
          <w:tcPr>
            <w:tcW w:w="2501" w:type="pct"/>
            <w:vAlign w:val="center"/>
          </w:tcPr>
          <w:p w14:paraId="6DCE15CE">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圣约翰草</w:t>
            </w:r>
          </w:p>
        </w:tc>
      </w:tr>
      <w:tr w14:paraId="70E1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5FCC4CC5">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酮康唑</w:t>
            </w:r>
          </w:p>
        </w:tc>
        <w:tc>
          <w:tcPr>
            <w:tcW w:w="2501" w:type="pct"/>
            <w:vAlign w:val="center"/>
          </w:tcPr>
          <w:p w14:paraId="56B3A74C">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艾伏尼布</w:t>
            </w:r>
          </w:p>
        </w:tc>
      </w:tr>
      <w:tr w14:paraId="7273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54A67761">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米贝地尔</w:t>
            </w:r>
          </w:p>
        </w:tc>
        <w:tc>
          <w:tcPr>
            <w:tcW w:w="2501" w:type="pct"/>
            <w:vAlign w:val="center"/>
          </w:tcPr>
          <w:p w14:paraId="4650AF1A">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恩杂鲁胺</w:t>
            </w:r>
          </w:p>
        </w:tc>
      </w:tr>
      <w:tr w14:paraId="652C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0C6D5510">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奈法唑酮</w:t>
            </w:r>
          </w:p>
        </w:tc>
        <w:tc>
          <w:tcPr>
            <w:tcW w:w="2501" w:type="pct"/>
            <w:vAlign w:val="center"/>
          </w:tcPr>
          <w:p w14:paraId="756BD939">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鲁马卡托</w:t>
            </w:r>
          </w:p>
        </w:tc>
      </w:tr>
      <w:tr w14:paraId="12FD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14921CAE">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奈非那韦</w:t>
            </w:r>
          </w:p>
        </w:tc>
        <w:tc>
          <w:tcPr>
            <w:tcW w:w="2501" w:type="pct"/>
            <w:vAlign w:val="center"/>
          </w:tcPr>
          <w:p w14:paraId="1FDCB087">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米托坦</w:t>
            </w:r>
          </w:p>
        </w:tc>
      </w:tr>
      <w:tr w14:paraId="762B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1B2C21E1">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瑞博西尼</w:t>
            </w:r>
          </w:p>
        </w:tc>
        <w:tc>
          <w:tcPr>
            <w:tcW w:w="2501" w:type="pct"/>
            <w:vAlign w:val="center"/>
          </w:tcPr>
          <w:p w14:paraId="00CA603A">
            <w:pPr>
              <w:spacing w:line="360" w:lineRule="auto"/>
              <w:rPr>
                <w:rFonts w:ascii="Times New Roman" w:hAnsi="Times New Roman" w:eastAsia="宋体" w:cs="Times New Roman"/>
                <w:kern w:val="2"/>
                <w:sz w:val="21"/>
                <w:szCs w:val="21"/>
              </w:rPr>
            </w:pPr>
          </w:p>
        </w:tc>
      </w:tr>
      <w:tr w14:paraId="6963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4166CE56">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利托那韦</w:t>
            </w:r>
          </w:p>
        </w:tc>
        <w:tc>
          <w:tcPr>
            <w:tcW w:w="2501" w:type="pct"/>
            <w:vAlign w:val="center"/>
          </w:tcPr>
          <w:p w14:paraId="1E6F7094">
            <w:pPr>
              <w:spacing w:line="360" w:lineRule="auto"/>
              <w:rPr>
                <w:rFonts w:ascii="Times New Roman" w:hAnsi="Times New Roman" w:eastAsia="宋体" w:cs="Times New Roman"/>
                <w:kern w:val="2"/>
                <w:sz w:val="21"/>
                <w:szCs w:val="21"/>
              </w:rPr>
            </w:pPr>
          </w:p>
        </w:tc>
      </w:tr>
      <w:tr w14:paraId="5D56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7B24B2D4">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沙奎那韦</w:t>
            </w:r>
          </w:p>
        </w:tc>
        <w:tc>
          <w:tcPr>
            <w:tcW w:w="2501" w:type="pct"/>
            <w:vAlign w:val="center"/>
          </w:tcPr>
          <w:p w14:paraId="5D951B5D">
            <w:pPr>
              <w:spacing w:line="360" w:lineRule="auto"/>
              <w:rPr>
                <w:rFonts w:ascii="Times New Roman" w:hAnsi="Times New Roman" w:eastAsia="宋体" w:cs="Times New Roman"/>
                <w:kern w:val="2"/>
                <w:sz w:val="21"/>
                <w:szCs w:val="21"/>
              </w:rPr>
            </w:pPr>
          </w:p>
        </w:tc>
      </w:tr>
      <w:tr w14:paraId="5BC0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7CBF5DA6">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泰利霉素</w:t>
            </w:r>
          </w:p>
        </w:tc>
        <w:tc>
          <w:tcPr>
            <w:tcW w:w="2501" w:type="pct"/>
            <w:vAlign w:val="center"/>
          </w:tcPr>
          <w:p w14:paraId="73C6C1AB">
            <w:pPr>
              <w:spacing w:line="360" w:lineRule="auto"/>
              <w:rPr>
                <w:rFonts w:ascii="Times New Roman" w:hAnsi="Times New Roman" w:eastAsia="宋体" w:cs="Times New Roman"/>
                <w:kern w:val="2"/>
                <w:sz w:val="21"/>
                <w:szCs w:val="21"/>
              </w:rPr>
            </w:pPr>
          </w:p>
        </w:tc>
      </w:tr>
      <w:tr w14:paraId="3210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54D039DF">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妥卡替尼</w:t>
            </w:r>
          </w:p>
        </w:tc>
        <w:tc>
          <w:tcPr>
            <w:tcW w:w="2501" w:type="pct"/>
            <w:vAlign w:val="center"/>
          </w:tcPr>
          <w:p w14:paraId="749CFD1B">
            <w:pPr>
              <w:spacing w:line="360" w:lineRule="auto"/>
              <w:rPr>
                <w:rFonts w:ascii="Times New Roman" w:hAnsi="Times New Roman" w:eastAsia="宋体" w:cs="Times New Roman"/>
                <w:kern w:val="2"/>
                <w:sz w:val="21"/>
                <w:szCs w:val="21"/>
              </w:rPr>
            </w:pPr>
          </w:p>
        </w:tc>
      </w:tr>
      <w:tr w14:paraId="519F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499" w:type="pct"/>
            <w:vAlign w:val="center"/>
          </w:tcPr>
          <w:p w14:paraId="1CB1BA6D">
            <w:pPr>
              <w:spacing w:line="360" w:lineRule="auto"/>
              <w:rPr>
                <w:rFonts w:ascii="Times New Roman" w:hAnsi="Times New Roman" w:eastAsia="宋体" w:cs="Times New Roman"/>
                <w:kern w:val="2"/>
                <w:sz w:val="21"/>
                <w:szCs w:val="21"/>
              </w:rPr>
            </w:pPr>
            <w:r>
              <w:rPr>
                <w:rFonts w:ascii="Times New Roman" w:hAnsi="Times New Roman" w:eastAsia="宋体" w:cs="Times New Roman"/>
                <w:kern w:val="2"/>
                <w:sz w:val="21"/>
                <w:szCs w:val="21"/>
              </w:rPr>
              <w:t>伏立康唑</w:t>
            </w:r>
          </w:p>
        </w:tc>
        <w:tc>
          <w:tcPr>
            <w:tcW w:w="2501" w:type="pct"/>
            <w:vAlign w:val="center"/>
          </w:tcPr>
          <w:p w14:paraId="172D5385">
            <w:pPr>
              <w:spacing w:line="360" w:lineRule="auto"/>
              <w:rPr>
                <w:rFonts w:ascii="Times New Roman" w:hAnsi="Times New Roman" w:eastAsia="宋体" w:cs="Times New Roman"/>
                <w:kern w:val="2"/>
                <w:sz w:val="21"/>
                <w:szCs w:val="21"/>
              </w:rPr>
            </w:pPr>
          </w:p>
        </w:tc>
      </w:tr>
    </w:tbl>
    <w:p w14:paraId="3EA95F0C">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注：不限于列表中的药物，可根据药品说明书进行判断。</w:t>
      </w:r>
    </w:p>
    <w:p w14:paraId="1C037792">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更新信息请访问以下链接：</w:t>
      </w:r>
    </w:p>
    <w:p w14:paraId="6D94D8A6">
      <w:pPr>
        <w:rPr>
          <w:rStyle w:val="99"/>
          <w:rFonts w:ascii="Times New Roman" w:hAnsi="Times New Roman" w:cs="Times New Roman"/>
        </w:rPr>
      </w:pPr>
      <w:r>
        <w:rPr>
          <w:rFonts w:ascii="Times New Roman" w:hAnsi="Times New Roman" w:eastAsia="宋体" w:cs="Times New Roman"/>
          <w:sz w:val="21"/>
          <w:szCs w:val="21"/>
        </w:rPr>
        <w:t>https://www.fda.gov/drugs/drug-interactions-labeling/drug-development-and-drug-interactions-table-substrates-inhibitors-and-inducers</w:t>
      </w:r>
      <w:r>
        <w:rPr>
          <w:rStyle w:val="99"/>
          <w:rFonts w:ascii="Times New Roman" w:hAnsi="Times New Roman" w:cs="Times New Roman"/>
        </w:rPr>
        <w:br w:type="page"/>
      </w:r>
    </w:p>
    <w:p w14:paraId="14CB9AAE">
      <w:pPr>
        <w:pStyle w:val="60"/>
        <w:ind w:firstLine="0" w:firstLineChars="0"/>
        <w:rPr>
          <w:rFonts w:cs="Times New Roman"/>
          <w:b/>
          <w:bCs/>
          <w:sz w:val="24"/>
          <w:szCs w:val="24"/>
        </w:rPr>
      </w:pPr>
      <w:r>
        <w:rPr>
          <w:rStyle w:val="99"/>
          <w:rFonts w:hint="eastAsia" w:cs="Times New Roman"/>
          <w:b/>
          <w:bCs/>
          <w:sz w:val="24"/>
          <w:szCs w:val="24"/>
        </w:rPr>
        <w:t>附录</w:t>
      </w:r>
      <w:r>
        <w:rPr>
          <w:rStyle w:val="99"/>
          <w:rFonts w:cs="Times New Roman"/>
          <w:b/>
          <w:bCs/>
          <w:sz w:val="24"/>
          <w:szCs w:val="24"/>
        </w:rPr>
        <w:t xml:space="preserve">4 </w:t>
      </w:r>
      <w:r>
        <w:rPr>
          <w:rFonts w:cs="Times New Roman"/>
          <w:b/>
          <w:bCs/>
          <w:sz w:val="24"/>
          <w:szCs w:val="24"/>
        </w:rPr>
        <w:t xml:space="preserve"> 银屑病面积和严重程度指数（PASI）</w:t>
      </w:r>
    </w:p>
    <w:p w14:paraId="7DE0BD4F">
      <w:pPr>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PASI是根据银屑病覆盖率（%）和斑块外观来测量病情严重程度的定量量表。以下为PASI评分流程。</w:t>
      </w:r>
    </w:p>
    <w:p w14:paraId="56BAE50E">
      <w:pPr>
        <w:autoSpaceDE/>
        <w:autoSpaceDN/>
        <w:spacing w:line="360"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1. 身体各区域体表面积占比的划分</w:t>
      </w:r>
    </w:p>
    <w:p w14:paraId="7224822E">
      <w:pPr>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将人体全身体表面积分为四个区域，分别是：头颈（占人体体表面积的10%）、上肢（占20%）、躯干（包括</w:t>
      </w:r>
      <w:r>
        <w:rPr>
          <w:rFonts w:hint="eastAsia" w:ascii="Times New Roman" w:hAnsi="Times New Roman" w:eastAsia="宋体" w:cs="Times New Roman"/>
          <w:kern w:val="2"/>
          <w:sz w:val="21"/>
          <w:szCs w:val="21"/>
        </w:rPr>
        <w:t>腋窝和</w:t>
      </w:r>
      <w:r>
        <w:rPr>
          <w:rFonts w:ascii="Times New Roman" w:hAnsi="Times New Roman" w:eastAsia="宋体" w:cs="Times New Roman"/>
          <w:kern w:val="2"/>
          <w:sz w:val="21"/>
          <w:szCs w:val="21"/>
        </w:rPr>
        <w:t>腹股沟，占30%）、下肢（包括臀部，占40%）。将该四个区域的评分加起来即得到最终的PASI评分。</w:t>
      </w:r>
    </w:p>
    <w:p w14:paraId="1305BB6C">
      <w:pPr>
        <w:autoSpaceDE/>
        <w:autoSpaceDN/>
        <w:spacing w:line="360"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2. PASI评分的计算过程</w:t>
      </w:r>
    </w:p>
    <w:p w14:paraId="4CF19A45">
      <w:pPr>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按附表1从上到下的顺序在表格空白处填写评分，并计算各小项得分及最终的PASI评分。参见“PASI评分步骤的说明”。</w:t>
      </w:r>
    </w:p>
    <w:p w14:paraId="3ABB2972">
      <w:pPr>
        <w:autoSpaceDE/>
        <w:autoSpaceDN/>
        <w:spacing w:line="360" w:lineRule="auto"/>
        <w:jc w:val="center"/>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附表1. 银屑病面积和严重程度指数（PASI）的计算</w:t>
      </w:r>
    </w:p>
    <w:tbl>
      <w:tblPr>
        <w:tblStyle w:val="89"/>
        <w:tblW w:w="5000" w:type="pct"/>
        <w:tblInd w:w="0" w:type="dxa"/>
        <w:tblLayout w:type="fixed"/>
        <w:tblCellMar>
          <w:top w:w="0" w:type="dxa"/>
          <w:left w:w="0" w:type="dxa"/>
          <w:bottom w:w="0" w:type="dxa"/>
          <w:right w:w="0" w:type="dxa"/>
        </w:tblCellMar>
      </w:tblPr>
      <w:tblGrid>
        <w:gridCol w:w="1469"/>
        <w:gridCol w:w="1473"/>
        <w:gridCol w:w="1469"/>
        <w:gridCol w:w="1475"/>
        <w:gridCol w:w="1471"/>
        <w:gridCol w:w="1441"/>
      </w:tblGrid>
      <w:tr w14:paraId="2CC92625">
        <w:tblPrEx>
          <w:tblCellMar>
            <w:top w:w="0" w:type="dxa"/>
            <w:left w:w="0" w:type="dxa"/>
            <w:bottom w:w="0" w:type="dxa"/>
            <w:right w:w="0" w:type="dxa"/>
          </w:tblCellMar>
        </w:tblPrEx>
        <w:trPr>
          <w:trHeight w:val="226" w:hRule="atLeast"/>
        </w:trPr>
        <w:tc>
          <w:tcPr>
            <w:tcW w:w="835" w:type="pct"/>
            <w:vMerge w:val="restart"/>
            <w:tcBorders>
              <w:top w:val="single" w:color="000000" w:sz="4" w:space="0"/>
              <w:left w:val="single" w:color="000000" w:sz="4" w:space="0"/>
              <w:right w:val="single" w:color="000000" w:sz="4" w:space="0"/>
            </w:tcBorders>
            <w:shd w:val="clear" w:color="auto" w:fill="E8E8E8"/>
            <w:vAlign w:val="center"/>
          </w:tcPr>
          <w:p w14:paraId="6C2BD337">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斑块特征</w:t>
            </w:r>
          </w:p>
        </w:tc>
        <w:tc>
          <w:tcPr>
            <w:tcW w:w="836" w:type="pct"/>
            <w:vMerge w:val="restart"/>
            <w:tcBorders>
              <w:top w:val="single" w:color="000000" w:sz="4" w:space="0"/>
              <w:left w:val="single" w:color="000000" w:sz="4" w:space="0"/>
              <w:right w:val="single" w:color="000000" w:sz="4" w:space="0"/>
            </w:tcBorders>
            <w:shd w:val="clear" w:color="auto" w:fill="E8E8E8"/>
            <w:vAlign w:val="center"/>
          </w:tcPr>
          <w:p w14:paraId="13471085">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评分标准</w:t>
            </w:r>
            <w:r>
              <w:rPr>
                <w:rFonts w:ascii="Times New Roman" w:hAnsi="Times New Roman" w:eastAsia="宋体" w:cs="Times New Roman"/>
                <w:kern w:val="2"/>
                <w:sz w:val="21"/>
                <w:szCs w:val="21"/>
                <w:vertAlign w:val="superscript"/>
              </w:rPr>
              <w:t>1</w:t>
            </w:r>
          </w:p>
        </w:tc>
        <w:tc>
          <w:tcPr>
            <w:tcW w:w="3328" w:type="pct"/>
            <w:gridSpan w:val="4"/>
            <w:tcBorders>
              <w:top w:val="single" w:color="000000" w:sz="4" w:space="0"/>
              <w:left w:val="single" w:color="000000" w:sz="4" w:space="0"/>
              <w:bottom w:val="single" w:color="000000" w:sz="4" w:space="0"/>
              <w:right w:val="single" w:color="000000" w:sz="4" w:space="0"/>
            </w:tcBorders>
            <w:shd w:val="clear" w:color="auto" w:fill="E8E8E8"/>
            <w:vAlign w:val="center"/>
          </w:tcPr>
          <w:p w14:paraId="15618026">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身体区域</w:t>
            </w:r>
          </w:p>
        </w:tc>
      </w:tr>
      <w:tr w14:paraId="74694A3D">
        <w:tblPrEx>
          <w:tblCellMar>
            <w:top w:w="0" w:type="dxa"/>
            <w:left w:w="0" w:type="dxa"/>
            <w:bottom w:w="0" w:type="dxa"/>
            <w:right w:w="0" w:type="dxa"/>
          </w:tblCellMar>
        </w:tblPrEx>
        <w:trPr>
          <w:trHeight w:val="293" w:hRule="atLeast"/>
        </w:trPr>
        <w:tc>
          <w:tcPr>
            <w:tcW w:w="835" w:type="pct"/>
            <w:vMerge w:val="continue"/>
            <w:tcBorders>
              <w:left w:val="single" w:color="000000" w:sz="4" w:space="0"/>
              <w:bottom w:val="single" w:color="000000" w:sz="4" w:space="0"/>
              <w:right w:val="single" w:color="000000" w:sz="4" w:space="0"/>
            </w:tcBorders>
            <w:shd w:val="clear" w:color="auto" w:fill="E8E8E8"/>
            <w:vAlign w:val="center"/>
          </w:tcPr>
          <w:p w14:paraId="2B3E39FE">
            <w:pPr>
              <w:topLinePunct/>
              <w:autoSpaceDE/>
              <w:autoSpaceDN/>
              <w:spacing w:line="300" w:lineRule="exact"/>
              <w:ind w:right="-23"/>
              <w:jc w:val="center"/>
              <w:rPr>
                <w:rFonts w:ascii="Times New Roman" w:hAnsi="Times New Roman" w:eastAsia="宋体" w:cs="Times New Roman"/>
                <w:kern w:val="2"/>
                <w:sz w:val="21"/>
                <w:szCs w:val="21"/>
              </w:rPr>
            </w:pPr>
          </w:p>
        </w:tc>
        <w:tc>
          <w:tcPr>
            <w:tcW w:w="836" w:type="pct"/>
            <w:vMerge w:val="continue"/>
            <w:tcBorders>
              <w:left w:val="single" w:color="000000" w:sz="4" w:space="0"/>
              <w:bottom w:val="single" w:color="000000" w:sz="4" w:space="0"/>
              <w:right w:val="single" w:color="000000" w:sz="4" w:space="0"/>
            </w:tcBorders>
            <w:shd w:val="clear" w:color="auto" w:fill="E8E8E8"/>
            <w:vAlign w:val="center"/>
          </w:tcPr>
          <w:p w14:paraId="285F13DC">
            <w:pPr>
              <w:topLinePunct/>
              <w:autoSpaceDE/>
              <w:autoSpaceDN/>
              <w:spacing w:line="300" w:lineRule="exact"/>
              <w:ind w:right="-23"/>
              <w:jc w:val="center"/>
              <w:rPr>
                <w:rFonts w:ascii="Times New Roman" w:hAnsi="Times New Roman" w:eastAsia="宋体" w:cs="Times New Roman"/>
                <w:kern w:val="2"/>
                <w:sz w:val="21"/>
                <w:szCs w:val="21"/>
              </w:rPr>
            </w:pPr>
          </w:p>
        </w:tc>
        <w:tc>
          <w:tcPr>
            <w:tcW w:w="835"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72E7A9B7">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头颈</w:t>
            </w:r>
          </w:p>
        </w:tc>
        <w:tc>
          <w:tcPr>
            <w:tcW w:w="838"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57F3A158">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上肢</w:t>
            </w:r>
          </w:p>
        </w:tc>
        <w:tc>
          <w:tcPr>
            <w:tcW w:w="836"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2B154CCA">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躯干</w:t>
            </w:r>
          </w:p>
        </w:tc>
        <w:tc>
          <w:tcPr>
            <w:tcW w:w="819"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76FFEED6">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下肢</w:t>
            </w:r>
          </w:p>
        </w:tc>
      </w:tr>
      <w:tr w14:paraId="3DE2F00D">
        <w:tblPrEx>
          <w:tblCellMar>
            <w:top w:w="0" w:type="dxa"/>
            <w:left w:w="0" w:type="dxa"/>
            <w:bottom w:w="0" w:type="dxa"/>
            <w:right w:w="0" w:type="dxa"/>
          </w:tblCellMar>
        </w:tblPrEx>
        <w:trPr>
          <w:trHeight w:val="500" w:hRule="atLeast"/>
        </w:trPr>
        <w:tc>
          <w:tcPr>
            <w:tcW w:w="835" w:type="pct"/>
            <w:tcBorders>
              <w:top w:val="single" w:color="000000" w:sz="4" w:space="0"/>
              <w:left w:val="single" w:color="000000" w:sz="4" w:space="0"/>
              <w:bottom w:val="single" w:color="000000" w:sz="4" w:space="0"/>
              <w:right w:val="single" w:color="000000" w:sz="4" w:space="0"/>
            </w:tcBorders>
            <w:vAlign w:val="center"/>
          </w:tcPr>
          <w:p w14:paraId="490063C7">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红斑</w:t>
            </w:r>
          </w:p>
        </w:tc>
        <w:tc>
          <w:tcPr>
            <w:tcW w:w="836" w:type="pct"/>
            <w:vMerge w:val="restart"/>
            <w:tcBorders>
              <w:top w:val="single" w:color="000000" w:sz="4" w:space="0"/>
              <w:left w:val="single" w:color="000000" w:sz="4" w:space="0"/>
              <w:bottom w:val="single" w:color="000000" w:sz="4" w:space="0"/>
              <w:right w:val="single" w:color="000000" w:sz="4" w:space="0"/>
            </w:tcBorders>
            <w:vAlign w:val="center"/>
          </w:tcPr>
          <w:p w14:paraId="696D0031">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0 = 无症状</w:t>
            </w:r>
          </w:p>
          <w:p w14:paraId="447EA0B5">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1 = 轻度</w:t>
            </w:r>
          </w:p>
          <w:p w14:paraId="473DEFC3">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2 = 中度</w:t>
            </w:r>
          </w:p>
          <w:p w14:paraId="030525DE">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3 = 重度</w:t>
            </w:r>
          </w:p>
          <w:p w14:paraId="029922FB">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4 = 极重</w:t>
            </w:r>
          </w:p>
        </w:tc>
        <w:tc>
          <w:tcPr>
            <w:tcW w:w="835"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398BD216">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38"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2684C8C9">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36"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79998AA4">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19"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17C7C344">
            <w:pPr>
              <w:topLinePunct/>
              <w:autoSpaceDE/>
              <w:autoSpaceDN/>
              <w:spacing w:line="300" w:lineRule="exact"/>
              <w:ind w:left="140" w:right="-23"/>
              <w:jc w:val="center"/>
              <w:rPr>
                <w:rFonts w:ascii="Times New Roman" w:hAnsi="Times New Roman" w:eastAsia="宋体" w:cs="Times New Roman"/>
                <w:kern w:val="2"/>
                <w:sz w:val="21"/>
                <w:szCs w:val="21"/>
              </w:rPr>
            </w:pPr>
          </w:p>
        </w:tc>
      </w:tr>
      <w:tr w14:paraId="194120A5">
        <w:tblPrEx>
          <w:tblCellMar>
            <w:top w:w="0" w:type="dxa"/>
            <w:left w:w="0" w:type="dxa"/>
            <w:bottom w:w="0" w:type="dxa"/>
            <w:right w:w="0" w:type="dxa"/>
          </w:tblCellMar>
        </w:tblPrEx>
        <w:trPr>
          <w:trHeight w:val="480" w:hRule="atLeast"/>
        </w:trPr>
        <w:tc>
          <w:tcPr>
            <w:tcW w:w="835" w:type="pct"/>
            <w:tcBorders>
              <w:top w:val="single" w:color="000000" w:sz="4" w:space="0"/>
              <w:left w:val="single" w:color="000000" w:sz="4" w:space="0"/>
              <w:bottom w:val="single" w:color="000000" w:sz="4" w:space="0"/>
              <w:right w:val="single" w:color="000000" w:sz="4" w:space="0"/>
            </w:tcBorders>
            <w:vAlign w:val="center"/>
          </w:tcPr>
          <w:p w14:paraId="331BD6A4">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厚度</w:t>
            </w:r>
          </w:p>
        </w:tc>
        <w:tc>
          <w:tcPr>
            <w:tcW w:w="836" w:type="pct"/>
            <w:vMerge w:val="continue"/>
            <w:tcBorders>
              <w:top w:val="single" w:color="000000" w:sz="4" w:space="0"/>
              <w:left w:val="single" w:color="000000" w:sz="4" w:space="0"/>
              <w:bottom w:val="single" w:color="000000" w:sz="4" w:space="0"/>
              <w:right w:val="single" w:color="000000" w:sz="4" w:space="0"/>
            </w:tcBorders>
            <w:vAlign w:val="center"/>
          </w:tcPr>
          <w:p w14:paraId="120FF80B">
            <w:pPr>
              <w:topLinePunct/>
              <w:autoSpaceDE/>
              <w:autoSpaceDN/>
              <w:spacing w:line="300" w:lineRule="exact"/>
              <w:ind w:right="-23"/>
              <w:jc w:val="center"/>
              <w:rPr>
                <w:rFonts w:ascii="Times New Roman" w:hAnsi="Times New Roman" w:eastAsia="宋体" w:cs="Times New Roman"/>
                <w:kern w:val="2"/>
                <w:sz w:val="21"/>
                <w:szCs w:val="21"/>
              </w:rPr>
            </w:pPr>
          </w:p>
        </w:tc>
        <w:tc>
          <w:tcPr>
            <w:tcW w:w="835"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5DB5FA9B">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38"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1AA3CE3C">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36"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4A6F5982">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19"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4C777456">
            <w:pPr>
              <w:topLinePunct/>
              <w:autoSpaceDE/>
              <w:autoSpaceDN/>
              <w:spacing w:line="300" w:lineRule="exact"/>
              <w:ind w:left="140" w:right="-23"/>
              <w:jc w:val="center"/>
              <w:rPr>
                <w:rFonts w:ascii="Times New Roman" w:hAnsi="Times New Roman" w:eastAsia="宋体" w:cs="Times New Roman"/>
                <w:kern w:val="2"/>
                <w:sz w:val="21"/>
                <w:szCs w:val="21"/>
              </w:rPr>
            </w:pPr>
          </w:p>
        </w:tc>
      </w:tr>
      <w:tr w14:paraId="34E2309E">
        <w:tblPrEx>
          <w:tblCellMar>
            <w:top w:w="0" w:type="dxa"/>
            <w:left w:w="0" w:type="dxa"/>
            <w:bottom w:w="0" w:type="dxa"/>
            <w:right w:w="0" w:type="dxa"/>
          </w:tblCellMar>
        </w:tblPrEx>
        <w:trPr>
          <w:trHeight w:val="480" w:hRule="atLeast"/>
        </w:trPr>
        <w:tc>
          <w:tcPr>
            <w:tcW w:w="835" w:type="pct"/>
            <w:tcBorders>
              <w:top w:val="single" w:color="000000" w:sz="4" w:space="0"/>
              <w:left w:val="single" w:color="000000" w:sz="4" w:space="0"/>
              <w:bottom w:val="single" w:color="000000" w:sz="4" w:space="0"/>
              <w:right w:val="single" w:color="000000" w:sz="4" w:space="0"/>
            </w:tcBorders>
            <w:vAlign w:val="center"/>
          </w:tcPr>
          <w:p w14:paraId="172C35BA">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鳞屑</w:t>
            </w:r>
          </w:p>
        </w:tc>
        <w:tc>
          <w:tcPr>
            <w:tcW w:w="836" w:type="pct"/>
            <w:vMerge w:val="continue"/>
            <w:tcBorders>
              <w:top w:val="single" w:color="000000" w:sz="4" w:space="0"/>
              <w:left w:val="single" w:color="000000" w:sz="4" w:space="0"/>
              <w:bottom w:val="single" w:color="000000" w:sz="4" w:space="0"/>
              <w:right w:val="single" w:color="000000" w:sz="4" w:space="0"/>
            </w:tcBorders>
            <w:vAlign w:val="center"/>
          </w:tcPr>
          <w:p w14:paraId="7F1E2F0D">
            <w:pPr>
              <w:topLinePunct/>
              <w:autoSpaceDE/>
              <w:autoSpaceDN/>
              <w:spacing w:line="300" w:lineRule="exact"/>
              <w:ind w:right="-23"/>
              <w:jc w:val="center"/>
              <w:rPr>
                <w:rFonts w:ascii="Times New Roman" w:hAnsi="Times New Roman" w:eastAsia="宋体" w:cs="Times New Roman"/>
                <w:kern w:val="2"/>
                <w:sz w:val="21"/>
                <w:szCs w:val="21"/>
              </w:rPr>
            </w:pPr>
          </w:p>
        </w:tc>
        <w:tc>
          <w:tcPr>
            <w:tcW w:w="835"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332D4694">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38"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5E2767CD">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36"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29CC1881">
            <w:pPr>
              <w:topLinePunct/>
              <w:autoSpaceDE/>
              <w:autoSpaceDN/>
              <w:spacing w:line="300" w:lineRule="exact"/>
              <w:ind w:left="140" w:right="-23"/>
              <w:jc w:val="center"/>
              <w:rPr>
                <w:rFonts w:ascii="Times New Roman" w:hAnsi="Times New Roman" w:eastAsia="宋体" w:cs="Times New Roman"/>
                <w:kern w:val="2"/>
                <w:sz w:val="21"/>
                <w:szCs w:val="21"/>
              </w:rPr>
            </w:pPr>
          </w:p>
        </w:tc>
        <w:tc>
          <w:tcPr>
            <w:tcW w:w="819"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01154D83">
            <w:pPr>
              <w:topLinePunct/>
              <w:autoSpaceDE/>
              <w:autoSpaceDN/>
              <w:spacing w:line="300" w:lineRule="exact"/>
              <w:ind w:left="140" w:right="-23"/>
              <w:jc w:val="center"/>
              <w:rPr>
                <w:rFonts w:ascii="Times New Roman" w:hAnsi="Times New Roman" w:eastAsia="宋体" w:cs="Times New Roman"/>
                <w:kern w:val="2"/>
                <w:sz w:val="21"/>
                <w:szCs w:val="21"/>
              </w:rPr>
            </w:pPr>
          </w:p>
        </w:tc>
      </w:tr>
      <w:tr w14:paraId="29189902">
        <w:tblPrEx>
          <w:tblCellMar>
            <w:top w:w="0" w:type="dxa"/>
            <w:left w:w="0" w:type="dxa"/>
            <w:bottom w:w="0" w:type="dxa"/>
            <w:right w:w="0" w:type="dxa"/>
          </w:tblCellMar>
        </w:tblPrEx>
        <w:trPr>
          <w:trHeight w:val="323"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3E5A1"/>
            <w:vAlign w:val="center"/>
          </w:tcPr>
          <w:p w14:paraId="46A93A0A">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将每个区域的3个斑块特征的分数相加，得到各区域的A项评分（A1，A2，A3，A4）</w:t>
            </w:r>
          </w:p>
        </w:tc>
      </w:tr>
      <w:tr w14:paraId="0703AEA0">
        <w:tblPrEx>
          <w:tblCellMar>
            <w:top w:w="0" w:type="dxa"/>
            <w:left w:w="0" w:type="dxa"/>
            <w:bottom w:w="0" w:type="dxa"/>
            <w:right w:w="0" w:type="dxa"/>
          </w:tblCellMar>
        </w:tblPrEx>
        <w:trPr>
          <w:trHeight w:val="400" w:hRule="atLeast"/>
        </w:trPr>
        <w:tc>
          <w:tcPr>
            <w:tcW w:w="1672" w:type="pct"/>
            <w:gridSpan w:val="2"/>
            <w:tcBorders>
              <w:top w:val="single" w:color="000000" w:sz="4" w:space="0"/>
              <w:left w:val="single" w:color="000000" w:sz="4" w:space="0"/>
              <w:bottom w:val="single" w:color="000000" w:sz="4" w:space="0"/>
              <w:right w:val="single" w:color="000000" w:sz="4" w:space="0"/>
            </w:tcBorders>
            <w:shd w:val="clear" w:color="auto" w:fill="B3E5A1"/>
            <w:vAlign w:val="center"/>
          </w:tcPr>
          <w:p w14:paraId="38C9527B">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A项评分</w:t>
            </w:r>
          </w:p>
        </w:tc>
        <w:tc>
          <w:tcPr>
            <w:tcW w:w="835"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78621B2F">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A1 =</w:t>
            </w:r>
          </w:p>
        </w:tc>
        <w:tc>
          <w:tcPr>
            <w:tcW w:w="838"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28A32705">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A2 =</w:t>
            </w:r>
          </w:p>
        </w:tc>
        <w:tc>
          <w:tcPr>
            <w:tcW w:w="836"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683CDB1F">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A3 =</w:t>
            </w:r>
          </w:p>
        </w:tc>
        <w:tc>
          <w:tcPr>
            <w:tcW w:w="819"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30848BE8">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A4 =</w:t>
            </w:r>
          </w:p>
        </w:tc>
      </w:tr>
      <w:tr w14:paraId="5E4C7F02">
        <w:tblPrEx>
          <w:tblCellMar>
            <w:top w:w="0" w:type="dxa"/>
            <w:left w:w="0" w:type="dxa"/>
            <w:bottom w:w="0" w:type="dxa"/>
            <w:right w:w="0" w:type="dxa"/>
          </w:tblCellMar>
        </w:tblPrEx>
        <w:trPr>
          <w:trHeight w:val="48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E8E8E8"/>
            <w:vAlign w:val="center"/>
          </w:tcPr>
          <w:p w14:paraId="2D6F042E">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根据以下B项公式，将各A项的得分乘以各区域在人体体表面积的占比，得到该区域的B项评分</w:t>
            </w:r>
          </w:p>
          <w:p w14:paraId="2740365D">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（B1，B2，B3、B4）</w:t>
            </w:r>
          </w:p>
        </w:tc>
      </w:tr>
      <w:tr w14:paraId="1551733E">
        <w:tblPrEx>
          <w:tblCellMar>
            <w:top w:w="0" w:type="dxa"/>
            <w:left w:w="0" w:type="dxa"/>
            <w:bottom w:w="0" w:type="dxa"/>
            <w:right w:w="0" w:type="dxa"/>
          </w:tblCellMar>
        </w:tblPrEx>
        <w:trPr>
          <w:trHeight w:val="377" w:hRule="atLeast"/>
        </w:trPr>
        <w:tc>
          <w:tcPr>
            <w:tcW w:w="1672" w:type="pct"/>
            <w:gridSpan w:val="2"/>
            <w:vMerge w:val="restart"/>
            <w:tcBorders>
              <w:top w:val="single" w:color="000000" w:sz="4" w:space="0"/>
              <w:left w:val="single" w:color="000000" w:sz="4" w:space="0"/>
              <w:bottom w:val="single" w:color="000000" w:sz="4" w:space="0"/>
              <w:right w:val="single" w:color="000000" w:sz="4" w:space="0"/>
            </w:tcBorders>
            <w:shd w:val="clear" w:color="auto" w:fill="E8E8E8"/>
            <w:vAlign w:val="center"/>
          </w:tcPr>
          <w:p w14:paraId="4CA1C993">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B项评分</w:t>
            </w:r>
          </w:p>
        </w:tc>
        <w:tc>
          <w:tcPr>
            <w:tcW w:w="835"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12A17321">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B1 = A1×0.1</w:t>
            </w:r>
          </w:p>
        </w:tc>
        <w:tc>
          <w:tcPr>
            <w:tcW w:w="838"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5792D3DC">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B2 = A2×0.2</w:t>
            </w:r>
          </w:p>
        </w:tc>
        <w:tc>
          <w:tcPr>
            <w:tcW w:w="836"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260A6FB9">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B3 = A3×0.3</w:t>
            </w:r>
          </w:p>
        </w:tc>
        <w:tc>
          <w:tcPr>
            <w:tcW w:w="819"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628224AC">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B4 = A4×0.4</w:t>
            </w:r>
          </w:p>
        </w:tc>
      </w:tr>
      <w:tr w14:paraId="1D062E79">
        <w:tblPrEx>
          <w:tblCellMar>
            <w:top w:w="0" w:type="dxa"/>
            <w:left w:w="0" w:type="dxa"/>
            <w:bottom w:w="0" w:type="dxa"/>
            <w:right w:w="0" w:type="dxa"/>
          </w:tblCellMar>
        </w:tblPrEx>
        <w:trPr>
          <w:trHeight w:val="480" w:hRule="atLeast"/>
        </w:trPr>
        <w:tc>
          <w:tcPr>
            <w:tcW w:w="1672" w:type="pct"/>
            <w:gridSpan w:val="2"/>
            <w:vMerge w:val="continue"/>
            <w:tcBorders>
              <w:top w:val="single" w:color="000000" w:sz="4" w:space="0"/>
              <w:left w:val="single" w:color="000000" w:sz="4" w:space="0"/>
              <w:bottom w:val="single" w:color="000000" w:sz="4" w:space="0"/>
              <w:right w:val="single" w:color="000000" w:sz="4" w:space="0"/>
            </w:tcBorders>
            <w:vAlign w:val="center"/>
          </w:tcPr>
          <w:p w14:paraId="34435C9C">
            <w:pPr>
              <w:topLinePunct/>
              <w:autoSpaceDE/>
              <w:autoSpaceDN/>
              <w:spacing w:line="300" w:lineRule="exact"/>
              <w:ind w:right="-23"/>
              <w:jc w:val="center"/>
              <w:rPr>
                <w:rFonts w:ascii="Times New Roman" w:hAnsi="Times New Roman" w:eastAsia="宋体" w:cs="Times New Roman"/>
                <w:kern w:val="2"/>
                <w:sz w:val="21"/>
                <w:szCs w:val="21"/>
              </w:rPr>
            </w:pPr>
          </w:p>
        </w:tc>
        <w:tc>
          <w:tcPr>
            <w:tcW w:w="835"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6EED71C7">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B1 =</w:t>
            </w:r>
          </w:p>
        </w:tc>
        <w:tc>
          <w:tcPr>
            <w:tcW w:w="838"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7138FCFA">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B2 =</w:t>
            </w:r>
          </w:p>
        </w:tc>
        <w:tc>
          <w:tcPr>
            <w:tcW w:w="836"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3C862C1E">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B3 =</w:t>
            </w:r>
          </w:p>
        </w:tc>
        <w:tc>
          <w:tcPr>
            <w:tcW w:w="819"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4567BC20">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B4 =</w:t>
            </w:r>
          </w:p>
        </w:tc>
      </w:tr>
      <w:tr w14:paraId="5011820C">
        <w:tblPrEx>
          <w:tblCellMar>
            <w:top w:w="0" w:type="dxa"/>
            <w:left w:w="0" w:type="dxa"/>
            <w:bottom w:w="0" w:type="dxa"/>
            <w:right w:w="0" w:type="dxa"/>
          </w:tblCellMar>
        </w:tblPrEx>
        <w:trPr>
          <w:trHeight w:val="2077" w:hRule="atLeast"/>
        </w:trPr>
        <w:tc>
          <w:tcPr>
            <w:tcW w:w="835" w:type="pct"/>
            <w:tcBorders>
              <w:top w:val="single" w:color="000000" w:sz="4" w:space="0"/>
              <w:left w:val="single" w:color="000000" w:sz="4" w:space="0"/>
              <w:bottom w:val="single" w:color="000000" w:sz="4" w:space="0"/>
              <w:right w:val="single" w:color="000000" w:sz="4" w:space="0"/>
            </w:tcBorders>
            <w:vAlign w:val="center"/>
          </w:tcPr>
          <w:p w14:paraId="238937EE">
            <w:pPr>
              <w:topLinePunct/>
              <w:autoSpaceDE/>
              <w:autoSpaceDN/>
              <w:spacing w:line="300" w:lineRule="exact"/>
              <w:ind w:left="140" w:right="116"/>
              <w:jc w:val="both"/>
              <w:rPr>
                <w:rFonts w:ascii="Times New Roman" w:hAnsi="Times New Roman" w:eastAsia="宋体" w:cs="Times New Roman"/>
                <w:kern w:val="2"/>
                <w:sz w:val="21"/>
                <w:szCs w:val="21"/>
              </w:rPr>
            </w:pPr>
            <w:r>
              <w:rPr>
                <w:rFonts w:ascii="Times New Roman" w:hAnsi="Times New Roman" w:eastAsia="宋体" w:cs="Times New Roman"/>
                <w:spacing w:val="-2"/>
                <w:kern w:val="2"/>
                <w:sz w:val="21"/>
                <w:szCs w:val="21"/>
              </w:rPr>
              <w:t>各</w:t>
            </w:r>
            <w:r>
              <w:rPr>
                <w:rFonts w:ascii="Times New Roman" w:hAnsi="Times New Roman" w:eastAsia="宋体" w:cs="Times New Roman"/>
                <w:spacing w:val="-3"/>
                <w:kern w:val="2"/>
                <w:sz w:val="21"/>
                <w:szCs w:val="21"/>
              </w:rPr>
              <w:t>身体区域的受累程度(%)</w:t>
            </w:r>
            <w:r>
              <w:rPr>
                <w:rFonts w:ascii="Times New Roman" w:hAnsi="Times New Roman" w:eastAsia="宋体" w:cs="Times New Roman"/>
                <w:spacing w:val="-9"/>
                <w:kern w:val="2"/>
                <w:sz w:val="21"/>
                <w:szCs w:val="21"/>
              </w:rPr>
              <w:t>，以0 - 6分的7级评分标准评分</w:t>
            </w:r>
            <w:r>
              <w:rPr>
                <w:rFonts w:ascii="Times New Roman" w:hAnsi="Times New Roman" w:eastAsia="宋体" w:cs="Times New Roman"/>
                <w:spacing w:val="-9"/>
                <w:kern w:val="2"/>
                <w:sz w:val="21"/>
                <w:szCs w:val="21"/>
                <w:vertAlign w:val="superscript"/>
              </w:rPr>
              <w:t>2</w:t>
            </w:r>
          </w:p>
        </w:tc>
        <w:tc>
          <w:tcPr>
            <w:tcW w:w="836" w:type="pct"/>
            <w:tcBorders>
              <w:top w:val="single" w:color="000000" w:sz="4" w:space="0"/>
              <w:left w:val="single" w:color="000000" w:sz="4" w:space="0"/>
              <w:bottom w:val="single" w:color="000000" w:sz="4" w:space="0"/>
              <w:right w:val="single" w:color="000000" w:sz="4" w:space="0"/>
            </w:tcBorders>
            <w:vAlign w:val="center"/>
          </w:tcPr>
          <w:p w14:paraId="50E67749">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0 = 0%</w:t>
            </w:r>
          </w:p>
          <w:p w14:paraId="0466E0A2">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1 = 1% - 9%</w:t>
            </w:r>
          </w:p>
          <w:p w14:paraId="1C1B17CF">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2 = 10% - 29%</w:t>
            </w:r>
          </w:p>
          <w:p w14:paraId="0CB258F3">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3 = 30% - 49%</w:t>
            </w:r>
          </w:p>
          <w:p w14:paraId="0EF729DA">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4 = 50% - 69%</w:t>
            </w:r>
          </w:p>
          <w:p w14:paraId="7866D240">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5 = 70% - 89%</w:t>
            </w:r>
          </w:p>
          <w:p w14:paraId="7E5211EF">
            <w:pPr>
              <w:topLinePunct/>
              <w:autoSpaceDE/>
              <w:autoSpaceDN/>
              <w:spacing w:line="300" w:lineRule="exact"/>
              <w:ind w:right="-23" w:firstLine="14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6 = 90% - 100%</w:t>
            </w:r>
          </w:p>
        </w:tc>
        <w:tc>
          <w:tcPr>
            <w:tcW w:w="835"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0C8D487A">
            <w:pPr>
              <w:topLinePunct/>
              <w:autoSpaceDE/>
              <w:autoSpaceDN/>
              <w:spacing w:line="300" w:lineRule="exact"/>
              <w:ind w:left="140" w:right="-23"/>
              <w:jc w:val="both"/>
              <w:rPr>
                <w:rFonts w:ascii="Times New Roman" w:hAnsi="Times New Roman" w:eastAsia="宋体" w:cs="Times New Roman"/>
                <w:kern w:val="2"/>
                <w:sz w:val="21"/>
                <w:szCs w:val="21"/>
              </w:rPr>
            </w:pPr>
          </w:p>
        </w:tc>
        <w:tc>
          <w:tcPr>
            <w:tcW w:w="838"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705B586C">
            <w:pPr>
              <w:topLinePunct/>
              <w:autoSpaceDE/>
              <w:autoSpaceDN/>
              <w:spacing w:line="300" w:lineRule="exact"/>
              <w:ind w:left="140" w:right="-23"/>
              <w:jc w:val="both"/>
              <w:rPr>
                <w:rFonts w:ascii="Times New Roman" w:hAnsi="Times New Roman" w:eastAsia="宋体" w:cs="Times New Roman"/>
                <w:kern w:val="2"/>
                <w:sz w:val="21"/>
                <w:szCs w:val="21"/>
              </w:rPr>
            </w:pPr>
          </w:p>
        </w:tc>
        <w:tc>
          <w:tcPr>
            <w:tcW w:w="836"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50FEFDD7">
            <w:pPr>
              <w:topLinePunct/>
              <w:autoSpaceDE/>
              <w:autoSpaceDN/>
              <w:spacing w:line="300" w:lineRule="exact"/>
              <w:ind w:left="140" w:right="-23"/>
              <w:jc w:val="both"/>
              <w:rPr>
                <w:rFonts w:ascii="Times New Roman" w:hAnsi="Times New Roman" w:eastAsia="宋体" w:cs="Times New Roman"/>
                <w:kern w:val="2"/>
                <w:sz w:val="21"/>
                <w:szCs w:val="21"/>
              </w:rPr>
            </w:pPr>
          </w:p>
        </w:tc>
        <w:tc>
          <w:tcPr>
            <w:tcW w:w="819" w:type="pct"/>
            <w:tcBorders>
              <w:top w:val="single" w:color="000000" w:sz="4" w:space="0"/>
              <w:left w:val="single" w:color="000000" w:sz="4" w:space="0"/>
              <w:bottom w:val="single" w:color="000000" w:sz="4" w:space="0"/>
              <w:right w:val="single" w:color="000000" w:sz="4" w:space="0"/>
            </w:tcBorders>
            <w:shd w:val="clear" w:color="auto" w:fill="C1E4F5"/>
            <w:vAlign w:val="center"/>
          </w:tcPr>
          <w:p w14:paraId="1A733DB3">
            <w:pPr>
              <w:topLinePunct/>
              <w:autoSpaceDE/>
              <w:autoSpaceDN/>
              <w:spacing w:line="300" w:lineRule="exact"/>
              <w:ind w:left="140" w:right="-23"/>
              <w:jc w:val="both"/>
              <w:rPr>
                <w:rFonts w:ascii="Times New Roman" w:hAnsi="Times New Roman" w:eastAsia="宋体" w:cs="Times New Roman"/>
                <w:kern w:val="2"/>
                <w:sz w:val="21"/>
                <w:szCs w:val="21"/>
              </w:rPr>
            </w:pPr>
          </w:p>
        </w:tc>
      </w:tr>
      <w:tr w14:paraId="7D409E48">
        <w:tblPrEx>
          <w:tblCellMar>
            <w:top w:w="0" w:type="dxa"/>
            <w:left w:w="0" w:type="dxa"/>
            <w:bottom w:w="0" w:type="dxa"/>
            <w:right w:w="0" w:type="dxa"/>
          </w:tblCellMar>
        </w:tblPrEx>
        <w:trPr>
          <w:trHeight w:val="679"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E8E8E8"/>
            <w:vAlign w:val="center"/>
          </w:tcPr>
          <w:p w14:paraId="71538339">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将身体各区域的B项得分乘以代表其受累程度的</w:t>
            </w:r>
            <w:r>
              <w:rPr>
                <w:rFonts w:ascii="Times New Roman" w:hAnsi="Times New Roman" w:eastAsia="宋体" w:cs="Times New Roman"/>
                <w:b/>
                <w:bCs/>
                <w:kern w:val="2"/>
                <w:sz w:val="21"/>
                <w:szCs w:val="21"/>
              </w:rPr>
              <w:t>分数</w:t>
            </w:r>
            <w:r>
              <w:rPr>
                <w:rFonts w:ascii="Times New Roman" w:hAnsi="Times New Roman" w:eastAsia="宋体" w:cs="Times New Roman"/>
                <w:kern w:val="2"/>
                <w:sz w:val="21"/>
                <w:szCs w:val="21"/>
              </w:rPr>
              <w:t>（0 - 6分），得到该区域的C项评分</w:t>
            </w:r>
          </w:p>
          <w:p w14:paraId="5685FD6C">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（C1、C2、C3、C4）</w:t>
            </w:r>
          </w:p>
        </w:tc>
      </w:tr>
      <w:tr w14:paraId="772C9280">
        <w:tblPrEx>
          <w:tblCellMar>
            <w:top w:w="0" w:type="dxa"/>
            <w:left w:w="0" w:type="dxa"/>
            <w:bottom w:w="0" w:type="dxa"/>
            <w:right w:w="0" w:type="dxa"/>
          </w:tblCellMar>
        </w:tblPrEx>
        <w:trPr>
          <w:trHeight w:val="397" w:hRule="atLeast"/>
        </w:trPr>
        <w:tc>
          <w:tcPr>
            <w:tcW w:w="1672" w:type="pct"/>
            <w:gridSpan w:val="2"/>
            <w:vMerge w:val="restart"/>
            <w:tcBorders>
              <w:top w:val="single" w:color="000000" w:sz="4" w:space="0"/>
              <w:left w:val="single" w:color="000000" w:sz="4" w:space="0"/>
              <w:bottom w:val="single" w:color="000000" w:sz="4" w:space="0"/>
              <w:right w:val="single" w:color="000000" w:sz="4" w:space="0"/>
            </w:tcBorders>
            <w:shd w:val="clear" w:color="auto" w:fill="E8E8E8"/>
            <w:vAlign w:val="center"/>
          </w:tcPr>
          <w:p w14:paraId="30F6EDAC">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C项评分</w:t>
            </w:r>
          </w:p>
        </w:tc>
        <w:tc>
          <w:tcPr>
            <w:tcW w:w="835"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2954A07D">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C1 = B1×</w:t>
            </w:r>
            <w:r>
              <w:rPr>
                <w:rFonts w:ascii="Times New Roman" w:hAnsi="Times New Roman" w:eastAsia="宋体" w:cs="Times New Roman"/>
                <w:b/>
                <w:bCs/>
                <w:kern w:val="2"/>
                <w:sz w:val="21"/>
                <w:szCs w:val="21"/>
              </w:rPr>
              <w:t>分数</w:t>
            </w:r>
          </w:p>
        </w:tc>
        <w:tc>
          <w:tcPr>
            <w:tcW w:w="838"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5DCA765A">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C2 = B2×</w:t>
            </w:r>
            <w:r>
              <w:rPr>
                <w:rFonts w:ascii="Times New Roman" w:hAnsi="Times New Roman" w:eastAsia="宋体" w:cs="Times New Roman"/>
                <w:b/>
                <w:bCs/>
                <w:kern w:val="2"/>
                <w:sz w:val="21"/>
                <w:szCs w:val="21"/>
              </w:rPr>
              <w:t>分数</w:t>
            </w:r>
          </w:p>
        </w:tc>
        <w:tc>
          <w:tcPr>
            <w:tcW w:w="836"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1A8AEECB">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C3 = B3×</w:t>
            </w:r>
            <w:r>
              <w:rPr>
                <w:rFonts w:ascii="Times New Roman" w:hAnsi="Times New Roman" w:eastAsia="宋体" w:cs="Times New Roman"/>
                <w:b/>
                <w:bCs/>
                <w:kern w:val="2"/>
                <w:sz w:val="21"/>
                <w:szCs w:val="21"/>
              </w:rPr>
              <w:t>分数</w:t>
            </w:r>
          </w:p>
        </w:tc>
        <w:tc>
          <w:tcPr>
            <w:tcW w:w="819"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6362B71B">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C4 = B4×</w:t>
            </w:r>
            <w:r>
              <w:rPr>
                <w:rFonts w:ascii="Times New Roman" w:hAnsi="Times New Roman" w:eastAsia="宋体" w:cs="Times New Roman"/>
                <w:b/>
                <w:bCs/>
                <w:kern w:val="2"/>
                <w:sz w:val="21"/>
                <w:szCs w:val="21"/>
              </w:rPr>
              <w:t>分数</w:t>
            </w:r>
          </w:p>
        </w:tc>
      </w:tr>
      <w:tr w14:paraId="7866F3FF">
        <w:tblPrEx>
          <w:tblCellMar>
            <w:top w:w="0" w:type="dxa"/>
            <w:left w:w="0" w:type="dxa"/>
            <w:bottom w:w="0" w:type="dxa"/>
            <w:right w:w="0" w:type="dxa"/>
          </w:tblCellMar>
        </w:tblPrEx>
        <w:trPr>
          <w:trHeight w:val="480" w:hRule="atLeast"/>
        </w:trPr>
        <w:tc>
          <w:tcPr>
            <w:tcW w:w="1672" w:type="pct"/>
            <w:gridSpan w:val="2"/>
            <w:vMerge w:val="continue"/>
            <w:tcBorders>
              <w:top w:val="single" w:color="000000" w:sz="4" w:space="0"/>
              <w:left w:val="single" w:color="000000" w:sz="4" w:space="0"/>
              <w:bottom w:val="single" w:color="000000" w:sz="4" w:space="0"/>
              <w:right w:val="single" w:color="000000" w:sz="4" w:space="0"/>
            </w:tcBorders>
            <w:vAlign w:val="center"/>
          </w:tcPr>
          <w:p w14:paraId="393A0FCE">
            <w:pPr>
              <w:topLinePunct/>
              <w:autoSpaceDE/>
              <w:autoSpaceDN/>
              <w:spacing w:line="300" w:lineRule="exact"/>
              <w:ind w:right="-23"/>
              <w:jc w:val="center"/>
              <w:rPr>
                <w:rFonts w:ascii="Times New Roman" w:hAnsi="Times New Roman" w:eastAsia="宋体" w:cs="Times New Roman"/>
                <w:kern w:val="2"/>
                <w:sz w:val="21"/>
                <w:szCs w:val="21"/>
              </w:rPr>
            </w:pPr>
          </w:p>
        </w:tc>
        <w:tc>
          <w:tcPr>
            <w:tcW w:w="835"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47B57791">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C1 =</w:t>
            </w:r>
          </w:p>
        </w:tc>
        <w:tc>
          <w:tcPr>
            <w:tcW w:w="838"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74D5420D">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C2 =</w:t>
            </w:r>
          </w:p>
        </w:tc>
        <w:tc>
          <w:tcPr>
            <w:tcW w:w="836"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6FA3CC1A">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C3 =</w:t>
            </w:r>
          </w:p>
        </w:tc>
        <w:tc>
          <w:tcPr>
            <w:tcW w:w="819" w:type="pct"/>
            <w:tcBorders>
              <w:top w:val="single" w:color="000000" w:sz="4" w:space="0"/>
              <w:left w:val="single" w:color="000000" w:sz="4" w:space="0"/>
              <w:bottom w:val="single" w:color="000000" w:sz="4" w:space="0"/>
              <w:right w:val="single" w:color="000000" w:sz="4" w:space="0"/>
            </w:tcBorders>
            <w:shd w:val="clear" w:color="auto" w:fill="B3E5A1"/>
            <w:vAlign w:val="center"/>
          </w:tcPr>
          <w:p w14:paraId="2DCF16BB">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C4 =</w:t>
            </w:r>
          </w:p>
        </w:tc>
      </w:tr>
      <w:tr w14:paraId="7E778728">
        <w:tblPrEx>
          <w:tblCellMar>
            <w:top w:w="0" w:type="dxa"/>
            <w:left w:w="0" w:type="dxa"/>
            <w:bottom w:w="0" w:type="dxa"/>
            <w:right w:w="0" w:type="dxa"/>
          </w:tblCellMar>
        </w:tblPrEx>
        <w:trPr>
          <w:trHeight w:val="480" w:hRule="atLeast"/>
        </w:trPr>
        <w:tc>
          <w:tcPr>
            <w:tcW w:w="3345" w:type="pct"/>
            <w:gridSpan w:val="4"/>
            <w:tcBorders>
              <w:top w:val="single" w:color="000000" w:sz="4" w:space="0"/>
              <w:left w:val="single" w:color="000000" w:sz="4" w:space="0"/>
              <w:bottom w:val="single" w:color="000000" w:sz="4" w:space="0"/>
              <w:right w:val="single" w:color="000000" w:sz="4" w:space="0"/>
            </w:tcBorders>
            <w:shd w:val="clear" w:color="auto" w:fill="E8E8E8"/>
            <w:vAlign w:val="center"/>
          </w:tcPr>
          <w:p w14:paraId="48FC2FE7">
            <w:pPr>
              <w:topLinePunct/>
              <w:autoSpaceDE/>
              <w:autoSpaceDN/>
              <w:spacing w:line="300" w:lineRule="exact"/>
              <w:ind w:right="-23"/>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将各区域的C项评分相加(C1+C2+C3+C4)，即得到患者的PASI评分</w:t>
            </w:r>
          </w:p>
        </w:tc>
        <w:tc>
          <w:tcPr>
            <w:tcW w:w="1655" w:type="pct"/>
            <w:gridSpan w:val="2"/>
            <w:tcBorders>
              <w:top w:val="single" w:color="000000" w:sz="4" w:space="0"/>
              <w:left w:val="single" w:color="000000" w:sz="4" w:space="0"/>
              <w:bottom w:val="single" w:color="000000" w:sz="4" w:space="0"/>
              <w:right w:val="single" w:color="000000" w:sz="4" w:space="0"/>
            </w:tcBorders>
            <w:shd w:val="clear" w:color="auto" w:fill="FAE2D5"/>
            <w:vAlign w:val="center"/>
          </w:tcPr>
          <w:p w14:paraId="751544DF">
            <w:pPr>
              <w:topLinePunct/>
              <w:autoSpaceDE/>
              <w:autoSpaceDN/>
              <w:spacing w:line="300" w:lineRule="exact"/>
              <w:ind w:left="140" w:right="-23"/>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PASI评分 =</w:t>
            </w:r>
          </w:p>
        </w:tc>
      </w:tr>
    </w:tbl>
    <w:p w14:paraId="7ED2E08F">
      <w:pPr>
        <w:topLinePunct/>
        <w:autoSpaceDE/>
        <w:autoSpaceDN/>
        <w:spacing w:line="360" w:lineRule="auto"/>
        <w:jc w:val="both"/>
        <w:rPr>
          <w:rFonts w:ascii="Times New Roman" w:hAnsi="Times New Roman" w:eastAsia="宋体" w:cs="Times New Roman"/>
          <w:b/>
          <w:bCs/>
          <w:kern w:val="2"/>
          <w:sz w:val="21"/>
          <w:szCs w:val="21"/>
        </w:rPr>
      </w:pPr>
      <w:r>
        <w:rPr>
          <w:rFonts w:ascii="Times New Roman" w:hAnsi="Times New Roman" w:eastAsia="宋体" w:cs="Times New Roman"/>
          <w:kern w:val="2"/>
          <w:sz w:val="21"/>
          <w:szCs w:val="21"/>
          <w:vertAlign w:val="superscript"/>
        </w:rPr>
        <w:t xml:space="preserve">1  </w:t>
      </w:r>
      <w:r>
        <w:rPr>
          <w:rFonts w:ascii="Times New Roman" w:hAnsi="Times New Roman" w:eastAsia="宋体" w:cs="Times New Roman"/>
          <w:kern w:val="2"/>
          <w:sz w:val="21"/>
          <w:szCs w:val="21"/>
        </w:rPr>
        <w:t>斑块特征严重程度的评分标准：</w:t>
      </w:r>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
        <w:gridCol w:w="970"/>
        <w:gridCol w:w="1456"/>
        <w:gridCol w:w="2210"/>
        <w:gridCol w:w="1670"/>
        <w:gridCol w:w="1787"/>
      </w:tblGrid>
      <w:tr w14:paraId="3646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shd w:val="clear" w:color="auto" w:fill="F1F1F1"/>
          </w:tcPr>
          <w:p w14:paraId="657398FA">
            <w:pPr>
              <w:tabs>
                <w:tab w:val="left" w:pos="560"/>
              </w:tabs>
              <w:topLinePunct/>
              <w:autoSpaceDE/>
              <w:autoSpaceDN/>
              <w:spacing w:line="32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评分</w:t>
            </w:r>
          </w:p>
        </w:tc>
        <w:tc>
          <w:tcPr>
            <w:tcW w:w="539" w:type="pct"/>
            <w:shd w:val="clear" w:color="auto" w:fill="F1F1F1"/>
          </w:tcPr>
          <w:p w14:paraId="17EA904C">
            <w:pPr>
              <w:tabs>
                <w:tab w:val="left" w:pos="560"/>
              </w:tabs>
              <w:topLinePunct/>
              <w:autoSpaceDE/>
              <w:autoSpaceDN/>
              <w:spacing w:line="32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 xml:space="preserve"> 0 分</w:t>
            </w:r>
          </w:p>
        </w:tc>
        <w:tc>
          <w:tcPr>
            <w:tcW w:w="808" w:type="pct"/>
            <w:shd w:val="clear" w:color="auto" w:fill="F1F1F1"/>
          </w:tcPr>
          <w:p w14:paraId="2D30A882">
            <w:pPr>
              <w:tabs>
                <w:tab w:val="left" w:pos="560"/>
              </w:tabs>
              <w:topLinePunct/>
              <w:autoSpaceDE/>
              <w:autoSpaceDN/>
              <w:spacing w:line="32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 xml:space="preserve"> 1 分</w:t>
            </w:r>
          </w:p>
        </w:tc>
        <w:tc>
          <w:tcPr>
            <w:tcW w:w="1227" w:type="pct"/>
            <w:shd w:val="clear" w:color="auto" w:fill="F1F1F1"/>
          </w:tcPr>
          <w:p w14:paraId="102E8C4F">
            <w:pPr>
              <w:tabs>
                <w:tab w:val="left" w:pos="560"/>
              </w:tabs>
              <w:topLinePunct/>
              <w:autoSpaceDE/>
              <w:autoSpaceDN/>
              <w:spacing w:line="32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2 分</w:t>
            </w:r>
          </w:p>
        </w:tc>
        <w:tc>
          <w:tcPr>
            <w:tcW w:w="927" w:type="pct"/>
            <w:shd w:val="clear" w:color="auto" w:fill="F1F1F1"/>
          </w:tcPr>
          <w:p w14:paraId="0AD7C936">
            <w:pPr>
              <w:tabs>
                <w:tab w:val="left" w:pos="560"/>
              </w:tabs>
              <w:topLinePunct/>
              <w:autoSpaceDE/>
              <w:autoSpaceDN/>
              <w:spacing w:line="32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3 分</w:t>
            </w:r>
          </w:p>
        </w:tc>
        <w:tc>
          <w:tcPr>
            <w:tcW w:w="992" w:type="pct"/>
            <w:shd w:val="clear" w:color="auto" w:fill="F1F1F1"/>
          </w:tcPr>
          <w:p w14:paraId="3DF79962">
            <w:pPr>
              <w:tabs>
                <w:tab w:val="left" w:pos="560"/>
              </w:tabs>
              <w:topLinePunct/>
              <w:autoSpaceDE/>
              <w:autoSpaceDN/>
              <w:spacing w:line="32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4 分</w:t>
            </w:r>
          </w:p>
        </w:tc>
      </w:tr>
      <w:tr w14:paraId="32C4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507" w:type="pct"/>
          </w:tcPr>
          <w:p w14:paraId="61747E78">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红斑</w:t>
            </w:r>
          </w:p>
        </w:tc>
        <w:tc>
          <w:tcPr>
            <w:tcW w:w="539" w:type="pct"/>
          </w:tcPr>
          <w:p w14:paraId="10F4BDEE">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无红斑</w:t>
            </w:r>
          </w:p>
        </w:tc>
        <w:tc>
          <w:tcPr>
            <w:tcW w:w="808" w:type="pct"/>
          </w:tcPr>
          <w:p w14:paraId="3C98095B">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浅红色</w:t>
            </w:r>
          </w:p>
        </w:tc>
        <w:tc>
          <w:tcPr>
            <w:tcW w:w="1227" w:type="pct"/>
          </w:tcPr>
          <w:p w14:paraId="53778BFA">
            <w:pPr>
              <w:tabs>
                <w:tab w:val="left" w:pos="560"/>
                <w:tab w:val="left" w:pos="1133"/>
              </w:tabs>
              <w:topLinePunct/>
              <w:autoSpaceDE/>
              <w:autoSpaceDN/>
              <w:spacing w:line="320" w:lineRule="exact"/>
              <w:ind w:right="-54"/>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红色，但不是深红色</w:t>
            </w:r>
          </w:p>
        </w:tc>
        <w:tc>
          <w:tcPr>
            <w:tcW w:w="927" w:type="pct"/>
          </w:tcPr>
          <w:p w14:paraId="7944D605">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很红</w:t>
            </w:r>
          </w:p>
        </w:tc>
        <w:tc>
          <w:tcPr>
            <w:tcW w:w="992" w:type="pct"/>
          </w:tcPr>
          <w:p w14:paraId="4304579A">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非常红</w:t>
            </w:r>
          </w:p>
        </w:tc>
      </w:tr>
      <w:tr w14:paraId="322A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507" w:type="pct"/>
          </w:tcPr>
          <w:p w14:paraId="62F1D836">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厚度</w:t>
            </w:r>
          </w:p>
        </w:tc>
        <w:tc>
          <w:tcPr>
            <w:tcW w:w="539" w:type="pct"/>
          </w:tcPr>
          <w:p w14:paraId="28AC34CC">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0 mm</w:t>
            </w:r>
          </w:p>
        </w:tc>
        <w:tc>
          <w:tcPr>
            <w:tcW w:w="808" w:type="pct"/>
          </w:tcPr>
          <w:p w14:paraId="2FA41AAE">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0.25 mm</w:t>
            </w:r>
          </w:p>
        </w:tc>
        <w:tc>
          <w:tcPr>
            <w:tcW w:w="1227" w:type="pct"/>
          </w:tcPr>
          <w:p w14:paraId="2BCC4415">
            <w:pPr>
              <w:tabs>
                <w:tab w:val="left" w:pos="560"/>
                <w:tab w:val="left" w:pos="1133"/>
              </w:tabs>
              <w:topLinePunct/>
              <w:autoSpaceDE/>
              <w:autoSpaceDN/>
              <w:spacing w:line="320" w:lineRule="exact"/>
              <w:ind w:right="-54"/>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0.5 mm</w:t>
            </w:r>
          </w:p>
        </w:tc>
        <w:tc>
          <w:tcPr>
            <w:tcW w:w="927" w:type="pct"/>
          </w:tcPr>
          <w:p w14:paraId="6E8B5B49">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 1 mm</w:t>
            </w:r>
          </w:p>
        </w:tc>
        <w:tc>
          <w:tcPr>
            <w:tcW w:w="992" w:type="pct"/>
          </w:tcPr>
          <w:p w14:paraId="4C1D0AF8">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1.25 mm</w:t>
            </w:r>
          </w:p>
        </w:tc>
      </w:tr>
      <w:tr w14:paraId="7A62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507" w:type="pct"/>
          </w:tcPr>
          <w:p w14:paraId="50347BC9">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鳞屑</w:t>
            </w:r>
          </w:p>
        </w:tc>
        <w:tc>
          <w:tcPr>
            <w:tcW w:w="539" w:type="pct"/>
          </w:tcPr>
          <w:p w14:paraId="59C11B8D">
            <w:pPr>
              <w:tabs>
                <w:tab w:val="left" w:pos="560"/>
              </w:tabs>
              <w:topLinePunct/>
              <w:autoSpaceDE/>
              <w:autoSpaceDN/>
              <w:spacing w:line="32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无鳞屑</w:t>
            </w:r>
          </w:p>
        </w:tc>
        <w:tc>
          <w:tcPr>
            <w:tcW w:w="808" w:type="pct"/>
          </w:tcPr>
          <w:p w14:paraId="41F3E0BB">
            <w:pPr>
              <w:tabs>
                <w:tab w:val="left" w:pos="560"/>
                <w:tab w:val="left" w:pos="1700"/>
              </w:tabs>
              <w:topLinePunct/>
              <w:autoSpaceDE/>
              <w:autoSpaceDN/>
              <w:spacing w:line="320" w:lineRule="exact"/>
              <w:ind w:right="-91"/>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部分皮损上</w:t>
            </w:r>
            <w:r>
              <w:rPr>
                <w:rFonts w:hint="eastAsia" w:ascii="Times New Roman" w:hAnsi="Times New Roman" w:eastAsia="宋体" w:cs="Times New Roman"/>
                <w:kern w:val="2"/>
                <w:sz w:val="21"/>
                <w:szCs w:val="21"/>
              </w:rPr>
              <w:t>主要</w:t>
            </w:r>
            <w:r>
              <w:rPr>
                <w:rFonts w:ascii="Times New Roman" w:hAnsi="Times New Roman" w:eastAsia="宋体" w:cs="Times New Roman"/>
                <w:kern w:val="2"/>
                <w:sz w:val="21"/>
                <w:szCs w:val="21"/>
              </w:rPr>
              <w:t>附着</w:t>
            </w:r>
            <w:r>
              <w:rPr>
                <w:rFonts w:hint="eastAsia" w:ascii="Times New Roman" w:hAnsi="Times New Roman" w:eastAsia="宋体" w:cs="Times New Roman"/>
                <w:kern w:val="2"/>
                <w:sz w:val="21"/>
                <w:szCs w:val="21"/>
              </w:rPr>
              <w:t>细</w:t>
            </w:r>
            <w:r>
              <w:rPr>
                <w:rFonts w:ascii="Times New Roman" w:hAnsi="Times New Roman" w:eastAsia="宋体" w:cs="Times New Roman"/>
                <w:kern w:val="2"/>
                <w:sz w:val="21"/>
                <w:szCs w:val="21"/>
              </w:rPr>
              <w:t>小鳞屑</w:t>
            </w:r>
          </w:p>
        </w:tc>
        <w:tc>
          <w:tcPr>
            <w:tcW w:w="1227" w:type="pct"/>
          </w:tcPr>
          <w:p w14:paraId="738C2972">
            <w:pPr>
              <w:tabs>
                <w:tab w:val="left" w:pos="560"/>
                <w:tab w:val="left" w:pos="1133"/>
              </w:tabs>
              <w:topLinePunct/>
              <w:autoSpaceDE/>
              <w:autoSpaceDN/>
              <w:spacing w:line="320" w:lineRule="exact"/>
              <w:ind w:right="-54"/>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大部分皮损上附着粗糙的薄鳞屑</w:t>
            </w:r>
          </w:p>
        </w:tc>
        <w:tc>
          <w:tcPr>
            <w:tcW w:w="927" w:type="pct"/>
          </w:tcPr>
          <w:p w14:paraId="1435A563">
            <w:pPr>
              <w:tabs>
                <w:tab w:val="left" w:pos="560"/>
                <w:tab w:val="left" w:pos="1420"/>
              </w:tabs>
              <w:topLinePunct/>
              <w:autoSpaceDE/>
              <w:autoSpaceDN/>
              <w:spacing w:line="320" w:lineRule="exact"/>
              <w:ind w:right="-16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大部分皮损上附着粗糙的厚鳞屑</w:t>
            </w:r>
          </w:p>
        </w:tc>
        <w:tc>
          <w:tcPr>
            <w:tcW w:w="992" w:type="pct"/>
          </w:tcPr>
          <w:p w14:paraId="58F17D77">
            <w:pPr>
              <w:tabs>
                <w:tab w:val="left" w:pos="560"/>
                <w:tab w:val="left" w:pos="1260"/>
              </w:tabs>
              <w:topLinePunct/>
              <w:autoSpaceDE/>
              <w:autoSpaceDN/>
              <w:spacing w:line="320" w:lineRule="exact"/>
              <w:ind w:right="-88"/>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全部皮损上附着非常厚的</w:t>
            </w:r>
            <w:r>
              <w:rPr>
                <w:rFonts w:hint="eastAsia" w:ascii="Times New Roman" w:hAnsi="Times New Roman" w:eastAsia="宋体" w:cs="Times New Roman"/>
                <w:kern w:val="2"/>
                <w:sz w:val="21"/>
                <w:szCs w:val="21"/>
              </w:rPr>
              <w:t>非常粗糙的</w:t>
            </w:r>
            <w:r>
              <w:rPr>
                <w:rFonts w:ascii="Times New Roman" w:hAnsi="Times New Roman" w:eastAsia="宋体" w:cs="Times New Roman"/>
                <w:kern w:val="2"/>
                <w:sz w:val="21"/>
                <w:szCs w:val="21"/>
              </w:rPr>
              <w:t>鳞屑</w:t>
            </w:r>
          </w:p>
        </w:tc>
      </w:tr>
    </w:tbl>
    <w:p w14:paraId="21DDBEA1">
      <w:pPr>
        <w:topLinePunct/>
        <w:autoSpaceDE/>
        <w:autoSpaceDN/>
        <w:spacing w:line="360" w:lineRule="auto"/>
        <w:ind w:left="140" w:hanging="140"/>
        <w:jc w:val="both"/>
        <w:rPr>
          <w:rFonts w:ascii="Times New Roman" w:hAnsi="Times New Roman" w:eastAsia="宋体" w:cs="Times New Roman"/>
          <w:kern w:val="2"/>
          <w:sz w:val="21"/>
          <w:szCs w:val="21"/>
        </w:rPr>
      </w:pPr>
      <w:r>
        <w:rPr>
          <w:rFonts w:ascii="Times New Roman" w:hAnsi="Times New Roman" w:eastAsia="宋体" w:cs="Times New Roman"/>
          <w:spacing w:val="-9"/>
          <w:kern w:val="2"/>
          <w:sz w:val="21"/>
          <w:szCs w:val="21"/>
          <w:vertAlign w:val="superscript"/>
        </w:rPr>
        <w:t xml:space="preserve">2  </w:t>
      </w:r>
      <w:r>
        <w:rPr>
          <w:rFonts w:ascii="Times New Roman" w:hAnsi="Times New Roman" w:eastAsia="宋体" w:cs="Times New Roman"/>
          <w:kern w:val="2"/>
          <w:sz w:val="21"/>
          <w:szCs w:val="21"/>
        </w:rPr>
        <w:t>按照BSA手掌估算法估算每个身体区域受累面积占该区域面积的百分比（%），按照附表2的评分标准得出各区域受累程度评分（0 - 6分）。</w:t>
      </w:r>
    </w:p>
    <w:p w14:paraId="0550882F">
      <w:pPr>
        <w:topLinePunct/>
        <w:autoSpaceDE/>
        <w:autoSpaceDN/>
        <w:spacing w:line="360" w:lineRule="auto"/>
        <w:jc w:val="center"/>
        <w:rPr>
          <w:rFonts w:ascii="Times New Roman" w:hAnsi="Times New Roman" w:eastAsia="宋体" w:cs="Times New Roman"/>
          <w:kern w:val="2"/>
          <w:sz w:val="21"/>
          <w:szCs w:val="21"/>
        </w:rPr>
      </w:pPr>
      <w:r>
        <w:rPr>
          <w:rFonts w:ascii="Times New Roman" w:hAnsi="Times New Roman" w:eastAsia="宋体" w:cs="Times New Roman"/>
          <w:b/>
          <w:bCs/>
          <w:kern w:val="2"/>
          <w:sz w:val="21"/>
          <w:szCs w:val="21"/>
        </w:rPr>
        <w:t>附表2. 身体区域受累程度（%）及评分</w:t>
      </w:r>
    </w:p>
    <w:tbl>
      <w:tblPr>
        <w:tblStyle w:val="9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3"/>
        <w:gridCol w:w="4503"/>
      </w:tblGrid>
      <w:tr w14:paraId="7099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shd w:val="clear" w:color="auto" w:fill="F1F1F1"/>
          </w:tcPr>
          <w:p w14:paraId="06716084">
            <w:pPr>
              <w:topLinePunct/>
              <w:autoSpaceDE/>
              <w:autoSpaceDN/>
              <w:spacing w:line="276" w:lineRule="auto"/>
              <w:jc w:val="center"/>
              <w:rPr>
                <w:rFonts w:ascii="Times New Roman" w:hAnsi="Times New Roman" w:eastAsia="宋体" w:cs="Times New Roman"/>
                <w:b/>
                <w:bCs/>
                <w:kern w:val="2"/>
                <w:sz w:val="21"/>
                <w:szCs w:val="21"/>
              </w:rPr>
            </w:pPr>
            <w:r>
              <w:rPr>
                <w:rFonts w:ascii="Times New Roman" w:hAnsi="Times New Roman" w:eastAsia="宋体" w:cs="Times New Roman"/>
                <w:kern w:val="2"/>
                <w:sz w:val="21"/>
                <w:szCs w:val="21"/>
              </w:rPr>
              <w:t xml:space="preserve">   </w:t>
            </w:r>
            <w:r>
              <w:rPr>
                <w:rFonts w:ascii="Times New Roman" w:hAnsi="Times New Roman" w:eastAsia="宋体" w:cs="Times New Roman"/>
                <w:b/>
                <w:bCs/>
                <w:kern w:val="2"/>
                <w:sz w:val="21"/>
                <w:szCs w:val="21"/>
              </w:rPr>
              <w:t xml:space="preserve"> 皮损面积 </w:t>
            </w:r>
          </w:p>
        </w:tc>
        <w:tc>
          <w:tcPr>
            <w:tcW w:w="2500" w:type="pct"/>
            <w:shd w:val="clear" w:color="auto" w:fill="F1F1F1"/>
          </w:tcPr>
          <w:p w14:paraId="197D4B9C">
            <w:pPr>
              <w:topLinePunct/>
              <w:autoSpaceDE/>
              <w:autoSpaceDN/>
              <w:spacing w:line="276" w:lineRule="auto"/>
              <w:jc w:val="center"/>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评分</w:t>
            </w:r>
          </w:p>
        </w:tc>
      </w:tr>
      <w:tr w14:paraId="261C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33E22538">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0 %</w:t>
            </w:r>
          </w:p>
        </w:tc>
        <w:tc>
          <w:tcPr>
            <w:tcW w:w="2500" w:type="pct"/>
          </w:tcPr>
          <w:p w14:paraId="76551592">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0</w:t>
            </w:r>
          </w:p>
        </w:tc>
      </w:tr>
      <w:tr w14:paraId="197D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0797424C">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1 % - 9 %</w:t>
            </w:r>
          </w:p>
        </w:tc>
        <w:tc>
          <w:tcPr>
            <w:tcW w:w="2500" w:type="pct"/>
          </w:tcPr>
          <w:p w14:paraId="035CCB05">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1</w:t>
            </w:r>
          </w:p>
        </w:tc>
      </w:tr>
      <w:tr w14:paraId="719F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1EE50A90">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10 % - 29 %</w:t>
            </w:r>
          </w:p>
        </w:tc>
        <w:tc>
          <w:tcPr>
            <w:tcW w:w="2500" w:type="pct"/>
          </w:tcPr>
          <w:p w14:paraId="15638971">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2</w:t>
            </w:r>
          </w:p>
        </w:tc>
      </w:tr>
      <w:tr w14:paraId="55F9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2BD2B28A">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30 % - 49 %</w:t>
            </w:r>
          </w:p>
        </w:tc>
        <w:tc>
          <w:tcPr>
            <w:tcW w:w="2500" w:type="pct"/>
          </w:tcPr>
          <w:p w14:paraId="1B0A86DB">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3</w:t>
            </w:r>
          </w:p>
        </w:tc>
      </w:tr>
      <w:tr w14:paraId="0642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7D92E36D">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50 % - 69 %</w:t>
            </w:r>
          </w:p>
        </w:tc>
        <w:tc>
          <w:tcPr>
            <w:tcW w:w="2500" w:type="pct"/>
          </w:tcPr>
          <w:p w14:paraId="7220DC72">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4</w:t>
            </w:r>
          </w:p>
        </w:tc>
      </w:tr>
      <w:tr w14:paraId="3A98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09BBE436">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70 % - 89 %</w:t>
            </w:r>
          </w:p>
        </w:tc>
        <w:tc>
          <w:tcPr>
            <w:tcW w:w="2500" w:type="pct"/>
          </w:tcPr>
          <w:p w14:paraId="42DBFE95">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5</w:t>
            </w:r>
          </w:p>
        </w:tc>
      </w:tr>
      <w:tr w14:paraId="6778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00" w:type="pct"/>
          </w:tcPr>
          <w:p w14:paraId="78547DD8">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 90 % - 100 %</w:t>
            </w:r>
          </w:p>
        </w:tc>
        <w:tc>
          <w:tcPr>
            <w:tcW w:w="2500" w:type="pct"/>
          </w:tcPr>
          <w:p w14:paraId="4A1DBA1C">
            <w:pPr>
              <w:topLinePunct/>
              <w:autoSpaceDE/>
              <w:autoSpaceDN/>
              <w:spacing w:line="276" w:lineRule="auto"/>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6</w:t>
            </w:r>
          </w:p>
        </w:tc>
      </w:tr>
    </w:tbl>
    <w:p w14:paraId="65C35632">
      <w:pPr>
        <w:topLinePunct/>
        <w:autoSpaceDE/>
        <w:autoSpaceDN/>
        <w:spacing w:line="320" w:lineRule="exact"/>
        <w:ind w:left="56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注：</w:t>
      </w:r>
    </w:p>
    <w:p w14:paraId="6CAA5157">
      <w:pPr>
        <w:topLinePunct/>
        <w:autoSpaceDE/>
        <w:autoSpaceDN/>
        <w:spacing w:line="320" w:lineRule="exact"/>
        <w:ind w:left="56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头颈=10个手掌，举例：头颈部位皮损面积为0.5个手掌，0.5/10 = 5%，得分1分</w:t>
      </w:r>
    </w:p>
    <w:p w14:paraId="45D9346E">
      <w:pPr>
        <w:topLinePunct/>
        <w:autoSpaceDE/>
        <w:autoSpaceDN/>
        <w:spacing w:line="320" w:lineRule="exact"/>
        <w:ind w:left="56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上肢=20个手掌，举例：上肢部位皮损面积为3个手掌，3/20 = 15%，得分2分</w:t>
      </w:r>
    </w:p>
    <w:p w14:paraId="1C1E54D1">
      <w:pPr>
        <w:topLinePunct/>
        <w:autoSpaceDE/>
        <w:autoSpaceDN/>
        <w:spacing w:line="320" w:lineRule="exact"/>
        <w:ind w:left="56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躯干=30个手掌，举例：躯干部位皮损面积为10个手掌，10/30 = 33.3%，得分3分</w:t>
      </w:r>
    </w:p>
    <w:p w14:paraId="15BDA794">
      <w:pPr>
        <w:topLinePunct/>
        <w:autoSpaceDE/>
        <w:autoSpaceDN/>
        <w:spacing w:line="320" w:lineRule="exact"/>
        <w:ind w:left="56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下肢=40个手掌，举例：下肢部位皮损面积为20个手掌，20/40 = 50%，得分4分</w:t>
      </w:r>
    </w:p>
    <w:p w14:paraId="607FD193">
      <w:pPr>
        <w:topLinePunct/>
        <w:autoSpaceDE/>
        <w:autoSpaceDN/>
        <w:spacing w:line="360"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PASI评分步骤的说明：</w:t>
      </w:r>
    </w:p>
    <w:p w14:paraId="7C68A955">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身体分为四个区域：头颈、上肢、躯干（包括</w:t>
      </w:r>
      <w:r>
        <w:rPr>
          <w:rFonts w:hint="eastAsia" w:ascii="Times New Roman" w:hAnsi="Times New Roman" w:eastAsia="宋体" w:cs="Times New Roman"/>
          <w:kern w:val="2"/>
          <w:sz w:val="21"/>
          <w:szCs w:val="21"/>
        </w:rPr>
        <w:t>腋窝和</w:t>
      </w:r>
      <w:r>
        <w:rPr>
          <w:rFonts w:ascii="Times New Roman" w:hAnsi="Times New Roman" w:eastAsia="宋体" w:cs="Times New Roman"/>
          <w:kern w:val="2"/>
          <w:sz w:val="21"/>
          <w:szCs w:val="21"/>
        </w:rPr>
        <w:t>腹股沟）和下肢（包括臀部）；</w:t>
      </w:r>
    </w:p>
    <w:p w14:paraId="4740AED7">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按照0 - 4分的5级评分标准，对每个身体区域中的红斑、厚度和鳞屑分别进行评估，并填写评分；</w:t>
      </w:r>
    </w:p>
    <w:p w14:paraId="7BB7174B">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计算每个身体区域的红斑、厚度和鳞屑评分之和，并在A1至A4中分别填写结果；</w:t>
      </w:r>
    </w:p>
    <w:p w14:paraId="7BB88849">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将第3步得到的A项评分乘以各区域的体表面积占比，得到B项评分，在B1至B4中分别填写计算结果；</w:t>
      </w:r>
    </w:p>
    <w:p w14:paraId="3677D7D9">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估计每个身体区域的皮肤病损累及程度，并按0 - 6分的7级评分标准进行评分；</w:t>
      </w:r>
    </w:p>
    <w:p w14:paraId="6F0B6D01">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将第4步得到的B项评分乘以每个身体区域的皮肤病损累及程度评分，得到C项评分，在C1至C4中分别填写计算结果；</w:t>
      </w:r>
    </w:p>
    <w:p w14:paraId="05C916A1">
      <w:pPr>
        <w:numPr>
          <w:ilvl w:val="0"/>
          <w:numId w:val="69"/>
        </w:numPr>
        <w:topLinePunct/>
        <w:spacing w:line="360" w:lineRule="auto"/>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将C1+C2+C3+C4求和，获得最终的PASI评分（范围0 - 72分）。</w:t>
      </w:r>
    </w:p>
    <w:p w14:paraId="170C59F1">
      <w:pPr>
        <w:rPr>
          <w:rFonts w:ascii="Times New Roman" w:hAnsi="Times New Roman" w:eastAsia="宋体" w:cs="Times New Roman"/>
          <w:kern w:val="2"/>
          <w:sz w:val="21"/>
          <w:szCs w:val="21"/>
        </w:rPr>
      </w:pPr>
      <w:r>
        <w:rPr>
          <w:rFonts w:ascii="Times New Roman" w:hAnsi="Times New Roman" w:eastAsia="宋体" w:cs="Times New Roman"/>
          <w:b/>
          <w:bCs/>
          <w:kern w:val="2"/>
          <w:sz w:val="21"/>
          <w:szCs w:val="21"/>
        </w:rPr>
        <w:t>注：</w:t>
      </w:r>
      <w:r>
        <w:rPr>
          <w:rFonts w:ascii="Times New Roman" w:hAnsi="Times New Roman" w:eastAsia="宋体" w:cs="Times New Roman"/>
          <w:kern w:val="2"/>
          <w:sz w:val="21"/>
          <w:szCs w:val="21"/>
        </w:rPr>
        <w:t>附表1中绿色单元格填写的值代表计算参与者PASI评分所必需的数值。</w:t>
      </w:r>
    </w:p>
    <w:p w14:paraId="47993EEE">
      <w:pPr>
        <w:rPr>
          <w:rFonts w:ascii="Times New Roman" w:hAnsi="Times New Roman" w:eastAsia="宋体" w:cs="Times New Roman"/>
          <w:kern w:val="2"/>
          <w:sz w:val="21"/>
          <w:szCs w:val="21"/>
        </w:rPr>
      </w:pPr>
      <w:r>
        <w:rPr>
          <w:rFonts w:ascii="Times New Roman" w:hAnsi="Times New Roman" w:eastAsia="宋体" w:cs="Times New Roman"/>
          <w:kern w:val="2"/>
          <w:sz w:val="21"/>
          <w:szCs w:val="21"/>
        </w:rPr>
        <w:br w:type="page"/>
      </w:r>
    </w:p>
    <w:p w14:paraId="76AB967A">
      <w:pPr>
        <w:pStyle w:val="60"/>
        <w:ind w:firstLine="0" w:firstLineChars="0"/>
        <w:rPr>
          <w:rFonts w:cs="Times New Roman"/>
          <w:b/>
          <w:bCs/>
          <w:sz w:val="24"/>
          <w:szCs w:val="24"/>
        </w:rPr>
      </w:pPr>
      <w:r>
        <w:rPr>
          <w:rStyle w:val="99"/>
          <w:rFonts w:hint="eastAsia" w:cs="Times New Roman"/>
          <w:b/>
          <w:bCs/>
          <w:sz w:val="24"/>
          <w:szCs w:val="24"/>
        </w:rPr>
        <w:t>附录</w:t>
      </w:r>
      <w:r>
        <w:rPr>
          <w:rStyle w:val="99"/>
          <w:rFonts w:cs="Times New Roman"/>
          <w:b/>
          <w:bCs/>
          <w:sz w:val="24"/>
          <w:szCs w:val="24"/>
        </w:rPr>
        <w:t xml:space="preserve">5 </w:t>
      </w:r>
      <w:r>
        <w:rPr>
          <w:rFonts w:cs="Times New Roman"/>
          <w:b/>
          <w:bCs/>
          <w:sz w:val="24"/>
          <w:szCs w:val="24"/>
        </w:rPr>
        <w:t xml:space="preserve"> </w:t>
      </w:r>
      <w:r>
        <w:rPr>
          <w:rFonts w:hint="eastAsia" w:cs="Times New Roman"/>
          <w:b/>
          <w:bCs/>
          <w:sz w:val="24"/>
          <w:szCs w:val="24"/>
        </w:rPr>
        <w:t>医生整体评估（</w:t>
      </w:r>
      <w:r>
        <w:rPr>
          <w:rFonts w:cs="Times New Roman"/>
          <w:b/>
          <w:bCs/>
          <w:sz w:val="24"/>
          <w:szCs w:val="24"/>
        </w:rPr>
        <w:t>PGA</w:t>
      </w:r>
      <w:r>
        <w:rPr>
          <w:rFonts w:hint="eastAsia" w:cs="Times New Roman"/>
          <w:b/>
          <w:bCs/>
          <w:sz w:val="24"/>
          <w:szCs w:val="24"/>
        </w:rPr>
        <w:t>）</w:t>
      </w:r>
    </w:p>
    <w:p w14:paraId="6375FBD1">
      <w:pPr>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PGA是医生评估患者银屑病总体严重程度的指标。在指定的访视时间点由研究者按0-4分的5级评分标准</w:t>
      </w:r>
      <w:r>
        <w:rPr>
          <w:rFonts w:hint="eastAsia" w:ascii="Times New Roman" w:hAnsi="Times New Roman" w:eastAsia="宋体" w:cs="Times New Roman"/>
          <w:kern w:val="2"/>
          <w:sz w:val="21"/>
          <w:szCs w:val="21"/>
        </w:rPr>
        <w:t>对</w:t>
      </w:r>
      <w:r>
        <w:rPr>
          <w:rFonts w:ascii="Times New Roman" w:hAnsi="Times New Roman" w:eastAsia="宋体" w:cs="Times New Roman"/>
          <w:kern w:val="2"/>
          <w:sz w:val="21"/>
          <w:szCs w:val="21"/>
        </w:rPr>
        <w:t>银屑病患者皮肤病损处红斑</w:t>
      </w:r>
      <w:r>
        <w:rPr>
          <w:rFonts w:hint="eastAsia" w:ascii="Times New Roman" w:hAnsi="Times New Roman" w:eastAsia="宋体" w:cs="Times New Roman"/>
          <w:kern w:val="2"/>
          <w:sz w:val="21"/>
          <w:szCs w:val="21"/>
        </w:rPr>
        <w:t>、浸润</w:t>
      </w:r>
      <w:r>
        <w:rPr>
          <w:rFonts w:ascii="Times New Roman" w:hAnsi="Times New Roman" w:eastAsia="宋体" w:cs="Times New Roman"/>
          <w:kern w:val="2"/>
          <w:sz w:val="21"/>
          <w:szCs w:val="21"/>
        </w:rPr>
        <w:t>和鳞屑的情况</w:t>
      </w:r>
      <w:r>
        <w:rPr>
          <w:rFonts w:hint="eastAsia" w:ascii="Times New Roman" w:hAnsi="Times New Roman" w:eastAsia="宋体" w:cs="Times New Roman"/>
          <w:kern w:val="2"/>
          <w:sz w:val="21"/>
          <w:szCs w:val="21"/>
        </w:rPr>
        <w:t>分别评分</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对严重程度评分求和并取平均，将平均值舍入至最接近的整数以确定</w:t>
      </w:r>
      <w:r>
        <w:rPr>
          <w:rFonts w:ascii="Times New Roman" w:hAnsi="Times New Roman" w:eastAsia="宋体" w:cs="Times New Roman"/>
          <w:kern w:val="2"/>
          <w:sz w:val="21"/>
          <w:szCs w:val="21"/>
        </w:rPr>
        <w:t>PGA</w:t>
      </w:r>
      <w:r>
        <w:rPr>
          <w:rFonts w:hint="eastAsia" w:ascii="Times New Roman" w:hAnsi="Times New Roman" w:eastAsia="宋体" w:cs="Times New Roman"/>
          <w:kern w:val="2"/>
          <w:sz w:val="21"/>
          <w:szCs w:val="21"/>
        </w:rPr>
        <w:t>评分。</w:t>
      </w:r>
      <w:r>
        <w:rPr>
          <w:rFonts w:ascii="Times New Roman" w:hAnsi="Times New Roman" w:eastAsia="宋体" w:cs="Times New Roman"/>
          <w:kern w:val="2"/>
          <w:sz w:val="21"/>
          <w:szCs w:val="21"/>
        </w:rPr>
        <w:t>PGA评分最高为4分，最低为0分，分数越高表示程度越严重。</w:t>
      </w:r>
    </w:p>
    <w:tbl>
      <w:tblPr>
        <w:tblStyle w:val="1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6"/>
      </w:tblGrid>
      <w:tr w14:paraId="713C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D04A867">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红斑</w:t>
            </w:r>
            <w:r>
              <w:rPr>
                <w:rFonts w:ascii="Times New Roman" w:hAnsi="Times New Roman" w:eastAsia="宋体" w:cs="Times New Roman"/>
                <w:b/>
                <w:kern w:val="2"/>
                <w:sz w:val="21"/>
                <w:szCs w:val="21"/>
              </w:rPr>
              <w:t xml:space="preserve"> (E)</w:t>
            </w:r>
          </w:p>
        </w:tc>
      </w:tr>
      <w:tr w14:paraId="6553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ECC02FB">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确定红斑评分（对全身各处的评分取平均）</w:t>
            </w:r>
          </w:p>
        </w:tc>
      </w:tr>
      <w:tr w14:paraId="00BB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A2F4138">
            <w:pPr>
              <w:autoSpaceDE/>
              <w:autoSpaceDN/>
              <w:contextualSpacing/>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 xml:space="preserve"> 0 = </w:t>
            </w:r>
            <w:r>
              <w:rPr>
                <w:rFonts w:hint="eastAsia" w:ascii="Times New Roman" w:hAnsi="Times New Roman" w:eastAsia="宋体" w:cs="Times New Roman"/>
                <w:kern w:val="2"/>
                <w:sz w:val="21"/>
                <w:szCs w:val="21"/>
              </w:rPr>
              <w:t>无红斑征象（可能存在炎症后色素沉着过度和</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或色素减退）</w:t>
            </w:r>
          </w:p>
        </w:tc>
      </w:tr>
      <w:tr w14:paraId="4C5F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E133B97">
            <w:pPr>
              <w:autoSpaceDE/>
              <w:autoSpaceDN/>
              <w:contextualSpacing/>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 xml:space="preserve"> 1 = </w:t>
            </w:r>
            <w:r>
              <w:rPr>
                <w:rFonts w:hint="eastAsia" w:ascii="Times New Roman" w:hAnsi="Times New Roman" w:eastAsia="宋体" w:cs="Times New Roman"/>
                <w:kern w:val="2"/>
                <w:sz w:val="21"/>
                <w:szCs w:val="21"/>
              </w:rPr>
              <w:t>淡粉色</w:t>
            </w:r>
          </w:p>
        </w:tc>
      </w:tr>
      <w:tr w14:paraId="7260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932A686">
            <w:pPr>
              <w:autoSpaceDE/>
              <w:autoSpaceDN/>
              <w:contextualSpacing/>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 xml:space="preserve"> 2 = </w:t>
            </w:r>
            <w:r>
              <w:rPr>
                <w:rFonts w:hint="eastAsia" w:ascii="Times New Roman" w:hAnsi="Times New Roman" w:eastAsia="宋体" w:cs="Times New Roman"/>
                <w:kern w:val="2"/>
                <w:sz w:val="21"/>
                <w:szCs w:val="21"/>
              </w:rPr>
              <w:t>淡红色</w:t>
            </w:r>
          </w:p>
        </w:tc>
      </w:tr>
      <w:tr w14:paraId="308B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7441B69">
            <w:pPr>
              <w:autoSpaceDE/>
              <w:autoSpaceDN/>
              <w:contextualSpacing/>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 xml:space="preserve"> 3 = </w:t>
            </w:r>
            <w:r>
              <w:rPr>
                <w:rFonts w:hint="eastAsia" w:ascii="Times New Roman" w:hAnsi="Times New Roman" w:eastAsia="宋体" w:cs="Times New Roman"/>
                <w:kern w:val="2"/>
                <w:sz w:val="21"/>
                <w:szCs w:val="21"/>
              </w:rPr>
              <w:t>红色</w:t>
            </w:r>
          </w:p>
        </w:tc>
      </w:tr>
      <w:tr w14:paraId="7973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single" w:color="auto" w:sz="4" w:space="0"/>
            </w:tcBorders>
          </w:tcPr>
          <w:p w14:paraId="1094615B">
            <w:pPr>
              <w:autoSpaceDE/>
              <w:autoSpaceDN/>
              <w:contextualSpacing/>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 xml:space="preserve"> 4 = </w:t>
            </w:r>
            <w:r>
              <w:rPr>
                <w:rFonts w:hint="eastAsia" w:ascii="Times New Roman" w:hAnsi="Times New Roman" w:eastAsia="宋体" w:cs="Times New Roman"/>
                <w:kern w:val="2"/>
                <w:sz w:val="21"/>
                <w:szCs w:val="21"/>
              </w:rPr>
              <w:t>暗红色或深红色</w:t>
            </w:r>
          </w:p>
        </w:tc>
      </w:tr>
      <w:tr w14:paraId="2A9E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left w:val="nil"/>
              <w:right w:val="nil"/>
            </w:tcBorders>
          </w:tcPr>
          <w:p w14:paraId="6207917F">
            <w:pPr>
              <w:autoSpaceDE/>
              <w:autoSpaceDN/>
              <w:contextualSpacing/>
              <w:jc w:val="both"/>
              <w:rPr>
                <w:rFonts w:ascii="Times New Roman" w:hAnsi="Times New Roman" w:eastAsia="宋体" w:cs="Times New Roman"/>
                <w:kern w:val="2"/>
                <w:sz w:val="21"/>
                <w:szCs w:val="21"/>
              </w:rPr>
            </w:pPr>
          </w:p>
        </w:tc>
      </w:tr>
      <w:tr w14:paraId="7C4D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EA1ECD8">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浸润</w:t>
            </w:r>
            <w:r>
              <w:rPr>
                <w:rFonts w:ascii="Times New Roman" w:hAnsi="Times New Roman" w:eastAsia="宋体" w:cs="Times New Roman"/>
                <w:b/>
                <w:kern w:val="2"/>
                <w:sz w:val="21"/>
                <w:szCs w:val="21"/>
              </w:rPr>
              <w:t xml:space="preserve"> (I)</w:t>
            </w:r>
          </w:p>
        </w:tc>
      </w:tr>
      <w:tr w14:paraId="7218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3A6AFCB">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确定浸润评分（对全身各处的评分取平均）</w:t>
            </w:r>
          </w:p>
        </w:tc>
      </w:tr>
      <w:tr w14:paraId="1DE7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1A80CE7">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0 = </w:t>
            </w:r>
            <w:r>
              <w:rPr>
                <w:rFonts w:hint="eastAsia" w:ascii="Times New Roman" w:hAnsi="Times New Roman" w:eastAsia="宋体" w:cs="Times New Roman"/>
                <w:kern w:val="2"/>
                <w:sz w:val="21"/>
                <w:szCs w:val="21"/>
              </w:rPr>
              <w:t>无斑块隆起迹象</w:t>
            </w:r>
          </w:p>
        </w:tc>
      </w:tr>
      <w:tr w14:paraId="2933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6D62DFD">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1 = </w:t>
            </w:r>
            <w:r>
              <w:rPr>
                <w:rFonts w:hint="eastAsia" w:ascii="Times New Roman" w:hAnsi="Times New Roman" w:eastAsia="宋体" w:cs="Times New Roman"/>
                <w:kern w:val="2"/>
                <w:sz w:val="21"/>
                <w:szCs w:val="21"/>
              </w:rPr>
              <w:t>几乎触摸不到</w:t>
            </w:r>
          </w:p>
        </w:tc>
      </w:tr>
      <w:tr w14:paraId="4DEF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A77115A">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2 = </w:t>
            </w:r>
            <w:r>
              <w:rPr>
                <w:rFonts w:hint="eastAsia" w:ascii="Times New Roman" w:hAnsi="Times New Roman" w:eastAsia="宋体" w:cs="Times New Roman"/>
                <w:kern w:val="2"/>
                <w:sz w:val="21"/>
                <w:szCs w:val="21"/>
              </w:rPr>
              <w:t>隆起轻微但明确，边界模糊</w:t>
            </w:r>
          </w:p>
        </w:tc>
      </w:tr>
      <w:tr w14:paraId="5292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5696C51">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3 = </w:t>
            </w:r>
            <w:r>
              <w:rPr>
                <w:rFonts w:hint="eastAsia" w:ascii="Times New Roman" w:hAnsi="Times New Roman" w:eastAsia="宋体" w:cs="Times New Roman"/>
                <w:kern w:val="2"/>
                <w:sz w:val="21"/>
                <w:szCs w:val="21"/>
              </w:rPr>
              <w:t>斑块隆起且边界明显</w:t>
            </w:r>
          </w:p>
        </w:tc>
      </w:tr>
      <w:tr w14:paraId="3B6D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single" w:color="auto" w:sz="4" w:space="0"/>
            </w:tcBorders>
          </w:tcPr>
          <w:p w14:paraId="5509E7C4">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4 = </w:t>
            </w:r>
            <w:r>
              <w:rPr>
                <w:rFonts w:hint="eastAsia" w:ascii="Times New Roman" w:hAnsi="Times New Roman" w:eastAsia="宋体" w:cs="Times New Roman"/>
                <w:kern w:val="2"/>
                <w:sz w:val="21"/>
                <w:szCs w:val="21"/>
              </w:rPr>
              <w:t>斑块明显隆起，边界坚硬</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清晰</w:t>
            </w:r>
          </w:p>
        </w:tc>
      </w:tr>
      <w:tr w14:paraId="038B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left w:val="nil"/>
              <w:right w:val="nil"/>
            </w:tcBorders>
          </w:tcPr>
          <w:p w14:paraId="53352728">
            <w:pPr>
              <w:autoSpaceDE/>
              <w:autoSpaceDN/>
              <w:contextualSpacing/>
              <w:jc w:val="both"/>
              <w:rPr>
                <w:rFonts w:ascii="Times New Roman" w:hAnsi="Times New Roman" w:eastAsia="宋体" w:cs="Times New Roman"/>
                <w:kern w:val="2"/>
                <w:sz w:val="21"/>
                <w:szCs w:val="21"/>
              </w:rPr>
            </w:pPr>
          </w:p>
        </w:tc>
      </w:tr>
      <w:tr w14:paraId="0F9E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7AD90A4">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鳞屑</w:t>
            </w:r>
            <w:r>
              <w:rPr>
                <w:rFonts w:ascii="Times New Roman" w:hAnsi="Times New Roman" w:eastAsia="宋体" w:cs="Times New Roman"/>
                <w:b/>
                <w:kern w:val="2"/>
                <w:sz w:val="21"/>
                <w:szCs w:val="21"/>
              </w:rPr>
              <w:t xml:space="preserve"> (S)</w:t>
            </w:r>
          </w:p>
        </w:tc>
      </w:tr>
      <w:tr w14:paraId="0629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6A55050">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确定鳞屑评分（对全身各处的评分取平均）</w:t>
            </w:r>
          </w:p>
        </w:tc>
      </w:tr>
      <w:tr w14:paraId="522D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A55EFC7">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0 = </w:t>
            </w:r>
            <w:r>
              <w:rPr>
                <w:rFonts w:hint="eastAsia" w:ascii="Times New Roman" w:hAnsi="Times New Roman" w:eastAsia="宋体" w:cs="Times New Roman"/>
                <w:kern w:val="2"/>
                <w:sz w:val="21"/>
                <w:szCs w:val="21"/>
              </w:rPr>
              <w:t>无鳞屑征象</w:t>
            </w:r>
          </w:p>
        </w:tc>
      </w:tr>
      <w:tr w14:paraId="2B76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0AB3AC1">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1 = </w:t>
            </w:r>
            <w:r>
              <w:rPr>
                <w:rFonts w:hint="eastAsia" w:ascii="Times New Roman" w:hAnsi="Times New Roman" w:eastAsia="宋体" w:cs="Times New Roman"/>
                <w:kern w:val="2"/>
                <w:sz w:val="21"/>
                <w:szCs w:val="21"/>
              </w:rPr>
              <w:t>偶有细微鳞屑</w:t>
            </w:r>
          </w:p>
        </w:tc>
      </w:tr>
      <w:tr w14:paraId="0899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C66C79E">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2 = </w:t>
            </w:r>
            <w:r>
              <w:rPr>
                <w:rFonts w:hint="eastAsia" w:ascii="Times New Roman" w:hAnsi="Times New Roman" w:eastAsia="宋体" w:cs="Times New Roman"/>
                <w:kern w:val="2"/>
                <w:sz w:val="21"/>
                <w:szCs w:val="21"/>
              </w:rPr>
              <w:t>主要为细微鳞屑</w:t>
            </w:r>
          </w:p>
        </w:tc>
      </w:tr>
      <w:tr w14:paraId="4B04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D6F60BB">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3 = </w:t>
            </w:r>
            <w:r>
              <w:rPr>
                <w:rFonts w:hint="eastAsia" w:ascii="Times New Roman" w:hAnsi="Times New Roman" w:eastAsia="宋体" w:cs="Times New Roman"/>
                <w:kern w:val="2"/>
                <w:sz w:val="21"/>
                <w:szCs w:val="21"/>
              </w:rPr>
              <w:t>主要为粗糙鳞屑</w:t>
            </w:r>
          </w:p>
        </w:tc>
      </w:tr>
      <w:tr w14:paraId="7F96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single" w:color="auto" w:sz="4" w:space="0"/>
            </w:tcBorders>
          </w:tcPr>
          <w:p w14:paraId="50980BBE">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4 = </w:t>
            </w:r>
            <w:r>
              <w:rPr>
                <w:rFonts w:hint="eastAsia" w:ascii="Times New Roman" w:hAnsi="Times New Roman" w:eastAsia="宋体" w:cs="Times New Roman"/>
                <w:kern w:val="2"/>
                <w:sz w:val="21"/>
                <w:szCs w:val="21"/>
              </w:rPr>
              <w:t>主要为粗糙的厚鳞屑</w:t>
            </w:r>
          </w:p>
        </w:tc>
      </w:tr>
      <w:tr w14:paraId="1B20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5000" w:type="pct"/>
            <w:tcBorders>
              <w:left w:val="nil"/>
              <w:right w:val="nil"/>
            </w:tcBorders>
            <w:vAlign w:val="center"/>
          </w:tcPr>
          <w:p w14:paraId="3B852B1A">
            <w:pPr>
              <w:tabs>
                <w:tab w:val="left" w:pos="1779"/>
                <w:tab w:val="left" w:pos="3309"/>
              </w:tabs>
              <w:autoSpaceDE/>
              <w:autoSpaceDN/>
              <w:contextualSpacing/>
              <w:jc w:val="both"/>
              <w:rPr>
                <w:rFonts w:ascii="Times New Roman" w:hAnsi="Times New Roman" w:eastAsia="宋体" w:cs="Times New Roman"/>
                <w:b/>
                <w:bCs/>
                <w:kern w:val="2"/>
                <w:sz w:val="21"/>
                <w:szCs w:val="21"/>
              </w:rPr>
            </w:pPr>
            <w:r>
              <w:rPr>
                <w:rFonts w:ascii="Times New Roman" w:hAnsi="Times New Roman" w:eastAsia="宋体" w:cs="Times New Roman"/>
                <w:b/>
                <w:kern w:val="2"/>
                <w:sz w:val="21"/>
                <w:szCs w:val="21"/>
              </w:rPr>
              <mc:AlternateContent>
                <mc:Choice Requires="wpg">
                  <w:drawing>
                    <wp:anchor distT="0" distB="0" distL="114300" distR="114300" simplePos="0" relativeHeight="251660288" behindDoc="0" locked="0" layoutInCell="1" allowOverlap="1">
                      <wp:simplePos x="0" y="0"/>
                      <wp:positionH relativeFrom="column">
                        <wp:posOffset>1499870</wp:posOffset>
                      </wp:positionH>
                      <wp:positionV relativeFrom="paragraph">
                        <wp:posOffset>95885</wp:posOffset>
                      </wp:positionV>
                      <wp:extent cx="577215" cy="64770"/>
                      <wp:effectExtent l="2540" t="0" r="10795" b="11430"/>
                      <wp:wrapNone/>
                      <wp:docPr id="5" name="Group 28"/>
                      <wp:cNvGraphicFramePr/>
                      <a:graphic xmlns:a="http://schemas.openxmlformats.org/drawingml/2006/main">
                        <a:graphicData uri="http://schemas.microsoft.com/office/word/2010/wordprocessingGroup">
                          <wpg:wgp>
                            <wpg:cNvGrpSpPr/>
                            <wpg:grpSpPr>
                              <a:xfrm>
                                <a:off x="0" y="0"/>
                                <a:ext cx="577215" cy="64770"/>
                                <a:chOff x="0" y="0"/>
                                <a:chExt cx="577215" cy="64770"/>
                              </a:xfrm>
                            </wpg:grpSpPr>
                            <wpg:grpSp>
                              <wpg:cNvPr id="7" name="Group 25"/>
                              <wpg:cNvGrpSpPr/>
                              <wpg:grpSpPr>
                                <a:xfrm>
                                  <a:off x="230505" y="0"/>
                                  <a:ext cx="346710" cy="64770"/>
                                  <a:chOff x="0" y="0"/>
                                  <a:chExt cx="346710" cy="64770"/>
                                </a:xfrm>
                              </wpg:grpSpPr>
                              <wpg:grpSp>
                                <wpg:cNvPr id="8" name="Group 12"/>
                                <wpg:cNvGrpSpPr/>
                                <wpg:grpSpPr>
                                  <a:xfrm>
                                    <a:off x="0" y="0"/>
                                    <a:ext cx="177165" cy="64770"/>
                                    <a:chOff x="0" y="0"/>
                                    <a:chExt cx="177165" cy="64770"/>
                                  </a:xfrm>
                                </wpg:grpSpPr>
                                <wps:wsp>
                                  <wps:cNvPr id="862973721" name="Straight Connector 8"/>
                                  <wps:cNvCnPr/>
                                  <wps:spPr>
                                    <a:xfrm>
                                      <a:off x="3810" y="0"/>
                                      <a:ext cx="0" cy="6477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830230416" name="Straight Connector 10"/>
                                  <wps:cNvCnPr/>
                                  <wps:spPr>
                                    <a:xfrm>
                                      <a:off x="173355" y="0"/>
                                      <a:ext cx="0" cy="6477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624239543" name="Straight Connector 11"/>
                                  <wps:cNvCnPr/>
                                  <wps:spPr>
                                    <a:xfrm>
                                      <a:off x="0" y="60960"/>
                                      <a:ext cx="177165" cy="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grpSp>
                                <wpg:cNvPr id="9" name="Group 13"/>
                                <wpg:cNvGrpSpPr/>
                                <wpg:grpSpPr>
                                  <a:xfrm>
                                    <a:off x="169545" y="0"/>
                                    <a:ext cx="177165" cy="64770"/>
                                    <a:chOff x="0" y="0"/>
                                    <a:chExt cx="177165" cy="64770"/>
                                  </a:xfrm>
                                </wpg:grpSpPr>
                                <wps:wsp>
                                  <wps:cNvPr id="655229281" name="Straight Connector 14"/>
                                  <wps:cNvCnPr/>
                                  <wps:spPr>
                                    <a:xfrm>
                                      <a:off x="3810" y="0"/>
                                      <a:ext cx="0" cy="6477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624317374" name="Straight Connector 15"/>
                                  <wps:cNvCnPr/>
                                  <wps:spPr>
                                    <a:xfrm>
                                      <a:off x="173355" y="0"/>
                                      <a:ext cx="0" cy="6477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718751765" name="Straight Connector 16"/>
                                  <wps:cNvCnPr/>
                                  <wps:spPr>
                                    <a:xfrm>
                                      <a:off x="0" y="60960"/>
                                      <a:ext cx="177165" cy="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grpSp>
                            <wpg:grpSp>
                              <wpg:cNvPr id="10" name="Group 21"/>
                              <wpg:cNvGrpSpPr/>
                              <wpg:grpSpPr>
                                <a:xfrm>
                                  <a:off x="0" y="0"/>
                                  <a:ext cx="177165" cy="64770"/>
                                  <a:chOff x="0" y="0"/>
                                  <a:chExt cx="177165" cy="64770"/>
                                </a:xfrm>
                              </wpg:grpSpPr>
                              <wps:wsp>
                                <wps:cNvPr id="1745838" name="Straight Connector 22"/>
                                <wps:cNvCnPr/>
                                <wps:spPr>
                                  <a:xfrm>
                                    <a:off x="3810" y="0"/>
                                    <a:ext cx="0" cy="6477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029795820" name="Straight Connector 23"/>
                                <wps:cNvCnPr/>
                                <wps:spPr>
                                  <a:xfrm>
                                    <a:off x="173355" y="0"/>
                                    <a:ext cx="0" cy="6477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811801793" name="Straight Connector 24"/>
                                <wps:cNvCnPr/>
                                <wps:spPr>
                                  <a:xfrm>
                                    <a:off x="0" y="60960"/>
                                    <a:ext cx="177165" cy="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s:wsp>
                              <wps:cNvPr id="813669062" name="Straight Connector 19"/>
                              <wps:cNvCnPr/>
                              <wps:spPr>
                                <a:xfrm>
                                  <a:off x="205740" y="17145"/>
                                  <a:ext cx="0" cy="17145"/>
                                </a:xfrm>
                                <a:prstGeom prst="line">
                                  <a:avLst/>
                                </a:prstGeom>
                                <a:noFill/>
                                <a:ln w="1905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28" o:spid="_x0000_s1026" o:spt="203" style="position:absolute;left:0pt;margin-left:118.1pt;margin-top:7.55pt;height:5.1pt;width:45.45pt;z-index:251660288;mso-width-relative:page;mso-height-relative:page;" coordsize="577215,64770" o:gfxdata="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">
                      <o:lock v:ext="edit" aspectratio="f"/>
                      <v:group id="Group 25" o:spid="_x0000_s1026" o:spt="203" style="position:absolute;left:230505;top:0;height:64770;width:346710;" coordsize="346710,64770"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group id="Group 12" o:spid="_x0000_s1026" o:spt="203" style="position:absolute;left:0;top:0;height:64770;width:177165;" coordsize="177165,6477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line id="Straight Connector 8" o:spid="_x0000_s1026" o:spt="20" style="position:absolute;left:3810;top:0;height:64770;width:0;" filled="f" stroked="t" coordsize="21600,21600" o:gfxdata="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IX+KTFAAAA4gAAAA8AAAAAAAAAAQAgAAAAIgAAAGRycy9kb3ducmV2LnhtbFBLAQIUABQAAAAI&#10;AIdO4kAzLwWeOwAAADkAAAAQAAAAAAAAAAEAIAAAABQBAABkcnMvc2hhcGV4bWwueG1sUEsFBgAA&#10;AAAGAAYAWwEAAL4DAAAAAA==&#10;">
                            <v:fill on="f" focussize="0,0"/>
                            <v:stroke weight="1pt" color="#000000 [3200]" miterlimit="8" joinstyle="miter"/>
                            <v:imagedata o:title=""/>
                            <o:lock v:ext="edit" aspectratio="f"/>
                          </v:line>
                          <v:line id="Straight Connector 10" o:spid="_x0000_s1026" o:spt="20" style="position:absolute;left:173355;top:0;height:64770;width:0;" filled="f" stroked="t" coordsize="21600,21600" o:gfxdata="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LW&#10;SHXCAAAA4wAAAA8AAAAAAAAAAQAgAAAAIgAAAGRycy9kb3ducmV2LnhtbFBLAQIUABQAAAAIAIdO&#10;4kAzLwWeOwAAADkAAAAQAAAAAAAAAAEAIAAAABEBAABkcnMvc2hhcGV4bWwueG1sUEsFBgAAAAAG&#10;AAYAWwEAALsDAAAAAA==&#10;">
                            <v:fill on="f" focussize="0,0"/>
                            <v:stroke weight="1pt" color="#000000 [3200]" miterlimit="8" joinstyle="miter"/>
                            <v:imagedata o:title=""/>
                            <o:lock v:ext="edit" aspectratio="f"/>
                          </v:line>
                          <v:line id="Straight Connector 11" o:spid="_x0000_s1026" o:spt="20" style="position:absolute;left:0;top:60960;height:0;width:177165;" filled="f" stroked="t" coordsize="21600,21600" o:gfxdata="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H4&#10;C97CAAAA4wAAAA8AAAAAAAAAAQAgAAAAIgAAAGRycy9kb3ducmV2LnhtbFBLAQIUABQAAAAIAIdO&#10;4kAzLwWeOwAAADkAAAAQAAAAAAAAAAEAIAAAABEBAABkcnMvc2hhcGV4bWwueG1sUEsFBgAAAAAG&#10;AAYAWwEAALsDAAAAAA==&#10;">
                            <v:fill on="f" focussize="0,0"/>
                            <v:stroke weight="1pt" color="#000000 [3200]" miterlimit="8" joinstyle="miter"/>
                            <v:imagedata o:title=""/>
                            <o:lock v:ext="edit" aspectratio="f"/>
                          </v:line>
                        </v:group>
                        <v:group id="Group 13" o:spid="_x0000_s1026" o:spt="203" style="position:absolute;left:169545;top:0;height:64770;width:177165;" coordsize="177165,6477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Straight Connector 14" o:spid="_x0000_s1026" o:spt="20" style="position:absolute;left:3810;top:0;height:64770;width:0;" filled="f" stroked="t" coordsize="21600,21600" o:gfxdata="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lsWOnFAAAA4gAAAA8AAAAAAAAAAQAgAAAAIgAAAGRycy9kb3ducmV2LnhtbFBLAQIUABQAAAAI&#10;AIdO4kAzLwWeOwAAADkAAAAQAAAAAAAAAAEAIAAAABQBAABkcnMvc2hhcGV4bWwueG1sUEsFBgAA&#10;AAAGAAYAWwEAAL4DAAAAAA==&#10;">
                            <v:fill on="f" focussize="0,0"/>
                            <v:stroke weight="1pt" color="#000000 [3200]" miterlimit="8" joinstyle="miter"/>
                            <v:imagedata o:title=""/>
                            <o:lock v:ext="edit" aspectratio="f"/>
                          </v:line>
                          <v:line id="Straight Connector 15" o:spid="_x0000_s1026" o:spt="20" style="position:absolute;left:173355;top:0;height:64770;width:0;" filled="f" stroked="t" coordsize="21600,21600" o:gfxdata="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PA&#10;7gLCAAAA4wAAAA8AAAAAAAAAAQAgAAAAIgAAAGRycy9kb3ducmV2LnhtbFBLAQIUABQAAAAIAIdO&#10;4kAzLwWeOwAAADkAAAAQAAAAAAAAAAEAIAAAABEBAABkcnMvc2hhcGV4bWwueG1sUEsFBgAAAAAG&#10;AAYAWwEAALsDAAAAAA==&#10;">
                            <v:fill on="f" focussize="0,0"/>
                            <v:stroke weight="1pt" color="#000000 [3200]" miterlimit="8" joinstyle="miter"/>
                            <v:imagedata o:title=""/>
                            <o:lock v:ext="edit" aspectratio="f"/>
                          </v:line>
                          <v:line id="Straight Connector 16" o:spid="_x0000_s1026" o:spt="20" style="position:absolute;left:0;top:60960;height:0;width:177165;" filled="f" stroked="t" coordsize="21600,21600" o:gfxdata="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hRhLcQAAADiAAAADwAAAAAAAAABACAAAAAiAAAAZHJzL2Rvd25yZXYueG1sUEsBAhQAFAAAAAgA&#10;h07iQDMvBZ47AAAAOQAAABAAAAAAAAAAAQAgAAAAEwEAAGRycy9zaGFwZXhtbC54bWxQSwUGAAAA&#10;AAYABgBbAQAAvQMAAAAA&#10;">
                            <v:fill on="f" focussize="0,0"/>
                            <v:stroke weight="1pt" color="#000000 [3200]" miterlimit="8" joinstyle="miter"/>
                            <v:imagedata o:title=""/>
                            <o:lock v:ext="edit" aspectratio="f"/>
                          </v:line>
                        </v:group>
                      </v:group>
                      <v:group id="Group 21" o:spid="_x0000_s1026" o:spt="203" style="position:absolute;left:0;top:0;height:64770;width:177165;" coordsize="177165,6477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line id="Straight Connector 22" o:spid="_x0000_s1026" o:spt="20" style="position:absolute;left:3810;top:0;height:64770;width:0;" filled="f" stroked="t" coordsize="21600,21600" o:gfxdata="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VSqy/&#10;AAAA4AAAAA8AAAAAAAAAAQAgAAAAIgAAAGRycy9kb3ducmV2LnhtbFBLAQIUABQAAAAIAIdO4kAz&#10;LwWeOwAAADkAAAAQAAAAAAAAAAEAIAAAAA4BAABkcnMvc2hhcGV4bWwueG1sUEsFBgAAAAAGAAYA&#10;WwEAALgDAAAAAA==&#10;">
                          <v:fill on="f" focussize="0,0"/>
                          <v:stroke weight="1pt" color="#000000 [3200]" miterlimit="8" joinstyle="miter"/>
                          <v:imagedata o:title=""/>
                          <o:lock v:ext="edit" aspectratio="f"/>
                        </v:line>
                        <v:line id="Straight Connector 23" o:spid="_x0000_s1026" o:spt="20" style="position:absolute;left:173355;top:0;height:64770;width:0;" filled="f" stroked="t" coordsize="21600,21600" o:gfxdata="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0o6ozFAAAA4wAAAA8AAAAAAAAAAQAgAAAAIgAAAGRycy9kb3ducmV2LnhtbFBLAQIUABQAAAAI&#10;AIdO4kAzLwWeOwAAADkAAAAQAAAAAAAAAAEAIAAAABQBAABkcnMvc2hhcGV4bWwueG1sUEsFBgAA&#10;AAAGAAYAWwEAAL4DAAAAAA==&#10;">
                          <v:fill on="f" focussize="0,0"/>
                          <v:stroke weight="1pt" color="#000000 [3200]" miterlimit="8" joinstyle="miter"/>
                          <v:imagedata o:title=""/>
                          <o:lock v:ext="edit" aspectratio="f"/>
                        </v:line>
                        <v:line id="Straight Connector 24" o:spid="_x0000_s1026" o:spt="20" style="position:absolute;left:0;top:60960;height:0;width:177165;" filled="f" stroked="t" coordsize="21600,21600" o:gfxdata="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1dw&#10;8sEAAADjAAAADwAAAAAAAAABACAAAAAiAAAAZHJzL2Rvd25yZXYueG1sUEsBAhQAFAAAAAgAh07i&#10;QDMvBZ47AAAAOQAAABAAAAAAAAAAAQAgAAAAEAEAAGRycy9zaGFwZXhtbC54bWxQSwUGAAAAAAYA&#10;BgBbAQAAugMAAAAA&#10;">
                          <v:fill on="f" focussize="0,0"/>
                          <v:stroke weight="1pt" color="#000000 [3200]" miterlimit="8" joinstyle="miter"/>
                          <v:imagedata o:title=""/>
                          <o:lock v:ext="edit" aspectratio="f"/>
                        </v:line>
                      </v:group>
                      <v:line id="Straight Connector 19" o:spid="_x0000_s1026" o:spt="20" style="position:absolute;left:205740;top:17145;height:17145;width:0;" filled="f" stroked="t" coordsize="21600,21600" o:gfxdata="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YIfYwwAAAOIAAAAPAAAAAAAAAAEAIAAAACIAAABkcnMvZG93bnJldi54bWxQSwECFAAUAAAACACH&#10;TuJAMy8FnjsAAAA5AAAAEAAAAAAAAAABACAAAAASAQAAZHJzL3NoYXBleG1sLnhtbFBLBQYAAAAA&#10;BgAGAFsBAAC8AwAAAAA=&#10;">
                        <v:fill on="f" focussize="0,0"/>
                        <v:stroke weight="1.5pt" color="#000000 [3200]" miterlimit="8" joinstyle="miter"/>
                        <v:imagedata o:title=""/>
                        <o:lock v:ext="edit" aspectratio="f"/>
                      </v:line>
                    </v:group>
                  </w:pict>
                </mc:Fallback>
              </mc:AlternateContent>
            </w:r>
            <w:r>
              <w:rPr>
                <w:rFonts w:ascii="Times New Roman" w:hAnsi="Times New Roman" w:eastAsia="宋体" w:cs="Times New Roman"/>
                <w:b/>
                <w:kern w:val="2"/>
                <w:sz w:val="21"/>
                <w:szCs w:val="21"/>
              </w:rPr>
              <mc:AlternateContent>
                <mc:Choice Requires="wpg">
                  <w:drawing>
                    <wp:anchor distT="0" distB="0" distL="114300" distR="114300" simplePos="0" relativeHeight="251659264" behindDoc="0" locked="0" layoutInCell="1" allowOverlap="1">
                      <wp:simplePos x="0" y="0"/>
                      <wp:positionH relativeFrom="column">
                        <wp:posOffset>708025</wp:posOffset>
                      </wp:positionH>
                      <wp:positionV relativeFrom="paragraph">
                        <wp:posOffset>59055</wp:posOffset>
                      </wp:positionV>
                      <wp:extent cx="348615" cy="116205"/>
                      <wp:effectExtent l="2540" t="0" r="1270" b="7620"/>
                      <wp:wrapNone/>
                      <wp:docPr id="11" name="Group 6"/>
                      <wp:cNvGraphicFramePr/>
                      <a:graphic xmlns:a="http://schemas.openxmlformats.org/drawingml/2006/main">
                        <a:graphicData uri="http://schemas.microsoft.com/office/word/2010/wordprocessingGroup">
                          <wpg:wgp>
                            <wpg:cNvGrpSpPr/>
                            <wpg:grpSpPr>
                              <a:xfrm>
                                <a:off x="0" y="0"/>
                                <a:ext cx="348615" cy="116205"/>
                                <a:chOff x="1905" y="0"/>
                                <a:chExt cx="348615" cy="116205"/>
                              </a:xfrm>
                            </wpg:grpSpPr>
                            <wps:wsp>
                              <wps:cNvPr id="2" name="Straight Connector 2"/>
                              <wps:cNvCnPr/>
                              <wps:spPr>
                                <a:xfrm>
                                  <a:off x="344805" y="0"/>
                                  <a:ext cx="0" cy="11049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3" name="Straight Connector 3"/>
                              <wps:cNvCnPr/>
                              <wps:spPr>
                                <a:xfrm>
                                  <a:off x="1905" y="114300"/>
                                  <a:ext cx="348615" cy="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2" name="Straight Connector 4"/>
                              <wps:cNvCnPr/>
                              <wps:spPr>
                                <a:xfrm>
                                  <a:off x="171450" y="1905"/>
                                  <a:ext cx="0" cy="11049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3" name="Straight Connector 5"/>
                              <wps:cNvCnPr/>
                              <wps:spPr>
                                <a:xfrm>
                                  <a:off x="5715" y="1905"/>
                                  <a:ext cx="0" cy="114300"/>
                                </a:xfrm>
                                <a:prstGeom prst="line">
                                  <a:avLst/>
                                </a:prstGeom>
                                <a:noFill/>
                                <a:ln w="1270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6" o:spid="_x0000_s1026" o:spt="203" style="position:absolute;left:0pt;margin-left:55.75pt;margin-top:4.65pt;height:9.15pt;width:27.45pt;z-index:251659264;mso-width-relative:page;mso-height-relative:page;" coordorigin="1905,0" coordsize="348615,116205" o:gfxdata="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FyftvXYAAAACAEAAA8AAAAAAAAAAQAgAAAAIgAAAGRycy9kb3du&#10;cmV2LnhtbFBLAQIUABQAAAAIAIdO4kC+sYZsqgIAAAsLAAAOAAAAAAAAAAEAIAAAACcBAABkcnMv&#10;ZTJvRG9jLnhtbFBLBQYAAAAABgAGAFkBAABDBgAAAAA=&#10;">
                      <o:lock v:ext="edit" aspectratio="f"/>
                      <v:line id="Straight Connector 2" o:spid="_x0000_s1026" o:spt="20" style="position:absolute;left:344805;top:0;height:110490;width:0;" filled="f" stroked="t" coordsize="21600,21600" o:gfxdata="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1yU68AAAA&#10;2gAAAA8AAAAAAAAAAQAgAAAAIgAAAGRycy9kb3ducmV2LnhtbFBLAQIUABQAAAAIAIdO4kAzLwWe&#10;OwAAADkAAAAQAAAAAAAAAAEAIAAAAAsBAABkcnMvc2hhcGV4bWwueG1sUEsFBgAAAAAGAAYAWwEA&#10;ALUDAAAAAA==&#10;">
                        <v:fill on="f" focussize="0,0"/>
                        <v:stroke weight="1pt" color="#000000 [3200]" miterlimit="8" joinstyle="miter"/>
                        <v:imagedata o:title=""/>
                        <o:lock v:ext="edit" aspectratio="f"/>
                      </v:line>
                      <v:line id="Straight Connector 3" o:spid="_x0000_s1026" o:spt="20" style="position:absolute;left:1905;top:114300;height:0;width:348615;" filled="f" stroked="t" coordsize="21600,21600" o:gfxdata="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OWzVvQAA&#10;ANoAAAAPAAAAAAAAAAEAIAAAACIAAABkcnMvZG93bnJldi54bWxQSwECFAAUAAAACACHTuJAMy8F&#10;njsAAAA5AAAAEAAAAAAAAAABACAAAAAMAQAAZHJzL3NoYXBleG1sLnhtbFBLBQYAAAAABgAGAFsB&#10;AAC2AwAAAAA=&#10;">
                        <v:fill on="f" focussize="0,0"/>
                        <v:stroke weight="1pt" color="#000000 [3200]" miterlimit="8" joinstyle="miter"/>
                        <v:imagedata o:title=""/>
                        <o:lock v:ext="edit" aspectratio="f"/>
                      </v:line>
                      <v:line id="Straight Connector 4" o:spid="_x0000_s1026" o:spt="20" style="position:absolute;left:171450;top:1905;height:110490;width:0;" filled="f" stroked="t" coordsize="21600,21600" o:gfxdata="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tUY7sAAADb&#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line id="Straight Connector 5" o:spid="_x0000_s1026" o:spt="20" style="position:absolute;left:5715;top:1905;height:114300;width:0;" filled="f" stroked="t" coordsize="21600,21600" o:gfxdata="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38fi8AAAA&#10;2wAAAA8AAAAAAAAAAQAgAAAAIgAAAGRycy9kb3ducmV2LnhtbFBLAQIUABQAAAAIAIdO4kAzLwWe&#10;OwAAADkAAAAQAAAAAAAAAAEAIAAAAAsBAABkcnMvc2hhcGV4bWwueG1sUEsFBgAAAAAGAAYAWwEA&#10;ALUDAAAAAA==&#10;">
                        <v:fill on="f" focussize="0,0"/>
                        <v:stroke weight="1pt" color="#000000 [3200]" miterlimit="8" joinstyle="miter"/>
                        <v:imagedata o:title=""/>
                        <o:lock v:ext="edit" aspectratio="f"/>
                      </v:line>
                    </v:group>
                  </w:pict>
                </mc:Fallback>
              </mc:AlternateContent>
            </w:r>
            <w:r>
              <w:rPr>
                <w:rFonts w:ascii="Times New Roman" w:hAnsi="Times New Roman" w:eastAsia="宋体" w:cs="Times New Roman"/>
                <w:b/>
                <w:kern w:val="2"/>
                <w:sz w:val="21"/>
                <w:szCs w:val="21"/>
              </w:rPr>
              <w:t xml:space="preserve">E + I + S = </w:t>
            </w:r>
            <w:r>
              <w:rPr>
                <w:rFonts w:ascii="Times New Roman" w:hAnsi="Times New Roman" w:eastAsia="宋体" w:cs="Times New Roman"/>
                <w:kern w:val="2"/>
                <w:sz w:val="21"/>
                <w:szCs w:val="21"/>
              </w:rPr>
              <w:tab/>
            </w:r>
            <w:r>
              <w:rPr>
                <w:rFonts w:ascii="Times New Roman" w:hAnsi="Times New Roman" w:eastAsia="宋体" w:cs="Times New Roman"/>
                <w:b/>
                <w:kern w:val="2"/>
                <w:sz w:val="21"/>
                <w:szCs w:val="21"/>
              </w:rPr>
              <w:t xml:space="preserve"> / 3 =∙</w:t>
            </w:r>
            <w:r>
              <w:rPr>
                <w:rFonts w:ascii="Times New Roman" w:hAnsi="Times New Roman" w:eastAsia="宋体" w:cs="Times New Roman"/>
                <w:kern w:val="2"/>
                <w:sz w:val="21"/>
                <w:szCs w:val="21"/>
              </w:rPr>
              <w:tab/>
            </w:r>
            <w:r>
              <w:rPr>
                <w:rFonts w:hint="eastAsia" w:ascii="Times New Roman" w:hAnsi="Times New Roman" w:eastAsia="宋体" w:cs="Times New Roman"/>
                <w:b/>
                <w:kern w:val="2"/>
                <w:sz w:val="21"/>
                <w:szCs w:val="21"/>
              </w:rPr>
              <w:t>（总平均分）</w:t>
            </w:r>
          </w:p>
        </w:tc>
      </w:tr>
      <w:tr w14:paraId="154F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F4F05E">
            <w:pPr>
              <w:autoSpaceDE/>
              <w:autoSpaceDN/>
              <w:contextualSpacing/>
              <w:jc w:val="both"/>
              <w:rPr>
                <w:rFonts w:ascii="Times New Roman" w:hAnsi="Times New Roman" w:eastAsia="宋体" w:cs="Times New Roman"/>
                <w:b/>
                <w:bCs/>
                <w:kern w:val="2"/>
                <w:sz w:val="21"/>
                <w:szCs w:val="21"/>
              </w:rPr>
            </w:pPr>
            <w:r>
              <w:rPr>
                <w:rFonts w:hint="eastAsia" w:ascii="Times New Roman" w:hAnsi="Times New Roman" w:eastAsia="宋体" w:cs="Times New Roman"/>
                <w:b/>
                <w:kern w:val="2"/>
                <w:sz w:val="21"/>
                <w:szCs w:val="21"/>
              </w:rPr>
              <w:t>医生整体评价</w:t>
            </w:r>
            <w:r>
              <w:rPr>
                <w:rFonts w:ascii="Times New Roman" w:hAnsi="Times New Roman" w:eastAsia="宋体" w:cs="Times New Roman"/>
                <w:b/>
                <w:kern w:val="2"/>
                <w:sz w:val="21"/>
                <w:szCs w:val="21"/>
              </w:rPr>
              <w:t xml:space="preserve"> - </w:t>
            </w:r>
            <w:r>
              <w:rPr>
                <w:rFonts w:hint="eastAsia" w:ascii="Times New Roman" w:hAnsi="Times New Roman" w:eastAsia="宋体" w:cs="Times New Roman"/>
                <w:b/>
                <w:kern w:val="2"/>
                <w:sz w:val="21"/>
                <w:szCs w:val="21"/>
              </w:rPr>
              <w:t>基于上面的总平均分</w:t>
            </w:r>
          </w:p>
        </w:tc>
      </w:tr>
      <w:tr w14:paraId="3004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D79B116">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0 = </w:t>
            </w:r>
            <w:r>
              <w:rPr>
                <w:rFonts w:hint="eastAsia" w:ascii="Times New Roman" w:hAnsi="Times New Roman" w:eastAsia="宋体" w:cs="Times New Roman"/>
                <w:kern w:val="2"/>
                <w:sz w:val="21"/>
                <w:szCs w:val="21"/>
              </w:rPr>
              <w:t>消退</w:t>
            </w:r>
            <w:r>
              <w:rPr>
                <w:rFonts w:ascii="Times New Roman" w:hAnsi="Times New Roman" w:eastAsia="宋体" w:cs="Times New Roman"/>
                <w:kern w:val="2"/>
                <w:sz w:val="21"/>
                <w:szCs w:val="21"/>
              </w:rPr>
              <w:t xml:space="preserve"> - </w:t>
            </w:r>
            <w:r>
              <w:rPr>
                <w:rFonts w:hint="eastAsia" w:ascii="Times New Roman" w:hAnsi="Times New Roman" w:eastAsia="宋体" w:cs="Times New Roman"/>
                <w:kern w:val="2"/>
                <w:sz w:val="21"/>
                <w:szCs w:val="21"/>
              </w:rPr>
              <w:t>除有残留变色外，完全消退</w:t>
            </w:r>
          </w:p>
        </w:tc>
      </w:tr>
      <w:tr w14:paraId="358D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30D6E2F">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1 = </w:t>
            </w:r>
            <w:r>
              <w:rPr>
                <w:rFonts w:hint="eastAsia" w:ascii="Times New Roman" w:hAnsi="Times New Roman" w:eastAsia="宋体" w:cs="Times New Roman"/>
                <w:kern w:val="2"/>
                <w:sz w:val="21"/>
                <w:szCs w:val="21"/>
              </w:rPr>
              <w:t>几乎消退</w:t>
            </w:r>
            <w:r>
              <w:rPr>
                <w:rFonts w:ascii="Times New Roman" w:hAnsi="Times New Roman" w:eastAsia="宋体" w:cs="Times New Roman"/>
                <w:kern w:val="2"/>
                <w:sz w:val="21"/>
                <w:szCs w:val="21"/>
              </w:rPr>
              <w:t xml:space="preserve"> - </w:t>
            </w:r>
            <w:r>
              <w:rPr>
                <w:rFonts w:hint="eastAsia" w:ascii="Times New Roman" w:hAnsi="Times New Roman" w:eastAsia="宋体" w:cs="Times New Roman"/>
                <w:kern w:val="2"/>
                <w:sz w:val="21"/>
                <w:szCs w:val="21"/>
              </w:rPr>
              <w:t>大多数皮损各自三项评分的平均值等于</w:t>
            </w:r>
            <w:r>
              <w:rPr>
                <w:rFonts w:ascii="Times New Roman" w:hAnsi="Times New Roman" w:eastAsia="宋体" w:cs="Times New Roman"/>
                <w:kern w:val="2"/>
                <w:sz w:val="21"/>
                <w:szCs w:val="21"/>
              </w:rPr>
              <w:t xml:space="preserve"> 1</w:t>
            </w:r>
            <w:r>
              <w:rPr>
                <w:rFonts w:hint="eastAsia" w:ascii="Times New Roman" w:hAnsi="Times New Roman" w:eastAsia="宋体" w:cs="Times New Roman"/>
                <w:kern w:val="2"/>
                <w:sz w:val="21"/>
                <w:szCs w:val="21"/>
              </w:rPr>
              <w:t>，即</w:t>
            </w:r>
            <w:r>
              <w:rPr>
                <w:rFonts w:ascii="Times New Roman" w:hAnsi="Times New Roman" w:eastAsia="宋体" w:cs="Times New Roman"/>
                <w:kern w:val="2"/>
                <w:sz w:val="21"/>
                <w:szCs w:val="21"/>
              </w:rPr>
              <w:t xml:space="preserve"> E + I + S / 3 = 1</w:t>
            </w:r>
          </w:p>
        </w:tc>
      </w:tr>
      <w:tr w14:paraId="4E46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EC1E24E">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2 = </w:t>
            </w:r>
            <w:r>
              <w:rPr>
                <w:rFonts w:hint="eastAsia" w:ascii="Times New Roman" w:hAnsi="Times New Roman" w:eastAsia="宋体" w:cs="Times New Roman"/>
                <w:kern w:val="2"/>
                <w:sz w:val="21"/>
                <w:szCs w:val="21"/>
              </w:rPr>
              <w:t>轻度</w:t>
            </w:r>
            <w:r>
              <w:rPr>
                <w:rFonts w:ascii="Times New Roman" w:hAnsi="Times New Roman" w:eastAsia="宋体" w:cs="Times New Roman"/>
                <w:kern w:val="2"/>
                <w:sz w:val="21"/>
                <w:szCs w:val="21"/>
              </w:rPr>
              <w:t xml:space="preserve"> - </w:t>
            </w:r>
            <w:r>
              <w:rPr>
                <w:rFonts w:hint="eastAsia" w:ascii="Times New Roman" w:hAnsi="Times New Roman" w:eastAsia="宋体" w:cs="Times New Roman"/>
                <w:kern w:val="2"/>
                <w:sz w:val="21"/>
                <w:szCs w:val="21"/>
              </w:rPr>
              <w:t>大多数皮损各自三项评分的平均值等于</w:t>
            </w:r>
            <w:r>
              <w:rPr>
                <w:rFonts w:ascii="Times New Roman" w:hAnsi="Times New Roman" w:eastAsia="宋体" w:cs="Times New Roman"/>
                <w:kern w:val="2"/>
                <w:sz w:val="21"/>
                <w:szCs w:val="21"/>
              </w:rPr>
              <w:t xml:space="preserve"> 2</w:t>
            </w:r>
            <w:r>
              <w:rPr>
                <w:rFonts w:hint="eastAsia" w:ascii="Times New Roman" w:hAnsi="Times New Roman" w:eastAsia="宋体" w:cs="Times New Roman"/>
                <w:kern w:val="2"/>
                <w:sz w:val="21"/>
                <w:szCs w:val="21"/>
              </w:rPr>
              <w:t>，即</w:t>
            </w:r>
            <w:r>
              <w:rPr>
                <w:rFonts w:ascii="Times New Roman" w:hAnsi="Times New Roman" w:eastAsia="宋体" w:cs="Times New Roman"/>
                <w:kern w:val="2"/>
                <w:sz w:val="21"/>
                <w:szCs w:val="21"/>
              </w:rPr>
              <w:t xml:space="preserve"> E + I + S / 3 = 2</w:t>
            </w:r>
          </w:p>
        </w:tc>
      </w:tr>
      <w:tr w14:paraId="123B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20732FF">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3 = </w:t>
            </w:r>
            <w:r>
              <w:rPr>
                <w:rFonts w:hint="eastAsia" w:ascii="Times New Roman" w:hAnsi="Times New Roman" w:eastAsia="宋体" w:cs="Times New Roman"/>
                <w:kern w:val="2"/>
                <w:sz w:val="21"/>
                <w:szCs w:val="21"/>
              </w:rPr>
              <w:t>中度</w:t>
            </w:r>
            <w:r>
              <w:rPr>
                <w:rFonts w:ascii="Times New Roman" w:hAnsi="Times New Roman" w:eastAsia="宋体" w:cs="Times New Roman"/>
                <w:kern w:val="2"/>
                <w:sz w:val="21"/>
                <w:szCs w:val="21"/>
              </w:rPr>
              <w:t xml:space="preserve"> - </w:t>
            </w:r>
            <w:r>
              <w:rPr>
                <w:rFonts w:hint="eastAsia" w:ascii="Times New Roman" w:hAnsi="Times New Roman" w:eastAsia="宋体" w:cs="Times New Roman"/>
                <w:kern w:val="2"/>
                <w:sz w:val="21"/>
                <w:szCs w:val="21"/>
              </w:rPr>
              <w:t>大多数皮损各自三项评分的平均值等于</w:t>
            </w:r>
            <w:r>
              <w:rPr>
                <w:rFonts w:ascii="Times New Roman" w:hAnsi="Times New Roman" w:eastAsia="宋体" w:cs="Times New Roman"/>
                <w:kern w:val="2"/>
                <w:sz w:val="21"/>
                <w:szCs w:val="21"/>
              </w:rPr>
              <w:t xml:space="preserve"> 3</w:t>
            </w:r>
            <w:r>
              <w:rPr>
                <w:rFonts w:hint="eastAsia" w:ascii="Times New Roman" w:hAnsi="Times New Roman" w:eastAsia="宋体" w:cs="Times New Roman"/>
                <w:kern w:val="2"/>
                <w:sz w:val="21"/>
                <w:szCs w:val="21"/>
              </w:rPr>
              <w:t>，即</w:t>
            </w:r>
            <w:r>
              <w:rPr>
                <w:rFonts w:ascii="Times New Roman" w:hAnsi="Times New Roman" w:eastAsia="宋体" w:cs="Times New Roman"/>
                <w:kern w:val="2"/>
                <w:sz w:val="21"/>
                <w:szCs w:val="21"/>
              </w:rPr>
              <w:t xml:space="preserve"> E + I + S / 3 = 3</w:t>
            </w:r>
          </w:p>
        </w:tc>
      </w:tr>
      <w:tr w14:paraId="7DEA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DC3AF40">
            <w:pPr>
              <w:numPr>
                <w:ilvl w:val="0"/>
                <w:numId w:val="70"/>
              </w:numPr>
              <w:contextualSpacing/>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4 = </w:t>
            </w:r>
            <w:r>
              <w:rPr>
                <w:rFonts w:hint="eastAsia" w:ascii="Times New Roman" w:hAnsi="Times New Roman" w:eastAsia="宋体" w:cs="Times New Roman"/>
                <w:kern w:val="2"/>
                <w:sz w:val="21"/>
                <w:szCs w:val="21"/>
              </w:rPr>
              <w:t>重度</w:t>
            </w:r>
            <w:r>
              <w:rPr>
                <w:rFonts w:ascii="Times New Roman" w:hAnsi="Times New Roman" w:eastAsia="宋体" w:cs="Times New Roman"/>
                <w:kern w:val="2"/>
                <w:sz w:val="21"/>
                <w:szCs w:val="21"/>
              </w:rPr>
              <w:t xml:space="preserve"> - </w:t>
            </w:r>
            <w:r>
              <w:rPr>
                <w:rFonts w:hint="eastAsia" w:ascii="Times New Roman" w:hAnsi="Times New Roman" w:eastAsia="宋体" w:cs="Times New Roman"/>
                <w:kern w:val="2"/>
                <w:sz w:val="21"/>
                <w:szCs w:val="21"/>
              </w:rPr>
              <w:t>大多数皮损各自三项评分的平均值等于</w:t>
            </w:r>
            <w:r>
              <w:rPr>
                <w:rFonts w:ascii="Times New Roman" w:hAnsi="Times New Roman" w:eastAsia="宋体" w:cs="Times New Roman"/>
                <w:kern w:val="2"/>
                <w:sz w:val="21"/>
                <w:szCs w:val="21"/>
              </w:rPr>
              <w:t xml:space="preserve"> 4</w:t>
            </w:r>
            <w:r>
              <w:rPr>
                <w:rFonts w:hint="eastAsia" w:ascii="Times New Roman" w:hAnsi="Times New Roman" w:eastAsia="宋体" w:cs="Times New Roman"/>
                <w:kern w:val="2"/>
                <w:sz w:val="21"/>
                <w:szCs w:val="21"/>
              </w:rPr>
              <w:t>，即</w:t>
            </w:r>
            <w:r>
              <w:rPr>
                <w:rFonts w:ascii="Times New Roman" w:hAnsi="Times New Roman" w:eastAsia="宋体" w:cs="Times New Roman"/>
                <w:kern w:val="2"/>
                <w:sz w:val="21"/>
                <w:szCs w:val="21"/>
              </w:rPr>
              <w:t xml:space="preserve"> E + I + S / 3 = 4</w:t>
            </w:r>
          </w:p>
        </w:tc>
      </w:tr>
    </w:tbl>
    <w:p w14:paraId="7ABC725D">
      <w:pPr>
        <w:topLinePunct/>
        <w:autoSpaceDE/>
        <w:autoSpaceDN/>
        <w:spacing w:line="320" w:lineRule="exact"/>
        <w:ind w:firstLine="558" w:firstLineChars="266"/>
        <w:jc w:val="both"/>
        <w:rPr>
          <w:rFonts w:ascii="Times New Roman" w:hAnsi="Times New Roman" w:eastAsia="宋体" w:cs="Times New Roman"/>
          <w:kern w:val="2"/>
          <w:sz w:val="21"/>
          <w:szCs w:val="21"/>
        </w:rPr>
      </w:pPr>
    </w:p>
    <w:p w14:paraId="0F3D5ED3">
      <w:pPr>
        <w:autoSpaceDE/>
        <w:autoSpaceDN/>
        <w:jc w:val="both"/>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注：总平均分舍入至最接近的整数评分，例如：若总平均分≤</w:t>
      </w:r>
      <w:r>
        <w:rPr>
          <w:rFonts w:ascii="Times New Roman" w:hAnsi="Times New Roman" w:eastAsia="宋体" w:cs="Times New Roman"/>
          <w:kern w:val="2"/>
          <w:sz w:val="21"/>
          <w:szCs w:val="21"/>
        </w:rPr>
        <w:t xml:space="preserve"> 2.49</w:t>
      </w:r>
      <w:r>
        <w:rPr>
          <w:rFonts w:hint="eastAsia" w:ascii="Times New Roman" w:hAnsi="Times New Roman" w:eastAsia="宋体" w:cs="Times New Roman"/>
          <w:kern w:val="2"/>
          <w:sz w:val="21"/>
          <w:szCs w:val="21"/>
        </w:rPr>
        <w:t>，则评分</w:t>
      </w:r>
      <w:r>
        <w:rPr>
          <w:rFonts w:ascii="Times New Roman" w:hAnsi="Times New Roman" w:eastAsia="宋体" w:cs="Times New Roman"/>
          <w:kern w:val="2"/>
          <w:sz w:val="21"/>
          <w:szCs w:val="21"/>
        </w:rPr>
        <w:t>= 2</w:t>
      </w:r>
      <w:r>
        <w:rPr>
          <w:rFonts w:hint="eastAsia" w:ascii="Times New Roman" w:hAnsi="Times New Roman" w:eastAsia="宋体" w:cs="Times New Roman"/>
          <w:kern w:val="2"/>
          <w:sz w:val="21"/>
          <w:szCs w:val="21"/>
        </w:rPr>
        <w:t>；若总平均分≥</w:t>
      </w:r>
      <w:r>
        <w:rPr>
          <w:rFonts w:ascii="Times New Roman" w:hAnsi="Times New Roman" w:eastAsia="宋体" w:cs="Times New Roman"/>
          <w:kern w:val="2"/>
          <w:sz w:val="21"/>
          <w:szCs w:val="21"/>
        </w:rPr>
        <w:t xml:space="preserve"> 2.50</w:t>
      </w:r>
      <w:r>
        <w:rPr>
          <w:rFonts w:hint="eastAsia" w:ascii="Times New Roman" w:hAnsi="Times New Roman" w:eastAsia="宋体" w:cs="Times New Roman"/>
          <w:kern w:val="2"/>
          <w:sz w:val="21"/>
          <w:szCs w:val="21"/>
        </w:rPr>
        <w:t>，则评分</w:t>
      </w:r>
      <w:r>
        <w:rPr>
          <w:rFonts w:ascii="Times New Roman" w:hAnsi="Times New Roman" w:eastAsia="宋体" w:cs="Times New Roman"/>
          <w:kern w:val="2"/>
          <w:sz w:val="21"/>
          <w:szCs w:val="21"/>
        </w:rPr>
        <w:t>= 3</w:t>
      </w:r>
    </w:p>
    <w:p w14:paraId="4F220731">
      <w:pPr>
        <w:rPr>
          <w:rFonts w:ascii="Times New Roman" w:hAnsi="Times New Roman" w:eastAsia="宋体" w:cs="Times New Roman"/>
          <w:kern w:val="2"/>
          <w:sz w:val="21"/>
          <w:szCs w:val="21"/>
        </w:rPr>
      </w:pPr>
      <w:r>
        <w:rPr>
          <w:rFonts w:ascii="Times New Roman" w:hAnsi="Times New Roman" w:eastAsia="宋体" w:cs="Times New Roman"/>
          <w:kern w:val="2"/>
          <w:sz w:val="21"/>
          <w:szCs w:val="21"/>
        </w:rPr>
        <w:br w:type="page"/>
      </w:r>
    </w:p>
    <w:p w14:paraId="46B95555">
      <w:pPr>
        <w:pStyle w:val="60"/>
        <w:ind w:firstLine="0" w:firstLineChars="0"/>
        <w:rPr>
          <w:rFonts w:cs="Times New Roman"/>
          <w:b/>
          <w:bCs/>
          <w:sz w:val="24"/>
          <w:szCs w:val="24"/>
        </w:rPr>
      </w:pPr>
      <w:r>
        <w:rPr>
          <w:rStyle w:val="99"/>
          <w:rFonts w:hint="eastAsia" w:cs="Times New Roman"/>
          <w:b/>
          <w:bCs/>
          <w:sz w:val="24"/>
          <w:szCs w:val="24"/>
        </w:rPr>
        <w:t>附录</w:t>
      </w:r>
      <w:r>
        <w:rPr>
          <w:rStyle w:val="99"/>
          <w:rFonts w:cs="Times New Roman"/>
          <w:b/>
          <w:bCs/>
          <w:sz w:val="24"/>
          <w:szCs w:val="24"/>
        </w:rPr>
        <w:t xml:space="preserve">6 </w:t>
      </w:r>
      <w:r>
        <w:rPr>
          <w:rFonts w:cs="Times New Roman"/>
          <w:b/>
          <w:bCs/>
          <w:sz w:val="24"/>
          <w:szCs w:val="24"/>
        </w:rPr>
        <w:t xml:space="preserve"> 皮肤病生活质量指数（DLQI）</w:t>
      </w:r>
    </w:p>
    <w:p w14:paraId="55C8E0BA">
      <w:pPr>
        <w:topLinePunct/>
        <w:autoSpaceDE/>
        <w:autoSpaceDN/>
        <w:spacing w:line="360" w:lineRule="auto"/>
        <w:jc w:val="center"/>
        <w:rPr>
          <w:rFonts w:ascii="Times New Roman" w:hAnsi="Times New Roman" w:eastAsia="宋体" w:cs="Times New Roman"/>
          <w:kern w:val="2"/>
          <w:sz w:val="28"/>
          <w:szCs w:val="28"/>
        </w:rPr>
      </w:pPr>
      <w:r>
        <w:rPr>
          <w:rFonts w:ascii="Times New Roman" w:hAnsi="Times New Roman" w:eastAsia="宋体" w:cs="Times New Roman"/>
          <w:kern w:val="2"/>
          <w:sz w:val="24"/>
          <w:szCs w:val="24"/>
        </w:rPr>
        <w:t>皮肤病生活质量指数问卷</w:t>
      </w:r>
    </w:p>
    <w:p w14:paraId="5961F1DC">
      <w:pPr>
        <w:topLinePunct/>
        <w:autoSpaceDE/>
        <w:autoSpaceDN/>
        <w:spacing w:line="400" w:lineRule="exact"/>
        <w:rPr>
          <w:rFonts w:ascii="Times New Roman" w:hAnsi="Times New Roman" w:eastAsia="宋体" w:cs="Times New Roman"/>
          <w:kern w:val="2"/>
          <w:sz w:val="21"/>
          <w:szCs w:val="21"/>
        </w:rPr>
      </w:pPr>
      <w:r>
        <w:rPr>
          <w:rFonts w:ascii="Times New Roman" w:hAnsi="Times New Roman" w:eastAsia="宋体" w:cs="Times New Roman"/>
          <w:kern w:val="2"/>
          <w:sz w:val="21"/>
          <w:szCs w:val="21"/>
        </w:rPr>
        <mc:AlternateContent>
          <mc:Choice Requires="wps">
            <w:drawing>
              <wp:anchor distT="0" distB="0" distL="114300" distR="114300" simplePos="0" relativeHeight="251662336" behindDoc="0" locked="0" layoutInCell="1" allowOverlap="1">
                <wp:simplePos x="0" y="0"/>
                <wp:positionH relativeFrom="column">
                  <wp:posOffset>4474210</wp:posOffset>
                </wp:positionH>
                <wp:positionV relativeFrom="paragraph">
                  <wp:posOffset>88265</wp:posOffset>
                </wp:positionV>
                <wp:extent cx="407035" cy="353060"/>
                <wp:effectExtent l="4445" t="4445" r="7620" b="13970"/>
                <wp:wrapNone/>
                <wp:docPr id="14" name="矩形 14"/>
                <wp:cNvGraphicFramePr/>
                <a:graphic xmlns:a="http://schemas.openxmlformats.org/drawingml/2006/main">
                  <a:graphicData uri="http://schemas.microsoft.com/office/word/2010/wordprocessingShape">
                    <wps:wsp>
                      <wps:cNvSpPr>
                        <a:spLocks noChangeArrowheads="1"/>
                      </wps:cNvSpPr>
                      <wps:spPr bwMode="auto">
                        <a:xfrm>
                          <a:off x="0" y="0"/>
                          <a:ext cx="407035" cy="35306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52.3pt;margin-top:6.95pt;height:27.8pt;width:32.05pt;z-index:251662336;mso-width-relative:page;mso-height-relative:page;" fillcolor="#FFFFFF" filled="t" stroked="t" coordsize="21600,21600" o:gfxdata="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WAKXdgAAAAJAQAADwAAAAAAAAABACAAAAAiAAAAZHJzL2Rvd25yZXYu&#10;eG1sUEsBAhQAFAAAAAgAh07iQH52VrU0AgAAcAQAAA4AAAAAAAAAAQAgAAAAJwEAAGRycy9lMm9E&#10;b2MueG1sUEsFBgAAAAAGAAYAWQEAAM0FAAAAAA==&#10;">
                <v:fill on="t" focussize="0,0"/>
                <v:stroke color="#000000" miterlimit="8" joinstyle="miter"/>
                <v:imagedata o:title=""/>
                <o:lock v:ext="edit" aspectratio="f"/>
              </v:rect>
            </w:pict>
          </mc:Fallback>
        </mc:AlternateContent>
      </w:r>
      <w:r>
        <w:rPr>
          <w:rFonts w:hint="eastAsia" w:ascii="Times New Roman" w:hAnsi="Times New Roman" w:eastAsia="宋体" w:cs="Times New Roman"/>
          <w:kern w:val="2"/>
          <w:sz w:val="21"/>
          <w:szCs w:val="21"/>
        </w:rPr>
        <w:t>评估日期：</w:t>
      </w:r>
      <w:r>
        <w:rPr>
          <w:rFonts w:ascii="Times New Roman" w:hAnsi="Times New Roman" w:eastAsia="宋体" w:cs="Times New Roman"/>
          <w:kern w:val="2"/>
          <w:sz w:val="21"/>
          <w:szCs w:val="21"/>
        </w:rPr>
        <w:t xml:space="preserve">                                            DLQI 分数：</w:t>
      </w:r>
    </w:p>
    <w:p w14:paraId="250FA1B0">
      <w:pPr>
        <w:topLinePunct/>
        <w:autoSpaceDE/>
        <w:autoSpaceDN/>
        <w:spacing w:line="40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姓名：        性别：          年龄：                 </w:t>
      </w:r>
    </w:p>
    <w:p w14:paraId="10A6D7E7">
      <w:pPr>
        <w:topLinePunct/>
        <w:autoSpaceDE/>
        <w:autoSpaceDN/>
        <w:spacing w:line="400" w:lineRule="exact"/>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这份问卷</w:t>
      </w:r>
      <w:r>
        <w:rPr>
          <w:rFonts w:hint="eastAsia" w:ascii="Times New Roman" w:hAnsi="Times New Roman" w:eastAsia="宋体" w:cs="Times New Roman"/>
          <w:b/>
          <w:bCs/>
          <w:kern w:val="2"/>
          <w:sz w:val="21"/>
          <w:szCs w:val="21"/>
        </w:rPr>
        <w:t>的目的是</w:t>
      </w:r>
      <w:r>
        <w:rPr>
          <w:rFonts w:ascii="Times New Roman" w:hAnsi="Times New Roman" w:eastAsia="宋体" w:cs="Times New Roman"/>
          <w:b/>
          <w:bCs/>
          <w:kern w:val="2"/>
          <w:sz w:val="21"/>
          <w:szCs w:val="21"/>
        </w:rPr>
        <w:t>衡量</w:t>
      </w:r>
      <w:r>
        <w:rPr>
          <w:rFonts w:hint="eastAsia" w:ascii="Times New Roman" w:hAnsi="Times New Roman" w:eastAsia="宋体" w:cs="Times New Roman"/>
          <w:b/>
          <w:bCs/>
          <w:kern w:val="2"/>
          <w:sz w:val="21"/>
          <w:szCs w:val="21"/>
        </w:rPr>
        <w:t>上周内您的皮肤问题对您的生活造成了多大的影响</w:t>
      </w:r>
      <w:r>
        <w:rPr>
          <w:rFonts w:ascii="Times New Roman" w:hAnsi="Times New Roman" w:eastAsia="宋体" w:cs="Times New Roman"/>
          <w:b/>
          <w:bCs/>
          <w:kern w:val="2"/>
          <w:sz w:val="21"/>
          <w:szCs w:val="21"/>
        </w:rPr>
        <w:t>。请在每个问题后选择一项打“√”</w:t>
      </w:r>
    </w:p>
    <w:p w14:paraId="5981450C">
      <w:pPr>
        <w:numPr>
          <w:ilvl w:val="0"/>
          <w:numId w:val="71"/>
        </w:numPr>
        <w:topLinePunct/>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上周</w:t>
      </w:r>
      <w:r>
        <w:rPr>
          <w:rFonts w:ascii="Times New Roman" w:hAnsi="Times New Roman" w:eastAsia="宋体" w:cs="Times New Roman"/>
          <w:kern w:val="2"/>
          <w:sz w:val="21"/>
          <w:szCs w:val="21"/>
        </w:rPr>
        <w:t>内，您的皮肤</w:t>
      </w:r>
      <w:r>
        <w:rPr>
          <w:rFonts w:hint="eastAsia" w:ascii="Times New Roman" w:hAnsi="Times New Roman" w:eastAsia="宋体" w:cs="Times New Roman"/>
          <w:kern w:val="2"/>
          <w:sz w:val="21"/>
          <w:szCs w:val="21"/>
        </w:rPr>
        <w:t>感到</w:t>
      </w:r>
      <w:r>
        <w:rPr>
          <w:rFonts w:ascii="Times New Roman" w:hAnsi="Times New Roman" w:eastAsia="宋体" w:cs="Times New Roman"/>
          <w:kern w:val="2"/>
          <w:sz w:val="21"/>
          <w:szCs w:val="21"/>
        </w:rPr>
        <w:t>痒、触痛、疼痛</w:t>
      </w:r>
      <w:r>
        <w:rPr>
          <w:rFonts w:hint="eastAsia" w:ascii="Times New Roman" w:hAnsi="Times New Roman" w:eastAsia="宋体" w:cs="Times New Roman"/>
          <w:kern w:val="2"/>
          <w:sz w:val="21"/>
          <w:szCs w:val="21"/>
        </w:rPr>
        <w:t>、</w:t>
      </w:r>
      <w:r>
        <w:rPr>
          <w:rFonts w:ascii="Times New Roman" w:hAnsi="Times New Roman" w:eastAsia="宋体" w:cs="Times New Roman"/>
          <w:kern w:val="2"/>
          <w:sz w:val="21"/>
          <w:szCs w:val="21"/>
        </w:rPr>
        <w:t>刺痛</w:t>
      </w:r>
      <w:r>
        <w:rPr>
          <w:rFonts w:hint="eastAsia" w:ascii="Times New Roman" w:hAnsi="Times New Roman" w:eastAsia="宋体" w:cs="Times New Roman"/>
          <w:kern w:val="2"/>
          <w:sz w:val="21"/>
          <w:szCs w:val="21"/>
        </w:rPr>
        <w:t>了吗</w:t>
      </w:r>
      <w:r>
        <w:rPr>
          <w:rFonts w:ascii="Times New Roman" w:hAnsi="Times New Roman" w:eastAsia="宋体" w:cs="Times New Roman"/>
          <w:kern w:val="2"/>
          <w:sz w:val="21"/>
          <w:szCs w:val="21"/>
        </w:rPr>
        <w:t>？</w:t>
      </w:r>
    </w:p>
    <w:p w14:paraId="7841BB1D">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w:t>
      </w:r>
    </w:p>
    <w:p w14:paraId="1139D13F">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上周</w:t>
      </w:r>
      <w:r>
        <w:rPr>
          <w:rFonts w:ascii="Times New Roman" w:hAnsi="Times New Roman" w:eastAsia="宋体" w:cs="Times New Roman"/>
          <w:kern w:val="2"/>
          <w:sz w:val="21"/>
          <w:szCs w:val="21"/>
        </w:rPr>
        <w:t>内，</w:t>
      </w:r>
      <w:r>
        <w:rPr>
          <w:rFonts w:hint="eastAsia" w:ascii="Times New Roman" w:hAnsi="Times New Roman" w:eastAsia="宋体" w:cs="Times New Roman"/>
          <w:kern w:val="2"/>
          <w:sz w:val="21"/>
          <w:szCs w:val="21"/>
        </w:rPr>
        <w:t>由于</w:t>
      </w:r>
      <w:r>
        <w:rPr>
          <w:rFonts w:ascii="Times New Roman" w:hAnsi="Times New Roman" w:eastAsia="宋体" w:cs="Times New Roman"/>
          <w:kern w:val="2"/>
          <w:sz w:val="21"/>
          <w:szCs w:val="21"/>
        </w:rPr>
        <w:t>您的皮肤问题，您感到尴尬或</w:t>
      </w:r>
      <w:r>
        <w:rPr>
          <w:rFonts w:hint="eastAsia" w:ascii="Times New Roman" w:hAnsi="Times New Roman" w:eastAsia="宋体" w:cs="Times New Roman"/>
          <w:kern w:val="2"/>
          <w:sz w:val="21"/>
          <w:szCs w:val="21"/>
        </w:rPr>
        <w:t>自卑吗</w:t>
      </w:r>
      <w:r>
        <w:rPr>
          <w:rFonts w:ascii="Times New Roman" w:hAnsi="Times New Roman" w:eastAsia="宋体" w:cs="Times New Roman"/>
          <w:kern w:val="2"/>
          <w:sz w:val="21"/>
          <w:szCs w:val="21"/>
        </w:rPr>
        <w:t>？</w:t>
      </w:r>
    </w:p>
    <w:p w14:paraId="426EF3D8">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w:t>
      </w:r>
    </w:p>
    <w:p w14:paraId="5C7D36D2">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上周内</w:t>
      </w:r>
      <w:r>
        <w:rPr>
          <w:rFonts w:ascii="Times New Roman" w:hAnsi="Times New Roman" w:eastAsia="宋体" w:cs="Times New Roman"/>
          <w:kern w:val="2"/>
          <w:sz w:val="21"/>
          <w:szCs w:val="21"/>
        </w:rPr>
        <w:t>，</w:t>
      </w:r>
      <w:r>
        <w:rPr>
          <w:rFonts w:hint="eastAsia" w:ascii="Times New Roman" w:hAnsi="Times New Roman" w:eastAsia="宋体" w:cs="Times New Roman"/>
          <w:kern w:val="2"/>
          <w:sz w:val="21"/>
          <w:szCs w:val="21"/>
        </w:rPr>
        <w:t>因为皮肤问题，对</w:t>
      </w:r>
      <w:r>
        <w:rPr>
          <w:rFonts w:ascii="Times New Roman" w:hAnsi="Times New Roman" w:eastAsia="宋体" w:cs="Times New Roman"/>
          <w:kern w:val="2"/>
          <w:sz w:val="21"/>
          <w:szCs w:val="21"/>
        </w:rPr>
        <w:t>您购物，</w:t>
      </w:r>
      <w:r>
        <w:rPr>
          <w:rFonts w:hint="eastAsia" w:ascii="Times New Roman" w:hAnsi="Times New Roman" w:eastAsia="宋体" w:cs="Times New Roman"/>
          <w:kern w:val="2"/>
          <w:sz w:val="21"/>
          <w:szCs w:val="21"/>
        </w:rPr>
        <w:t>做家务</w:t>
      </w:r>
      <w:r>
        <w:rPr>
          <w:rFonts w:ascii="Times New Roman" w:hAnsi="Times New Roman" w:eastAsia="宋体" w:cs="Times New Roman"/>
          <w:kern w:val="2"/>
          <w:sz w:val="21"/>
          <w:szCs w:val="21"/>
        </w:rPr>
        <w:t>、整理庭院</w:t>
      </w:r>
      <w:r>
        <w:rPr>
          <w:rFonts w:hint="eastAsia" w:ascii="Times New Roman" w:hAnsi="Times New Roman" w:eastAsia="宋体" w:cs="Times New Roman"/>
          <w:kern w:val="2"/>
          <w:sz w:val="21"/>
          <w:szCs w:val="21"/>
        </w:rPr>
        <w:t>影响程度如何</w:t>
      </w:r>
      <w:r>
        <w:rPr>
          <w:rFonts w:ascii="Times New Roman" w:hAnsi="Times New Roman" w:eastAsia="宋体" w:cs="Times New Roman"/>
          <w:kern w:val="2"/>
          <w:sz w:val="21"/>
          <w:szCs w:val="21"/>
        </w:rPr>
        <w:t>？</w:t>
      </w:r>
    </w:p>
    <w:p w14:paraId="38280658">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301BB8D5">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上周</w:t>
      </w:r>
      <w:r>
        <w:rPr>
          <w:rFonts w:ascii="Times New Roman" w:hAnsi="Times New Roman" w:eastAsia="宋体" w:cs="Times New Roman"/>
          <w:kern w:val="2"/>
          <w:sz w:val="21"/>
          <w:szCs w:val="21"/>
        </w:rPr>
        <w:t>内，皮肤问题对您</w:t>
      </w:r>
      <w:r>
        <w:rPr>
          <w:rFonts w:hint="eastAsia" w:ascii="Times New Roman" w:hAnsi="Times New Roman" w:eastAsia="宋体" w:cs="Times New Roman"/>
          <w:kern w:val="2"/>
          <w:sz w:val="21"/>
          <w:szCs w:val="21"/>
        </w:rPr>
        <w:t>穿衣服影响程度如何</w:t>
      </w:r>
      <w:r>
        <w:rPr>
          <w:rFonts w:ascii="Times New Roman" w:hAnsi="Times New Roman" w:eastAsia="宋体" w:cs="Times New Roman"/>
          <w:kern w:val="2"/>
          <w:sz w:val="21"/>
          <w:szCs w:val="21"/>
        </w:rPr>
        <w:t>？</w:t>
      </w:r>
    </w:p>
    <w:p w14:paraId="3E5604BF">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116942DD">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上周</w:t>
      </w:r>
      <w:r>
        <w:rPr>
          <w:rFonts w:ascii="Times New Roman" w:hAnsi="Times New Roman" w:eastAsia="宋体" w:cs="Times New Roman"/>
          <w:kern w:val="2"/>
          <w:sz w:val="21"/>
          <w:szCs w:val="21"/>
        </w:rPr>
        <w:t>内，皮肤问题对您</w:t>
      </w:r>
      <w:r>
        <w:rPr>
          <w:rFonts w:hint="eastAsia" w:ascii="Times New Roman" w:hAnsi="Times New Roman" w:eastAsia="宋体" w:cs="Times New Roman"/>
          <w:kern w:val="2"/>
          <w:sz w:val="21"/>
          <w:szCs w:val="21"/>
        </w:rPr>
        <w:t>的</w:t>
      </w:r>
      <w:r>
        <w:rPr>
          <w:rFonts w:ascii="Times New Roman" w:hAnsi="Times New Roman" w:eastAsia="宋体" w:cs="Times New Roman"/>
          <w:kern w:val="2"/>
          <w:sz w:val="21"/>
          <w:szCs w:val="21"/>
        </w:rPr>
        <w:t>社交或休闲</w:t>
      </w:r>
      <w:r>
        <w:rPr>
          <w:rFonts w:hint="eastAsia" w:ascii="Times New Roman" w:hAnsi="Times New Roman" w:eastAsia="宋体" w:cs="Times New Roman"/>
          <w:kern w:val="2"/>
          <w:sz w:val="21"/>
          <w:szCs w:val="21"/>
        </w:rPr>
        <w:t>生活</w:t>
      </w:r>
      <w:r>
        <w:rPr>
          <w:rFonts w:ascii="Times New Roman" w:hAnsi="Times New Roman" w:eastAsia="宋体" w:cs="Times New Roman"/>
          <w:kern w:val="2"/>
          <w:sz w:val="21"/>
          <w:szCs w:val="21"/>
        </w:rPr>
        <w:t>有多大</w:t>
      </w:r>
      <w:r>
        <w:rPr>
          <w:rFonts w:hint="eastAsia" w:ascii="Times New Roman" w:hAnsi="Times New Roman" w:eastAsia="宋体" w:cs="Times New Roman"/>
          <w:kern w:val="2"/>
          <w:sz w:val="21"/>
          <w:szCs w:val="21"/>
        </w:rPr>
        <w:t>的</w:t>
      </w:r>
      <w:r>
        <w:rPr>
          <w:rFonts w:ascii="Times New Roman" w:hAnsi="Times New Roman" w:eastAsia="宋体" w:cs="Times New Roman"/>
          <w:kern w:val="2"/>
          <w:sz w:val="21"/>
          <w:szCs w:val="21"/>
        </w:rPr>
        <w:t>影响？</w:t>
      </w:r>
    </w:p>
    <w:p w14:paraId="24CD4A9D">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04D2F102">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上周</w:t>
      </w:r>
      <w:r>
        <w:rPr>
          <w:rFonts w:ascii="Times New Roman" w:hAnsi="Times New Roman" w:eastAsia="宋体" w:cs="Times New Roman"/>
          <w:kern w:val="2"/>
          <w:sz w:val="21"/>
          <w:szCs w:val="21"/>
        </w:rPr>
        <w:t>内，皮肤问题对您运动有多大妨碍？</w:t>
      </w:r>
    </w:p>
    <w:p w14:paraId="1A29ACAC">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3AFC5A64">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w:t>
      </w:r>
      <w:r>
        <w:rPr>
          <w:rFonts w:ascii="Times New Roman" w:hAnsi="Times New Roman" w:eastAsia="宋体" w:cs="Times New Roman"/>
          <w:kern w:val="2"/>
          <w:sz w:val="21"/>
          <w:szCs w:val="21"/>
        </w:rPr>
        <w:t>周内，皮肤问题是否让您无法</w:t>
      </w:r>
      <w:r>
        <w:rPr>
          <w:rFonts w:hint="eastAsia" w:ascii="Times New Roman" w:hAnsi="Times New Roman" w:eastAsia="宋体" w:cs="Times New Roman"/>
          <w:kern w:val="2"/>
          <w:sz w:val="21"/>
          <w:szCs w:val="21"/>
        </w:rPr>
        <w:t>上班</w:t>
      </w:r>
      <w:r>
        <w:rPr>
          <w:rFonts w:ascii="Times New Roman" w:hAnsi="Times New Roman" w:eastAsia="宋体" w:cs="Times New Roman"/>
          <w:kern w:val="2"/>
          <w:sz w:val="21"/>
          <w:szCs w:val="21"/>
        </w:rPr>
        <w:t>或学习？</w:t>
      </w:r>
    </w:p>
    <w:p w14:paraId="654D92BC">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 是         □ </w:t>
      </w:r>
      <w:r>
        <w:rPr>
          <w:rFonts w:hint="eastAsia" w:ascii="Times New Roman" w:hAnsi="Times New Roman" w:eastAsia="宋体" w:cs="Times New Roman"/>
          <w:kern w:val="2"/>
          <w:sz w:val="21"/>
          <w:szCs w:val="21"/>
        </w:rPr>
        <w:t>不是</w:t>
      </w:r>
      <w:r>
        <w:rPr>
          <w:rFonts w:ascii="Times New Roman" w:hAnsi="Times New Roman" w:eastAsia="宋体" w:cs="Times New Roman"/>
          <w:kern w:val="2"/>
          <w:sz w:val="21"/>
          <w:szCs w:val="21"/>
        </w:rPr>
        <w:t xml:space="preserve">       □ 无关</w:t>
      </w:r>
    </w:p>
    <w:p w14:paraId="5B5D12C8">
      <w:pPr>
        <w:topLinePunct/>
        <w:autoSpaceDE/>
        <w:autoSpaceDN/>
        <w:spacing w:line="40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xml:space="preserve">  如果选择“</w:t>
      </w:r>
      <w:r>
        <w:rPr>
          <w:rFonts w:hint="eastAsia" w:ascii="Times New Roman" w:hAnsi="Times New Roman" w:eastAsia="宋体" w:cs="Times New Roman"/>
          <w:kern w:val="2"/>
          <w:sz w:val="21"/>
          <w:szCs w:val="21"/>
        </w:rPr>
        <w:t>不是</w:t>
      </w:r>
      <w:r>
        <w:rPr>
          <w:rFonts w:ascii="Times New Roman" w:hAnsi="Times New Roman" w:eastAsia="宋体" w:cs="Times New Roman"/>
          <w:kern w:val="2"/>
          <w:sz w:val="21"/>
          <w:szCs w:val="21"/>
        </w:rPr>
        <w:t>”，那么</w:t>
      </w:r>
      <w:r>
        <w:rPr>
          <w:rFonts w:hint="eastAsia" w:ascii="Times New Roman" w:hAnsi="Times New Roman" w:eastAsia="宋体" w:cs="Times New Roman"/>
          <w:kern w:val="2"/>
          <w:sz w:val="21"/>
          <w:szCs w:val="21"/>
        </w:rPr>
        <w:t>上</w:t>
      </w:r>
      <w:r>
        <w:rPr>
          <w:rFonts w:ascii="Times New Roman" w:hAnsi="Times New Roman" w:eastAsia="宋体" w:cs="Times New Roman"/>
          <w:kern w:val="2"/>
          <w:sz w:val="21"/>
          <w:szCs w:val="21"/>
        </w:rPr>
        <w:t>周内您的皮肤问题对工作或学习有多大影响</w:t>
      </w:r>
      <w:r>
        <w:rPr>
          <w:rFonts w:hint="eastAsia" w:ascii="Times New Roman" w:hAnsi="Times New Roman" w:eastAsia="宋体" w:cs="Times New Roman"/>
          <w:kern w:val="2"/>
          <w:sz w:val="21"/>
          <w:szCs w:val="21"/>
        </w:rPr>
        <w:t>呢</w:t>
      </w:r>
      <w:r>
        <w:rPr>
          <w:rFonts w:ascii="Times New Roman" w:hAnsi="Times New Roman" w:eastAsia="宋体" w:cs="Times New Roman"/>
          <w:kern w:val="2"/>
          <w:sz w:val="21"/>
          <w:szCs w:val="21"/>
        </w:rPr>
        <w:t>？</w:t>
      </w:r>
    </w:p>
    <w:p w14:paraId="4714F87B">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许多       □ 一点     □ 完全没有</w:t>
      </w:r>
    </w:p>
    <w:p w14:paraId="13DA469B">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w:t>
      </w:r>
      <w:r>
        <w:rPr>
          <w:rFonts w:ascii="Times New Roman" w:hAnsi="Times New Roman" w:eastAsia="宋体" w:cs="Times New Roman"/>
          <w:kern w:val="2"/>
          <w:sz w:val="21"/>
          <w:szCs w:val="21"/>
        </w:rPr>
        <w:t>周内，皮肤问题</w:t>
      </w:r>
      <w:r>
        <w:rPr>
          <w:rFonts w:hint="eastAsia" w:ascii="Times New Roman" w:hAnsi="Times New Roman" w:eastAsia="宋体" w:cs="Times New Roman"/>
          <w:kern w:val="2"/>
          <w:sz w:val="21"/>
          <w:szCs w:val="21"/>
        </w:rPr>
        <w:t>妨碍了</w:t>
      </w:r>
      <w:r>
        <w:rPr>
          <w:rFonts w:ascii="Times New Roman" w:hAnsi="Times New Roman" w:eastAsia="宋体" w:cs="Times New Roman"/>
          <w:kern w:val="2"/>
          <w:sz w:val="21"/>
          <w:szCs w:val="21"/>
        </w:rPr>
        <w:t>您</w:t>
      </w:r>
      <w:r>
        <w:rPr>
          <w:rFonts w:hint="eastAsia" w:ascii="Times New Roman" w:hAnsi="Times New Roman" w:eastAsia="宋体" w:cs="Times New Roman"/>
          <w:kern w:val="2"/>
          <w:sz w:val="21"/>
          <w:szCs w:val="21"/>
        </w:rPr>
        <w:t>和爱人、亲密的朋友、亲戚间的交往了吗</w:t>
      </w:r>
      <w:r>
        <w:rPr>
          <w:rFonts w:ascii="Times New Roman" w:hAnsi="Times New Roman" w:eastAsia="宋体" w:cs="Times New Roman"/>
          <w:kern w:val="2"/>
          <w:sz w:val="21"/>
          <w:szCs w:val="21"/>
        </w:rPr>
        <w:t>？</w:t>
      </w:r>
    </w:p>
    <w:p w14:paraId="77FA6972">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74CBB6D1">
      <w:pPr>
        <w:numPr>
          <w:ilvl w:val="0"/>
          <w:numId w:val="71"/>
        </w:numPr>
        <w:topLinePunct/>
        <w:autoSpaceDN/>
        <w:adjustRightInd w:val="0"/>
        <w:snapToGrid w:val="0"/>
        <w:spacing w:line="400" w:lineRule="exact"/>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w:t>
      </w:r>
      <w:r>
        <w:rPr>
          <w:rFonts w:ascii="Times New Roman" w:hAnsi="Times New Roman" w:eastAsia="宋体" w:cs="Times New Roman"/>
          <w:kern w:val="2"/>
          <w:sz w:val="21"/>
          <w:szCs w:val="21"/>
        </w:rPr>
        <w:t>周内，皮肤问题给您的性生活造成了多大影响？</w:t>
      </w:r>
    </w:p>
    <w:p w14:paraId="22A85A83">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7CBA46C6">
      <w:pPr>
        <w:numPr>
          <w:ilvl w:val="0"/>
          <w:numId w:val="71"/>
        </w:numPr>
        <w:topLinePunct/>
        <w:autoSpaceDN/>
        <w:adjustRightInd w:val="0"/>
        <w:snapToGrid w:val="0"/>
        <w:spacing w:line="400" w:lineRule="exact"/>
        <w:ind w:left="280" w:hanging="280"/>
        <w:textAlignment w:val="baseline"/>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上</w:t>
      </w:r>
      <w:r>
        <w:rPr>
          <w:rFonts w:ascii="Times New Roman" w:hAnsi="Times New Roman" w:eastAsia="宋体" w:cs="Times New Roman"/>
          <w:kern w:val="2"/>
          <w:sz w:val="21"/>
          <w:szCs w:val="21"/>
        </w:rPr>
        <w:t>周内，由于治疗您皮肤</w:t>
      </w:r>
      <w:r>
        <w:rPr>
          <w:rFonts w:hint="eastAsia" w:ascii="Times New Roman" w:hAnsi="Times New Roman" w:eastAsia="宋体" w:cs="Times New Roman"/>
          <w:kern w:val="2"/>
          <w:sz w:val="21"/>
          <w:szCs w:val="21"/>
        </w:rPr>
        <w:t>的毛病</w:t>
      </w:r>
      <w:r>
        <w:rPr>
          <w:rFonts w:ascii="Times New Roman" w:hAnsi="Times New Roman" w:eastAsia="宋体" w:cs="Times New Roman"/>
          <w:kern w:val="2"/>
          <w:sz w:val="21"/>
          <w:szCs w:val="21"/>
        </w:rPr>
        <w:t>，给您造成了</w:t>
      </w:r>
      <w:r>
        <w:rPr>
          <w:rFonts w:hint="eastAsia" w:ascii="Times New Roman" w:hAnsi="Times New Roman" w:eastAsia="宋体" w:cs="Times New Roman"/>
          <w:kern w:val="2"/>
          <w:sz w:val="21"/>
          <w:szCs w:val="21"/>
        </w:rPr>
        <w:t>多少</w:t>
      </w:r>
      <w:r>
        <w:rPr>
          <w:rFonts w:ascii="Times New Roman" w:hAnsi="Times New Roman" w:eastAsia="宋体" w:cs="Times New Roman"/>
          <w:kern w:val="2"/>
          <w:sz w:val="21"/>
          <w:szCs w:val="21"/>
        </w:rPr>
        <w:t>麻烦，如把家里弄得一团糟或占用了您很多时间？</w:t>
      </w:r>
    </w:p>
    <w:p w14:paraId="23ADC73C">
      <w:pPr>
        <w:topLinePunct/>
        <w:autoSpaceDE/>
        <w:autoSpaceDN/>
        <w:spacing w:line="400" w:lineRule="exact"/>
        <w:ind w:firstLine="48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 非常多     □ 许多     □ 一点     □ 完全没有     □ 无关</w:t>
      </w:r>
    </w:p>
    <w:p w14:paraId="67E1D5DF">
      <w:pPr>
        <w:topLinePunct/>
        <w:autoSpaceDE/>
        <w:autoSpaceDN/>
        <w:spacing w:line="420" w:lineRule="exact"/>
        <w:ind w:firstLine="2100" w:firstLineChars="1000"/>
        <w:jc w:val="both"/>
        <w:rPr>
          <w:rFonts w:ascii="Times New Roman" w:hAnsi="Times New Roman" w:eastAsia="宋体" w:cs="Times New Roman"/>
          <w:kern w:val="2"/>
          <w:sz w:val="21"/>
          <w:szCs w:val="21"/>
          <w:u w:val="single"/>
        </w:rPr>
      </w:pPr>
      <w:r>
        <w:rPr>
          <w:rFonts w:ascii="Times New Roman" w:hAnsi="Times New Roman" w:eastAsia="宋体" w:cs="Times New Roman"/>
          <w:kern w:val="2"/>
          <w:sz w:val="21"/>
          <w:szCs w:val="21"/>
          <w:u w:val="single"/>
        </w:rPr>
        <w:t>请检查您是否已回答所有问题，谢谢！</w:t>
      </w:r>
    </w:p>
    <w:p w14:paraId="0AD3042B">
      <w:pPr>
        <w:topLinePunct/>
        <w:autoSpaceDE/>
        <w:autoSpaceDN/>
        <w:spacing w:line="420" w:lineRule="exact"/>
        <w:jc w:val="both"/>
        <w:rPr>
          <w:rFonts w:ascii="Times New Roman" w:hAnsi="Times New Roman" w:eastAsia="宋体" w:cs="Times New Roman"/>
          <w:b/>
          <w:bCs/>
          <w:kern w:val="2"/>
          <w:sz w:val="21"/>
          <w:szCs w:val="21"/>
        </w:rPr>
      </w:pPr>
      <w:r>
        <w:rPr>
          <w:rFonts w:hint="eastAsia" w:ascii="Times New Roman" w:hAnsi="Times New Roman" w:eastAsia="宋体" w:cs="Times New Roman"/>
          <w:b/>
          <w:bCs/>
          <w:kern w:val="2"/>
          <w:sz w:val="21"/>
          <w:szCs w:val="21"/>
        </w:rPr>
        <w:t>我确认此信息是准确的。</w:t>
      </w:r>
    </w:p>
    <w:p w14:paraId="4EBBD41E">
      <w:pPr>
        <w:topLinePunct/>
        <w:autoSpaceDE/>
        <w:autoSpaceDN/>
        <w:spacing w:line="420" w:lineRule="exact"/>
        <w:rPr>
          <w:rFonts w:ascii="Times New Roman" w:hAnsi="Times New Roman" w:eastAsia="宋体" w:cs="Times New Roman"/>
          <w:b/>
          <w:bCs/>
          <w:kern w:val="2"/>
          <w:sz w:val="21"/>
          <w:szCs w:val="21"/>
        </w:rPr>
      </w:pPr>
      <w:r>
        <w:rPr>
          <w:rFonts w:hint="eastAsia" w:ascii="Times New Roman" w:hAnsi="Times New Roman" w:eastAsia="宋体" w:cs="Times New Roman"/>
          <w:b/>
          <w:bCs/>
          <w:kern w:val="2"/>
          <w:sz w:val="21"/>
          <w:szCs w:val="21"/>
        </w:rPr>
        <w:t>参与者签名：</w:t>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kern w:val="2"/>
          <w:sz w:val="21"/>
          <w:szCs w:val="21"/>
        </w:rPr>
        <w:t>日期：</w:t>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kern w:val="2"/>
          <w:sz w:val="21"/>
          <w:szCs w:val="21"/>
        </w:rPr>
        <w:t>年</w:t>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kern w:val="2"/>
          <w:sz w:val="21"/>
          <w:szCs w:val="21"/>
        </w:rPr>
        <w:t>月</w:t>
      </w:r>
      <w:r>
        <w:rPr>
          <w:rFonts w:ascii="Times New Roman" w:hAnsi="Times New Roman" w:eastAsia="宋体" w:cs="Times New Roman"/>
          <w:b/>
          <w:bCs/>
          <w:kern w:val="2"/>
          <w:sz w:val="21"/>
          <w:szCs w:val="21"/>
        </w:rPr>
        <w:t xml:space="preserve">    </w:t>
      </w:r>
      <w:r>
        <w:rPr>
          <w:rFonts w:hint="eastAsia" w:ascii="Times New Roman" w:hAnsi="Times New Roman" w:eastAsia="宋体" w:cs="Times New Roman"/>
          <w:b/>
          <w:bCs/>
          <w:kern w:val="2"/>
          <w:sz w:val="21"/>
          <w:szCs w:val="21"/>
        </w:rPr>
        <w:t>日</w:t>
      </w:r>
    </w:p>
    <w:p w14:paraId="1A96C06A">
      <w:pPr>
        <w:autoSpaceDE/>
        <w:autoSpaceDN/>
        <w:spacing w:line="360"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-1233805</wp:posOffset>
                </wp:positionV>
                <wp:extent cx="0" cy="0"/>
                <wp:effectExtent l="0" t="0" r="0" b="0"/>
                <wp:wrapNone/>
                <wp:docPr id="27" name="直接连接符 27"/>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97.15pt;height:0pt;width:0pt;z-index:251661312;mso-width-relative:page;mso-height-relative:page;" filled="f" stroked="t" coordsize="21600,21600" o:gfxdata="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x0AwvNIAAAAHAQAADwAAAAAAAAAB&#10;ACAAAAAiAAAAZHJzL2Rvd25yZXYueG1sUEsBAhQAFAAAAAgAh07iQKDGwa7dAQAApgMAAA4AAAAA&#10;AAAAAQAgAAAAIQEAAGRycy9lMm9Eb2MueG1sUEsFBgAAAAAGAAYAWQEAAHAFAAAAAA==&#10;">
                <v:fill on="f" focussize="0,0"/>
                <v:stroke color="#000000" joinstyle="round"/>
                <v:imagedata o:title=""/>
                <o:lock v:ext="edit" aspectratio="f"/>
              </v:line>
            </w:pict>
          </mc:Fallback>
        </mc:AlternateContent>
      </w:r>
      <w:r>
        <w:rPr>
          <w:rFonts w:ascii="Times New Roman" w:hAnsi="Times New Roman" w:eastAsia="宋体" w:cs="Times New Roman"/>
          <w:kern w:val="2"/>
          <w:sz w:val="21"/>
          <w:szCs w:val="21"/>
        </w:rPr>
        <w:t>© AY Finlay, GK Khan. April 1992. This must not be copied without the permission of authors</w:t>
      </w:r>
    </w:p>
    <w:p w14:paraId="30436AE3">
      <w:pPr>
        <w:topLinePunct/>
        <w:autoSpaceDE/>
        <w:autoSpaceDN/>
        <w:spacing w:line="360"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DLQI问卷使用说明：</w:t>
      </w:r>
    </w:p>
    <w:p w14:paraId="448D883B">
      <w:pPr>
        <w:topLinePunct/>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DLQI是一份简单的、由自我完成的问卷，共有10个问题，内容涉及患者对过去一周内皮肤病影响其健康相关生活质量的不同方面的看法。将以“非常多、许多、一点、完全没有或无关”的选项回答每个问题。</w:t>
      </w:r>
    </w:p>
    <w:p w14:paraId="4C4690C2">
      <w:pPr>
        <w:topLinePunct/>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参与者应在两分钟之内完成整个DLQI问卷。由研究者对DLQI每个问题的选项均采用Likert四分制进行评分，将每个问题的分数相加即为最终的DLQI评分，总分最高为30分，最低为0分。分数越高，表示生活质量受损越严重。</w:t>
      </w:r>
      <w:r>
        <w:rPr>
          <w:rFonts w:ascii="Times New Roman" w:hAnsi="Times New Roman" w:eastAsia="宋体" w:cs="Times New Roman"/>
          <w:kern w:val="2"/>
          <w:sz w:val="21"/>
          <w:szCs w:val="21"/>
          <w:shd w:val="clear" w:color="auto" w:fill="FFFFFF"/>
        </w:rPr>
        <w:t>DLQI评分发生至少4分的变化被认为具有临床</w:t>
      </w:r>
      <w:r>
        <w:rPr>
          <w:rFonts w:hint="eastAsia" w:ascii="Times New Roman" w:hAnsi="Times New Roman" w:eastAsia="宋体" w:cs="Times New Roman"/>
          <w:kern w:val="2"/>
          <w:sz w:val="21"/>
          <w:szCs w:val="21"/>
          <w:shd w:val="clear" w:color="auto" w:fill="FFFFFF"/>
        </w:rPr>
        <w:t>重要性</w:t>
      </w:r>
      <w:r>
        <w:rPr>
          <w:rFonts w:ascii="Times New Roman" w:hAnsi="Times New Roman" w:eastAsia="宋体" w:cs="Times New Roman"/>
          <w:kern w:val="2"/>
          <w:sz w:val="21"/>
          <w:szCs w:val="21"/>
          <w:shd w:val="clear" w:color="auto" w:fill="FFFFFF"/>
        </w:rPr>
        <w:t>。</w:t>
      </w:r>
    </w:p>
    <w:p w14:paraId="6E301AE9">
      <w:pPr>
        <w:numPr>
          <w:ilvl w:val="0"/>
          <w:numId w:val="72"/>
        </w:numPr>
        <w:tabs>
          <w:tab w:val="left" w:pos="700"/>
          <w:tab w:val="clear" w:pos="420"/>
        </w:tabs>
        <w:topLinePunct/>
        <w:adjustRightInd w:val="0"/>
        <w:snapToGrid w:val="0"/>
        <w:spacing w:line="360" w:lineRule="auto"/>
        <w:ind w:left="860" w:hanging="440"/>
        <w:jc w:val="both"/>
        <w:textAlignment w:val="baseline"/>
        <w:rPr>
          <w:rFonts w:ascii="Times New Roman" w:hAnsi="Times New Roman" w:eastAsia="宋体" w:cs="Times New Roman"/>
          <w:kern w:val="2"/>
          <w:sz w:val="21"/>
          <w:szCs w:val="21"/>
        </w:rPr>
      </w:pPr>
      <w:r>
        <w:rPr>
          <w:rFonts w:ascii="Times New Roman" w:hAnsi="Times New Roman" w:eastAsia="宋体" w:cs="Times New Roman"/>
          <w:kern w:val="2"/>
          <w:sz w:val="21"/>
          <w:szCs w:val="21"/>
        </w:rPr>
        <w:t>非常多= 3分</w:t>
      </w:r>
    </w:p>
    <w:p w14:paraId="37349559">
      <w:pPr>
        <w:numPr>
          <w:ilvl w:val="0"/>
          <w:numId w:val="72"/>
        </w:numPr>
        <w:tabs>
          <w:tab w:val="left" w:pos="700"/>
          <w:tab w:val="clear" w:pos="420"/>
        </w:tabs>
        <w:topLinePunct/>
        <w:adjustRightInd w:val="0"/>
        <w:snapToGrid w:val="0"/>
        <w:spacing w:line="360" w:lineRule="auto"/>
        <w:ind w:left="860" w:hanging="440"/>
        <w:jc w:val="both"/>
        <w:textAlignment w:val="baseline"/>
        <w:rPr>
          <w:rFonts w:ascii="Times New Roman" w:hAnsi="Times New Roman" w:eastAsia="宋体" w:cs="Times New Roman"/>
          <w:kern w:val="2"/>
          <w:sz w:val="21"/>
          <w:szCs w:val="21"/>
        </w:rPr>
      </w:pPr>
      <w:r>
        <w:rPr>
          <w:rFonts w:ascii="Times New Roman" w:hAnsi="Times New Roman" w:eastAsia="宋体" w:cs="Times New Roman"/>
          <w:kern w:val="2"/>
          <w:sz w:val="21"/>
          <w:szCs w:val="21"/>
        </w:rPr>
        <w:t>许多= 2分</w:t>
      </w:r>
    </w:p>
    <w:p w14:paraId="0C13BABF">
      <w:pPr>
        <w:numPr>
          <w:ilvl w:val="0"/>
          <w:numId w:val="72"/>
        </w:numPr>
        <w:tabs>
          <w:tab w:val="left" w:pos="700"/>
          <w:tab w:val="clear" w:pos="420"/>
        </w:tabs>
        <w:topLinePunct/>
        <w:adjustRightInd w:val="0"/>
        <w:snapToGrid w:val="0"/>
        <w:spacing w:line="360" w:lineRule="auto"/>
        <w:ind w:left="860" w:hanging="440"/>
        <w:jc w:val="both"/>
        <w:textAlignment w:val="baseline"/>
        <w:rPr>
          <w:rFonts w:ascii="Times New Roman" w:hAnsi="Times New Roman" w:eastAsia="宋体" w:cs="Times New Roman"/>
          <w:kern w:val="2"/>
          <w:sz w:val="21"/>
          <w:szCs w:val="21"/>
        </w:rPr>
      </w:pPr>
      <w:r>
        <w:rPr>
          <w:rFonts w:ascii="Times New Roman" w:hAnsi="Times New Roman" w:eastAsia="宋体" w:cs="Times New Roman"/>
          <w:kern w:val="2"/>
          <w:sz w:val="21"/>
          <w:szCs w:val="21"/>
        </w:rPr>
        <w:t>一点= 1分</w:t>
      </w:r>
    </w:p>
    <w:p w14:paraId="545D3D35">
      <w:pPr>
        <w:numPr>
          <w:ilvl w:val="0"/>
          <w:numId w:val="72"/>
        </w:numPr>
        <w:tabs>
          <w:tab w:val="left" w:pos="700"/>
          <w:tab w:val="clear" w:pos="420"/>
        </w:tabs>
        <w:topLinePunct/>
        <w:adjustRightInd w:val="0"/>
        <w:snapToGrid w:val="0"/>
        <w:spacing w:line="360" w:lineRule="auto"/>
        <w:ind w:left="860" w:hanging="440"/>
        <w:jc w:val="both"/>
        <w:textAlignment w:val="baseline"/>
        <w:rPr>
          <w:rFonts w:ascii="Times New Roman" w:hAnsi="Times New Roman" w:eastAsia="宋体" w:cs="Times New Roman"/>
          <w:kern w:val="2"/>
          <w:sz w:val="21"/>
          <w:szCs w:val="21"/>
        </w:rPr>
      </w:pPr>
      <w:r>
        <w:rPr>
          <w:rFonts w:ascii="Times New Roman" w:hAnsi="Times New Roman" w:eastAsia="宋体" w:cs="Times New Roman"/>
          <w:kern w:val="2"/>
          <w:sz w:val="21"/>
          <w:szCs w:val="21"/>
        </w:rPr>
        <w:t>完全没有= 0分</w:t>
      </w:r>
    </w:p>
    <w:p w14:paraId="6514D5A8">
      <w:pPr>
        <w:numPr>
          <w:ilvl w:val="0"/>
          <w:numId w:val="72"/>
        </w:numPr>
        <w:tabs>
          <w:tab w:val="left" w:pos="700"/>
          <w:tab w:val="clear" w:pos="420"/>
        </w:tabs>
        <w:topLinePunct/>
        <w:adjustRightInd w:val="0"/>
        <w:snapToGrid w:val="0"/>
        <w:spacing w:line="360" w:lineRule="auto"/>
        <w:ind w:left="860" w:hanging="440"/>
        <w:jc w:val="both"/>
        <w:textAlignment w:val="baseline"/>
        <w:rPr>
          <w:rFonts w:ascii="Times New Roman" w:hAnsi="Times New Roman" w:eastAsia="宋体" w:cs="Times New Roman"/>
          <w:kern w:val="2"/>
          <w:sz w:val="21"/>
          <w:szCs w:val="21"/>
        </w:rPr>
      </w:pPr>
      <w:r>
        <w:rPr>
          <w:rFonts w:ascii="Times New Roman" w:hAnsi="Times New Roman" w:eastAsia="宋体" w:cs="Times New Roman"/>
          <w:kern w:val="2"/>
          <w:sz w:val="21"/>
          <w:szCs w:val="21"/>
        </w:rPr>
        <w:t>无关= 0分</w:t>
      </w:r>
    </w:p>
    <w:p w14:paraId="4CDECDE3">
      <w:pPr>
        <w:numPr>
          <w:ilvl w:val="0"/>
          <w:numId w:val="72"/>
        </w:numPr>
        <w:tabs>
          <w:tab w:val="left" w:pos="700"/>
          <w:tab w:val="clear" w:pos="420"/>
        </w:tabs>
        <w:topLinePunct/>
        <w:adjustRightInd w:val="0"/>
        <w:snapToGrid w:val="0"/>
        <w:spacing w:line="360" w:lineRule="auto"/>
        <w:ind w:left="860" w:hanging="440"/>
        <w:jc w:val="both"/>
        <w:textAlignment w:val="baseline"/>
        <w:rPr>
          <w:rFonts w:ascii="Times New Roman" w:hAnsi="Times New Roman" w:eastAsia="宋体" w:cs="Times New Roman"/>
          <w:kern w:val="2"/>
          <w:sz w:val="21"/>
          <w:szCs w:val="21"/>
        </w:rPr>
      </w:pPr>
      <w:r>
        <w:rPr>
          <w:rFonts w:ascii="Times New Roman" w:hAnsi="Times New Roman" w:eastAsia="宋体" w:cs="Times New Roman"/>
          <w:kern w:val="2"/>
          <w:sz w:val="21"/>
          <w:szCs w:val="21"/>
        </w:rPr>
        <w:t>未回答的问题= 0分</w:t>
      </w:r>
    </w:p>
    <w:p w14:paraId="4D4A171B">
      <w:pPr>
        <w:topLinePunct/>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shd w:val="clear" w:color="auto" w:fill="FFFFFF"/>
        </w:rPr>
        <w:t>若有问题未得到回答，则该问题的得分为0；</w:t>
      </w:r>
      <w:r>
        <w:rPr>
          <w:rFonts w:ascii="Times New Roman" w:hAnsi="Times New Roman" w:eastAsia="宋体" w:cs="Times New Roman"/>
          <w:kern w:val="2"/>
          <w:sz w:val="21"/>
          <w:szCs w:val="21"/>
        </w:rPr>
        <w:t>若问卷中有2个或以上的问题未得到回答，则不会对该问卷进行最终的评分。</w:t>
      </w:r>
    </w:p>
    <w:p w14:paraId="202067DD">
      <w:pPr>
        <w:topLinePunct/>
        <w:autoSpaceDE/>
        <w:autoSpaceDN/>
        <w:spacing w:line="360" w:lineRule="auto"/>
        <w:ind w:firstLine="420" w:firstLineChars="200"/>
        <w:jc w:val="both"/>
        <w:rPr>
          <w:rFonts w:ascii="Times New Roman" w:hAnsi="Times New Roman" w:eastAsia="宋体" w:cs="Times New Roman"/>
          <w:kern w:val="2"/>
          <w:sz w:val="21"/>
          <w:szCs w:val="21"/>
          <w:shd w:val="clear" w:color="auto" w:fill="FFFFFF"/>
        </w:rPr>
      </w:pPr>
      <w:r>
        <w:rPr>
          <w:rFonts w:ascii="Times New Roman" w:hAnsi="Times New Roman" w:eastAsia="宋体" w:cs="Times New Roman"/>
          <w:kern w:val="2"/>
          <w:sz w:val="21"/>
          <w:szCs w:val="21"/>
          <w:shd w:val="clear" w:color="auto" w:fill="FFFFFF"/>
        </w:rPr>
        <w:t>关于DLQI子项的评分：如果有一个问题未得到回答，则不应对相应的子项进行评分。除非子项问题均得到回答，否则从子项中得出的任何结论均是不恰当的。</w:t>
      </w:r>
    </w:p>
    <w:p w14:paraId="758FA490">
      <w:pPr>
        <w:topLinePunct/>
        <w:autoSpaceDE/>
        <w:autoSpaceDN/>
        <w:spacing w:line="360" w:lineRule="auto"/>
        <w:ind w:firstLine="420" w:firstLineChars="200"/>
        <w:jc w:val="both"/>
        <w:rPr>
          <w:rFonts w:ascii="Times New Roman" w:hAnsi="Times New Roman" w:eastAsia="宋体" w:cs="Times New Roman"/>
          <w:kern w:val="2"/>
          <w:sz w:val="21"/>
          <w:szCs w:val="21"/>
          <w:shd w:val="clear" w:color="auto" w:fill="FFFFFF"/>
        </w:rPr>
      </w:pPr>
      <w:r>
        <w:rPr>
          <w:rFonts w:ascii="Times New Roman" w:hAnsi="Times New Roman" w:eastAsia="宋体" w:cs="Times New Roman"/>
          <w:kern w:val="2"/>
          <w:sz w:val="21"/>
          <w:szCs w:val="21"/>
          <w:shd w:val="clear" w:color="auto" w:fill="FFFFFF"/>
        </w:rPr>
        <w:t>DLQI</w:t>
      </w:r>
      <w:r>
        <w:rPr>
          <w:rFonts w:hint="eastAsia" w:ascii="Times New Roman" w:hAnsi="Times New Roman" w:eastAsia="宋体" w:cs="Times New Roman"/>
          <w:kern w:val="2"/>
          <w:sz w:val="21"/>
          <w:szCs w:val="21"/>
          <w:shd w:val="clear" w:color="auto" w:fill="FFFFFF"/>
        </w:rPr>
        <w:t>子项分类：</w:t>
      </w:r>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6"/>
        <w:gridCol w:w="3291"/>
        <w:gridCol w:w="3039"/>
      </w:tblGrid>
      <w:tr w14:paraId="02DE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shd w:val="clear" w:color="auto" w:fill="E8E8E8"/>
            <w:vAlign w:val="center"/>
          </w:tcPr>
          <w:p w14:paraId="39B36846">
            <w:pPr>
              <w:topLinePunct/>
              <w:autoSpaceDE/>
              <w:autoSpaceDN/>
              <w:spacing w:line="276" w:lineRule="auto"/>
              <w:jc w:val="center"/>
              <w:rPr>
                <w:rFonts w:ascii="Times New Roman" w:hAnsi="Times New Roman" w:eastAsia="宋体" w:cs="Times New Roman"/>
                <w:b/>
                <w:bCs/>
                <w:kern w:val="2"/>
                <w:sz w:val="21"/>
                <w:szCs w:val="21"/>
                <w:highlight w:val="lightGray"/>
                <w:shd w:val="clear" w:color="auto" w:fill="FFFFFF"/>
              </w:rPr>
            </w:pPr>
            <w:r>
              <w:rPr>
                <w:rFonts w:ascii="Times New Roman" w:hAnsi="Times New Roman" w:eastAsia="宋体" w:cs="Times New Roman"/>
                <w:b/>
                <w:bCs/>
                <w:kern w:val="2"/>
                <w:sz w:val="21"/>
                <w:szCs w:val="21"/>
              </w:rPr>
              <w:t>DLQI</w:t>
            </w:r>
            <w:r>
              <w:rPr>
                <w:rFonts w:hint="eastAsia" w:ascii="Times New Roman" w:hAnsi="Times New Roman" w:eastAsia="宋体" w:cs="Times New Roman"/>
                <w:b/>
                <w:bCs/>
                <w:kern w:val="2"/>
                <w:sz w:val="21"/>
                <w:szCs w:val="21"/>
              </w:rPr>
              <w:t>子项分类</w:t>
            </w:r>
          </w:p>
        </w:tc>
        <w:tc>
          <w:tcPr>
            <w:tcW w:w="1827" w:type="pct"/>
            <w:shd w:val="clear" w:color="auto" w:fill="E8E8E8"/>
            <w:vAlign w:val="center"/>
          </w:tcPr>
          <w:p w14:paraId="4D4F0AC1">
            <w:pPr>
              <w:topLinePunct/>
              <w:autoSpaceDE/>
              <w:autoSpaceDN/>
              <w:spacing w:line="276" w:lineRule="auto"/>
              <w:jc w:val="center"/>
              <w:rPr>
                <w:rFonts w:ascii="Times New Roman" w:hAnsi="Times New Roman" w:eastAsia="宋体" w:cs="Times New Roman"/>
                <w:b/>
                <w:bCs/>
                <w:kern w:val="2"/>
                <w:sz w:val="21"/>
                <w:szCs w:val="21"/>
                <w:highlight w:val="lightGray"/>
                <w:shd w:val="clear" w:color="auto" w:fill="FFFFFF"/>
              </w:rPr>
            </w:pPr>
            <w:r>
              <w:rPr>
                <w:rFonts w:hint="eastAsia" w:ascii="Times New Roman" w:hAnsi="Times New Roman" w:eastAsia="宋体" w:cs="Times New Roman"/>
                <w:b/>
                <w:bCs/>
                <w:kern w:val="2"/>
                <w:sz w:val="21"/>
                <w:szCs w:val="21"/>
              </w:rPr>
              <w:t>问题</w:t>
            </w:r>
          </w:p>
        </w:tc>
        <w:tc>
          <w:tcPr>
            <w:tcW w:w="1687" w:type="pct"/>
            <w:shd w:val="clear" w:color="auto" w:fill="E8E8E8"/>
            <w:vAlign w:val="center"/>
          </w:tcPr>
          <w:p w14:paraId="7E2C7215">
            <w:pPr>
              <w:topLinePunct/>
              <w:autoSpaceDE/>
              <w:autoSpaceDN/>
              <w:spacing w:line="276" w:lineRule="auto"/>
              <w:jc w:val="center"/>
              <w:rPr>
                <w:rFonts w:ascii="Times New Roman" w:hAnsi="Times New Roman" w:eastAsia="宋体" w:cs="Times New Roman"/>
                <w:b/>
                <w:bCs/>
                <w:kern w:val="2"/>
                <w:sz w:val="21"/>
                <w:szCs w:val="21"/>
                <w:highlight w:val="lightGray"/>
                <w:shd w:val="clear" w:color="auto" w:fill="FFFFFF"/>
              </w:rPr>
            </w:pPr>
            <w:r>
              <w:rPr>
                <w:rFonts w:hint="eastAsia" w:ascii="Times New Roman" w:hAnsi="Times New Roman" w:eastAsia="宋体" w:cs="Times New Roman"/>
                <w:b/>
                <w:bCs/>
                <w:kern w:val="2"/>
                <w:sz w:val="21"/>
                <w:szCs w:val="21"/>
              </w:rPr>
              <w:t>得分</w:t>
            </w:r>
          </w:p>
        </w:tc>
      </w:tr>
      <w:tr w14:paraId="2C43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Pr>
          <w:p w14:paraId="388682D3">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症状和感受</w:t>
            </w:r>
          </w:p>
        </w:tc>
        <w:tc>
          <w:tcPr>
            <w:tcW w:w="1827" w:type="pct"/>
          </w:tcPr>
          <w:p w14:paraId="60ABEF10">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问题</w:t>
            </w:r>
            <w:r>
              <w:rPr>
                <w:rFonts w:ascii="Times New Roman" w:hAnsi="Times New Roman" w:eastAsia="宋体" w:cs="Times New Roman"/>
                <w:kern w:val="2"/>
                <w:sz w:val="21"/>
                <w:szCs w:val="21"/>
                <w:shd w:val="clear" w:color="auto" w:fill="FFFFFF"/>
              </w:rPr>
              <w:t>1</w:t>
            </w:r>
            <w:r>
              <w:rPr>
                <w:rFonts w:hint="eastAsia" w:ascii="Times New Roman" w:hAnsi="Times New Roman" w:eastAsia="宋体" w:cs="Times New Roman"/>
                <w:kern w:val="2"/>
                <w:sz w:val="21"/>
                <w:szCs w:val="21"/>
                <w:shd w:val="clear" w:color="auto" w:fill="FFFFFF"/>
              </w:rPr>
              <w:t>和</w:t>
            </w:r>
            <w:r>
              <w:rPr>
                <w:rFonts w:ascii="Times New Roman" w:hAnsi="Times New Roman" w:eastAsia="宋体" w:cs="Times New Roman"/>
                <w:kern w:val="2"/>
                <w:sz w:val="21"/>
                <w:szCs w:val="21"/>
                <w:shd w:val="clear" w:color="auto" w:fill="FFFFFF"/>
              </w:rPr>
              <w:t>2</w:t>
            </w:r>
          </w:p>
        </w:tc>
        <w:tc>
          <w:tcPr>
            <w:tcW w:w="1687" w:type="pct"/>
          </w:tcPr>
          <w:p w14:paraId="540416AB">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最高</w:t>
            </w:r>
            <w:r>
              <w:rPr>
                <w:rFonts w:ascii="Times New Roman" w:hAnsi="Times New Roman" w:eastAsia="宋体" w:cs="Times New Roman"/>
                <w:kern w:val="2"/>
                <w:sz w:val="21"/>
                <w:szCs w:val="21"/>
                <w:shd w:val="clear" w:color="auto" w:fill="FFFFFF"/>
              </w:rPr>
              <w:t>6</w:t>
            </w:r>
            <w:r>
              <w:rPr>
                <w:rFonts w:hint="eastAsia" w:ascii="Times New Roman" w:hAnsi="Times New Roman" w:eastAsia="宋体" w:cs="Times New Roman"/>
                <w:kern w:val="2"/>
                <w:sz w:val="21"/>
                <w:szCs w:val="21"/>
                <w:shd w:val="clear" w:color="auto" w:fill="FFFFFF"/>
              </w:rPr>
              <w:t>分</w:t>
            </w:r>
          </w:p>
        </w:tc>
      </w:tr>
      <w:tr w14:paraId="6194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Pr>
          <w:p w14:paraId="12D9752F">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日常活动</w:t>
            </w:r>
          </w:p>
        </w:tc>
        <w:tc>
          <w:tcPr>
            <w:tcW w:w="1827" w:type="pct"/>
          </w:tcPr>
          <w:p w14:paraId="124F6207">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问题</w:t>
            </w:r>
            <w:r>
              <w:rPr>
                <w:rFonts w:ascii="Times New Roman" w:hAnsi="Times New Roman" w:eastAsia="宋体" w:cs="Times New Roman"/>
                <w:kern w:val="2"/>
                <w:sz w:val="21"/>
                <w:szCs w:val="21"/>
                <w:shd w:val="clear" w:color="auto" w:fill="FFFFFF"/>
              </w:rPr>
              <w:t>3</w:t>
            </w:r>
            <w:r>
              <w:rPr>
                <w:rFonts w:hint="eastAsia" w:ascii="Times New Roman" w:hAnsi="Times New Roman" w:eastAsia="宋体" w:cs="Times New Roman"/>
                <w:kern w:val="2"/>
                <w:sz w:val="21"/>
                <w:szCs w:val="21"/>
                <w:shd w:val="clear" w:color="auto" w:fill="FFFFFF"/>
              </w:rPr>
              <w:t>和</w:t>
            </w:r>
            <w:r>
              <w:rPr>
                <w:rFonts w:ascii="Times New Roman" w:hAnsi="Times New Roman" w:eastAsia="宋体" w:cs="Times New Roman"/>
                <w:kern w:val="2"/>
                <w:sz w:val="21"/>
                <w:szCs w:val="21"/>
                <w:shd w:val="clear" w:color="auto" w:fill="FFFFFF"/>
              </w:rPr>
              <w:t>4</w:t>
            </w:r>
          </w:p>
        </w:tc>
        <w:tc>
          <w:tcPr>
            <w:tcW w:w="1687" w:type="pct"/>
          </w:tcPr>
          <w:p w14:paraId="61404374">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最高</w:t>
            </w:r>
            <w:r>
              <w:rPr>
                <w:rFonts w:ascii="Times New Roman" w:hAnsi="Times New Roman" w:eastAsia="宋体" w:cs="Times New Roman"/>
                <w:kern w:val="2"/>
                <w:sz w:val="21"/>
                <w:szCs w:val="21"/>
                <w:shd w:val="clear" w:color="auto" w:fill="FFFFFF"/>
              </w:rPr>
              <w:t>6</w:t>
            </w:r>
            <w:r>
              <w:rPr>
                <w:rFonts w:hint="eastAsia" w:ascii="Times New Roman" w:hAnsi="Times New Roman" w:eastAsia="宋体" w:cs="Times New Roman"/>
                <w:kern w:val="2"/>
                <w:sz w:val="21"/>
                <w:szCs w:val="21"/>
                <w:shd w:val="clear" w:color="auto" w:fill="FFFFFF"/>
              </w:rPr>
              <w:t>分</w:t>
            </w:r>
          </w:p>
        </w:tc>
      </w:tr>
      <w:tr w14:paraId="21D3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Pr>
          <w:p w14:paraId="6F928275">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休闲活动</w:t>
            </w:r>
          </w:p>
        </w:tc>
        <w:tc>
          <w:tcPr>
            <w:tcW w:w="1827" w:type="pct"/>
          </w:tcPr>
          <w:p w14:paraId="76BAE5BD">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问题</w:t>
            </w:r>
            <w:r>
              <w:rPr>
                <w:rFonts w:ascii="Times New Roman" w:hAnsi="Times New Roman" w:eastAsia="宋体" w:cs="Times New Roman"/>
                <w:kern w:val="2"/>
                <w:sz w:val="21"/>
                <w:szCs w:val="21"/>
                <w:shd w:val="clear" w:color="auto" w:fill="FFFFFF"/>
              </w:rPr>
              <w:t>5</w:t>
            </w:r>
            <w:r>
              <w:rPr>
                <w:rFonts w:hint="eastAsia" w:ascii="Times New Roman" w:hAnsi="Times New Roman" w:eastAsia="宋体" w:cs="Times New Roman"/>
                <w:kern w:val="2"/>
                <w:sz w:val="21"/>
                <w:szCs w:val="21"/>
                <w:shd w:val="clear" w:color="auto" w:fill="FFFFFF"/>
              </w:rPr>
              <w:t>和</w:t>
            </w:r>
            <w:r>
              <w:rPr>
                <w:rFonts w:ascii="Times New Roman" w:hAnsi="Times New Roman" w:eastAsia="宋体" w:cs="Times New Roman"/>
                <w:kern w:val="2"/>
                <w:sz w:val="21"/>
                <w:szCs w:val="21"/>
                <w:shd w:val="clear" w:color="auto" w:fill="FFFFFF"/>
              </w:rPr>
              <w:t>6</w:t>
            </w:r>
          </w:p>
        </w:tc>
        <w:tc>
          <w:tcPr>
            <w:tcW w:w="1687" w:type="pct"/>
          </w:tcPr>
          <w:p w14:paraId="0510831C">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最高</w:t>
            </w:r>
            <w:r>
              <w:rPr>
                <w:rFonts w:ascii="Times New Roman" w:hAnsi="Times New Roman" w:eastAsia="宋体" w:cs="Times New Roman"/>
                <w:kern w:val="2"/>
                <w:sz w:val="21"/>
                <w:szCs w:val="21"/>
                <w:shd w:val="clear" w:color="auto" w:fill="FFFFFF"/>
              </w:rPr>
              <w:t>6</w:t>
            </w:r>
            <w:r>
              <w:rPr>
                <w:rFonts w:hint="eastAsia" w:ascii="Times New Roman" w:hAnsi="Times New Roman" w:eastAsia="宋体" w:cs="Times New Roman"/>
                <w:kern w:val="2"/>
                <w:sz w:val="21"/>
                <w:szCs w:val="21"/>
                <w:shd w:val="clear" w:color="auto" w:fill="FFFFFF"/>
              </w:rPr>
              <w:t>分</w:t>
            </w:r>
          </w:p>
        </w:tc>
      </w:tr>
      <w:tr w14:paraId="62B8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Pr>
          <w:p w14:paraId="1F8EA882">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工作和学习</w:t>
            </w:r>
          </w:p>
        </w:tc>
        <w:tc>
          <w:tcPr>
            <w:tcW w:w="1827" w:type="pct"/>
          </w:tcPr>
          <w:p w14:paraId="7BA61570">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问题</w:t>
            </w:r>
            <w:r>
              <w:rPr>
                <w:rFonts w:ascii="Times New Roman" w:hAnsi="Times New Roman" w:eastAsia="宋体" w:cs="Times New Roman"/>
                <w:kern w:val="2"/>
                <w:sz w:val="21"/>
                <w:szCs w:val="21"/>
                <w:shd w:val="clear" w:color="auto" w:fill="FFFFFF"/>
              </w:rPr>
              <w:t>7</w:t>
            </w:r>
          </w:p>
        </w:tc>
        <w:tc>
          <w:tcPr>
            <w:tcW w:w="1687" w:type="pct"/>
          </w:tcPr>
          <w:p w14:paraId="397A67EB">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最高</w:t>
            </w:r>
            <w:r>
              <w:rPr>
                <w:rFonts w:ascii="Times New Roman" w:hAnsi="Times New Roman" w:eastAsia="宋体" w:cs="Times New Roman"/>
                <w:kern w:val="2"/>
                <w:sz w:val="21"/>
                <w:szCs w:val="21"/>
                <w:shd w:val="clear" w:color="auto" w:fill="FFFFFF"/>
              </w:rPr>
              <w:t>3</w:t>
            </w:r>
            <w:r>
              <w:rPr>
                <w:rFonts w:hint="eastAsia" w:ascii="Times New Roman" w:hAnsi="Times New Roman" w:eastAsia="宋体" w:cs="Times New Roman"/>
                <w:kern w:val="2"/>
                <w:sz w:val="21"/>
                <w:szCs w:val="21"/>
                <w:shd w:val="clear" w:color="auto" w:fill="FFFFFF"/>
              </w:rPr>
              <w:t>分</w:t>
            </w:r>
          </w:p>
        </w:tc>
      </w:tr>
      <w:tr w14:paraId="5C8E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Pr>
          <w:p w14:paraId="7E043639">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社交和亲密关系</w:t>
            </w:r>
          </w:p>
        </w:tc>
        <w:tc>
          <w:tcPr>
            <w:tcW w:w="1827" w:type="pct"/>
          </w:tcPr>
          <w:p w14:paraId="209CE9A3">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问题</w:t>
            </w:r>
            <w:r>
              <w:rPr>
                <w:rFonts w:ascii="Times New Roman" w:hAnsi="Times New Roman" w:eastAsia="宋体" w:cs="Times New Roman"/>
                <w:kern w:val="2"/>
                <w:sz w:val="21"/>
                <w:szCs w:val="21"/>
                <w:shd w:val="clear" w:color="auto" w:fill="FFFFFF"/>
              </w:rPr>
              <w:t>8</w:t>
            </w:r>
            <w:r>
              <w:rPr>
                <w:rFonts w:hint="eastAsia" w:ascii="Times New Roman" w:hAnsi="Times New Roman" w:eastAsia="宋体" w:cs="Times New Roman"/>
                <w:kern w:val="2"/>
                <w:sz w:val="21"/>
                <w:szCs w:val="21"/>
                <w:shd w:val="clear" w:color="auto" w:fill="FFFFFF"/>
              </w:rPr>
              <w:t>和</w:t>
            </w:r>
            <w:r>
              <w:rPr>
                <w:rFonts w:ascii="Times New Roman" w:hAnsi="Times New Roman" w:eastAsia="宋体" w:cs="Times New Roman"/>
                <w:kern w:val="2"/>
                <w:sz w:val="21"/>
                <w:szCs w:val="21"/>
                <w:shd w:val="clear" w:color="auto" w:fill="FFFFFF"/>
              </w:rPr>
              <w:t>9</w:t>
            </w:r>
          </w:p>
        </w:tc>
        <w:tc>
          <w:tcPr>
            <w:tcW w:w="1687" w:type="pct"/>
          </w:tcPr>
          <w:p w14:paraId="14451D3B">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最高</w:t>
            </w:r>
            <w:r>
              <w:rPr>
                <w:rFonts w:ascii="Times New Roman" w:hAnsi="Times New Roman" w:eastAsia="宋体" w:cs="Times New Roman"/>
                <w:kern w:val="2"/>
                <w:sz w:val="21"/>
                <w:szCs w:val="21"/>
                <w:shd w:val="clear" w:color="auto" w:fill="FFFFFF"/>
              </w:rPr>
              <w:t>6</w:t>
            </w:r>
            <w:r>
              <w:rPr>
                <w:rFonts w:hint="eastAsia" w:ascii="Times New Roman" w:hAnsi="Times New Roman" w:eastAsia="宋体" w:cs="Times New Roman"/>
                <w:kern w:val="2"/>
                <w:sz w:val="21"/>
                <w:szCs w:val="21"/>
                <w:shd w:val="clear" w:color="auto" w:fill="FFFFFF"/>
              </w:rPr>
              <w:t>分</w:t>
            </w:r>
          </w:p>
        </w:tc>
      </w:tr>
      <w:tr w14:paraId="1D57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pct"/>
          </w:tcPr>
          <w:p w14:paraId="47CA1D60">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治疗</w:t>
            </w:r>
          </w:p>
        </w:tc>
        <w:tc>
          <w:tcPr>
            <w:tcW w:w="1827" w:type="pct"/>
          </w:tcPr>
          <w:p w14:paraId="3B927D83">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问题</w:t>
            </w:r>
            <w:r>
              <w:rPr>
                <w:rFonts w:ascii="Times New Roman" w:hAnsi="Times New Roman" w:eastAsia="宋体" w:cs="Times New Roman"/>
                <w:kern w:val="2"/>
                <w:sz w:val="21"/>
                <w:szCs w:val="21"/>
                <w:shd w:val="clear" w:color="auto" w:fill="FFFFFF"/>
              </w:rPr>
              <w:t>10</w:t>
            </w:r>
          </w:p>
        </w:tc>
        <w:tc>
          <w:tcPr>
            <w:tcW w:w="1687" w:type="pct"/>
          </w:tcPr>
          <w:p w14:paraId="6EAF54E5">
            <w:pPr>
              <w:topLinePunct/>
              <w:autoSpaceDE/>
              <w:autoSpaceDN/>
              <w:spacing w:line="276" w:lineRule="auto"/>
              <w:jc w:val="center"/>
              <w:rPr>
                <w:rFonts w:ascii="Times New Roman" w:hAnsi="Times New Roman" w:eastAsia="宋体" w:cs="Times New Roman"/>
                <w:kern w:val="2"/>
                <w:sz w:val="21"/>
                <w:szCs w:val="21"/>
                <w:shd w:val="clear" w:color="auto" w:fill="FFFFFF"/>
              </w:rPr>
            </w:pPr>
            <w:r>
              <w:rPr>
                <w:rFonts w:hint="eastAsia" w:ascii="Times New Roman" w:hAnsi="Times New Roman" w:eastAsia="宋体" w:cs="Times New Roman"/>
                <w:kern w:val="2"/>
                <w:sz w:val="21"/>
                <w:szCs w:val="21"/>
                <w:shd w:val="clear" w:color="auto" w:fill="FFFFFF"/>
              </w:rPr>
              <w:t>最高</w:t>
            </w:r>
            <w:r>
              <w:rPr>
                <w:rFonts w:ascii="Times New Roman" w:hAnsi="Times New Roman" w:eastAsia="宋体" w:cs="Times New Roman"/>
                <w:kern w:val="2"/>
                <w:sz w:val="21"/>
                <w:szCs w:val="21"/>
                <w:shd w:val="clear" w:color="auto" w:fill="FFFFFF"/>
              </w:rPr>
              <w:t>3</w:t>
            </w:r>
            <w:r>
              <w:rPr>
                <w:rFonts w:hint="eastAsia" w:ascii="Times New Roman" w:hAnsi="Times New Roman" w:eastAsia="宋体" w:cs="Times New Roman"/>
                <w:kern w:val="2"/>
                <w:sz w:val="21"/>
                <w:szCs w:val="21"/>
                <w:shd w:val="clear" w:color="auto" w:fill="FFFFFF"/>
              </w:rPr>
              <w:t>分</w:t>
            </w:r>
          </w:p>
        </w:tc>
      </w:tr>
    </w:tbl>
    <w:p w14:paraId="07311E33">
      <w:pPr>
        <w:topLinePunct/>
        <w:autoSpaceDE/>
        <w:autoSpaceDN/>
        <w:spacing w:line="360" w:lineRule="auto"/>
        <w:ind w:firstLine="420" w:firstLineChars="200"/>
        <w:jc w:val="both"/>
        <w:rPr>
          <w:rFonts w:ascii="Times New Roman" w:hAnsi="Times New Roman" w:eastAsia="宋体" w:cs="Times New Roman"/>
          <w:kern w:val="2"/>
          <w:sz w:val="21"/>
          <w:szCs w:val="21"/>
          <w:shd w:val="clear" w:color="auto" w:fill="FFFFFF"/>
        </w:rPr>
      </w:pPr>
    </w:p>
    <w:p w14:paraId="5E33202B">
      <w:pPr>
        <w:topLinePunct/>
        <w:autoSpaceDE/>
        <w:autoSpaceDN/>
        <w:spacing w:line="360" w:lineRule="auto"/>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DLQI评分的含义如下示：</w:t>
      </w:r>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843"/>
      </w:tblGrid>
      <w:tr w14:paraId="66F1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1" w:type="pct"/>
            <w:shd w:val="clear" w:color="auto" w:fill="F1F1F1"/>
            <w:vAlign w:val="center"/>
          </w:tcPr>
          <w:p w14:paraId="23441F82">
            <w:pPr>
              <w:topLinePunct/>
              <w:autoSpaceDE/>
              <w:autoSpaceDN/>
              <w:spacing w:line="276"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DLQI评分</w:t>
            </w:r>
          </w:p>
        </w:tc>
        <w:tc>
          <w:tcPr>
            <w:tcW w:w="3799" w:type="pct"/>
            <w:shd w:val="clear" w:color="auto" w:fill="F1F1F1"/>
            <w:vAlign w:val="center"/>
          </w:tcPr>
          <w:p w14:paraId="08B228A4">
            <w:pPr>
              <w:topLinePunct/>
              <w:autoSpaceDE/>
              <w:autoSpaceDN/>
              <w:spacing w:line="276" w:lineRule="auto"/>
              <w:jc w:val="both"/>
              <w:rPr>
                <w:rFonts w:ascii="Times New Roman" w:hAnsi="Times New Roman" w:eastAsia="宋体" w:cs="Times New Roman"/>
                <w:b/>
                <w:bCs/>
                <w:kern w:val="2"/>
                <w:sz w:val="21"/>
                <w:szCs w:val="21"/>
              </w:rPr>
            </w:pPr>
            <w:r>
              <w:rPr>
                <w:rFonts w:ascii="Times New Roman" w:hAnsi="Times New Roman" w:eastAsia="宋体" w:cs="Times New Roman"/>
                <w:b/>
                <w:bCs/>
                <w:kern w:val="2"/>
                <w:sz w:val="21"/>
                <w:szCs w:val="21"/>
              </w:rPr>
              <w:t>含义</w:t>
            </w:r>
          </w:p>
        </w:tc>
      </w:tr>
      <w:tr w14:paraId="39D8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pct"/>
            <w:vAlign w:val="center"/>
          </w:tcPr>
          <w:p w14:paraId="22C8852C">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0 - 1分</w:t>
            </w:r>
          </w:p>
        </w:tc>
        <w:tc>
          <w:tcPr>
            <w:tcW w:w="3799" w:type="pct"/>
            <w:vAlign w:val="center"/>
          </w:tcPr>
          <w:p w14:paraId="6A55B7C1">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对患者的生活完全没有影响</w:t>
            </w:r>
          </w:p>
        </w:tc>
      </w:tr>
      <w:tr w14:paraId="3C39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pct"/>
            <w:vAlign w:val="center"/>
          </w:tcPr>
          <w:p w14:paraId="74CE4871">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2 - 5分</w:t>
            </w:r>
          </w:p>
        </w:tc>
        <w:tc>
          <w:tcPr>
            <w:tcW w:w="3799" w:type="pct"/>
            <w:vAlign w:val="center"/>
          </w:tcPr>
          <w:p w14:paraId="59629C84">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对患者的生活影响较小</w:t>
            </w:r>
          </w:p>
        </w:tc>
      </w:tr>
      <w:tr w14:paraId="6F48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pct"/>
            <w:vAlign w:val="center"/>
          </w:tcPr>
          <w:p w14:paraId="175A7154">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6 - 10分</w:t>
            </w:r>
          </w:p>
        </w:tc>
        <w:tc>
          <w:tcPr>
            <w:tcW w:w="3799" w:type="pct"/>
            <w:vAlign w:val="center"/>
          </w:tcPr>
          <w:p w14:paraId="3387DF23">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对患者的生活有中等影响</w:t>
            </w:r>
          </w:p>
        </w:tc>
      </w:tr>
      <w:tr w14:paraId="43D6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pct"/>
            <w:vAlign w:val="center"/>
          </w:tcPr>
          <w:p w14:paraId="1022F3AA">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11 - 20分</w:t>
            </w:r>
          </w:p>
        </w:tc>
        <w:tc>
          <w:tcPr>
            <w:tcW w:w="3799" w:type="pct"/>
            <w:vAlign w:val="center"/>
          </w:tcPr>
          <w:p w14:paraId="55B013AB">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对患者的生活影响非常大</w:t>
            </w:r>
          </w:p>
        </w:tc>
      </w:tr>
      <w:tr w14:paraId="428E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pct"/>
            <w:vAlign w:val="center"/>
          </w:tcPr>
          <w:p w14:paraId="3D0BA1B1">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21 - 30分</w:t>
            </w:r>
          </w:p>
        </w:tc>
        <w:tc>
          <w:tcPr>
            <w:tcW w:w="3799" w:type="pct"/>
            <w:vAlign w:val="center"/>
          </w:tcPr>
          <w:p w14:paraId="7B64BA34">
            <w:pPr>
              <w:topLinePunct/>
              <w:autoSpaceDE/>
              <w:autoSpaceDN/>
              <w:spacing w:line="276" w:lineRule="auto"/>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对患者的生活影响极大</w:t>
            </w:r>
          </w:p>
        </w:tc>
      </w:tr>
    </w:tbl>
    <w:p w14:paraId="4FDCB8D6">
      <w:pPr>
        <w:rPr>
          <w:rFonts w:ascii="Times New Roman" w:hAnsi="Times New Roman" w:cs="Times New Roman"/>
        </w:rPr>
      </w:pPr>
      <w:r>
        <w:rPr>
          <w:rFonts w:ascii="Times New Roman" w:hAnsi="Times New Roman" w:cs="Times New Roman"/>
        </w:rPr>
        <w:br w:type="page"/>
      </w:r>
    </w:p>
    <w:p w14:paraId="51D9259D">
      <w:pPr>
        <w:pStyle w:val="60"/>
        <w:ind w:firstLine="0" w:firstLineChars="0"/>
        <w:rPr>
          <w:rStyle w:val="99"/>
          <w:rFonts w:cs="Times New Roman"/>
          <w:b/>
          <w:bCs/>
          <w:sz w:val="24"/>
          <w:szCs w:val="24"/>
        </w:rPr>
      </w:pPr>
      <w:bookmarkStart w:id="434" w:name="_Toc24027"/>
      <w:r>
        <w:rPr>
          <w:rStyle w:val="99"/>
          <w:rFonts w:hint="eastAsia" w:cs="Times New Roman"/>
          <w:b/>
          <w:bCs/>
          <w:sz w:val="24"/>
          <w:szCs w:val="24"/>
        </w:rPr>
        <w:t>附录</w:t>
      </w:r>
      <w:r>
        <w:rPr>
          <w:rStyle w:val="99"/>
          <w:rFonts w:cs="Times New Roman"/>
          <w:b/>
          <w:bCs/>
          <w:sz w:val="24"/>
          <w:szCs w:val="24"/>
        </w:rPr>
        <w:t xml:space="preserve">7 </w:t>
      </w:r>
      <w:r>
        <w:rPr>
          <w:rStyle w:val="99"/>
          <w:rFonts w:hint="eastAsia" w:cs="Times New Roman"/>
          <w:b/>
          <w:bCs/>
          <w:sz w:val="24"/>
          <w:szCs w:val="24"/>
        </w:rPr>
        <w:t>安全性信息报告途径</w:t>
      </w:r>
      <w:bookmarkEnd w:id="434"/>
    </w:p>
    <w:p w14:paraId="1B6CEAE3">
      <w:pPr>
        <w:rPr>
          <w:rFonts w:ascii="Times New Roman" w:hAnsi="Times New Roman" w:eastAsia="宋体" w:cs="Times New Roman"/>
          <w:kern w:val="2"/>
          <w:sz w:val="21"/>
          <w:szCs w:val="21"/>
        </w:rPr>
      </w:pPr>
    </w:p>
    <w:tbl>
      <w:tblPr>
        <w:tblStyle w:val="89"/>
        <w:tblW w:w="5000" w:type="pct"/>
        <w:tblInd w:w="0" w:type="dxa"/>
        <w:tblLayout w:type="fixed"/>
        <w:tblCellMar>
          <w:top w:w="0" w:type="dxa"/>
          <w:left w:w="108" w:type="dxa"/>
          <w:bottom w:w="0" w:type="dxa"/>
          <w:right w:w="108" w:type="dxa"/>
        </w:tblCellMar>
      </w:tblPr>
      <w:tblGrid>
        <w:gridCol w:w="2341"/>
        <w:gridCol w:w="1243"/>
        <w:gridCol w:w="1908"/>
        <w:gridCol w:w="1520"/>
        <w:gridCol w:w="1994"/>
      </w:tblGrid>
      <w:tr w14:paraId="19C69973">
        <w:tblPrEx>
          <w:tblCellMar>
            <w:top w:w="0" w:type="dxa"/>
            <w:left w:w="108" w:type="dxa"/>
            <w:bottom w:w="0" w:type="dxa"/>
            <w:right w:w="108" w:type="dxa"/>
          </w:tblCellMar>
        </w:tblPrEx>
        <w:tc>
          <w:tcPr>
            <w:tcW w:w="1300" w:type="pct"/>
            <w:tcBorders>
              <w:top w:val="single" w:color="auto" w:sz="4" w:space="0"/>
              <w:left w:val="single" w:color="auto" w:sz="4" w:space="0"/>
              <w:bottom w:val="single" w:color="auto" w:sz="4" w:space="0"/>
              <w:right w:val="single" w:color="auto" w:sz="4" w:space="0"/>
            </w:tcBorders>
          </w:tcPr>
          <w:p w14:paraId="5AA43DDB">
            <w:pPr>
              <w:topLinePunct/>
              <w:autoSpaceDE/>
              <w:autoSpaceDN/>
              <w:spacing w:line="400" w:lineRule="exact"/>
              <w:jc w:val="both"/>
              <w:rPr>
                <w:rFonts w:ascii="Times New Roman" w:hAnsi="Times New Roman" w:eastAsia="宋体" w:cs="Times New Roman"/>
                <w:b/>
                <w:kern w:val="2"/>
                <w:sz w:val="21"/>
                <w:szCs w:val="21"/>
              </w:rPr>
            </w:pPr>
            <w:r>
              <w:rPr>
                <w:rFonts w:ascii="Times New Roman" w:hAnsi="Times New Roman" w:eastAsia="宋体" w:cs="Times New Roman"/>
                <w:b/>
                <w:kern w:val="2"/>
                <w:sz w:val="21"/>
                <w:szCs w:val="21"/>
              </w:rPr>
              <w:t>接收机构/部门</w:t>
            </w:r>
          </w:p>
        </w:tc>
        <w:tc>
          <w:tcPr>
            <w:tcW w:w="690" w:type="pct"/>
            <w:tcBorders>
              <w:top w:val="single" w:color="auto" w:sz="4" w:space="0"/>
              <w:left w:val="single" w:color="auto" w:sz="4" w:space="0"/>
              <w:bottom w:val="single" w:color="auto" w:sz="4" w:space="0"/>
              <w:right w:val="single" w:color="auto" w:sz="4" w:space="0"/>
            </w:tcBorders>
          </w:tcPr>
          <w:p w14:paraId="15EA6437">
            <w:pPr>
              <w:topLinePunct/>
              <w:autoSpaceDE/>
              <w:autoSpaceDN/>
              <w:spacing w:line="400" w:lineRule="exact"/>
              <w:jc w:val="center"/>
              <w:rPr>
                <w:rFonts w:ascii="Times New Roman" w:hAnsi="Times New Roman" w:eastAsia="宋体" w:cs="Times New Roman"/>
                <w:b/>
                <w:kern w:val="2"/>
                <w:sz w:val="21"/>
                <w:szCs w:val="21"/>
              </w:rPr>
            </w:pPr>
            <w:r>
              <w:rPr>
                <w:rFonts w:ascii="Times New Roman" w:hAnsi="Times New Roman" w:eastAsia="宋体" w:cs="Times New Roman"/>
                <w:b/>
                <w:kern w:val="2"/>
                <w:sz w:val="21"/>
                <w:szCs w:val="21"/>
              </w:rPr>
              <w:t>联系人</w:t>
            </w:r>
          </w:p>
        </w:tc>
        <w:tc>
          <w:tcPr>
            <w:tcW w:w="1059" w:type="pct"/>
            <w:tcBorders>
              <w:top w:val="single" w:color="auto" w:sz="4" w:space="0"/>
              <w:left w:val="single" w:color="auto" w:sz="4" w:space="0"/>
              <w:bottom w:val="single" w:color="auto" w:sz="4" w:space="0"/>
              <w:right w:val="single" w:color="auto" w:sz="4" w:space="0"/>
            </w:tcBorders>
          </w:tcPr>
          <w:p w14:paraId="169E285F">
            <w:pPr>
              <w:topLinePunct/>
              <w:autoSpaceDE/>
              <w:autoSpaceDN/>
              <w:spacing w:line="400" w:lineRule="exact"/>
              <w:ind w:right="-70" w:hanging="140"/>
              <w:jc w:val="center"/>
              <w:rPr>
                <w:rFonts w:ascii="Times New Roman" w:hAnsi="Times New Roman" w:eastAsia="宋体" w:cs="Times New Roman"/>
                <w:b/>
                <w:kern w:val="2"/>
                <w:sz w:val="21"/>
                <w:szCs w:val="21"/>
              </w:rPr>
            </w:pPr>
            <w:r>
              <w:rPr>
                <w:rFonts w:ascii="Times New Roman" w:hAnsi="Times New Roman" w:eastAsia="宋体" w:cs="Times New Roman"/>
                <w:b/>
                <w:kern w:val="2"/>
                <w:sz w:val="21"/>
                <w:szCs w:val="21"/>
              </w:rPr>
              <w:t>电话</w:t>
            </w:r>
          </w:p>
        </w:tc>
        <w:tc>
          <w:tcPr>
            <w:tcW w:w="844" w:type="pct"/>
            <w:tcBorders>
              <w:top w:val="single" w:color="auto" w:sz="4" w:space="0"/>
              <w:left w:val="single" w:color="auto" w:sz="4" w:space="0"/>
              <w:bottom w:val="single" w:color="auto" w:sz="4" w:space="0"/>
              <w:right w:val="single" w:color="auto" w:sz="4" w:space="0"/>
            </w:tcBorders>
          </w:tcPr>
          <w:p w14:paraId="3B44A10C">
            <w:pPr>
              <w:topLinePunct/>
              <w:autoSpaceDE/>
              <w:autoSpaceDN/>
              <w:spacing w:line="400" w:lineRule="exact"/>
              <w:ind w:right="-70" w:hanging="140"/>
              <w:jc w:val="center"/>
              <w:rPr>
                <w:rFonts w:ascii="Times New Roman" w:hAnsi="Times New Roman" w:eastAsia="宋体" w:cs="Times New Roman"/>
                <w:b/>
                <w:kern w:val="2"/>
                <w:sz w:val="21"/>
                <w:szCs w:val="21"/>
              </w:rPr>
            </w:pPr>
            <w:r>
              <w:rPr>
                <w:rFonts w:ascii="Times New Roman" w:hAnsi="Times New Roman" w:eastAsia="宋体" w:cs="Times New Roman"/>
                <w:b/>
                <w:kern w:val="2"/>
                <w:sz w:val="21"/>
                <w:szCs w:val="21"/>
              </w:rPr>
              <w:t>传真</w:t>
            </w:r>
          </w:p>
        </w:tc>
        <w:tc>
          <w:tcPr>
            <w:tcW w:w="1107" w:type="pct"/>
            <w:tcBorders>
              <w:top w:val="single" w:color="auto" w:sz="4" w:space="0"/>
              <w:left w:val="single" w:color="auto" w:sz="4" w:space="0"/>
              <w:bottom w:val="single" w:color="auto" w:sz="4" w:space="0"/>
              <w:right w:val="single" w:color="auto" w:sz="4" w:space="0"/>
            </w:tcBorders>
          </w:tcPr>
          <w:p w14:paraId="2F9F3DC7">
            <w:pPr>
              <w:topLinePunct/>
              <w:autoSpaceDE/>
              <w:autoSpaceDN/>
              <w:spacing w:line="400" w:lineRule="exact"/>
              <w:ind w:right="-118" w:hanging="140"/>
              <w:jc w:val="center"/>
              <w:rPr>
                <w:rFonts w:ascii="Times New Roman" w:hAnsi="Times New Roman" w:eastAsia="宋体" w:cs="Times New Roman"/>
                <w:b/>
                <w:kern w:val="2"/>
                <w:sz w:val="21"/>
                <w:szCs w:val="21"/>
              </w:rPr>
            </w:pPr>
            <w:r>
              <w:rPr>
                <w:rFonts w:ascii="Times New Roman" w:hAnsi="Times New Roman" w:eastAsia="宋体" w:cs="Times New Roman"/>
                <w:b/>
                <w:kern w:val="2"/>
                <w:sz w:val="21"/>
                <w:szCs w:val="21"/>
              </w:rPr>
              <w:t>邮箱/传输方式</w:t>
            </w:r>
          </w:p>
        </w:tc>
      </w:tr>
      <w:tr w14:paraId="1FF58DDF">
        <w:tblPrEx>
          <w:tblCellMar>
            <w:top w:w="0" w:type="dxa"/>
            <w:left w:w="108" w:type="dxa"/>
            <w:bottom w:w="0" w:type="dxa"/>
            <w:right w:w="108" w:type="dxa"/>
          </w:tblCellMar>
        </w:tblPrEx>
        <w:tc>
          <w:tcPr>
            <w:tcW w:w="1300" w:type="pct"/>
            <w:tcBorders>
              <w:top w:val="single" w:color="auto" w:sz="4" w:space="0"/>
              <w:left w:val="single" w:color="auto" w:sz="4" w:space="0"/>
              <w:bottom w:val="single" w:color="auto" w:sz="4" w:space="0"/>
              <w:right w:val="single" w:color="auto" w:sz="4" w:space="0"/>
            </w:tcBorders>
          </w:tcPr>
          <w:p w14:paraId="1B9F5D8C">
            <w:pPr>
              <w:topLinePunct/>
              <w:autoSpaceDE/>
              <w:autoSpaceDN/>
              <w:spacing w:line="40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海南德镁医药科技有限责任公司</w:t>
            </w:r>
          </w:p>
        </w:tc>
        <w:tc>
          <w:tcPr>
            <w:tcW w:w="690" w:type="pct"/>
            <w:tcBorders>
              <w:top w:val="single" w:color="auto" w:sz="4" w:space="0"/>
              <w:left w:val="single" w:color="auto" w:sz="4" w:space="0"/>
              <w:bottom w:val="single" w:color="auto" w:sz="4" w:space="0"/>
              <w:right w:val="single" w:color="auto" w:sz="4" w:space="0"/>
            </w:tcBorders>
          </w:tcPr>
          <w:p w14:paraId="6395E659">
            <w:pPr>
              <w:topLinePunct/>
              <w:autoSpaceDE/>
              <w:autoSpaceDN/>
              <w:spacing w:line="400" w:lineRule="exact"/>
              <w:jc w:val="center"/>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医学部药物警戒团队</w:t>
            </w:r>
          </w:p>
        </w:tc>
        <w:tc>
          <w:tcPr>
            <w:tcW w:w="1059" w:type="pct"/>
            <w:tcBorders>
              <w:top w:val="single" w:color="auto" w:sz="4" w:space="0"/>
              <w:left w:val="single" w:color="auto" w:sz="4" w:space="0"/>
              <w:bottom w:val="single" w:color="auto" w:sz="4" w:space="0"/>
              <w:right w:val="single" w:color="auto" w:sz="4" w:space="0"/>
            </w:tcBorders>
          </w:tcPr>
          <w:p w14:paraId="310355FA">
            <w:pPr>
              <w:topLinePunct/>
              <w:autoSpaceDE/>
              <w:autoSpaceDN/>
              <w:spacing w:line="400" w:lineRule="exact"/>
              <w:ind w:right="-70" w:hanging="140"/>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0755-</w:t>
            </w:r>
            <w:r>
              <w:rPr>
                <w:rFonts w:ascii="Times New Roman" w:hAnsi="Times New Roman" w:eastAsia="宋体" w:cs="Times New Roman"/>
                <w:kern w:val="2"/>
                <w:sz w:val="21"/>
                <w:szCs w:val="21"/>
                <w:lang w:val="en-GB"/>
              </w:rPr>
              <w:t>82418801</w:t>
            </w:r>
            <w:r>
              <w:rPr>
                <w:rFonts w:ascii="Times New Roman" w:hAnsi="Times New Roman" w:eastAsia="宋体" w:cs="Times New Roman"/>
                <w:kern w:val="2"/>
                <w:sz w:val="21"/>
                <w:szCs w:val="21"/>
              </w:rPr>
              <w:t>-8864</w:t>
            </w:r>
          </w:p>
        </w:tc>
        <w:tc>
          <w:tcPr>
            <w:tcW w:w="844" w:type="pct"/>
            <w:tcBorders>
              <w:top w:val="single" w:color="auto" w:sz="4" w:space="0"/>
              <w:left w:val="single" w:color="auto" w:sz="4" w:space="0"/>
              <w:bottom w:val="single" w:color="auto" w:sz="4" w:space="0"/>
              <w:right w:val="single" w:color="auto" w:sz="4" w:space="0"/>
            </w:tcBorders>
          </w:tcPr>
          <w:p w14:paraId="4C7A3C0C">
            <w:pPr>
              <w:topLinePunct/>
              <w:autoSpaceDE/>
              <w:autoSpaceDN/>
              <w:spacing w:line="400" w:lineRule="exact"/>
              <w:ind w:right="-70" w:hanging="140"/>
              <w:jc w:val="center"/>
              <w:rPr>
                <w:rFonts w:ascii="Times New Roman" w:hAnsi="Times New Roman" w:eastAsia="宋体" w:cs="Times New Roman"/>
                <w:kern w:val="2"/>
                <w:sz w:val="21"/>
                <w:szCs w:val="21"/>
                <w:lang w:val="en-GB"/>
              </w:rPr>
            </w:pPr>
            <w:r>
              <w:rPr>
                <w:rFonts w:ascii="Times New Roman" w:hAnsi="Times New Roman" w:eastAsia="宋体" w:cs="Times New Roman"/>
                <w:kern w:val="2"/>
                <w:sz w:val="21"/>
                <w:szCs w:val="21"/>
                <w:lang w:val="en-GB"/>
              </w:rPr>
              <w:t>0755-82416622</w:t>
            </w:r>
          </w:p>
        </w:tc>
        <w:tc>
          <w:tcPr>
            <w:tcW w:w="1107" w:type="pct"/>
            <w:tcBorders>
              <w:top w:val="single" w:color="auto" w:sz="4" w:space="0"/>
              <w:left w:val="single" w:color="auto" w:sz="4" w:space="0"/>
              <w:bottom w:val="single" w:color="auto" w:sz="4" w:space="0"/>
              <w:right w:val="single" w:color="auto" w:sz="4" w:space="0"/>
            </w:tcBorders>
          </w:tcPr>
          <w:p w14:paraId="0D656A64">
            <w:pPr>
              <w:topLinePunct/>
              <w:autoSpaceDE/>
              <w:autoSpaceDN/>
              <w:spacing w:line="400" w:lineRule="exact"/>
              <w:ind w:right="-118" w:hanging="140"/>
              <w:jc w:val="center"/>
              <w:rPr>
                <w:rFonts w:ascii="Times New Roman" w:hAnsi="Times New Roman" w:eastAsia="宋体" w:cs="Times New Roman"/>
                <w:kern w:val="2"/>
                <w:sz w:val="21"/>
                <w:szCs w:val="21"/>
                <w:lang w:val="en-GB"/>
              </w:rPr>
            </w:pPr>
            <w:r>
              <w:rPr>
                <w:rFonts w:ascii="Times New Roman" w:hAnsi="Times New Roman" w:eastAsia="宋体" w:cs="Times New Roman"/>
                <w:kern w:val="2"/>
                <w:sz w:val="21"/>
                <w:szCs w:val="21"/>
                <w:lang w:val="en-GB"/>
              </w:rPr>
              <w:t>pv@cms.net.cn</w:t>
            </w:r>
          </w:p>
        </w:tc>
      </w:tr>
      <w:tr w14:paraId="5C1919A2">
        <w:tblPrEx>
          <w:tblCellMar>
            <w:top w:w="0" w:type="dxa"/>
            <w:left w:w="108" w:type="dxa"/>
            <w:bottom w:w="0" w:type="dxa"/>
            <w:right w:w="108" w:type="dxa"/>
          </w:tblCellMar>
        </w:tblPrEx>
        <w:tc>
          <w:tcPr>
            <w:tcW w:w="1300" w:type="pct"/>
            <w:tcBorders>
              <w:top w:val="single" w:color="auto" w:sz="4" w:space="0"/>
              <w:left w:val="single" w:color="auto" w:sz="4" w:space="0"/>
              <w:bottom w:val="single" w:color="auto" w:sz="4" w:space="0"/>
              <w:right w:val="single" w:color="auto" w:sz="4" w:space="0"/>
            </w:tcBorders>
          </w:tcPr>
          <w:p w14:paraId="681EFFCA">
            <w:pPr>
              <w:topLinePunct/>
              <w:autoSpaceDE/>
              <w:autoSpaceDN/>
              <w:spacing w:line="40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中华人民共和国卫健委</w:t>
            </w:r>
          </w:p>
        </w:tc>
        <w:tc>
          <w:tcPr>
            <w:tcW w:w="690" w:type="pct"/>
            <w:tcBorders>
              <w:top w:val="single" w:color="auto" w:sz="4" w:space="0"/>
              <w:left w:val="single" w:color="auto" w:sz="4" w:space="0"/>
              <w:bottom w:val="single" w:color="auto" w:sz="4" w:space="0"/>
              <w:right w:val="single" w:color="auto" w:sz="4" w:space="0"/>
            </w:tcBorders>
          </w:tcPr>
          <w:p w14:paraId="2B6ECF2D">
            <w:pPr>
              <w:topLinePunct/>
              <w:autoSpaceDE/>
              <w:autoSpaceDN/>
              <w:spacing w:line="400" w:lineRule="exact"/>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w:t>
            </w:r>
          </w:p>
        </w:tc>
        <w:tc>
          <w:tcPr>
            <w:tcW w:w="1059" w:type="pct"/>
            <w:tcBorders>
              <w:top w:val="single" w:color="auto" w:sz="4" w:space="0"/>
              <w:left w:val="single" w:color="auto" w:sz="4" w:space="0"/>
              <w:bottom w:val="single" w:color="auto" w:sz="4" w:space="0"/>
              <w:right w:val="single" w:color="auto" w:sz="4" w:space="0"/>
            </w:tcBorders>
          </w:tcPr>
          <w:p w14:paraId="6D74A76A">
            <w:pPr>
              <w:topLinePunct/>
              <w:autoSpaceDE/>
              <w:autoSpaceDN/>
              <w:spacing w:line="400" w:lineRule="exact"/>
              <w:ind w:right="-70" w:hanging="140"/>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w:t>
            </w:r>
          </w:p>
        </w:tc>
        <w:tc>
          <w:tcPr>
            <w:tcW w:w="844" w:type="pct"/>
            <w:tcBorders>
              <w:top w:val="single" w:color="auto" w:sz="4" w:space="0"/>
              <w:left w:val="single" w:color="auto" w:sz="4" w:space="0"/>
              <w:bottom w:val="single" w:color="auto" w:sz="4" w:space="0"/>
              <w:right w:val="single" w:color="auto" w:sz="4" w:space="0"/>
            </w:tcBorders>
          </w:tcPr>
          <w:p w14:paraId="2CEC15D3">
            <w:pPr>
              <w:topLinePunct/>
              <w:autoSpaceDE/>
              <w:autoSpaceDN/>
              <w:spacing w:line="400" w:lineRule="exact"/>
              <w:ind w:right="-70" w:hanging="140"/>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lang w:val="en-GB"/>
              </w:rPr>
              <w:t>010-68792734</w:t>
            </w:r>
          </w:p>
        </w:tc>
        <w:tc>
          <w:tcPr>
            <w:tcW w:w="1107" w:type="pct"/>
            <w:tcBorders>
              <w:top w:val="single" w:color="auto" w:sz="4" w:space="0"/>
              <w:left w:val="single" w:color="auto" w:sz="4" w:space="0"/>
              <w:bottom w:val="single" w:color="auto" w:sz="4" w:space="0"/>
              <w:right w:val="single" w:color="auto" w:sz="4" w:space="0"/>
            </w:tcBorders>
          </w:tcPr>
          <w:p w14:paraId="1135C4DF">
            <w:pPr>
              <w:topLinePunct/>
              <w:autoSpaceDE/>
              <w:autoSpaceDN/>
              <w:spacing w:line="400" w:lineRule="exact"/>
              <w:ind w:right="-118" w:hanging="140"/>
              <w:jc w:val="center"/>
              <w:rPr>
                <w:rFonts w:ascii="Times New Roman" w:hAnsi="Times New Roman" w:eastAsia="宋体" w:cs="Times New Roman"/>
                <w:kern w:val="2"/>
                <w:sz w:val="21"/>
                <w:szCs w:val="21"/>
                <w:lang w:val="en-GB"/>
              </w:rPr>
            </w:pPr>
            <w:r>
              <w:rPr>
                <w:rFonts w:ascii="Times New Roman" w:hAnsi="Times New Roman" w:eastAsia="宋体" w:cs="Times New Roman"/>
                <w:kern w:val="2"/>
                <w:sz w:val="21"/>
                <w:szCs w:val="21"/>
                <w:lang w:val="en-GB"/>
              </w:rPr>
              <w:t>saefax@163.com</w:t>
            </w:r>
          </w:p>
        </w:tc>
      </w:tr>
      <w:tr w14:paraId="21447B17">
        <w:tblPrEx>
          <w:tblCellMar>
            <w:top w:w="0" w:type="dxa"/>
            <w:left w:w="108" w:type="dxa"/>
            <w:bottom w:w="0" w:type="dxa"/>
            <w:right w:w="108" w:type="dxa"/>
          </w:tblCellMar>
        </w:tblPrEx>
        <w:tc>
          <w:tcPr>
            <w:tcW w:w="1300" w:type="pct"/>
            <w:tcBorders>
              <w:top w:val="single" w:color="auto" w:sz="4" w:space="0"/>
              <w:left w:val="single" w:color="auto" w:sz="4" w:space="0"/>
              <w:bottom w:val="single" w:color="auto" w:sz="4" w:space="0"/>
              <w:right w:val="single" w:color="auto" w:sz="4" w:space="0"/>
            </w:tcBorders>
          </w:tcPr>
          <w:p w14:paraId="15041846">
            <w:pPr>
              <w:topLinePunct/>
              <w:autoSpaceDE/>
              <w:autoSpaceDN/>
              <w:spacing w:line="400" w:lineRule="exact"/>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国家药品审评中心</w:t>
            </w:r>
          </w:p>
        </w:tc>
        <w:tc>
          <w:tcPr>
            <w:tcW w:w="690" w:type="pct"/>
            <w:tcBorders>
              <w:top w:val="single" w:color="auto" w:sz="4" w:space="0"/>
              <w:left w:val="single" w:color="auto" w:sz="4" w:space="0"/>
              <w:bottom w:val="single" w:color="auto" w:sz="4" w:space="0"/>
              <w:right w:val="single" w:color="auto" w:sz="4" w:space="0"/>
            </w:tcBorders>
          </w:tcPr>
          <w:p w14:paraId="2D545B6D">
            <w:pPr>
              <w:topLinePunct/>
              <w:autoSpaceDE/>
              <w:autoSpaceDN/>
              <w:spacing w:line="400" w:lineRule="exact"/>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w:t>
            </w:r>
          </w:p>
        </w:tc>
        <w:tc>
          <w:tcPr>
            <w:tcW w:w="1059" w:type="pct"/>
            <w:tcBorders>
              <w:top w:val="single" w:color="auto" w:sz="4" w:space="0"/>
              <w:left w:val="single" w:color="auto" w:sz="4" w:space="0"/>
              <w:bottom w:val="single" w:color="auto" w:sz="4" w:space="0"/>
              <w:right w:val="single" w:color="auto" w:sz="4" w:space="0"/>
            </w:tcBorders>
          </w:tcPr>
          <w:p w14:paraId="3C77319B">
            <w:pPr>
              <w:topLinePunct/>
              <w:autoSpaceDE/>
              <w:autoSpaceDN/>
              <w:spacing w:line="400" w:lineRule="exact"/>
              <w:ind w:right="-70" w:hanging="140"/>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w:t>
            </w:r>
          </w:p>
        </w:tc>
        <w:tc>
          <w:tcPr>
            <w:tcW w:w="844" w:type="pct"/>
            <w:tcBorders>
              <w:top w:val="single" w:color="auto" w:sz="4" w:space="0"/>
              <w:left w:val="single" w:color="auto" w:sz="4" w:space="0"/>
              <w:bottom w:val="single" w:color="auto" w:sz="4" w:space="0"/>
              <w:right w:val="single" w:color="auto" w:sz="4" w:space="0"/>
            </w:tcBorders>
          </w:tcPr>
          <w:p w14:paraId="61FB77DF">
            <w:pPr>
              <w:topLinePunct/>
              <w:autoSpaceDE/>
              <w:autoSpaceDN/>
              <w:spacing w:line="400" w:lineRule="exact"/>
              <w:ind w:right="-70" w:hanging="140"/>
              <w:jc w:val="center"/>
              <w:rPr>
                <w:rFonts w:ascii="Times New Roman" w:hAnsi="Times New Roman" w:eastAsia="宋体" w:cs="Times New Roman"/>
                <w:kern w:val="2"/>
                <w:sz w:val="21"/>
                <w:szCs w:val="21"/>
              </w:rPr>
            </w:pPr>
            <w:r>
              <w:rPr>
                <w:rFonts w:ascii="Times New Roman" w:hAnsi="Times New Roman" w:eastAsia="宋体" w:cs="Times New Roman"/>
                <w:kern w:val="2"/>
                <w:sz w:val="21"/>
                <w:szCs w:val="21"/>
              </w:rPr>
              <w:t>-</w:t>
            </w:r>
          </w:p>
        </w:tc>
        <w:tc>
          <w:tcPr>
            <w:tcW w:w="1107" w:type="pct"/>
            <w:tcBorders>
              <w:top w:val="single" w:color="auto" w:sz="4" w:space="0"/>
              <w:left w:val="single" w:color="auto" w:sz="4" w:space="0"/>
              <w:bottom w:val="single" w:color="auto" w:sz="4" w:space="0"/>
              <w:right w:val="single" w:color="auto" w:sz="4" w:space="0"/>
            </w:tcBorders>
          </w:tcPr>
          <w:p w14:paraId="10E3A227">
            <w:pPr>
              <w:topLinePunct/>
              <w:autoSpaceDE/>
              <w:autoSpaceDN/>
              <w:spacing w:line="400" w:lineRule="exact"/>
              <w:ind w:right="-118" w:hanging="140"/>
              <w:jc w:val="center"/>
              <w:rPr>
                <w:rFonts w:ascii="Times New Roman" w:hAnsi="Times New Roman" w:eastAsia="宋体" w:cs="Times New Roman"/>
                <w:kern w:val="2"/>
                <w:sz w:val="21"/>
                <w:szCs w:val="21"/>
                <w:lang w:val="en-GB"/>
              </w:rPr>
            </w:pPr>
            <w:r>
              <w:rPr>
                <w:rFonts w:ascii="Times New Roman" w:hAnsi="Times New Roman" w:eastAsia="宋体" w:cs="Times New Roman"/>
                <w:kern w:val="2"/>
                <w:sz w:val="21"/>
                <w:szCs w:val="21"/>
                <w:lang w:val="en-GB"/>
              </w:rPr>
              <w:t>Gateway（首选）</w:t>
            </w:r>
          </w:p>
        </w:tc>
      </w:tr>
      <w:tr w14:paraId="1DB244A9">
        <w:tblPrEx>
          <w:tblCellMar>
            <w:top w:w="0" w:type="dxa"/>
            <w:left w:w="108" w:type="dxa"/>
            <w:bottom w:w="0" w:type="dxa"/>
            <w:right w:w="108" w:type="dxa"/>
          </w:tblCellMar>
        </w:tblPrEx>
        <w:tc>
          <w:tcPr>
            <w:tcW w:w="5000" w:type="pct"/>
            <w:gridSpan w:val="5"/>
            <w:tcBorders>
              <w:top w:val="single" w:color="auto" w:sz="4" w:space="0"/>
              <w:left w:val="single" w:color="auto" w:sz="4" w:space="0"/>
              <w:bottom w:val="single" w:color="auto" w:sz="4" w:space="0"/>
              <w:right w:val="single" w:color="auto" w:sz="4" w:space="0"/>
            </w:tcBorders>
          </w:tcPr>
          <w:p w14:paraId="73417067">
            <w:pPr>
              <w:topLinePunct/>
              <w:autoSpaceDE/>
              <w:autoSpaceDN/>
              <w:spacing w:line="400" w:lineRule="exact"/>
              <w:ind w:right="-118"/>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国家药品审评中心官方网站：www.cde.org.cn</w:t>
            </w:r>
          </w:p>
        </w:tc>
      </w:tr>
    </w:tbl>
    <w:p w14:paraId="09A22064">
      <w:pPr>
        <w:rPr>
          <w:rFonts w:ascii="Times New Roman" w:hAnsi="Times New Roman" w:cs="Times New Roman"/>
        </w:rPr>
      </w:pPr>
    </w:p>
    <w:sectPr>
      <w:pgSz w:w="11910" w:h="16840"/>
      <w:pgMar w:top="1701" w:right="1418" w:bottom="1418" w:left="1418" w:header="851" w:footer="851" w:gutter="284"/>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6285F">
    <w:pPr>
      <w:pStyle w:val="60"/>
      <w:ind w:firstLine="0" w:firstLineChars="0"/>
      <w:jc w:val="center"/>
      <w:rPr>
        <w:rFonts w:cs="Times New Roman"/>
        <w:szCs w:val="21"/>
      </w:rPr>
    </w:pPr>
    <w:r>
      <w:rPr>
        <w:rFonts w:cs="Times New Roman"/>
        <w:szCs w:val="21"/>
      </w:rPr>
      <w:t>第</w:t>
    </w:r>
    <w:sdt>
      <w:sdtPr>
        <w:rPr>
          <w:rFonts w:cs="Times New Roman"/>
          <w:szCs w:val="21"/>
        </w:rPr>
        <w:id w:val="1089887653"/>
      </w:sdtPr>
      <w:sdtEndPr>
        <w:rPr>
          <w:rFonts w:cs="Times New Roman"/>
          <w:szCs w:val="21"/>
        </w:rPr>
      </w:sdtEndPr>
      <w:sdtContent>
        <w:sdt>
          <w:sdtPr>
            <w:rPr>
              <w:rFonts w:cs="Times New Roman"/>
              <w:szCs w:val="21"/>
            </w:rPr>
            <w:id w:val="-1"/>
          </w:sdtPr>
          <w:sdtEndPr>
            <w:rPr>
              <w:rFonts w:cs="Times New Roman"/>
              <w:szCs w:val="21"/>
            </w:rPr>
          </w:sdtEndPr>
          <w:sdtContent>
            <w:r>
              <w:rPr>
                <w:rFonts w:cs="Times New Roman"/>
                <w:szCs w:val="21"/>
                <w:lang w:val="zh-CN"/>
              </w:rPr>
              <w:t xml:space="preserve"> </w:t>
            </w:r>
            <w:r>
              <w:rPr>
                <w:rFonts w:cs="Times New Roman"/>
                <w:szCs w:val="21"/>
              </w:rPr>
              <w:fldChar w:fldCharType="begin"/>
            </w:r>
            <w:r>
              <w:rPr>
                <w:rFonts w:cs="Times New Roman"/>
                <w:szCs w:val="21"/>
              </w:rPr>
              <w:instrText xml:space="preserve">PAGE</w:instrText>
            </w:r>
            <w:r>
              <w:rPr>
                <w:rFonts w:cs="Times New Roman"/>
                <w:szCs w:val="21"/>
              </w:rPr>
              <w:fldChar w:fldCharType="separate"/>
            </w:r>
            <w:r>
              <w:rPr>
                <w:rFonts w:cs="Times New Roman"/>
                <w:szCs w:val="21"/>
              </w:rPr>
              <w:t>47</w:t>
            </w:r>
            <w:r>
              <w:rPr>
                <w:rFonts w:cs="Times New Roman"/>
                <w:szCs w:val="21"/>
              </w:rPr>
              <w:fldChar w:fldCharType="end"/>
            </w:r>
            <w:r>
              <w:rPr>
                <w:rFonts w:cs="Times New Roman"/>
                <w:szCs w:val="21"/>
                <w:lang w:val="zh-CN"/>
              </w:rPr>
              <w:t xml:space="preserve"> 页，共 </w:t>
            </w:r>
            <w:r>
              <w:rPr>
                <w:rFonts w:cs="Times New Roman"/>
                <w:szCs w:val="21"/>
              </w:rPr>
              <w:fldChar w:fldCharType="begin"/>
            </w:r>
            <w:r>
              <w:rPr>
                <w:rFonts w:cs="Times New Roman"/>
                <w:szCs w:val="21"/>
              </w:rPr>
              <w:instrText xml:space="preserve">NUMPAGES</w:instrText>
            </w:r>
            <w:r>
              <w:rPr>
                <w:rFonts w:cs="Times New Roman"/>
                <w:szCs w:val="21"/>
              </w:rPr>
              <w:fldChar w:fldCharType="separate"/>
            </w:r>
            <w:r>
              <w:rPr>
                <w:rFonts w:cs="Times New Roman"/>
                <w:szCs w:val="21"/>
              </w:rPr>
              <w:t>119</w:t>
            </w:r>
            <w:r>
              <w:rPr>
                <w:rFonts w:cs="Times New Roman"/>
                <w:szCs w:val="21"/>
              </w:rPr>
              <w:fldChar w:fldCharType="end"/>
            </w:r>
          </w:sdtContent>
        </w:sdt>
      </w:sdtContent>
    </w:sdt>
    <w:r>
      <w:rPr>
        <w:rFonts w:cs="Times New Roman"/>
        <w:szCs w:val="21"/>
      </w:rPr>
      <w:t xml:space="preserve"> 页</w:t>
    </w:r>
  </w:p>
  <w:p w14:paraId="5FADB0B9">
    <w:pPr>
      <w:pStyle w:val="4"/>
      <w:spacing w:line="14" w:lineRule="auto"/>
      <w:rPr>
        <w:i w:val="0"/>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4DF">
    <w:pPr>
      <w:pStyle w:val="60"/>
      <w:tabs>
        <w:tab w:val="left" w:pos="0"/>
        <w:tab w:val="center" w:pos="4536"/>
        <w:tab w:val="right" w:pos="8789"/>
      </w:tabs>
      <w:spacing w:line="276" w:lineRule="auto"/>
      <w:ind w:right="1" w:firstLine="0" w:firstLineChars="0"/>
    </w:pPr>
    <w:r>
      <w:rPr>
        <w:rFonts w:hint="eastAsia"/>
      </w:rPr>
      <w:t>海南德镁医药科技有限责任公司</w:t>
    </w:r>
    <w:r>
      <w:tab/>
    </w:r>
    <w:r>
      <w:tab/>
    </w:r>
    <w:r>
      <w:rPr>
        <w:rFonts w:cs="Times New Roman"/>
      </w:rPr>
      <w:t>文件编号：CMSS-SOP-MD-5101-T04</w:t>
    </w:r>
  </w:p>
  <w:p w14:paraId="1B1CC927">
    <w:pPr>
      <w:pBdr>
        <w:bottom w:val="single" w:color="auto" w:sz="4" w:space="1"/>
      </w:pBdr>
      <w:tabs>
        <w:tab w:val="left" w:pos="0"/>
        <w:tab w:val="right" w:pos="8789"/>
      </w:tabs>
      <w:rPr>
        <w:rFonts w:ascii="Times New Roman" w:hAnsi="Times New Roman" w:eastAsia="宋体" w:cs="Times New Roman"/>
        <w:sz w:val="21"/>
        <w:szCs w:val="21"/>
      </w:rPr>
    </w:pPr>
    <w:r>
      <w:tab/>
    </w:r>
    <w:r>
      <w:rPr>
        <w:rFonts w:ascii="Times New Roman" w:hAnsi="Times New Roman" w:eastAsia="宋体" w:cs="Times New Roman"/>
        <w:sz w:val="21"/>
        <w:szCs w:val="21"/>
      </w:rPr>
      <w:t>版 本 号：00</w:t>
    </w:r>
  </w:p>
  <w:p w14:paraId="26131640">
    <w:pPr>
      <w:pBdr>
        <w:bottom w:val="single" w:color="auto" w:sz="4" w:space="1"/>
      </w:pBdr>
      <w:tabs>
        <w:tab w:val="left" w:pos="0"/>
        <w:tab w:val="center" w:pos="4536"/>
        <w:tab w:val="right" w:pos="8789"/>
      </w:tabs>
      <w:rPr>
        <w:rFonts w:ascii="Times New Roman" w:hAnsi="Times New Roman" w:eastAsia="宋体" w:cs="Times New Roman"/>
        <w:sz w:val="21"/>
        <w:szCs w:val="21"/>
      </w:rPr>
    </w:pPr>
    <w:r>
      <w:rPr>
        <w:rFonts w:hint="eastAsia" w:ascii="Times New Roman" w:hAnsi="Times New Roman" w:eastAsia="宋体" w:cs="Times New Roman"/>
        <w:sz w:val="21"/>
        <w:szCs w:val="21"/>
      </w:rPr>
      <w:t>方案编号：D001-02-002</w:t>
    </w:r>
    <w:r>
      <w:rPr>
        <w:rFonts w:ascii="Times New Roman" w:hAnsi="Times New Roman" w:eastAsia="宋体" w:cs="Times New Roman"/>
        <w:sz w:val="21"/>
        <w:szCs w:val="21"/>
      </w:rPr>
      <w:tab/>
    </w:r>
    <w:r>
      <w:rPr>
        <w:rFonts w:hint="eastAsia" w:ascii="Times New Roman" w:hAnsi="Times New Roman" w:eastAsia="宋体" w:cs="Times New Roman"/>
        <w:sz w:val="21"/>
        <w:szCs w:val="21"/>
      </w:rPr>
      <w:t>版本号：1.0</w:t>
    </w:r>
    <w:r>
      <w:rPr>
        <w:rFonts w:ascii="Times New Roman" w:hAnsi="Times New Roman" w:eastAsia="宋体" w:cs="Times New Roman"/>
        <w:sz w:val="21"/>
        <w:szCs w:val="21"/>
      </w:rPr>
      <w:tab/>
    </w:r>
    <w:r>
      <w:rPr>
        <w:rFonts w:hint="eastAsia" w:ascii="Times New Roman" w:hAnsi="Times New Roman" w:eastAsia="宋体" w:cs="Times New Roman"/>
        <w:sz w:val="21"/>
        <w:szCs w:val="21"/>
      </w:rPr>
      <w:t>版本日期：2025年12月10日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CA1C7">
    <w:pPr>
      <w:pStyle w:val="60"/>
      <w:tabs>
        <w:tab w:val="left" w:pos="0"/>
        <w:tab w:val="center" w:pos="4536"/>
        <w:tab w:val="right" w:pos="13720"/>
      </w:tabs>
      <w:spacing w:line="276" w:lineRule="auto"/>
      <w:ind w:right="1" w:firstLine="0" w:firstLineChars="0"/>
    </w:pPr>
    <w:r>
      <w:rPr>
        <w:rFonts w:hint="eastAsia"/>
      </w:rPr>
      <w:t>海南德镁医药科技有限责任公司</w:t>
    </w:r>
    <w:r>
      <w:tab/>
    </w:r>
    <w:r>
      <w:tab/>
    </w:r>
    <w:r>
      <w:rPr>
        <w:rFonts w:cs="Times New Roman"/>
      </w:rPr>
      <w:t>文件编号：CMSS-SOP-MD-5101-T04</w:t>
    </w:r>
  </w:p>
  <w:p w14:paraId="6A970C22">
    <w:pPr>
      <w:pBdr>
        <w:bottom w:val="single" w:color="auto" w:sz="4" w:space="1"/>
      </w:pBdr>
      <w:tabs>
        <w:tab w:val="left" w:pos="0"/>
        <w:tab w:val="right" w:pos="13721"/>
      </w:tabs>
      <w:rPr>
        <w:rFonts w:ascii="Times New Roman" w:hAnsi="Times New Roman" w:eastAsia="宋体" w:cs="Times New Roman"/>
        <w:sz w:val="21"/>
        <w:szCs w:val="21"/>
      </w:rPr>
    </w:pPr>
    <w:r>
      <w:tab/>
    </w:r>
    <w:r>
      <w:rPr>
        <w:rFonts w:ascii="Times New Roman" w:hAnsi="Times New Roman" w:eastAsia="宋体" w:cs="Times New Roman"/>
        <w:sz w:val="21"/>
        <w:szCs w:val="21"/>
      </w:rPr>
      <w:t>版 本 号：00</w:t>
    </w:r>
  </w:p>
  <w:p w14:paraId="3FB96113">
    <w:pPr>
      <w:pBdr>
        <w:bottom w:val="single" w:color="auto" w:sz="4" w:space="1"/>
      </w:pBdr>
      <w:tabs>
        <w:tab w:val="left" w:pos="0"/>
        <w:tab w:val="center" w:pos="6804"/>
        <w:tab w:val="right" w:pos="13721"/>
      </w:tabs>
      <w:rPr>
        <w:rFonts w:ascii="Times New Roman" w:hAnsi="Times New Roman" w:eastAsia="宋体" w:cs="Times New Roman"/>
        <w:sz w:val="21"/>
        <w:szCs w:val="21"/>
      </w:rPr>
    </w:pPr>
    <w:r>
      <w:rPr>
        <w:rFonts w:hint="eastAsia" w:ascii="Times New Roman" w:hAnsi="Times New Roman" w:eastAsia="宋体" w:cs="Times New Roman"/>
        <w:sz w:val="21"/>
        <w:szCs w:val="21"/>
      </w:rPr>
      <w:t>方案编号：D001-02-002</w:t>
    </w:r>
    <w:r>
      <w:rPr>
        <w:rFonts w:ascii="Times New Roman" w:hAnsi="Times New Roman" w:eastAsia="宋体" w:cs="Times New Roman"/>
        <w:sz w:val="21"/>
        <w:szCs w:val="21"/>
      </w:rPr>
      <w:tab/>
    </w:r>
    <w:r>
      <w:rPr>
        <w:rFonts w:hint="eastAsia" w:ascii="Times New Roman" w:hAnsi="Times New Roman" w:eastAsia="宋体" w:cs="Times New Roman"/>
        <w:sz w:val="21"/>
        <w:szCs w:val="21"/>
      </w:rPr>
      <w:t>版本号：1.0</w:t>
    </w:r>
    <w:r>
      <w:rPr>
        <w:rFonts w:ascii="Times New Roman" w:hAnsi="Times New Roman" w:eastAsia="宋体" w:cs="Times New Roman"/>
        <w:sz w:val="21"/>
        <w:szCs w:val="21"/>
      </w:rPr>
      <w:tab/>
    </w:r>
    <w:r>
      <w:rPr>
        <w:rFonts w:hint="eastAsia" w:ascii="Times New Roman" w:hAnsi="Times New Roman" w:eastAsia="宋体" w:cs="Times New Roman"/>
        <w:sz w:val="21"/>
        <w:szCs w:val="21"/>
      </w:rPr>
      <w:t>版本日期：2025年12月10日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07E84">
    <w:pPr>
      <w:pStyle w:val="60"/>
      <w:tabs>
        <w:tab w:val="left" w:pos="0"/>
        <w:tab w:val="center" w:pos="4536"/>
        <w:tab w:val="right" w:pos="8789"/>
      </w:tabs>
      <w:spacing w:line="276" w:lineRule="auto"/>
      <w:ind w:right="1" w:firstLine="0" w:firstLineChars="0"/>
    </w:pPr>
    <w:r>
      <w:rPr>
        <w:rFonts w:hint="eastAsia"/>
      </w:rPr>
      <w:t>海南德镁医药科技有限责任公司</w:t>
    </w:r>
    <w:r>
      <w:tab/>
    </w:r>
    <w:r>
      <w:tab/>
    </w:r>
    <w:r>
      <w:rPr>
        <w:rFonts w:cs="Times New Roman"/>
      </w:rPr>
      <w:t>文件编号：CMSS-SOP-MD-5101-T04</w:t>
    </w:r>
  </w:p>
  <w:p w14:paraId="1F726CD1">
    <w:pPr>
      <w:pBdr>
        <w:bottom w:val="single" w:color="auto" w:sz="4" w:space="1"/>
      </w:pBdr>
      <w:tabs>
        <w:tab w:val="left" w:pos="0"/>
        <w:tab w:val="right" w:pos="8789"/>
      </w:tabs>
      <w:rPr>
        <w:rFonts w:ascii="Times New Roman" w:hAnsi="Times New Roman" w:eastAsia="宋体" w:cs="Times New Roman"/>
        <w:sz w:val="21"/>
        <w:szCs w:val="21"/>
      </w:rPr>
    </w:pPr>
    <w:r>
      <w:tab/>
    </w:r>
    <w:r>
      <w:rPr>
        <w:rFonts w:ascii="Times New Roman" w:hAnsi="Times New Roman" w:eastAsia="宋体" w:cs="Times New Roman"/>
        <w:sz w:val="21"/>
        <w:szCs w:val="21"/>
      </w:rPr>
      <w:t>版 本 号：00</w:t>
    </w:r>
  </w:p>
  <w:p w14:paraId="03C53FC2">
    <w:pPr>
      <w:pBdr>
        <w:bottom w:val="single" w:color="auto" w:sz="4" w:space="1"/>
      </w:pBdr>
      <w:tabs>
        <w:tab w:val="left" w:pos="0"/>
        <w:tab w:val="center" w:pos="4536"/>
        <w:tab w:val="right" w:pos="8789"/>
      </w:tabs>
      <w:rPr>
        <w:rFonts w:ascii="Times New Roman" w:hAnsi="Times New Roman" w:eastAsia="宋体" w:cs="Times New Roman"/>
        <w:sz w:val="21"/>
        <w:szCs w:val="21"/>
      </w:rPr>
    </w:pPr>
    <w:r>
      <w:rPr>
        <w:rFonts w:hint="eastAsia" w:ascii="Times New Roman" w:hAnsi="Times New Roman" w:eastAsia="宋体" w:cs="Times New Roman"/>
        <w:sz w:val="21"/>
        <w:szCs w:val="21"/>
      </w:rPr>
      <w:t>方案编号：D001-02-002</w:t>
    </w:r>
    <w:r>
      <w:rPr>
        <w:rFonts w:ascii="Times New Roman" w:hAnsi="Times New Roman" w:eastAsia="宋体" w:cs="Times New Roman"/>
        <w:sz w:val="21"/>
        <w:szCs w:val="21"/>
      </w:rPr>
      <w:tab/>
    </w:r>
    <w:r>
      <w:rPr>
        <w:rFonts w:hint="eastAsia" w:ascii="Times New Roman" w:hAnsi="Times New Roman" w:eastAsia="宋体" w:cs="Times New Roman"/>
        <w:sz w:val="21"/>
        <w:szCs w:val="21"/>
      </w:rPr>
      <w:t>版本号：1.0</w:t>
    </w:r>
    <w:r>
      <w:rPr>
        <w:rFonts w:ascii="Times New Roman" w:hAnsi="Times New Roman" w:eastAsia="宋体" w:cs="Times New Roman"/>
        <w:sz w:val="21"/>
        <w:szCs w:val="21"/>
      </w:rPr>
      <w:tab/>
    </w:r>
    <w:r>
      <w:rPr>
        <w:rFonts w:hint="eastAsia" w:ascii="Times New Roman" w:hAnsi="Times New Roman" w:eastAsia="宋体" w:cs="Times New Roman"/>
        <w:sz w:val="21"/>
        <w:szCs w:val="21"/>
      </w:rPr>
      <w:t>版本日期：2025年12月10日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F00DC"/>
    <w:multiLevelType w:val="singleLevel"/>
    <w:tmpl w:val="835F00DC"/>
    <w:lvl w:ilvl="0" w:tentative="0">
      <w:start w:val="1"/>
      <w:numFmt w:val="decimalEnclosedCircleChinese"/>
      <w:suff w:val="nothing"/>
      <w:lvlText w:val="%1　"/>
      <w:lvlJc w:val="left"/>
      <w:pPr>
        <w:ind w:left="0" w:firstLine="400"/>
      </w:pPr>
      <w:rPr>
        <w:rFonts w:hint="eastAsia"/>
      </w:rPr>
    </w:lvl>
  </w:abstractNum>
  <w:abstractNum w:abstractNumId="1">
    <w:nsid w:val="8AFA1272"/>
    <w:multiLevelType w:val="singleLevel"/>
    <w:tmpl w:val="8AFA1272"/>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2">
    <w:nsid w:val="8B37B16E"/>
    <w:multiLevelType w:val="singleLevel"/>
    <w:tmpl w:val="8B37B16E"/>
    <w:lvl w:ilvl="0" w:tentative="0">
      <w:start w:val="1"/>
      <w:numFmt w:val="decimal"/>
      <w:lvlText w:val="%1)"/>
      <w:lvlJc w:val="left"/>
      <w:pPr>
        <w:tabs>
          <w:tab w:val="left" w:pos="840"/>
        </w:tabs>
        <w:ind w:left="1265" w:hanging="425"/>
      </w:pPr>
      <w:rPr>
        <w:rFonts w:hint="default"/>
      </w:rPr>
    </w:lvl>
  </w:abstractNum>
  <w:abstractNum w:abstractNumId="3">
    <w:nsid w:val="8DC3A56C"/>
    <w:multiLevelType w:val="singleLevel"/>
    <w:tmpl w:val="8DC3A56C"/>
    <w:lvl w:ilvl="0" w:tentative="0">
      <w:start w:val="1"/>
      <w:numFmt w:val="bullet"/>
      <w:lvlText w:val=""/>
      <w:lvlJc w:val="left"/>
      <w:pPr>
        <w:ind w:left="420" w:hanging="420"/>
      </w:pPr>
      <w:rPr>
        <w:rFonts w:hint="default" w:ascii="Wingdings" w:hAnsi="Wingdings"/>
        <w:sz w:val="10"/>
        <w:szCs w:val="10"/>
      </w:rPr>
    </w:lvl>
  </w:abstractNum>
  <w:abstractNum w:abstractNumId="4">
    <w:nsid w:val="973596C7"/>
    <w:multiLevelType w:val="singleLevel"/>
    <w:tmpl w:val="973596C7"/>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5">
    <w:nsid w:val="9986E05F"/>
    <w:multiLevelType w:val="singleLevel"/>
    <w:tmpl w:val="9986E05F"/>
    <w:lvl w:ilvl="0" w:tentative="0">
      <w:start w:val="1"/>
      <w:numFmt w:val="decimal"/>
      <w:lvlText w:val="%1)"/>
      <w:lvlJc w:val="left"/>
      <w:pPr>
        <w:ind w:left="425" w:hanging="425"/>
      </w:pPr>
      <w:rPr>
        <w:rFonts w:hint="default"/>
      </w:rPr>
    </w:lvl>
  </w:abstractNum>
  <w:abstractNum w:abstractNumId="6">
    <w:nsid w:val="9A75BAE9"/>
    <w:multiLevelType w:val="singleLevel"/>
    <w:tmpl w:val="9A75BAE9"/>
    <w:lvl w:ilvl="0" w:tentative="0">
      <w:start w:val="1"/>
      <w:numFmt w:val="bullet"/>
      <w:lvlText w:val=""/>
      <w:lvlJc w:val="left"/>
      <w:pPr>
        <w:ind w:left="420" w:hanging="420"/>
      </w:pPr>
      <w:rPr>
        <w:rFonts w:hint="default" w:ascii="Wingdings" w:hAnsi="Wingdings"/>
        <w:sz w:val="13"/>
        <w:szCs w:val="12"/>
      </w:rPr>
    </w:lvl>
  </w:abstractNum>
  <w:abstractNum w:abstractNumId="7">
    <w:nsid w:val="A34495D6"/>
    <w:multiLevelType w:val="singleLevel"/>
    <w:tmpl w:val="A34495D6"/>
    <w:lvl w:ilvl="0" w:tentative="0">
      <w:start w:val="1"/>
      <w:numFmt w:val="decimal"/>
      <w:lvlText w:val="%1)"/>
      <w:lvlJc w:val="left"/>
      <w:pPr>
        <w:ind w:left="425" w:hanging="425"/>
      </w:pPr>
      <w:rPr>
        <w:rFonts w:hint="default" w:ascii="Times New Roman" w:hAnsi="Times New Roman" w:cs="Times New Roman"/>
      </w:rPr>
    </w:lvl>
  </w:abstractNum>
  <w:abstractNum w:abstractNumId="8">
    <w:nsid w:val="A36058C6"/>
    <w:multiLevelType w:val="singleLevel"/>
    <w:tmpl w:val="A36058C6"/>
    <w:lvl w:ilvl="0" w:tentative="0">
      <w:start w:val="1"/>
      <w:numFmt w:val="decimal"/>
      <w:lvlText w:val="%1."/>
      <w:lvlJc w:val="left"/>
      <w:pPr>
        <w:ind w:left="425" w:hanging="425"/>
      </w:pPr>
      <w:rPr>
        <w:rFonts w:hint="default" w:ascii="Times New Roman" w:hAnsi="Times New Roman" w:cs="Times New Roman"/>
      </w:rPr>
    </w:lvl>
  </w:abstractNum>
  <w:abstractNum w:abstractNumId="9">
    <w:nsid w:val="A67E9ED5"/>
    <w:multiLevelType w:val="singleLevel"/>
    <w:tmpl w:val="A67E9ED5"/>
    <w:lvl w:ilvl="0" w:tentative="0">
      <w:start w:val="1"/>
      <w:numFmt w:val="decimal"/>
      <w:suff w:val="space"/>
      <w:lvlText w:val="%1."/>
      <w:lvlJc w:val="left"/>
    </w:lvl>
  </w:abstractNum>
  <w:abstractNum w:abstractNumId="10">
    <w:nsid w:val="A87C0DD0"/>
    <w:multiLevelType w:val="singleLevel"/>
    <w:tmpl w:val="A87C0DD0"/>
    <w:lvl w:ilvl="0" w:tentative="0">
      <w:start w:val="1"/>
      <w:numFmt w:val="decimal"/>
      <w:lvlText w:val="%1)"/>
      <w:lvlJc w:val="left"/>
      <w:pPr>
        <w:tabs>
          <w:tab w:val="left" w:pos="420"/>
        </w:tabs>
        <w:ind w:left="845" w:hanging="425"/>
      </w:pPr>
      <w:rPr>
        <w:rFonts w:hint="default" w:ascii="Times New Roman" w:hAnsi="Times New Roman" w:cs="Times New Roman"/>
        <w:b w:val="0"/>
        <w:bCs w:val="0"/>
      </w:rPr>
    </w:lvl>
  </w:abstractNum>
  <w:abstractNum w:abstractNumId="11">
    <w:nsid w:val="AB622922"/>
    <w:multiLevelType w:val="singleLevel"/>
    <w:tmpl w:val="AB622922"/>
    <w:lvl w:ilvl="0" w:tentative="0">
      <w:start w:val="1"/>
      <w:numFmt w:val="decimal"/>
      <w:lvlText w:val="%1)"/>
      <w:lvlJc w:val="left"/>
      <w:pPr>
        <w:tabs>
          <w:tab w:val="left" w:pos="420"/>
        </w:tabs>
        <w:ind w:left="845" w:hanging="425"/>
      </w:pPr>
      <w:rPr>
        <w:rFonts w:hint="default" w:ascii="Times New Roman" w:hAnsi="Times New Roman" w:cs="Times New Roman"/>
        <w:sz w:val="21"/>
        <w:szCs w:val="21"/>
      </w:rPr>
    </w:lvl>
  </w:abstractNum>
  <w:abstractNum w:abstractNumId="12">
    <w:nsid w:val="AFE2868A"/>
    <w:multiLevelType w:val="singleLevel"/>
    <w:tmpl w:val="AFE2868A"/>
    <w:lvl w:ilvl="0" w:tentative="0">
      <w:start w:val="1"/>
      <w:numFmt w:val="bullet"/>
      <w:lvlText w:val=""/>
      <w:lvlJc w:val="left"/>
      <w:pPr>
        <w:tabs>
          <w:tab w:val="left" w:pos="420"/>
        </w:tabs>
        <w:ind w:left="840" w:hanging="420"/>
      </w:pPr>
      <w:rPr>
        <w:rFonts w:hint="default" w:ascii="Wingdings" w:hAnsi="Wingdings"/>
      </w:rPr>
    </w:lvl>
  </w:abstractNum>
  <w:abstractNum w:abstractNumId="13">
    <w:nsid w:val="B3BA278C"/>
    <w:multiLevelType w:val="singleLevel"/>
    <w:tmpl w:val="B3BA278C"/>
    <w:lvl w:ilvl="0" w:tentative="0">
      <w:start w:val="1"/>
      <w:numFmt w:val="decimal"/>
      <w:lvlText w:val="%1)"/>
      <w:lvlJc w:val="left"/>
      <w:pPr>
        <w:tabs>
          <w:tab w:val="left" w:pos="420"/>
        </w:tabs>
        <w:ind w:left="845" w:hanging="425"/>
      </w:pPr>
      <w:rPr>
        <w:rFonts w:hint="default"/>
      </w:rPr>
    </w:lvl>
  </w:abstractNum>
  <w:abstractNum w:abstractNumId="14">
    <w:nsid w:val="B66B6376"/>
    <w:multiLevelType w:val="multilevel"/>
    <w:tmpl w:val="B66B6376"/>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abstractNum w:abstractNumId="15">
    <w:nsid w:val="B6D95874"/>
    <w:multiLevelType w:val="singleLevel"/>
    <w:tmpl w:val="B6D95874"/>
    <w:lvl w:ilvl="0" w:tentative="0">
      <w:start w:val="1"/>
      <w:numFmt w:val="bullet"/>
      <w:lvlText w:val=""/>
      <w:lvlJc w:val="left"/>
      <w:pPr>
        <w:tabs>
          <w:tab w:val="left" w:pos="420"/>
        </w:tabs>
        <w:ind w:left="420" w:hanging="420"/>
      </w:pPr>
      <w:rPr>
        <w:rFonts w:hint="default" w:ascii="Wingdings" w:hAnsi="Wingdings"/>
        <w:sz w:val="13"/>
        <w:szCs w:val="12"/>
      </w:rPr>
    </w:lvl>
  </w:abstractNum>
  <w:abstractNum w:abstractNumId="16">
    <w:nsid w:val="BAABD582"/>
    <w:multiLevelType w:val="singleLevel"/>
    <w:tmpl w:val="BAABD582"/>
    <w:lvl w:ilvl="0" w:tentative="0">
      <w:start w:val="1"/>
      <w:numFmt w:val="bullet"/>
      <w:lvlText w:val=""/>
      <w:lvlJc w:val="left"/>
      <w:pPr>
        <w:tabs>
          <w:tab w:val="left" w:pos="420"/>
        </w:tabs>
        <w:ind w:left="840" w:hanging="420"/>
      </w:pPr>
      <w:rPr>
        <w:rFonts w:hint="default" w:ascii="Wingdings" w:hAnsi="Wingdings"/>
      </w:rPr>
    </w:lvl>
  </w:abstractNum>
  <w:abstractNum w:abstractNumId="17">
    <w:nsid w:val="BFBB2608"/>
    <w:multiLevelType w:val="multilevel"/>
    <w:tmpl w:val="BFBB2608"/>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8">
    <w:nsid w:val="C06542CF"/>
    <w:multiLevelType w:val="singleLevel"/>
    <w:tmpl w:val="C06542CF"/>
    <w:lvl w:ilvl="0" w:tentative="0">
      <w:start w:val="1"/>
      <w:numFmt w:val="decimal"/>
      <w:lvlText w:val="(%1)"/>
      <w:lvlJc w:val="left"/>
      <w:pPr>
        <w:ind w:left="425" w:hanging="425"/>
      </w:pPr>
      <w:rPr>
        <w:rFonts w:hint="default" w:ascii="Times New Roman" w:hAnsi="Times New Roman" w:eastAsia="宋体" w:cs="Times New Roman"/>
      </w:rPr>
    </w:lvl>
  </w:abstractNum>
  <w:abstractNum w:abstractNumId="19">
    <w:nsid w:val="C2FBC6EF"/>
    <w:multiLevelType w:val="singleLevel"/>
    <w:tmpl w:val="C2FBC6EF"/>
    <w:lvl w:ilvl="0" w:tentative="0">
      <w:start w:val="1"/>
      <w:numFmt w:val="bullet"/>
      <w:lvlText w:val=""/>
      <w:lvlJc w:val="left"/>
      <w:pPr>
        <w:tabs>
          <w:tab w:val="left" w:pos="420"/>
        </w:tabs>
        <w:ind w:left="840" w:hanging="420"/>
      </w:pPr>
      <w:rPr>
        <w:rFonts w:hint="default" w:ascii="Wingdings" w:hAnsi="Wingdings"/>
        <w:sz w:val="13"/>
        <w:szCs w:val="13"/>
      </w:rPr>
    </w:lvl>
  </w:abstractNum>
  <w:abstractNum w:abstractNumId="20">
    <w:nsid w:val="C636CA5B"/>
    <w:multiLevelType w:val="singleLevel"/>
    <w:tmpl w:val="C636CA5B"/>
    <w:lvl w:ilvl="0" w:tentative="0">
      <w:start w:val="1"/>
      <w:numFmt w:val="decimal"/>
      <w:lvlText w:val="%1)"/>
      <w:lvlJc w:val="left"/>
      <w:pPr>
        <w:tabs>
          <w:tab w:val="left" w:pos="420"/>
        </w:tabs>
        <w:ind w:left="845" w:hanging="425"/>
      </w:pPr>
      <w:rPr>
        <w:rFonts w:hint="default" w:ascii="Times New Roman" w:hAnsi="Times New Roman" w:cs="Times New Roman"/>
        <w:b w:val="0"/>
        <w:bCs w:val="0"/>
      </w:rPr>
    </w:lvl>
  </w:abstractNum>
  <w:abstractNum w:abstractNumId="21">
    <w:nsid w:val="C69006AF"/>
    <w:multiLevelType w:val="singleLevel"/>
    <w:tmpl w:val="C69006AF"/>
    <w:lvl w:ilvl="0" w:tentative="0">
      <w:start w:val="1"/>
      <w:numFmt w:val="decimal"/>
      <w:lvlText w:val="%1)"/>
      <w:lvlJc w:val="left"/>
      <w:pPr>
        <w:tabs>
          <w:tab w:val="left" w:pos="420"/>
        </w:tabs>
        <w:ind w:left="845" w:hanging="425"/>
      </w:pPr>
      <w:rPr>
        <w:rFonts w:hint="default"/>
      </w:rPr>
    </w:lvl>
  </w:abstractNum>
  <w:abstractNum w:abstractNumId="22">
    <w:nsid w:val="D0C42D69"/>
    <w:multiLevelType w:val="singleLevel"/>
    <w:tmpl w:val="D0C42D69"/>
    <w:lvl w:ilvl="0" w:tentative="0">
      <w:start w:val="1"/>
      <w:numFmt w:val="bullet"/>
      <w:lvlText w:val=""/>
      <w:lvlJc w:val="left"/>
      <w:pPr>
        <w:tabs>
          <w:tab w:val="left" w:pos="420"/>
        </w:tabs>
        <w:ind w:left="840" w:hanging="420"/>
      </w:pPr>
      <w:rPr>
        <w:rFonts w:hint="default" w:ascii="Wingdings" w:hAnsi="Wingdings"/>
      </w:rPr>
    </w:lvl>
  </w:abstractNum>
  <w:abstractNum w:abstractNumId="23">
    <w:nsid w:val="E332B0BB"/>
    <w:multiLevelType w:val="singleLevel"/>
    <w:tmpl w:val="E332B0BB"/>
    <w:lvl w:ilvl="0" w:tentative="0">
      <w:start w:val="1"/>
      <w:numFmt w:val="bullet"/>
      <w:lvlText w:val=""/>
      <w:lvlJc w:val="left"/>
      <w:pPr>
        <w:ind w:left="420" w:hanging="420"/>
      </w:pPr>
      <w:rPr>
        <w:rFonts w:hint="default" w:ascii="Wingdings" w:hAnsi="Wingdings"/>
      </w:rPr>
    </w:lvl>
  </w:abstractNum>
  <w:abstractNum w:abstractNumId="24">
    <w:nsid w:val="E5292741"/>
    <w:multiLevelType w:val="singleLevel"/>
    <w:tmpl w:val="E5292741"/>
    <w:lvl w:ilvl="0" w:tentative="0">
      <w:start w:val="1"/>
      <w:numFmt w:val="bullet"/>
      <w:lvlText w:val=""/>
      <w:lvlJc w:val="left"/>
      <w:pPr>
        <w:ind w:left="420" w:hanging="420"/>
      </w:pPr>
      <w:rPr>
        <w:rFonts w:hint="default" w:ascii="Wingdings" w:hAnsi="Wingdings"/>
      </w:rPr>
    </w:lvl>
  </w:abstractNum>
  <w:abstractNum w:abstractNumId="25">
    <w:nsid w:val="F279CF00"/>
    <w:multiLevelType w:val="singleLevel"/>
    <w:tmpl w:val="F279CF00"/>
    <w:lvl w:ilvl="0" w:tentative="0">
      <w:start w:val="1"/>
      <w:numFmt w:val="decimal"/>
      <w:lvlText w:val="%1."/>
      <w:lvlJc w:val="left"/>
      <w:pPr>
        <w:ind w:left="425" w:hanging="425"/>
      </w:pPr>
      <w:rPr>
        <w:rFonts w:hint="default"/>
      </w:rPr>
    </w:lvl>
  </w:abstractNum>
  <w:abstractNum w:abstractNumId="26">
    <w:nsid w:val="F6B2E1F3"/>
    <w:multiLevelType w:val="singleLevel"/>
    <w:tmpl w:val="F6B2E1F3"/>
    <w:lvl w:ilvl="0" w:tentative="0">
      <w:start w:val="1"/>
      <w:numFmt w:val="decimal"/>
      <w:lvlText w:val="%1)"/>
      <w:lvlJc w:val="left"/>
      <w:pPr>
        <w:tabs>
          <w:tab w:val="left" w:pos="420"/>
        </w:tabs>
        <w:ind w:left="845" w:hanging="425"/>
      </w:pPr>
      <w:rPr>
        <w:rFonts w:hint="default"/>
      </w:rPr>
    </w:lvl>
  </w:abstractNum>
  <w:abstractNum w:abstractNumId="27">
    <w:nsid w:val="F9483698"/>
    <w:multiLevelType w:val="singleLevel"/>
    <w:tmpl w:val="F9483698"/>
    <w:lvl w:ilvl="0" w:tentative="0">
      <w:start w:val="1"/>
      <w:numFmt w:val="decimal"/>
      <w:lvlText w:val="%1."/>
      <w:lvlJc w:val="left"/>
      <w:pPr>
        <w:ind w:left="425" w:hanging="425"/>
      </w:pPr>
      <w:rPr>
        <w:rFonts w:hint="default" w:ascii="Times New Roman" w:hAnsi="Times New Roman" w:cs="Times New Roman"/>
        <w:b w:val="0"/>
        <w:bCs w:val="0"/>
        <w:sz w:val="21"/>
        <w:szCs w:val="21"/>
      </w:rPr>
    </w:lvl>
  </w:abstractNum>
  <w:abstractNum w:abstractNumId="28">
    <w:nsid w:val="FE2CA785"/>
    <w:multiLevelType w:val="singleLevel"/>
    <w:tmpl w:val="FE2CA785"/>
    <w:lvl w:ilvl="0" w:tentative="0">
      <w:start w:val="1"/>
      <w:numFmt w:val="decimal"/>
      <w:lvlText w:val="%1)"/>
      <w:lvlJc w:val="left"/>
      <w:pPr>
        <w:tabs>
          <w:tab w:val="left" w:pos="420"/>
        </w:tabs>
        <w:ind w:left="845" w:hanging="425"/>
      </w:pPr>
      <w:rPr>
        <w:rFonts w:hint="default" w:ascii="Times New Roman" w:hAnsi="Times New Roman" w:cs="Times New Roman"/>
        <w:b w:val="0"/>
        <w:bCs w:val="0"/>
      </w:rPr>
    </w:lvl>
  </w:abstractNum>
  <w:abstractNum w:abstractNumId="29">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30">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31">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2">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33">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34">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35">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36">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37">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38">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39">
    <w:nsid w:val="03085CD9"/>
    <w:multiLevelType w:val="singleLevel"/>
    <w:tmpl w:val="03085CD9"/>
    <w:lvl w:ilvl="0" w:tentative="0">
      <w:start w:val="1"/>
      <w:numFmt w:val="decimal"/>
      <w:lvlText w:val="%1)"/>
      <w:lvlJc w:val="left"/>
      <w:pPr>
        <w:tabs>
          <w:tab w:val="left" w:pos="420"/>
        </w:tabs>
        <w:ind w:left="845" w:hanging="425"/>
      </w:pPr>
      <w:rPr>
        <w:rFonts w:hint="default"/>
      </w:rPr>
    </w:lvl>
  </w:abstractNum>
  <w:abstractNum w:abstractNumId="40">
    <w:nsid w:val="031B4132"/>
    <w:multiLevelType w:val="multilevel"/>
    <w:tmpl w:val="031B4132"/>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1">
    <w:nsid w:val="0379BA48"/>
    <w:multiLevelType w:val="singleLevel"/>
    <w:tmpl w:val="0379BA48"/>
    <w:lvl w:ilvl="0" w:tentative="0">
      <w:start w:val="1"/>
      <w:numFmt w:val="decimal"/>
      <w:lvlText w:val="(%1)"/>
      <w:lvlJc w:val="left"/>
      <w:pPr>
        <w:ind w:left="425" w:hanging="425"/>
      </w:pPr>
      <w:rPr>
        <w:rFonts w:hint="default" w:ascii="Times New Roman" w:hAnsi="Times New Roman" w:cs="Times New Roman"/>
      </w:rPr>
    </w:lvl>
  </w:abstractNum>
  <w:abstractNum w:abstractNumId="42">
    <w:nsid w:val="06906802"/>
    <w:multiLevelType w:val="multilevel"/>
    <w:tmpl w:val="06906802"/>
    <w:lvl w:ilvl="0" w:tentative="0">
      <w:start w:val="1"/>
      <w:numFmt w:val="bullet"/>
      <w:lvlText w:val="□"/>
      <w:lvlJc w:val="left"/>
      <w:pPr>
        <w:ind w:left="360" w:hanging="360"/>
      </w:pPr>
      <w:rPr>
        <w:rFonts w:hint="eastAsia" w:ascii="宋体" w:hAnsi="宋体" w:eastAsia="宋体" w:cs="Times New Roman"/>
        <w:color w:val="000000" w:themeColor="text1"/>
        <w14:textFill>
          <w14:solidFill>
            <w14:schemeClr w14:val="tx1"/>
          </w14:solidFill>
        </w14:textFill>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3">
    <w:nsid w:val="06A99E1A"/>
    <w:multiLevelType w:val="singleLevel"/>
    <w:tmpl w:val="06A99E1A"/>
    <w:lvl w:ilvl="0" w:tentative="0">
      <w:start w:val="1"/>
      <w:numFmt w:val="decimal"/>
      <w:lvlText w:val="%1."/>
      <w:lvlJc w:val="left"/>
      <w:pPr>
        <w:tabs>
          <w:tab w:val="left" w:pos="420"/>
        </w:tabs>
        <w:ind w:left="845" w:hanging="425"/>
      </w:pPr>
      <w:rPr>
        <w:rFonts w:hint="default" w:ascii="Times New Roman" w:hAnsi="Times New Roman" w:cs="Times New Roman"/>
        <w:b w:val="0"/>
        <w:bCs w:val="0"/>
        <w:sz w:val="21"/>
        <w:szCs w:val="21"/>
      </w:rPr>
    </w:lvl>
  </w:abstractNum>
  <w:abstractNum w:abstractNumId="44">
    <w:nsid w:val="077E4E3A"/>
    <w:multiLevelType w:val="singleLevel"/>
    <w:tmpl w:val="077E4E3A"/>
    <w:lvl w:ilvl="0" w:tentative="0">
      <w:start w:val="1"/>
      <w:numFmt w:val="decimal"/>
      <w:lvlText w:val="%1."/>
      <w:lvlJc w:val="left"/>
      <w:pPr>
        <w:tabs>
          <w:tab w:val="left" w:pos="420"/>
        </w:tabs>
        <w:ind w:left="845" w:hanging="425"/>
      </w:pPr>
      <w:rPr>
        <w:rFonts w:hint="default" w:ascii="Times New Roman" w:hAnsi="Times New Roman" w:cs="Times New Roman"/>
        <w:b w:val="0"/>
        <w:bCs w:val="0"/>
        <w:sz w:val="21"/>
        <w:szCs w:val="21"/>
      </w:rPr>
    </w:lvl>
  </w:abstractNum>
  <w:abstractNum w:abstractNumId="45">
    <w:nsid w:val="0ED12298"/>
    <w:multiLevelType w:val="multilevel"/>
    <w:tmpl w:val="0ED12298"/>
    <w:lvl w:ilvl="0" w:tentative="0">
      <w:start w:val="0"/>
      <w:numFmt w:val="bullet"/>
      <w:lvlText w:val="•"/>
      <w:lvlJc w:val="left"/>
      <w:pPr>
        <w:ind w:left="440" w:hanging="440"/>
      </w:pPr>
      <w:rPr>
        <w:rFonts w:hint="default"/>
        <w:lang w:val="en-US" w:eastAsia="en-US" w:bidi="ar-SA"/>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6">
    <w:nsid w:val="140C3E00"/>
    <w:multiLevelType w:val="multilevel"/>
    <w:tmpl w:val="140C3E00"/>
    <w:lvl w:ilvl="0" w:tentative="0">
      <w:start w:val="1"/>
      <w:numFmt w:val="decimal"/>
      <w:lvlText w:val="%1."/>
      <w:lvlJc w:val="left"/>
      <w:pPr>
        <w:ind w:left="420" w:hanging="420"/>
      </w:pPr>
      <w:rPr>
        <w:rFonts w:hint="default" w:ascii="Times New Roman" w:hAnsi="Times New Roman" w:cs="Times New Roman"/>
        <w:b w:val="0"/>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23E7779F"/>
    <w:multiLevelType w:val="singleLevel"/>
    <w:tmpl w:val="23E7779F"/>
    <w:lvl w:ilvl="0" w:tentative="0">
      <w:start w:val="1"/>
      <w:numFmt w:val="bullet"/>
      <w:lvlText w:val=""/>
      <w:lvlJc w:val="left"/>
      <w:pPr>
        <w:ind w:left="420" w:hanging="420"/>
      </w:pPr>
      <w:rPr>
        <w:rFonts w:hint="default" w:ascii="Wingdings" w:hAnsi="Wingdings"/>
        <w:sz w:val="10"/>
        <w:szCs w:val="10"/>
      </w:rPr>
    </w:lvl>
  </w:abstractNum>
  <w:abstractNum w:abstractNumId="48">
    <w:nsid w:val="29B95543"/>
    <w:multiLevelType w:val="multilevel"/>
    <w:tmpl w:val="29B9554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9">
    <w:nsid w:val="328137CA"/>
    <w:multiLevelType w:val="multilevel"/>
    <w:tmpl w:val="328137CA"/>
    <w:lvl w:ilvl="0" w:tentative="0">
      <w:start w:val="1"/>
      <w:numFmt w:val="bullet"/>
      <w:lvlText w:val=""/>
      <w:lvlJc w:val="left"/>
      <w:pPr>
        <w:ind w:left="1400" w:hanging="440"/>
      </w:pPr>
      <w:rPr>
        <w:rFonts w:hint="default" w:ascii="Wingdings" w:hAnsi="Wingdings"/>
        <w:sz w:val="16"/>
      </w:rPr>
    </w:lvl>
    <w:lvl w:ilvl="1" w:tentative="0">
      <w:start w:val="1"/>
      <w:numFmt w:val="bullet"/>
      <w:lvlText w:val=""/>
      <w:lvlJc w:val="left"/>
      <w:pPr>
        <w:ind w:left="1840" w:hanging="440"/>
      </w:pPr>
      <w:rPr>
        <w:rFonts w:hint="default" w:ascii="Wingdings" w:hAnsi="Wingdings"/>
      </w:rPr>
    </w:lvl>
    <w:lvl w:ilvl="2" w:tentative="0">
      <w:start w:val="1"/>
      <w:numFmt w:val="bullet"/>
      <w:lvlText w:val=""/>
      <w:lvlJc w:val="left"/>
      <w:pPr>
        <w:ind w:left="2280" w:hanging="440"/>
      </w:pPr>
      <w:rPr>
        <w:rFonts w:hint="default" w:ascii="Wingdings" w:hAnsi="Wingdings"/>
      </w:rPr>
    </w:lvl>
    <w:lvl w:ilvl="3" w:tentative="0">
      <w:start w:val="1"/>
      <w:numFmt w:val="bullet"/>
      <w:lvlText w:val=""/>
      <w:lvlJc w:val="left"/>
      <w:pPr>
        <w:ind w:left="2720" w:hanging="440"/>
      </w:pPr>
      <w:rPr>
        <w:rFonts w:hint="default" w:ascii="Wingdings" w:hAnsi="Wingdings"/>
      </w:rPr>
    </w:lvl>
    <w:lvl w:ilvl="4" w:tentative="0">
      <w:start w:val="1"/>
      <w:numFmt w:val="bullet"/>
      <w:lvlText w:val=""/>
      <w:lvlJc w:val="left"/>
      <w:pPr>
        <w:ind w:left="3160" w:hanging="440"/>
      </w:pPr>
      <w:rPr>
        <w:rFonts w:hint="default" w:ascii="Wingdings" w:hAnsi="Wingdings"/>
      </w:rPr>
    </w:lvl>
    <w:lvl w:ilvl="5" w:tentative="0">
      <w:start w:val="1"/>
      <w:numFmt w:val="bullet"/>
      <w:lvlText w:val=""/>
      <w:lvlJc w:val="left"/>
      <w:pPr>
        <w:ind w:left="3600" w:hanging="440"/>
      </w:pPr>
      <w:rPr>
        <w:rFonts w:hint="default" w:ascii="Wingdings" w:hAnsi="Wingdings"/>
      </w:rPr>
    </w:lvl>
    <w:lvl w:ilvl="6" w:tentative="0">
      <w:start w:val="1"/>
      <w:numFmt w:val="bullet"/>
      <w:lvlText w:val=""/>
      <w:lvlJc w:val="left"/>
      <w:pPr>
        <w:ind w:left="4040" w:hanging="440"/>
      </w:pPr>
      <w:rPr>
        <w:rFonts w:hint="default" w:ascii="Wingdings" w:hAnsi="Wingdings"/>
      </w:rPr>
    </w:lvl>
    <w:lvl w:ilvl="7" w:tentative="0">
      <w:start w:val="1"/>
      <w:numFmt w:val="bullet"/>
      <w:lvlText w:val=""/>
      <w:lvlJc w:val="left"/>
      <w:pPr>
        <w:ind w:left="4480" w:hanging="440"/>
      </w:pPr>
      <w:rPr>
        <w:rFonts w:hint="default" w:ascii="Wingdings" w:hAnsi="Wingdings"/>
      </w:rPr>
    </w:lvl>
    <w:lvl w:ilvl="8" w:tentative="0">
      <w:start w:val="1"/>
      <w:numFmt w:val="bullet"/>
      <w:lvlText w:val=""/>
      <w:lvlJc w:val="left"/>
      <w:pPr>
        <w:ind w:left="4920" w:hanging="440"/>
      </w:pPr>
      <w:rPr>
        <w:rFonts w:hint="default" w:ascii="Wingdings" w:hAnsi="Wingdings"/>
      </w:rPr>
    </w:lvl>
  </w:abstractNum>
  <w:abstractNum w:abstractNumId="50">
    <w:nsid w:val="34527DC0"/>
    <w:multiLevelType w:val="multilevel"/>
    <w:tmpl w:val="34527DC0"/>
    <w:lvl w:ilvl="0" w:tentative="0">
      <w:start w:val="1"/>
      <w:numFmt w:val="bullet"/>
      <w:lvlText w:val=""/>
      <w:lvlJc w:val="left"/>
      <w:pPr>
        <w:ind w:left="1160" w:hanging="440"/>
      </w:pPr>
      <w:rPr>
        <w:rFonts w:hint="default" w:ascii="Wingdings" w:hAnsi="Wingdings"/>
        <w:sz w:val="10"/>
        <w:szCs w:val="10"/>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51">
    <w:nsid w:val="354561FC"/>
    <w:multiLevelType w:val="multilevel"/>
    <w:tmpl w:val="354561FC"/>
    <w:lvl w:ilvl="0" w:tentative="0">
      <w:start w:val="1"/>
      <w:numFmt w:val="decimal"/>
      <w:lvlText w:val="1.%1"/>
      <w:lvlJc w:val="left"/>
      <w:pPr>
        <w:ind w:left="440" w:hanging="440"/>
      </w:pPr>
      <w:rPr>
        <w:rFonts w:hint="default" w:ascii="Times New Roman" w:hAnsi="Times New Roman" w:eastAsia="宋体"/>
        <w:b/>
        <w:i w:val="0"/>
        <w:color w:val="000000" w:themeColor="text1"/>
        <w:sz w:val="21"/>
        <w14:textFill>
          <w14:solidFill>
            <w14:schemeClr w14:val="tx1"/>
          </w14:solidFill>
        </w14:textFill>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2">
    <w:nsid w:val="367F521F"/>
    <w:multiLevelType w:val="singleLevel"/>
    <w:tmpl w:val="367F521F"/>
    <w:lvl w:ilvl="0" w:tentative="0">
      <w:start w:val="1"/>
      <w:numFmt w:val="decimal"/>
      <w:lvlText w:val="(%1)"/>
      <w:lvlJc w:val="left"/>
      <w:pPr>
        <w:ind w:left="425" w:hanging="425"/>
      </w:pPr>
      <w:rPr>
        <w:rFonts w:hint="default" w:ascii="Times New Roman" w:hAnsi="Times New Roman" w:cs="Times New Roman"/>
        <w:b/>
        <w:bCs/>
      </w:rPr>
    </w:lvl>
  </w:abstractNum>
  <w:abstractNum w:abstractNumId="53">
    <w:nsid w:val="39DB3609"/>
    <w:multiLevelType w:val="multilevel"/>
    <w:tmpl w:val="39DB3609"/>
    <w:lvl w:ilvl="0" w:tentative="0">
      <w:start w:val="1"/>
      <w:numFmt w:val="bullet"/>
      <w:lvlText w:val=""/>
      <w:lvlJc w:val="left"/>
      <w:pPr>
        <w:ind w:left="1400" w:hanging="440"/>
      </w:pPr>
      <w:rPr>
        <w:rFonts w:hint="default" w:ascii="Wingdings" w:hAnsi="Wingdings"/>
        <w:sz w:val="16"/>
      </w:rPr>
    </w:lvl>
    <w:lvl w:ilvl="1" w:tentative="0">
      <w:start w:val="1"/>
      <w:numFmt w:val="bullet"/>
      <w:lvlText w:val=""/>
      <w:lvlJc w:val="left"/>
      <w:pPr>
        <w:ind w:left="1840" w:hanging="440"/>
      </w:pPr>
      <w:rPr>
        <w:rFonts w:hint="default" w:ascii="Wingdings" w:hAnsi="Wingdings"/>
      </w:rPr>
    </w:lvl>
    <w:lvl w:ilvl="2" w:tentative="0">
      <w:start w:val="1"/>
      <w:numFmt w:val="bullet"/>
      <w:lvlText w:val=""/>
      <w:lvlJc w:val="left"/>
      <w:pPr>
        <w:ind w:left="2280" w:hanging="440"/>
      </w:pPr>
      <w:rPr>
        <w:rFonts w:hint="default" w:ascii="Wingdings" w:hAnsi="Wingdings"/>
      </w:rPr>
    </w:lvl>
    <w:lvl w:ilvl="3" w:tentative="0">
      <w:start w:val="1"/>
      <w:numFmt w:val="bullet"/>
      <w:lvlText w:val=""/>
      <w:lvlJc w:val="left"/>
      <w:pPr>
        <w:ind w:left="2720" w:hanging="440"/>
      </w:pPr>
      <w:rPr>
        <w:rFonts w:hint="default" w:ascii="Wingdings" w:hAnsi="Wingdings"/>
      </w:rPr>
    </w:lvl>
    <w:lvl w:ilvl="4" w:tentative="0">
      <w:start w:val="1"/>
      <w:numFmt w:val="bullet"/>
      <w:lvlText w:val=""/>
      <w:lvlJc w:val="left"/>
      <w:pPr>
        <w:ind w:left="3160" w:hanging="440"/>
      </w:pPr>
      <w:rPr>
        <w:rFonts w:hint="default" w:ascii="Wingdings" w:hAnsi="Wingdings"/>
      </w:rPr>
    </w:lvl>
    <w:lvl w:ilvl="5" w:tentative="0">
      <w:start w:val="1"/>
      <w:numFmt w:val="bullet"/>
      <w:lvlText w:val=""/>
      <w:lvlJc w:val="left"/>
      <w:pPr>
        <w:ind w:left="3600" w:hanging="440"/>
      </w:pPr>
      <w:rPr>
        <w:rFonts w:hint="default" w:ascii="Wingdings" w:hAnsi="Wingdings"/>
      </w:rPr>
    </w:lvl>
    <w:lvl w:ilvl="6" w:tentative="0">
      <w:start w:val="1"/>
      <w:numFmt w:val="bullet"/>
      <w:lvlText w:val=""/>
      <w:lvlJc w:val="left"/>
      <w:pPr>
        <w:ind w:left="4040" w:hanging="440"/>
      </w:pPr>
      <w:rPr>
        <w:rFonts w:hint="default" w:ascii="Wingdings" w:hAnsi="Wingdings"/>
      </w:rPr>
    </w:lvl>
    <w:lvl w:ilvl="7" w:tentative="0">
      <w:start w:val="1"/>
      <w:numFmt w:val="bullet"/>
      <w:lvlText w:val=""/>
      <w:lvlJc w:val="left"/>
      <w:pPr>
        <w:ind w:left="4480" w:hanging="440"/>
      </w:pPr>
      <w:rPr>
        <w:rFonts w:hint="default" w:ascii="Wingdings" w:hAnsi="Wingdings"/>
      </w:rPr>
    </w:lvl>
    <w:lvl w:ilvl="8" w:tentative="0">
      <w:start w:val="1"/>
      <w:numFmt w:val="bullet"/>
      <w:lvlText w:val=""/>
      <w:lvlJc w:val="left"/>
      <w:pPr>
        <w:ind w:left="4920" w:hanging="440"/>
      </w:pPr>
      <w:rPr>
        <w:rFonts w:hint="default" w:ascii="Wingdings" w:hAnsi="Wingdings"/>
      </w:rPr>
    </w:lvl>
  </w:abstractNum>
  <w:abstractNum w:abstractNumId="54">
    <w:nsid w:val="3B080F43"/>
    <w:multiLevelType w:val="singleLevel"/>
    <w:tmpl w:val="3B080F43"/>
    <w:lvl w:ilvl="0" w:tentative="0">
      <w:start w:val="1"/>
      <w:numFmt w:val="decimalEnclosedCircleChinese"/>
      <w:suff w:val="nothing"/>
      <w:lvlText w:val="%1　"/>
      <w:lvlJc w:val="left"/>
      <w:pPr>
        <w:ind w:left="420" w:firstLine="400"/>
      </w:pPr>
      <w:rPr>
        <w:rFonts w:hint="eastAsia" w:ascii="宋体" w:hAnsi="宋体" w:eastAsia="宋体" w:cs="Times New Roman"/>
      </w:rPr>
    </w:lvl>
  </w:abstractNum>
  <w:abstractNum w:abstractNumId="55">
    <w:nsid w:val="3BA84AC4"/>
    <w:multiLevelType w:val="multilevel"/>
    <w:tmpl w:val="3BA84AC4"/>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6">
    <w:nsid w:val="41220588"/>
    <w:multiLevelType w:val="singleLevel"/>
    <w:tmpl w:val="41220588"/>
    <w:lvl w:ilvl="0" w:tentative="0">
      <w:start w:val="1"/>
      <w:numFmt w:val="decimal"/>
      <w:lvlText w:val="[%1]"/>
      <w:lvlJc w:val="left"/>
      <w:pPr>
        <w:ind w:left="440" w:hanging="440"/>
      </w:pPr>
      <w:rPr>
        <w:rFonts w:hint="eastAsia"/>
      </w:rPr>
    </w:lvl>
  </w:abstractNum>
  <w:abstractNum w:abstractNumId="57">
    <w:nsid w:val="4748B42F"/>
    <w:multiLevelType w:val="singleLevel"/>
    <w:tmpl w:val="4748B42F"/>
    <w:lvl w:ilvl="0" w:tentative="0">
      <w:start w:val="1"/>
      <w:numFmt w:val="decimalEnclosedCircleChinese"/>
      <w:suff w:val="nothing"/>
      <w:lvlText w:val="%1　"/>
      <w:lvlJc w:val="left"/>
      <w:pPr>
        <w:ind w:left="840" w:firstLine="400"/>
      </w:pPr>
      <w:rPr>
        <w:rFonts w:hint="eastAsia"/>
      </w:rPr>
    </w:lvl>
  </w:abstractNum>
  <w:abstractNum w:abstractNumId="58">
    <w:nsid w:val="479D54A9"/>
    <w:multiLevelType w:val="singleLevel"/>
    <w:tmpl w:val="479D54A9"/>
    <w:lvl w:ilvl="0" w:tentative="0">
      <w:start w:val="1"/>
      <w:numFmt w:val="bullet"/>
      <w:lvlText w:val=""/>
      <w:lvlJc w:val="left"/>
      <w:pPr>
        <w:tabs>
          <w:tab w:val="left" w:pos="420"/>
        </w:tabs>
        <w:ind w:left="840" w:hanging="420"/>
      </w:pPr>
      <w:rPr>
        <w:rFonts w:hint="default" w:ascii="Wingdings" w:hAnsi="Wingdings"/>
      </w:rPr>
    </w:lvl>
  </w:abstractNum>
  <w:abstractNum w:abstractNumId="59">
    <w:nsid w:val="528E5CBC"/>
    <w:multiLevelType w:val="multilevel"/>
    <w:tmpl w:val="528E5CBC"/>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0">
    <w:nsid w:val="543E08FC"/>
    <w:multiLevelType w:val="multilevel"/>
    <w:tmpl w:val="543E08FC"/>
    <w:lvl w:ilvl="0" w:tentative="0">
      <w:start w:val="1"/>
      <w:numFmt w:val="bullet"/>
      <w:lvlText w:val=""/>
      <w:lvlJc w:val="left"/>
      <w:pPr>
        <w:ind w:left="1160" w:hanging="440"/>
      </w:pPr>
      <w:rPr>
        <w:rFonts w:hint="default" w:ascii="Wingdings" w:hAnsi="Wingdings"/>
        <w:sz w:val="16"/>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61">
    <w:nsid w:val="54F0335E"/>
    <w:multiLevelType w:val="multilevel"/>
    <w:tmpl w:val="54F0335E"/>
    <w:lvl w:ilvl="0" w:tentative="0">
      <w:start w:val="1"/>
      <w:numFmt w:val="bullet"/>
      <w:lvlText w:val=""/>
      <w:lvlJc w:val="left"/>
      <w:pPr>
        <w:ind w:left="1400" w:hanging="440"/>
      </w:pPr>
      <w:rPr>
        <w:rFonts w:hint="default" w:ascii="Wingdings" w:hAnsi="Wingdings"/>
        <w:sz w:val="16"/>
      </w:rPr>
    </w:lvl>
    <w:lvl w:ilvl="1" w:tentative="0">
      <w:start w:val="1"/>
      <w:numFmt w:val="bullet"/>
      <w:lvlText w:val=""/>
      <w:lvlJc w:val="left"/>
      <w:pPr>
        <w:ind w:left="1840" w:hanging="440"/>
      </w:pPr>
      <w:rPr>
        <w:rFonts w:hint="default" w:ascii="Wingdings" w:hAnsi="Wingdings"/>
      </w:rPr>
    </w:lvl>
    <w:lvl w:ilvl="2" w:tentative="0">
      <w:start w:val="1"/>
      <w:numFmt w:val="bullet"/>
      <w:lvlText w:val=""/>
      <w:lvlJc w:val="left"/>
      <w:pPr>
        <w:ind w:left="2280" w:hanging="440"/>
      </w:pPr>
      <w:rPr>
        <w:rFonts w:hint="default" w:ascii="Wingdings" w:hAnsi="Wingdings"/>
      </w:rPr>
    </w:lvl>
    <w:lvl w:ilvl="3" w:tentative="0">
      <w:start w:val="1"/>
      <w:numFmt w:val="bullet"/>
      <w:lvlText w:val=""/>
      <w:lvlJc w:val="left"/>
      <w:pPr>
        <w:ind w:left="2720" w:hanging="440"/>
      </w:pPr>
      <w:rPr>
        <w:rFonts w:hint="default" w:ascii="Wingdings" w:hAnsi="Wingdings"/>
      </w:rPr>
    </w:lvl>
    <w:lvl w:ilvl="4" w:tentative="0">
      <w:start w:val="1"/>
      <w:numFmt w:val="bullet"/>
      <w:lvlText w:val=""/>
      <w:lvlJc w:val="left"/>
      <w:pPr>
        <w:ind w:left="3160" w:hanging="440"/>
      </w:pPr>
      <w:rPr>
        <w:rFonts w:hint="default" w:ascii="Wingdings" w:hAnsi="Wingdings"/>
      </w:rPr>
    </w:lvl>
    <w:lvl w:ilvl="5" w:tentative="0">
      <w:start w:val="1"/>
      <w:numFmt w:val="bullet"/>
      <w:lvlText w:val=""/>
      <w:lvlJc w:val="left"/>
      <w:pPr>
        <w:ind w:left="3600" w:hanging="440"/>
      </w:pPr>
      <w:rPr>
        <w:rFonts w:hint="default" w:ascii="Wingdings" w:hAnsi="Wingdings"/>
      </w:rPr>
    </w:lvl>
    <w:lvl w:ilvl="6" w:tentative="0">
      <w:start w:val="1"/>
      <w:numFmt w:val="bullet"/>
      <w:lvlText w:val=""/>
      <w:lvlJc w:val="left"/>
      <w:pPr>
        <w:ind w:left="4040" w:hanging="440"/>
      </w:pPr>
      <w:rPr>
        <w:rFonts w:hint="default" w:ascii="Wingdings" w:hAnsi="Wingdings"/>
      </w:rPr>
    </w:lvl>
    <w:lvl w:ilvl="7" w:tentative="0">
      <w:start w:val="1"/>
      <w:numFmt w:val="bullet"/>
      <w:lvlText w:val=""/>
      <w:lvlJc w:val="left"/>
      <w:pPr>
        <w:ind w:left="4480" w:hanging="440"/>
      </w:pPr>
      <w:rPr>
        <w:rFonts w:hint="default" w:ascii="Wingdings" w:hAnsi="Wingdings"/>
      </w:rPr>
    </w:lvl>
    <w:lvl w:ilvl="8" w:tentative="0">
      <w:start w:val="1"/>
      <w:numFmt w:val="bullet"/>
      <w:lvlText w:val=""/>
      <w:lvlJc w:val="left"/>
      <w:pPr>
        <w:ind w:left="4920" w:hanging="440"/>
      </w:pPr>
      <w:rPr>
        <w:rFonts w:hint="default" w:ascii="Wingdings" w:hAnsi="Wingdings"/>
      </w:rPr>
    </w:lvl>
  </w:abstractNum>
  <w:abstractNum w:abstractNumId="62">
    <w:nsid w:val="5715FECD"/>
    <w:multiLevelType w:val="multilevel"/>
    <w:tmpl w:val="5715FEC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850" w:hanging="709"/>
      </w:pPr>
      <w:rPr>
        <w:rFonts w:hint="default"/>
        <w:b/>
        <w:bCs/>
        <w:sz w:val="24"/>
        <w:szCs w:val="24"/>
      </w:rPr>
    </w:lvl>
    <w:lvl w:ilvl="3" w:tentative="0">
      <w:start w:val="1"/>
      <w:numFmt w:val="decimal"/>
      <w:lvlText w:val="%1.%2.%3.%4."/>
      <w:lvlJc w:val="left"/>
      <w:pPr>
        <w:ind w:left="850" w:hanging="850"/>
      </w:pPr>
      <w:rPr>
        <w:rFonts w:hint="default"/>
        <w:b/>
        <w:bCs/>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3">
    <w:nsid w:val="5E750637"/>
    <w:multiLevelType w:val="singleLevel"/>
    <w:tmpl w:val="5E750637"/>
    <w:lvl w:ilvl="0" w:tentative="0">
      <w:start w:val="1"/>
      <w:numFmt w:val="bullet"/>
      <w:lvlText w:val=""/>
      <w:lvlJc w:val="left"/>
      <w:pPr>
        <w:tabs>
          <w:tab w:val="left" w:pos="840"/>
        </w:tabs>
        <w:ind w:left="1260" w:hanging="420"/>
      </w:pPr>
      <w:rPr>
        <w:rFonts w:hint="default" w:ascii="Wingdings" w:hAnsi="Wingdings"/>
      </w:rPr>
    </w:lvl>
  </w:abstractNum>
  <w:abstractNum w:abstractNumId="64">
    <w:nsid w:val="617B14AE"/>
    <w:multiLevelType w:val="singleLevel"/>
    <w:tmpl w:val="617B14AE"/>
    <w:lvl w:ilvl="0" w:tentative="0">
      <w:start w:val="1"/>
      <w:numFmt w:val="decimal"/>
      <w:lvlText w:val="%1)"/>
      <w:lvlJc w:val="left"/>
      <w:pPr>
        <w:tabs>
          <w:tab w:val="left" w:pos="420"/>
        </w:tabs>
        <w:ind w:left="845" w:hanging="425"/>
      </w:pPr>
      <w:rPr>
        <w:rFonts w:hint="default"/>
      </w:rPr>
    </w:lvl>
  </w:abstractNum>
  <w:abstractNum w:abstractNumId="65">
    <w:nsid w:val="65385E70"/>
    <w:multiLevelType w:val="multilevel"/>
    <w:tmpl w:val="65385E70"/>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6">
    <w:nsid w:val="6D22C3EF"/>
    <w:multiLevelType w:val="singleLevel"/>
    <w:tmpl w:val="6D22C3EF"/>
    <w:lvl w:ilvl="0" w:tentative="0">
      <w:start w:val="1"/>
      <w:numFmt w:val="decimal"/>
      <w:lvlText w:val="%1)"/>
      <w:lvlJc w:val="left"/>
      <w:pPr>
        <w:ind w:left="425" w:hanging="425"/>
      </w:pPr>
      <w:rPr>
        <w:rFonts w:hint="default"/>
      </w:rPr>
    </w:lvl>
  </w:abstractNum>
  <w:abstractNum w:abstractNumId="67">
    <w:nsid w:val="76463979"/>
    <w:multiLevelType w:val="multilevel"/>
    <w:tmpl w:val="76463979"/>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8">
    <w:nsid w:val="79DA6516"/>
    <w:multiLevelType w:val="multilevel"/>
    <w:tmpl w:val="79DA651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9">
    <w:nsid w:val="7AF9671F"/>
    <w:multiLevelType w:val="multilevel"/>
    <w:tmpl w:val="7AF9671F"/>
    <w:lvl w:ilvl="0" w:tentative="0">
      <w:start w:val="0"/>
      <w:numFmt w:val="bullet"/>
      <w:lvlText w:val="•"/>
      <w:lvlJc w:val="left"/>
      <w:pPr>
        <w:ind w:left="440" w:hanging="440"/>
      </w:pPr>
      <w:rPr>
        <w:rFonts w:hint="default"/>
        <w:lang w:val="en-US" w:eastAsia="en-US" w:bidi="ar-SA"/>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0">
    <w:nsid w:val="7D2E4273"/>
    <w:multiLevelType w:val="singleLevel"/>
    <w:tmpl w:val="7D2E4273"/>
    <w:lvl w:ilvl="0" w:tentative="0">
      <w:start w:val="1"/>
      <w:numFmt w:val="decimal"/>
      <w:lvlText w:val="%1."/>
      <w:lvlJc w:val="left"/>
      <w:pPr>
        <w:ind w:left="425" w:hanging="425"/>
      </w:pPr>
      <w:rPr>
        <w:rFonts w:hint="default"/>
      </w:rPr>
    </w:lvl>
  </w:abstractNum>
  <w:abstractNum w:abstractNumId="71">
    <w:nsid w:val="7F6340EE"/>
    <w:multiLevelType w:val="multilevel"/>
    <w:tmpl w:val="7F6340EE"/>
    <w:lvl w:ilvl="0" w:tentative="0">
      <w:start w:val="1"/>
      <w:numFmt w:val="bullet"/>
      <w:lvlText w:val=""/>
      <w:lvlJc w:val="left"/>
      <w:pPr>
        <w:ind w:left="920" w:hanging="440"/>
      </w:pPr>
      <w:rPr>
        <w:rFonts w:hint="default" w:ascii="Wingdings" w:hAnsi="Wingdings"/>
        <w:sz w:val="10"/>
        <w:szCs w:val="10"/>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32"/>
  </w:num>
  <w:num w:numId="2">
    <w:abstractNumId w:val="34"/>
  </w:num>
  <w:num w:numId="3">
    <w:abstractNumId w:val="37"/>
  </w:num>
  <w:num w:numId="4">
    <w:abstractNumId w:val="38"/>
  </w:num>
  <w:num w:numId="5">
    <w:abstractNumId w:val="35"/>
  </w:num>
  <w:num w:numId="6">
    <w:abstractNumId w:val="31"/>
  </w:num>
  <w:num w:numId="7">
    <w:abstractNumId w:val="36"/>
  </w:num>
  <w:num w:numId="8">
    <w:abstractNumId w:val="33"/>
  </w:num>
  <w:num w:numId="9">
    <w:abstractNumId w:val="30"/>
  </w:num>
  <w:num w:numId="10">
    <w:abstractNumId w:val="29"/>
  </w:num>
  <w:num w:numId="11">
    <w:abstractNumId w:val="6"/>
  </w:num>
  <w:num w:numId="12">
    <w:abstractNumId w:val="62"/>
  </w:num>
  <w:num w:numId="13">
    <w:abstractNumId w:val="47"/>
  </w:num>
  <w:num w:numId="14">
    <w:abstractNumId w:val="39"/>
  </w:num>
  <w:num w:numId="15">
    <w:abstractNumId w:val="58"/>
  </w:num>
  <w:num w:numId="16">
    <w:abstractNumId w:val="22"/>
  </w:num>
  <w:num w:numId="17">
    <w:abstractNumId w:val="23"/>
  </w:num>
  <w:num w:numId="18">
    <w:abstractNumId w:val="27"/>
  </w:num>
  <w:num w:numId="19">
    <w:abstractNumId w:val="46"/>
  </w:num>
  <w:num w:numId="20">
    <w:abstractNumId w:val="21"/>
  </w:num>
  <w:num w:numId="21">
    <w:abstractNumId w:val="0"/>
  </w:num>
  <w:num w:numId="22">
    <w:abstractNumId w:val="16"/>
  </w:num>
  <w:num w:numId="23">
    <w:abstractNumId w:val="17"/>
  </w:num>
  <w:num w:numId="24">
    <w:abstractNumId w:val="12"/>
  </w:num>
  <w:num w:numId="25">
    <w:abstractNumId w:val="24"/>
  </w:num>
  <w:num w:numId="26">
    <w:abstractNumId w:val="3"/>
  </w:num>
  <w:num w:numId="27">
    <w:abstractNumId w:val="51"/>
  </w:num>
  <w:num w:numId="28">
    <w:abstractNumId w:val="8"/>
  </w:num>
  <w:num w:numId="29">
    <w:abstractNumId w:val="67"/>
  </w:num>
  <w:num w:numId="30">
    <w:abstractNumId w:val="19"/>
  </w:num>
  <w:num w:numId="31">
    <w:abstractNumId w:val="13"/>
  </w:num>
  <w:num w:numId="32">
    <w:abstractNumId w:val="26"/>
  </w:num>
  <w:num w:numId="33">
    <w:abstractNumId w:val="18"/>
  </w:num>
  <w:num w:numId="34">
    <w:abstractNumId w:val="4"/>
  </w:num>
  <w:num w:numId="35">
    <w:abstractNumId w:val="52"/>
  </w:num>
  <w:num w:numId="36">
    <w:abstractNumId w:val="10"/>
  </w:num>
  <w:num w:numId="37">
    <w:abstractNumId w:val="1"/>
  </w:num>
  <w:num w:numId="38">
    <w:abstractNumId w:val="20"/>
  </w:num>
  <w:num w:numId="39">
    <w:abstractNumId w:val="28"/>
  </w:num>
  <w:num w:numId="40">
    <w:abstractNumId w:val="69"/>
  </w:num>
  <w:num w:numId="41">
    <w:abstractNumId w:val="43"/>
  </w:num>
  <w:num w:numId="42">
    <w:abstractNumId w:val="44"/>
  </w:num>
  <w:num w:numId="43">
    <w:abstractNumId w:val="2"/>
  </w:num>
  <w:num w:numId="44">
    <w:abstractNumId w:val="57"/>
  </w:num>
  <w:num w:numId="45">
    <w:abstractNumId w:val="63"/>
  </w:num>
  <w:num w:numId="46">
    <w:abstractNumId w:val="45"/>
  </w:num>
  <w:num w:numId="47">
    <w:abstractNumId w:val="5"/>
  </w:num>
  <w:num w:numId="48">
    <w:abstractNumId w:val="25"/>
  </w:num>
  <w:num w:numId="49">
    <w:abstractNumId w:val="64"/>
  </w:num>
  <w:num w:numId="50">
    <w:abstractNumId w:val="7"/>
  </w:num>
  <w:num w:numId="51">
    <w:abstractNumId w:val="54"/>
  </w:num>
  <w:num w:numId="52">
    <w:abstractNumId w:val="11"/>
  </w:num>
  <w:num w:numId="53">
    <w:abstractNumId w:val="68"/>
  </w:num>
  <w:num w:numId="54">
    <w:abstractNumId w:val="53"/>
  </w:num>
  <w:num w:numId="55">
    <w:abstractNumId w:val="49"/>
  </w:num>
  <w:num w:numId="56">
    <w:abstractNumId w:val="61"/>
  </w:num>
  <w:num w:numId="57">
    <w:abstractNumId w:val="14"/>
  </w:num>
  <w:num w:numId="58">
    <w:abstractNumId w:val="71"/>
  </w:num>
  <w:num w:numId="59">
    <w:abstractNumId w:val="66"/>
  </w:num>
  <w:num w:numId="60">
    <w:abstractNumId w:val="41"/>
  </w:num>
  <w:num w:numId="61">
    <w:abstractNumId w:val="40"/>
  </w:num>
  <w:num w:numId="62">
    <w:abstractNumId w:val="56"/>
  </w:num>
  <w:num w:numId="63">
    <w:abstractNumId w:val="70"/>
  </w:num>
  <w:num w:numId="64">
    <w:abstractNumId w:val="65"/>
  </w:num>
  <w:num w:numId="65">
    <w:abstractNumId w:val="50"/>
  </w:num>
  <w:num w:numId="66">
    <w:abstractNumId w:val="60"/>
  </w:num>
  <w:num w:numId="67">
    <w:abstractNumId w:val="59"/>
  </w:num>
  <w:num w:numId="68">
    <w:abstractNumId w:val="55"/>
  </w:num>
  <w:num w:numId="69">
    <w:abstractNumId w:val="48"/>
  </w:num>
  <w:num w:numId="70">
    <w:abstractNumId w:val="42"/>
  </w:num>
  <w:num w:numId="71">
    <w:abstractNumId w:val="9"/>
  </w:num>
  <w:num w:numId="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documentProtection w:enforcement="0"/>
  <w:defaultTabStop w:val="720"/>
  <w:drawingGridHorizontalSpacing w:val="110"/>
  <w:noPunctuationKerning w:val="1"/>
  <w:characterSpacingControl w:val="doNotCompress"/>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wN2Y4MmEyMzFmOTUyOTFmMTg4MDZmYWFjNTY5ZjAifQ=="/>
  </w:docVars>
  <w:rsids>
    <w:rsidRoot w:val="00172A27"/>
    <w:rsid w:val="00001DC4"/>
    <w:rsid w:val="000027D4"/>
    <w:rsid w:val="00002E90"/>
    <w:rsid w:val="00005485"/>
    <w:rsid w:val="00012E3B"/>
    <w:rsid w:val="000169C6"/>
    <w:rsid w:val="00017271"/>
    <w:rsid w:val="00022D9D"/>
    <w:rsid w:val="00022FC8"/>
    <w:rsid w:val="00027C48"/>
    <w:rsid w:val="000326F1"/>
    <w:rsid w:val="00036FED"/>
    <w:rsid w:val="00041A91"/>
    <w:rsid w:val="000450C7"/>
    <w:rsid w:val="00046269"/>
    <w:rsid w:val="000502CF"/>
    <w:rsid w:val="0005181F"/>
    <w:rsid w:val="00052238"/>
    <w:rsid w:val="000551E2"/>
    <w:rsid w:val="00055A8B"/>
    <w:rsid w:val="0006187C"/>
    <w:rsid w:val="00062AFC"/>
    <w:rsid w:val="00063A6D"/>
    <w:rsid w:val="00067E2B"/>
    <w:rsid w:val="0007382B"/>
    <w:rsid w:val="00077644"/>
    <w:rsid w:val="00082906"/>
    <w:rsid w:val="000854DE"/>
    <w:rsid w:val="0008656D"/>
    <w:rsid w:val="00090144"/>
    <w:rsid w:val="000950F3"/>
    <w:rsid w:val="000A5FCB"/>
    <w:rsid w:val="000A76F1"/>
    <w:rsid w:val="000B4BD1"/>
    <w:rsid w:val="000B6E40"/>
    <w:rsid w:val="000C2F43"/>
    <w:rsid w:val="000C7738"/>
    <w:rsid w:val="000D22AF"/>
    <w:rsid w:val="000D5E07"/>
    <w:rsid w:val="000D72A4"/>
    <w:rsid w:val="000D781B"/>
    <w:rsid w:val="000F108F"/>
    <w:rsid w:val="000F1CC0"/>
    <w:rsid w:val="000F2FE6"/>
    <w:rsid w:val="000F5A65"/>
    <w:rsid w:val="001065ED"/>
    <w:rsid w:val="0011424A"/>
    <w:rsid w:val="00116F15"/>
    <w:rsid w:val="00117174"/>
    <w:rsid w:val="0012009C"/>
    <w:rsid w:val="00124266"/>
    <w:rsid w:val="001302B0"/>
    <w:rsid w:val="00135D47"/>
    <w:rsid w:val="001502CD"/>
    <w:rsid w:val="001503B4"/>
    <w:rsid w:val="00151897"/>
    <w:rsid w:val="00153EE8"/>
    <w:rsid w:val="0016333A"/>
    <w:rsid w:val="00172A27"/>
    <w:rsid w:val="00174DAD"/>
    <w:rsid w:val="00175C81"/>
    <w:rsid w:val="00184CF1"/>
    <w:rsid w:val="00186F04"/>
    <w:rsid w:val="001927B5"/>
    <w:rsid w:val="00195710"/>
    <w:rsid w:val="001A00D0"/>
    <w:rsid w:val="001A116A"/>
    <w:rsid w:val="001A13F6"/>
    <w:rsid w:val="001A6815"/>
    <w:rsid w:val="001B0B9E"/>
    <w:rsid w:val="001B5351"/>
    <w:rsid w:val="001B7C5D"/>
    <w:rsid w:val="001C0914"/>
    <w:rsid w:val="001C0BBE"/>
    <w:rsid w:val="001C2311"/>
    <w:rsid w:val="001C4C8C"/>
    <w:rsid w:val="001D40F0"/>
    <w:rsid w:val="001D496D"/>
    <w:rsid w:val="001D60A6"/>
    <w:rsid w:val="001D7C3E"/>
    <w:rsid w:val="001E02FF"/>
    <w:rsid w:val="001E06A2"/>
    <w:rsid w:val="001E2012"/>
    <w:rsid w:val="001E4479"/>
    <w:rsid w:val="001E51CF"/>
    <w:rsid w:val="001E6055"/>
    <w:rsid w:val="001F3BA7"/>
    <w:rsid w:val="001F59A6"/>
    <w:rsid w:val="001F7408"/>
    <w:rsid w:val="00202F81"/>
    <w:rsid w:val="002078E1"/>
    <w:rsid w:val="0021323A"/>
    <w:rsid w:val="00221E82"/>
    <w:rsid w:val="002246CA"/>
    <w:rsid w:val="00225AA0"/>
    <w:rsid w:val="002312A7"/>
    <w:rsid w:val="00231E8F"/>
    <w:rsid w:val="00232023"/>
    <w:rsid w:val="00236763"/>
    <w:rsid w:val="00243EA6"/>
    <w:rsid w:val="002457A6"/>
    <w:rsid w:val="00253C8F"/>
    <w:rsid w:val="00253F58"/>
    <w:rsid w:val="00254780"/>
    <w:rsid w:val="00254ECD"/>
    <w:rsid w:val="002559A1"/>
    <w:rsid w:val="0025626B"/>
    <w:rsid w:val="002579E5"/>
    <w:rsid w:val="0026389D"/>
    <w:rsid w:val="00263B0A"/>
    <w:rsid w:val="002642F3"/>
    <w:rsid w:val="002648C6"/>
    <w:rsid w:val="00275873"/>
    <w:rsid w:val="00281633"/>
    <w:rsid w:val="00285B60"/>
    <w:rsid w:val="002913CB"/>
    <w:rsid w:val="00292363"/>
    <w:rsid w:val="002969D1"/>
    <w:rsid w:val="002A0C63"/>
    <w:rsid w:val="002A20E0"/>
    <w:rsid w:val="002A4385"/>
    <w:rsid w:val="002B4C1D"/>
    <w:rsid w:val="002B4FB5"/>
    <w:rsid w:val="002B75F8"/>
    <w:rsid w:val="002C50EC"/>
    <w:rsid w:val="002C5CF5"/>
    <w:rsid w:val="002C6858"/>
    <w:rsid w:val="002C6DF7"/>
    <w:rsid w:val="002D43AB"/>
    <w:rsid w:val="002D68E7"/>
    <w:rsid w:val="002E0C6D"/>
    <w:rsid w:val="002E6716"/>
    <w:rsid w:val="002F01F7"/>
    <w:rsid w:val="002F4E6E"/>
    <w:rsid w:val="002F551C"/>
    <w:rsid w:val="0030425F"/>
    <w:rsid w:val="003069A2"/>
    <w:rsid w:val="00307867"/>
    <w:rsid w:val="00313D78"/>
    <w:rsid w:val="00325237"/>
    <w:rsid w:val="00325606"/>
    <w:rsid w:val="00325ED5"/>
    <w:rsid w:val="0033415C"/>
    <w:rsid w:val="00342621"/>
    <w:rsid w:val="00342751"/>
    <w:rsid w:val="00344B83"/>
    <w:rsid w:val="003566C7"/>
    <w:rsid w:val="00361AD7"/>
    <w:rsid w:val="003659F7"/>
    <w:rsid w:val="003750B2"/>
    <w:rsid w:val="00375DDD"/>
    <w:rsid w:val="00380FAD"/>
    <w:rsid w:val="003957FC"/>
    <w:rsid w:val="0039612D"/>
    <w:rsid w:val="003B7543"/>
    <w:rsid w:val="003B7810"/>
    <w:rsid w:val="003C2EC9"/>
    <w:rsid w:val="003D06FF"/>
    <w:rsid w:val="003D5905"/>
    <w:rsid w:val="003E1FAA"/>
    <w:rsid w:val="003E26CE"/>
    <w:rsid w:val="003E7F17"/>
    <w:rsid w:val="003E7F9B"/>
    <w:rsid w:val="003F37D3"/>
    <w:rsid w:val="003F6959"/>
    <w:rsid w:val="004042C2"/>
    <w:rsid w:val="0041056E"/>
    <w:rsid w:val="004130D9"/>
    <w:rsid w:val="00422FB2"/>
    <w:rsid w:val="004251AC"/>
    <w:rsid w:val="00426468"/>
    <w:rsid w:val="0042774A"/>
    <w:rsid w:val="00434044"/>
    <w:rsid w:val="0043640F"/>
    <w:rsid w:val="004542CF"/>
    <w:rsid w:val="00454332"/>
    <w:rsid w:val="0045570A"/>
    <w:rsid w:val="0045609D"/>
    <w:rsid w:val="00465907"/>
    <w:rsid w:val="0046745C"/>
    <w:rsid w:val="00470580"/>
    <w:rsid w:val="004714A7"/>
    <w:rsid w:val="00472093"/>
    <w:rsid w:val="00482DE6"/>
    <w:rsid w:val="004902AA"/>
    <w:rsid w:val="00490D02"/>
    <w:rsid w:val="004952E9"/>
    <w:rsid w:val="004B0627"/>
    <w:rsid w:val="004B071B"/>
    <w:rsid w:val="004B4C84"/>
    <w:rsid w:val="004B633F"/>
    <w:rsid w:val="004B64B7"/>
    <w:rsid w:val="004C2CA1"/>
    <w:rsid w:val="004C2CEA"/>
    <w:rsid w:val="004C46D5"/>
    <w:rsid w:val="004D11FB"/>
    <w:rsid w:val="004D4D4A"/>
    <w:rsid w:val="004D5767"/>
    <w:rsid w:val="004E0175"/>
    <w:rsid w:val="004E4AA0"/>
    <w:rsid w:val="004F11EB"/>
    <w:rsid w:val="004F5321"/>
    <w:rsid w:val="004F53C6"/>
    <w:rsid w:val="004F5CC5"/>
    <w:rsid w:val="004F70F2"/>
    <w:rsid w:val="0050207C"/>
    <w:rsid w:val="00513514"/>
    <w:rsid w:val="0051660E"/>
    <w:rsid w:val="00516A19"/>
    <w:rsid w:val="005213DE"/>
    <w:rsid w:val="00524274"/>
    <w:rsid w:val="005250ED"/>
    <w:rsid w:val="0053529C"/>
    <w:rsid w:val="00535EFC"/>
    <w:rsid w:val="00547242"/>
    <w:rsid w:val="00554990"/>
    <w:rsid w:val="00555261"/>
    <w:rsid w:val="00557739"/>
    <w:rsid w:val="00557D56"/>
    <w:rsid w:val="00561FB9"/>
    <w:rsid w:val="00570B10"/>
    <w:rsid w:val="005722FA"/>
    <w:rsid w:val="00575EC1"/>
    <w:rsid w:val="005762D5"/>
    <w:rsid w:val="00582495"/>
    <w:rsid w:val="0058293F"/>
    <w:rsid w:val="0058399F"/>
    <w:rsid w:val="00595492"/>
    <w:rsid w:val="0059569B"/>
    <w:rsid w:val="005957DF"/>
    <w:rsid w:val="00597A10"/>
    <w:rsid w:val="00597AC2"/>
    <w:rsid w:val="005A1EAA"/>
    <w:rsid w:val="005A3622"/>
    <w:rsid w:val="005A48EC"/>
    <w:rsid w:val="005A7A5C"/>
    <w:rsid w:val="005B02BD"/>
    <w:rsid w:val="005B0AA7"/>
    <w:rsid w:val="005B14FE"/>
    <w:rsid w:val="005B3449"/>
    <w:rsid w:val="005B40CF"/>
    <w:rsid w:val="005B4A66"/>
    <w:rsid w:val="005B5522"/>
    <w:rsid w:val="005C5DF8"/>
    <w:rsid w:val="005D0343"/>
    <w:rsid w:val="005D0E5E"/>
    <w:rsid w:val="005D115E"/>
    <w:rsid w:val="005D4D72"/>
    <w:rsid w:val="005E13F5"/>
    <w:rsid w:val="005E281A"/>
    <w:rsid w:val="005E39B4"/>
    <w:rsid w:val="005F03B5"/>
    <w:rsid w:val="005F44B8"/>
    <w:rsid w:val="005F560D"/>
    <w:rsid w:val="005F5B55"/>
    <w:rsid w:val="005F7934"/>
    <w:rsid w:val="005F7CF5"/>
    <w:rsid w:val="00601C6E"/>
    <w:rsid w:val="00601D92"/>
    <w:rsid w:val="00603A77"/>
    <w:rsid w:val="00614484"/>
    <w:rsid w:val="00627FD7"/>
    <w:rsid w:val="006317C6"/>
    <w:rsid w:val="00636E16"/>
    <w:rsid w:val="00640653"/>
    <w:rsid w:val="00640BB8"/>
    <w:rsid w:val="0065124F"/>
    <w:rsid w:val="006527C2"/>
    <w:rsid w:val="0066765F"/>
    <w:rsid w:val="00672C5E"/>
    <w:rsid w:val="00674CD4"/>
    <w:rsid w:val="006765CB"/>
    <w:rsid w:val="00680C89"/>
    <w:rsid w:val="0068332B"/>
    <w:rsid w:val="0069165F"/>
    <w:rsid w:val="006920DC"/>
    <w:rsid w:val="00694F89"/>
    <w:rsid w:val="00696F4F"/>
    <w:rsid w:val="00697374"/>
    <w:rsid w:val="00697652"/>
    <w:rsid w:val="006A5E14"/>
    <w:rsid w:val="006A610A"/>
    <w:rsid w:val="006A6F10"/>
    <w:rsid w:val="006B14E9"/>
    <w:rsid w:val="006B3D0B"/>
    <w:rsid w:val="006B4905"/>
    <w:rsid w:val="006C3141"/>
    <w:rsid w:val="006C3383"/>
    <w:rsid w:val="006C392C"/>
    <w:rsid w:val="006D3BEC"/>
    <w:rsid w:val="006D7E72"/>
    <w:rsid w:val="006D7FFE"/>
    <w:rsid w:val="006E04C7"/>
    <w:rsid w:val="006E3781"/>
    <w:rsid w:val="006E6D02"/>
    <w:rsid w:val="006F598C"/>
    <w:rsid w:val="00700655"/>
    <w:rsid w:val="00703AD4"/>
    <w:rsid w:val="00704DA9"/>
    <w:rsid w:val="00710A18"/>
    <w:rsid w:val="00712E1E"/>
    <w:rsid w:val="007138EF"/>
    <w:rsid w:val="00713F54"/>
    <w:rsid w:val="00720360"/>
    <w:rsid w:val="007246B3"/>
    <w:rsid w:val="00724724"/>
    <w:rsid w:val="00726476"/>
    <w:rsid w:val="00731886"/>
    <w:rsid w:val="00732B18"/>
    <w:rsid w:val="00732DE7"/>
    <w:rsid w:val="00734B49"/>
    <w:rsid w:val="0073671A"/>
    <w:rsid w:val="00743CBC"/>
    <w:rsid w:val="00744975"/>
    <w:rsid w:val="00744B16"/>
    <w:rsid w:val="00746DA6"/>
    <w:rsid w:val="00746F03"/>
    <w:rsid w:val="00750D9E"/>
    <w:rsid w:val="007647A2"/>
    <w:rsid w:val="00765E82"/>
    <w:rsid w:val="00766F84"/>
    <w:rsid w:val="007758BD"/>
    <w:rsid w:val="0078410B"/>
    <w:rsid w:val="00792E24"/>
    <w:rsid w:val="00793BB4"/>
    <w:rsid w:val="00795009"/>
    <w:rsid w:val="007A1DE2"/>
    <w:rsid w:val="007A3238"/>
    <w:rsid w:val="007B54A0"/>
    <w:rsid w:val="007B5651"/>
    <w:rsid w:val="007C0C2F"/>
    <w:rsid w:val="007C1A2D"/>
    <w:rsid w:val="007C61EA"/>
    <w:rsid w:val="007C6217"/>
    <w:rsid w:val="007C6636"/>
    <w:rsid w:val="007D0F97"/>
    <w:rsid w:val="007E04B5"/>
    <w:rsid w:val="007E4A91"/>
    <w:rsid w:val="007E541C"/>
    <w:rsid w:val="007E6544"/>
    <w:rsid w:val="007F1678"/>
    <w:rsid w:val="007F49C8"/>
    <w:rsid w:val="0080056D"/>
    <w:rsid w:val="00803D08"/>
    <w:rsid w:val="00805021"/>
    <w:rsid w:val="0080660E"/>
    <w:rsid w:val="00806BE4"/>
    <w:rsid w:val="0081132C"/>
    <w:rsid w:val="00815E9E"/>
    <w:rsid w:val="00817B84"/>
    <w:rsid w:val="00820D3A"/>
    <w:rsid w:val="00821DAE"/>
    <w:rsid w:val="00826C0F"/>
    <w:rsid w:val="00830EA6"/>
    <w:rsid w:val="00843197"/>
    <w:rsid w:val="0084663A"/>
    <w:rsid w:val="0085123C"/>
    <w:rsid w:val="0085537C"/>
    <w:rsid w:val="00856658"/>
    <w:rsid w:val="00856A5C"/>
    <w:rsid w:val="008633F1"/>
    <w:rsid w:val="00863C1C"/>
    <w:rsid w:val="00867D5D"/>
    <w:rsid w:val="00874738"/>
    <w:rsid w:val="00883962"/>
    <w:rsid w:val="0088607C"/>
    <w:rsid w:val="008929BF"/>
    <w:rsid w:val="008A152D"/>
    <w:rsid w:val="008A4083"/>
    <w:rsid w:val="008A4C4F"/>
    <w:rsid w:val="008A4E6C"/>
    <w:rsid w:val="008A59DC"/>
    <w:rsid w:val="008A6740"/>
    <w:rsid w:val="008B0295"/>
    <w:rsid w:val="008B0C0B"/>
    <w:rsid w:val="008B0F7D"/>
    <w:rsid w:val="008B1655"/>
    <w:rsid w:val="008B3931"/>
    <w:rsid w:val="008B4368"/>
    <w:rsid w:val="008B5897"/>
    <w:rsid w:val="008B6F47"/>
    <w:rsid w:val="008D2727"/>
    <w:rsid w:val="008D2D79"/>
    <w:rsid w:val="008E4E96"/>
    <w:rsid w:val="008F01E8"/>
    <w:rsid w:val="008F0C36"/>
    <w:rsid w:val="008F13DB"/>
    <w:rsid w:val="008F1999"/>
    <w:rsid w:val="008F6912"/>
    <w:rsid w:val="009013A9"/>
    <w:rsid w:val="0090736F"/>
    <w:rsid w:val="0091079F"/>
    <w:rsid w:val="009147A3"/>
    <w:rsid w:val="009239A6"/>
    <w:rsid w:val="00927575"/>
    <w:rsid w:val="0094686D"/>
    <w:rsid w:val="009500BA"/>
    <w:rsid w:val="00951E97"/>
    <w:rsid w:val="00957B09"/>
    <w:rsid w:val="00957F0E"/>
    <w:rsid w:val="00964A88"/>
    <w:rsid w:val="00966669"/>
    <w:rsid w:val="009668FE"/>
    <w:rsid w:val="009726E4"/>
    <w:rsid w:val="00982F42"/>
    <w:rsid w:val="00993C6E"/>
    <w:rsid w:val="00994C23"/>
    <w:rsid w:val="00994D53"/>
    <w:rsid w:val="009A1745"/>
    <w:rsid w:val="009B645C"/>
    <w:rsid w:val="009C532C"/>
    <w:rsid w:val="009C5FB8"/>
    <w:rsid w:val="009D577E"/>
    <w:rsid w:val="009E01E5"/>
    <w:rsid w:val="009E1EAC"/>
    <w:rsid w:val="009E2A1B"/>
    <w:rsid w:val="009E6A3B"/>
    <w:rsid w:val="00A038E8"/>
    <w:rsid w:val="00A06A66"/>
    <w:rsid w:val="00A13164"/>
    <w:rsid w:val="00A14391"/>
    <w:rsid w:val="00A16C61"/>
    <w:rsid w:val="00A209B3"/>
    <w:rsid w:val="00A22B49"/>
    <w:rsid w:val="00A3448A"/>
    <w:rsid w:val="00A361F5"/>
    <w:rsid w:val="00A408B6"/>
    <w:rsid w:val="00A43FAC"/>
    <w:rsid w:val="00A443BA"/>
    <w:rsid w:val="00A5173A"/>
    <w:rsid w:val="00A5425C"/>
    <w:rsid w:val="00A61B7C"/>
    <w:rsid w:val="00A63B0C"/>
    <w:rsid w:val="00A63C97"/>
    <w:rsid w:val="00A652FA"/>
    <w:rsid w:val="00A713CC"/>
    <w:rsid w:val="00A753C3"/>
    <w:rsid w:val="00A75541"/>
    <w:rsid w:val="00A82D1E"/>
    <w:rsid w:val="00A85A7D"/>
    <w:rsid w:val="00A86376"/>
    <w:rsid w:val="00A87536"/>
    <w:rsid w:val="00A91C86"/>
    <w:rsid w:val="00A969CA"/>
    <w:rsid w:val="00AA3E65"/>
    <w:rsid w:val="00AA72AA"/>
    <w:rsid w:val="00AC254D"/>
    <w:rsid w:val="00AC4C5F"/>
    <w:rsid w:val="00AC5AE8"/>
    <w:rsid w:val="00AD0E56"/>
    <w:rsid w:val="00AD14A1"/>
    <w:rsid w:val="00AD5CDA"/>
    <w:rsid w:val="00AD7302"/>
    <w:rsid w:val="00AF1E9E"/>
    <w:rsid w:val="00AF6197"/>
    <w:rsid w:val="00B04902"/>
    <w:rsid w:val="00B05E34"/>
    <w:rsid w:val="00B11A08"/>
    <w:rsid w:val="00B13254"/>
    <w:rsid w:val="00B140D9"/>
    <w:rsid w:val="00B20C07"/>
    <w:rsid w:val="00B228C0"/>
    <w:rsid w:val="00B2353A"/>
    <w:rsid w:val="00B267F4"/>
    <w:rsid w:val="00B27CB1"/>
    <w:rsid w:val="00B350B1"/>
    <w:rsid w:val="00B401D6"/>
    <w:rsid w:val="00B407AE"/>
    <w:rsid w:val="00B4155B"/>
    <w:rsid w:val="00B4524F"/>
    <w:rsid w:val="00B51B2F"/>
    <w:rsid w:val="00B5776D"/>
    <w:rsid w:val="00B708FC"/>
    <w:rsid w:val="00B73A53"/>
    <w:rsid w:val="00B76179"/>
    <w:rsid w:val="00B76D7E"/>
    <w:rsid w:val="00B770A6"/>
    <w:rsid w:val="00B77FB6"/>
    <w:rsid w:val="00B877A7"/>
    <w:rsid w:val="00BA1C26"/>
    <w:rsid w:val="00BA3612"/>
    <w:rsid w:val="00BB74A1"/>
    <w:rsid w:val="00BC3432"/>
    <w:rsid w:val="00BD0A18"/>
    <w:rsid w:val="00BD46DD"/>
    <w:rsid w:val="00BD784E"/>
    <w:rsid w:val="00BE07C8"/>
    <w:rsid w:val="00BE2E23"/>
    <w:rsid w:val="00BE5617"/>
    <w:rsid w:val="00BE566D"/>
    <w:rsid w:val="00BF53B0"/>
    <w:rsid w:val="00BF7435"/>
    <w:rsid w:val="00BF787D"/>
    <w:rsid w:val="00C01519"/>
    <w:rsid w:val="00C07A11"/>
    <w:rsid w:val="00C10D84"/>
    <w:rsid w:val="00C11611"/>
    <w:rsid w:val="00C1715B"/>
    <w:rsid w:val="00C17430"/>
    <w:rsid w:val="00C20FD2"/>
    <w:rsid w:val="00C21FB9"/>
    <w:rsid w:val="00C2307A"/>
    <w:rsid w:val="00C231F3"/>
    <w:rsid w:val="00C252AA"/>
    <w:rsid w:val="00C34B47"/>
    <w:rsid w:val="00C35C29"/>
    <w:rsid w:val="00C361A1"/>
    <w:rsid w:val="00C36817"/>
    <w:rsid w:val="00C41F0E"/>
    <w:rsid w:val="00C4200F"/>
    <w:rsid w:val="00C44EAD"/>
    <w:rsid w:val="00C50E76"/>
    <w:rsid w:val="00C5195F"/>
    <w:rsid w:val="00C54748"/>
    <w:rsid w:val="00C56F44"/>
    <w:rsid w:val="00C60B36"/>
    <w:rsid w:val="00C6420F"/>
    <w:rsid w:val="00C65603"/>
    <w:rsid w:val="00C67FAC"/>
    <w:rsid w:val="00C70432"/>
    <w:rsid w:val="00C71435"/>
    <w:rsid w:val="00C8224F"/>
    <w:rsid w:val="00C867FF"/>
    <w:rsid w:val="00C90EB9"/>
    <w:rsid w:val="00C94CA6"/>
    <w:rsid w:val="00C96C86"/>
    <w:rsid w:val="00CA18FD"/>
    <w:rsid w:val="00CA5EFB"/>
    <w:rsid w:val="00CB0A1B"/>
    <w:rsid w:val="00CB2891"/>
    <w:rsid w:val="00CB39F0"/>
    <w:rsid w:val="00CB4543"/>
    <w:rsid w:val="00CC053D"/>
    <w:rsid w:val="00CC1C84"/>
    <w:rsid w:val="00CC1DD2"/>
    <w:rsid w:val="00CC688E"/>
    <w:rsid w:val="00CD3521"/>
    <w:rsid w:val="00CE2339"/>
    <w:rsid w:val="00CF4E83"/>
    <w:rsid w:val="00CF7C8A"/>
    <w:rsid w:val="00D010F0"/>
    <w:rsid w:val="00D05808"/>
    <w:rsid w:val="00D0743B"/>
    <w:rsid w:val="00D10770"/>
    <w:rsid w:val="00D13200"/>
    <w:rsid w:val="00D305EA"/>
    <w:rsid w:val="00D30903"/>
    <w:rsid w:val="00D31C52"/>
    <w:rsid w:val="00D33D70"/>
    <w:rsid w:val="00D37852"/>
    <w:rsid w:val="00D40488"/>
    <w:rsid w:val="00D478B2"/>
    <w:rsid w:val="00D54D07"/>
    <w:rsid w:val="00D65BFC"/>
    <w:rsid w:val="00D708F9"/>
    <w:rsid w:val="00D71EAC"/>
    <w:rsid w:val="00D76035"/>
    <w:rsid w:val="00D778A4"/>
    <w:rsid w:val="00D914CD"/>
    <w:rsid w:val="00D96CA6"/>
    <w:rsid w:val="00D975CA"/>
    <w:rsid w:val="00DA04A0"/>
    <w:rsid w:val="00DA3927"/>
    <w:rsid w:val="00DB17A9"/>
    <w:rsid w:val="00DB3582"/>
    <w:rsid w:val="00DC0BC5"/>
    <w:rsid w:val="00DC4627"/>
    <w:rsid w:val="00DC611A"/>
    <w:rsid w:val="00DD610C"/>
    <w:rsid w:val="00DE23B6"/>
    <w:rsid w:val="00DE3753"/>
    <w:rsid w:val="00DE383C"/>
    <w:rsid w:val="00DF0CBB"/>
    <w:rsid w:val="00DF0FA3"/>
    <w:rsid w:val="00DF133E"/>
    <w:rsid w:val="00E05F9C"/>
    <w:rsid w:val="00E06BBF"/>
    <w:rsid w:val="00E071E4"/>
    <w:rsid w:val="00E07CAE"/>
    <w:rsid w:val="00E1351B"/>
    <w:rsid w:val="00E2075A"/>
    <w:rsid w:val="00E2377C"/>
    <w:rsid w:val="00E30BCF"/>
    <w:rsid w:val="00E31F0C"/>
    <w:rsid w:val="00E32655"/>
    <w:rsid w:val="00E34922"/>
    <w:rsid w:val="00E35331"/>
    <w:rsid w:val="00E549CD"/>
    <w:rsid w:val="00E64EA4"/>
    <w:rsid w:val="00E666D8"/>
    <w:rsid w:val="00E66D01"/>
    <w:rsid w:val="00E67EC5"/>
    <w:rsid w:val="00E67F22"/>
    <w:rsid w:val="00E71F7B"/>
    <w:rsid w:val="00E72117"/>
    <w:rsid w:val="00E81ED8"/>
    <w:rsid w:val="00E94C08"/>
    <w:rsid w:val="00EB03CF"/>
    <w:rsid w:val="00EB14F2"/>
    <w:rsid w:val="00EB74C2"/>
    <w:rsid w:val="00EC6FD0"/>
    <w:rsid w:val="00ED19F4"/>
    <w:rsid w:val="00ED34D2"/>
    <w:rsid w:val="00EE16B0"/>
    <w:rsid w:val="00EE5505"/>
    <w:rsid w:val="00EE73C3"/>
    <w:rsid w:val="00EE7701"/>
    <w:rsid w:val="00EF278C"/>
    <w:rsid w:val="00EF2B38"/>
    <w:rsid w:val="00F0197A"/>
    <w:rsid w:val="00F12BD4"/>
    <w:rsid w:val="00F14D21"/>
    <w:rsid w:val="00F1725F"/>
    <w:rsid w:val="00F24092"/>
    <w:rsid w:val="00F2441F"/>
    <w:rsid w:val="00F2771E"/>
    <w:rsid w:val="00F30A99"/>
    <w:rsid w:val="00F354AF"/>
    <w:rsid w:val="00F37D3D"/>
    <w:rsid w:val="00F40849"/>
    <w:rsid w:val="00F415C7"/>
    <w:rsid w:val="00F42612"/>
    <w:rsid w:val="00F43083"/>
    <w:rsid w:val="00F445C5"/>
    <w:rsid w:val="00F47AFF"/>
    <w:rsid w:val="00F61AAD"/>
    <w:rsid w:val="00F7199B"/>
    <w:rsid w:val="00F77356"/>
    <w:rsid w:val="00F866F2"/>
    <w:rsid w:val="00F87D00"/>
    <w:rsid w:val="00F90A73"/>
    <w:rsid w:val="00F912AA"/>
    <w:rsid w:val="00F94C04"/>
    <w:rsid w:val="00F96DE1"/>
    <w:rsid w:val="00F97D90"/>
    <w:rsid w:val="00FA15B1"/>
    <w:rsid w:val="00FB4EAE"/>
    <w:rsid w:val="00FB4EC0"/>
    <w:rsid w:val="00FC2DD6"/>
    <w:rsid w:val="00FC372E"/>
    <w:rsid w:val="00FC58B7"/>
    <w:rsid w:val="00FC5F62"/>
    <w:rsid w:val="00FC6BF8"/>
    <w:rsid w:val="00FD5AC4"/>
    <w:rsid w:val="00FD6D80"/>
    <w:rsid w:val="00FF2AED"/>
    <w:rsid w:val="00FF69B0"/>
    <w:rsid w:val="00FF732C"/>
    <w:rsid w:val="011F2849"/>
    <w:rsid w:val="01954C17"/>
    <w:rsid w:val="02071A61"/>
    <w:rsid w:val="03213D15"/>
    <w:rsid w:val="067232AD"/>
    <w:rsid w:val="07091731"/>
    <w:rsid w:val="080A1C50"/>
    <w:rsid w:val="09761E6B"/>
    <w:rsid w:val="098D6887"/>
    <w:rsid w:val="0ACA47CB"/>
    <w:rsid w:val="0AE53B72"/>
    <w:rsid w:val="0E9005BC"/>
    <w:rsid w:val="108E080B"/>
    <w:rsid w:val="12C50511"/>
    <w:rsid w:val="1350661A"/>
    <w:rsid w:val="1384188E"/>
    <w:rsid w:val="15C77CBF"/>
    <w:rsid w:val="16337649"/>
    <w:rsid w:val="172D4753"/>
    <w:rsid w:val="180B0DB3"/>
    <w:rsid w:val="1AD75285"/>
    <w:rsid w:val="1BC2233E"/>
    <w:rsid w:val="1C8515B2"/>
    <w:rsid w:val="1D3D735D"/>
    <w:rsid w:val="1D7F712C"/>
    <w:rsid w:val="1DCEA743"/>
    <w:rsid w:val="1DFF14FE"/>
    <w:rsid w:val="1F6F7C07"/>
    <w:rsid w:val="1FDFB672"/>
    <w:rsid w:val="1FEFE4C4"/>
    <w:rsid w:val="208A73D2"/>
    <w:rsid w:val="21110ABB"/>
    <w:rsid w:val="219C7685"/>
    <w:rsid w:val="228D6B72"/>
    <w:rsid w:val="22966C2C"/>
    <w:rsid w:val="22DC622D"/>
    <w:rsid w:val="24C820E3"/>
    <w:rsid w:val="264F7EEE"/>
    <w:rsid w:val="2C414C55"/>
    <w:rsid w:val="2FA16423"/>
    <w:rsid w:val="303FFF8F"/>
    <w:rsid w:val="327DA64F"/>
    <w:rsid w:val="33FD6EBB"/>
    <w:rsid w:val="33FFFDA0"/>
    <w:rsid w:val="36DC3A3C"/>
    <w:rsid w:val="37C23026"/>
    <w:rsid w:val="3AE25855"/>
    <w:rsid w:val="3AFF2238"/>
    <w:rsid w:val="3B3FDFD3"/>
    <w:rsid w:val="3B573590"/>
    <w:rsid w:val="3C7B228F"/>
    <w:rsid w:val="3CF655E7"/>
    <w:rsid w:val="3DBFD3CE"/>
    <w:rsid w:val="3DCB6D1E"/>
    <w:rsid w:val="3EF12D8C"/>
    <w:rsid w:val="3F5860E5"/>
    <w:rsid w:val="3F8FA655"/>
    <w:rsid w:val="3FA3414D"/>
    <w:rsid w:val="3FBB648B"/>
    <w:rsid w:val="3FBFEAE0"/>
    <w:rsid w:val="3FFA9025"/>
    <w:rsid w:val="3FFAEA49"/>
    <w:rsid w:val="3FFF11AC"/>
    <w:rsid w:val="403D7228"/>
    <w:rsid w:val="40550827"/>
    <w:rsid w:val="407E7D03"/>
    <w:rsid w:val="409C4184"/>
    <w:rsid w:val="41432F6C"/>
    <w:rsid w:val="421A51D7"/>
    <w:rsid w:val="435C0FB6"/>
    <w:rsid w:val="47277A42"/>
    <w:rsid w:val="475D4FFC"/>
    <w:rsid w:val="4A34714B"/>
    <w:rsid w:val="4BE74C44"/>
    <w:rsid w:val="4E0D1FF9"/>
    <w:rsid w:val="4E2811C2"/>
    <w:rsid w:val="4F2DCA4E"/>
    <w:rsid w:val="50212524"/>
    <w:rsid w:val="51CB228A"/>
    <w:rsid w:val="51F94FAE"/>
    <w:rsid w:val="53B23C17"/>
    <w:rsid w:val="53B536AF"/>
    <w:rsid w:val="53CD46E8"/>
    <w:rsid w:val="542D30AA"/>
    <w:rsid w:val="565518B4"/>
    <w:rsid w:val="56F21AC0"/>
    <w:rsid w:val="57A8352A"/>
    <w:rsid w:val="57DFF6F7"/>
    <w:rsid w:val="57F520F2"/>
    <w:rsid w:val="57FF4FEC"/>
    <w:rsid w:val="5B237E93"/>
    <w:rsid w:val="5BBFB468"/>
    <w:rsid w:val="5C4E4539"/>
    <w:rsid w:val="5D0209A0"/>
    <w:rsid w:val="5D7CB2BB"/>
    <w:rsid w:val="5E1F5243"/>
    <w:rsid w:val="5E8BAC88"/>
    <w:rsid w:val="5EDD481A"/>
    <w:rsid w:val="5FC8E5C5"/>
    <w:rsid w:val="5FF76AD0"/>
    <w:rsid w:val="5FFB25E7"/>
    <w:rsid w:val="5FFBC91A"/>
    <w:rsid w:val="608C7E6E"/>
    <w:rsid w:val="62540537"/>
    <w:rsid w:val="634B40B8"/>
    <w:rsid w:val="638608DC"/>
    <w:rsid w:val="63C066F0"/>
    <w:rsid w:val="6491278C"/>
    <w:rsid w:val="64956E8C"/>
    <w:rsid w:val="66207A57"/>
    <w:rsid w:val="66F986F6"/>
    <w:rsid w:val="674F1629"/>
    <w:rsid w:val="67A42CF4"/>
    <w:rsid w:val="67DB2C01"/>
    <w:rsid w:val="6B4A697B"/>
    <w:rsid w:val="6BDB8149"/>
    <w:rsid w:val="6C464926"/>
    <w:rsid w:val="6D190D20"/>
    <w:rsid w:val="6D1D7B03"/>
    <w:rsid w:val="6E16247C"/>
    <w:rsid w:val="6E73C6F9"/>
    <w:rsid w:val="6E9E98E8"/>
    <w:rsid w:val="6EC51850"/>
    <w:rsid w:val="6EFF3F80"/>
    <w:rsid w:val="6FBF6F41"/>
    <w:rsid w:val="6FBFC4AC"/>
    <w:rsid w:val="6FDA4A4F"/>
    <w:rsid w:val="6FE98604"/>
    <w:rsid w:val="6FFAE8FD"/>
    <w:rsid w:val="7021114F"/>
    <w:rsid w:val="72661BD9"/>
    <w:rsid w:val="72B742DE"/>
    <w:rsid w:val="7313040B"/>
    <w:rsid w:val="736153DB"/>
    <w:rsid w:val="736E0EC0"/>
    <w:rsid w:val="73CE2527"/>
    <w:rsid w:val="73FE3435"/>
    <w:rsid w:val="747FBF6D"/>
    <w:rsid w:val="74DDD309"/>
    <w:rsid w:val="75556648"/>
    <w:rsid w:val="75C56172"/>
    <w:rsid w:val="75F7D72C"/>
    <w:rsid w:val="767FA0DE"/>
    <w:rsid w:val="76C84476"/>
    <w:rsid w:val="76DDD02E"/>
    <w:rsid w:val="773F3CF0"/>
    <w:rsid w:val="77650093"/>
    <w:rsid w:val="776BF2AC"/>
    <w:rsid w:val="777FAE12"/>
    <w:rsid w:val="77880290"/>
    <w:rsid w:val="77E50E47"/>
    <w:rsid w:val="77EBC30E"/>
    <w:rsid w:val="77EE82CC"/>
    <w:rsid w:val="77F74CD0"/>
    <w:rsid w:val="77F7B374"/>
    <w:rsid w:val="77FF2EC0"/>
    <w:rsid w:val="77FF55AF"/>
    <w:rsid w:val="799E35F6"/>
    <w:rsid w:val="79E28CD1"/>
    <w:rsid w:val="79FECD76"/>
    <w:rsid w:val="7AF59BF3"/>
    <w:rsid w:val="7B5E4D53"/>
    <w:rsid w:val="7BB764F9"/>
    <w:rsid w:val="7BB87930"/>
    <w:rsid w:val="7BD390AA"/>
    <w:rsid w:val="7BF6750B"/>
    <w:rsid w:val="7BFBA9B6"/>
    <w:rsid w:val="7BFD0AFB"/>
    <w:rsid w:val="7D2D0566"/>
    <w:rsid w:val="7DE8C456"/>
    <w:rsid w:val="7DF77E32"/>
    <w:rsid w:val="7DFCDDE5"/>
    <w:rsid w:val="7DFD476E"/>
    <w:rsid w:val="7DFF65CD"/>
    <w:rsid w:val="7E5A2D9A"/>
    <w:rsid w:val="7E7A3FEA"/>
    <w:rsid w:val="7E829AA2"/>
    <w:rsid w:val="7E8DDDBC"/>
    <w:rsid w:val="7E8DE99E"/>
    <w:rsid w:val="7EAAF504"/>
    <w:rsid w:val="7EBEDD0F"/>
    <w:rsid w:val="7EDFB99E"/>
    <w:rsid w:val="7EFE67CB"/>
    <w:rsid w:val="7F6D27E0"/>
    <w:rsid w:val="7F77FF61"/>
    <w:rsid w:val="7F7FCF99"/>
    <w:rsid w:val="7F9FB68F"/>
    <w:rsid w:val="7FBD976F"/>
    <w:rsid w:val="7FBE8E47"/>
    <w:rsid w:val="7FBF59EE"/>
    <w:rsid w:val="7FBFA5CB"/>
    <w:rsid w:val="7FEF348B"/>
    <w:rsid w:val="7FF244AF"/>
    <w:rsid w:val="7FF62C8D"/>
    <w:rsid w:val="7FF75AA5"/>
    <w:rsid w:val="7FF77FB4"/>
    <w:rsid w:val="7FFC7A44"/>
    <w:rsid w:val="7FFF1B85"/>
    <w:rsid w:val="80FD6386"/>
    <w:rsid w:val="81DB4989"/>
    <w:rsid w:val="8DFDA2F1"/>
    <w:rsid w:val="8FB77197"/>
    <w:rsid w:val="96FBC422"/>
    <w:rsid w:val="97DAC893"/>
    <w:rsid w:val="9AE53269"/>
    <w:rsid w:val="9BF77672"/>
    <w:rsid w:val="9D4BF430"/>
    <w:rsid w:val="9DDF5D09"/>
    <w:rsid w:val="9E631E5A"/>
    <w:rsid w:val="9EDE0A9D"/>
    <w:rsid w:val="ADB677EB"/>
    <w:rsid w:val="AEF3E623"/>
    <w:rsid w:val="B34F5FDB"/>
    <w:rsid w:val="B5AE4135"/>
    <w:rsid w:val="B7BE9E71"/>
    <w:rsid w:val="B7FFAD67"/>
    <w:rsid w:val="BAFDBA75"/>
    <w:rsid w:val="BB7DBA65"/>
    <w:rsid w:val="BDFB34F5"/>
    <w:rsid w:val="BDFD0B3C"/>
    <w:rsid w:val="BF6FD4EC"/>
    <w:rsid w:val="BF9EB1DA"/>
    <w:rsid w:val="BFDF905D"/>
    <w:rsid w:val="BFEBDA45"/>
    <w:rsid w:val="BFED98B0"/>
    <w:rsid w:val="BFFE2EC2"/>
    <w:rsid w:val="C1FF12E7"/>
    <w:rsid w:val="C36F4C34"/>
    <w:rsid w:val="C7FB9BDF"/>
    <w:rsid w:val="CF6D0196"/>
    <w:rsid w:val="CFECC6CF"/>
    <w:rsid w:val="D2B94070"/>
    <w:rsid w:val="D54F2F6F"/>
    <w:rsid w:val="DABF7773"/>
    <w:rsid w:val="DD5D9BB0"/>
    <w:rsid w:val="DD7B3ECD"/>
    <w:rsid w:val="DDF54233"/>
    <w:rsid w:val="DDF9FF74"/>
    <w:rsid w:val="DEF9D204"/>
    <w:rsid w:val="DFE610A5"/>
    <w:rsid w:val="DFFF346D"/>
    <w:rsid w:val="E1BB90A4"/>
    <w:rsid w:val="E5EB3809"/>
    <w:rsid w:val="E645B002"/>
    <w:rsid w:val="E7AFECCC"/>
    <w:rsid w:val="E7FFCA8B"/>
    <w:rsid w:val="E9B7BFF0"/>
    <w:rsid w:val="E9F73CA2"/>
    <w:rsid w:val="EBE89641"/>
    <w:rsid w:val="ECBF12AA"/>
    <w:rsid w:val="ECFB21F8"/>
    <w:rsid w:val="EDFB290E"/>
    <w:rsid w:val="EEECB2E6"/>
    <w:rsid w:val="EFDFA9C2"/>
    <w:rsid w:val="EFF79F65"/>
    <w:rsid w:val="EFFBB218"/>
    <w:rsid w:val="EFFBBA5E"/>
    <w:rsid w:val="EFFEDDF3"/>
    <w:rsid w:val="F32F8A5F"/>
    <w:rsid w:val="F33F58DD"/>
    <w:rsid w:val="F3DFD423"/>
    <w:rsid w:val="F3EDE770"/>
    <w:rsid w:val="F4E6FE29"/>
    <w:rsid w:val="F5BF0FAF"/>
    <w:rsid w:val="F5EFE2A4"/>
    <w:rsid w:val="F6FE938D"/>
    <w:rsid w:val="F7ED2DC3"/>
    <w:rsid w:val="F7FFF042"/>
    <w:rsid w:val="F8D6B223"/>
    <w:rsid w:val="F97E4840"/>
    <w:rsid w:val="F97E5002"/>
    <w:rsid w:val="F9ED68EC"/>
    <w:rsid w:val="FADF2492"/>
    <w:rsid w:val="FBFB0644"/>
    <w:rsid w:val="FBFF2E4E"/>
    <w:rsid w:val="FC7FB79B"/>
    <w:rsid w:val="FD436DF2"/>
    <w:rsid w:val="FDBB3569"/>
    <w:rsid w:val="FDBB9144"/>
    <w:rsid w:val="FDBD154B"/>
    <w:rsid w:val="FDCF248F"/>
    <w:rsid w:val="FDEFA75D"/>
    <w:rsid w:val="FDF793E6"/>
    <w:rsid w:val="FDF7B415"/>
    <w:rsid w:val="FDFFA6EB"/>
    <w:rsid w:val="FEB5DABC"/>
    <w:rsid w:val="FEF4F7A7"/>
    <w:rsid w:val="FEFC6D4E"/>
    <w:rsid w:val="FEFEC781"/>
    <w:rsid w:val="FF0B5495"/>
    <w:rsid w:val="FF724F85"/>
    <w:rsid w:val="FF7FB42E"/>
    <w:rsid w:val="FF970A3E"/>
    <w:rsid w:val="FFB2BCB1"/>
    <w:rsid w:val="FFD19C58"/>
    <w:rsid w:val="FFD2C5A5"/>
    <w:rsid w:val="FFE754AA"/>
    <w:rsid w:val="FFE7AEB2"/>
    <w:rsid w:val="FFF1EB84"/>
    <w:rsid w:val="FFFD7A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qFormat="1"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0" w:semiHidden="0" w:name="Title"/>
    <w:lsdException w:qFormat="1"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uiPriority="99" w:name="Message Header"/>
    <w:lsdException w:qFormat="1" w:unhideWhenUsed="0" w:uiPriority="11" w:semiHidden="0" w:name="Subtitle"/>
    <w:lsdException w:qFormat="1"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qFormat="1" w:uiPriority="99" w:name="E-mail Signature"/>
    <w:lsdException w:qFormat="1" w:uiPriority="99"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iPriority="99"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iPriority="99" w:name="Quote"/>
    <w:lsdException w:qFormat="1" w:uiPriority="99"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黑体" w:cs="Calibri"/>
      <w:sz w:val="22"/>
      <w:lang w:val="en-US" w:eastAsia="zh-CN" w:bidi="ar-SA"/>
    </w:rPr>
  </w:style>
  <w:style w:type="paragraph" w:styleId="3">
    <w:name w:val="heading 1"/>
    <w:basedOn w:val="4"/>
    <w:next w:val="1"/>
    <w:qFormat/>
    <w:uiPriority w:val="9"/>
    <w:pPr>
      <w:spacing w:before="62"/>
      <w:ind w:left="661"/>
      <w:outlineLvl w:val="0"/>
    </w:pPr>
    <w:rPr>
      <w:b/>
    </w:rPr>
  </w:style>
  <w:style w:type="paragraph" w:styleId="5">
    <w:name w:val="heading 2"/>
    <w:basedOn w:val="1"/>
    <w:next w:val="1"/>
    <w:unhideWhenUsed/>
    <w:qFormat/>
    <w:uiPriority w:val="9"/>
    <w:pPr>
      <w:spacing w:line="238" w:lineRule="exact"/>
      <w:ind w:left="20"/>
      <w:outlineLvl w:val="1"/>
    </w:pPr>
    <w:rPr>
      <w:b/>
      <w:sz w:val="21"/>
    </w:rPr>
  </w:style>
  <w:style w:type="paragraph" w:styleId="6">
    <w:name w:val="heading 3"/>
    <w:basedOn w:val="1"/>
    <w:next w:val="1"/>
    <w:unhideWhenUsed/>
    <w:qFormat/>
    <w:uiPriority w:val="9"/>
    <w:pPr>
      <w:ind w:left="1362" w:hanging="351"/>
      <w:outlineLvl w:val="2"/>
    </w:pPr>
    <w:rPr>
      <w:b/>
      <w:i/>
      <w:sz w:val="21"/>
    </w:rPr>
  </w:style>
  <w:style w:type="paragraph" w:styleId="7">
    <w:name w:val="heading 4"/>
    <w:basedOn w:val="1"/>
    <w:next w:val="1"/>
    <w:link w:val="15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8">
    <w:name w:val="heading 5"/>
    <w:basedOn w:val="1"/>
    <w:next w:val="1"/>
    <w:link w:val="166"/>
    <w:semiHidden/>
    <w:unhideWhenUsed/>
    <w:qFormat/>
    <w:uiPriority w:val="9"/>
    <w:pPr>
      <w:keepNext/>
      <w:keepLines/>
      <w:spacing w:before="280" w:after="290" w:line="376" w:lineRule="auto"/>
      <w:outlineLvl w:val="4"/>
    </w:pPr>
    <w:rPr>
      <w:b/>
      <w:bCs/>
      <w:sz w:val="28"/>
      <w:szCs w:val="28"/>
    </w:rPr>
  </w:style>
  <w:style w:type="paragraph" w:styleId="9">
    <w:name w:val="heading 6"/>
    <w:basedOn w:val="1"/>
    <w:next w:val="1"/>
    <w:link w:val="167"/>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10">
    <w:name w:val="heading 7"/>
    <w:basedOn w:val="1"/>
    <w:next w:val="1"/>
    <w:link w:val="168"/>
    <w:semiHidden/>
    <w:unhideWhenUsed/>
    <w:qFormat/>
    <w:uiPriority w:val="9"/>
    <w:pPr>
      <w:keepNext/>
      <w:keepLines/>
      <w:spacing w:before="240" w:after="64" w:line="320" w:lineRule="auto"/>
      <w:outlineLvl w:val="6"/>
    </w:pPr>
    <w:rPr>
      <w:b/>
      <w:bCs/>
      <w:sz w:val="24"/>
      <w:szCs w:val="24"/>
    </w:rPr>
  </w:style>
  <w:style w:type="paragraph" w:styleId="11">
    <w:name w:val="heading 8"/>
    <w:basedOn w:val="1"/>
    <w:next w:val="1"/>
    <w:link w:val="169"/>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2">
    <w:name w:val="heading 9"/>
    <w:basedOn w:val="1"/>
    <w:next w:val="1"/>
    <w:link w:val="170"/>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91">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175"/>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sz w:val="24"/>
      <w:szCs w:val="24"/>
      <w:lang w:val="en-US" w:eastAsia="zh-CN" w:bidi="ar-SA"/>
    </w:rPr>
  </w:style>
  <w:style w:type="paragraph" w:styleId="4">
    <w:name w:val="Body Text"/>
    <w:basedOn w:val="1"/>
    <w:link w:val="118"/>
    <w:qFormat/>
    <w:uiPriority w:val="1"/>
    <w:rPr>
      <w:i/>
      <w:sz w:val="21"/>
    </w:rPr>
  </w:style>
  <w:style w:type="paragraph" w:styleId="13">
    <w:name w:val="List 3"/>
    <w:basedOn w:val="1"/>
    <w:semiHidden/>
    <w:unhideWhenUsed/>
    <w:qFormat/>
    <w:uiPriority w:val="99"/>
    <w:pPr>
      <w:ind w:left="100" w:leftChars="400" w:hanging="200" w:hangingChars="200"/>
      <w:contextualSpacing/>
    </w:pPr>
  </w:style>
  <w:style w:type="paragraph" w:styleId="14">
    <w:name w:val="toc 7"/>
    <w:basedOn w:val="1"/>
    <w:next w:val="1"/>
    <w:unhideWhenUsed/>
    <w:qFormat/>
    <w:uiPriority w:val="39"/>
    <w:pPr>
      <w:autoSpaceDE/>
      <w:autoSpaceDN/>
      <w:ind w:left="2520" w:leftChars="1200"/>
      <w:jc w:val="both"/>
    </w:pPr>
    <w:rPr>
      <w:rFonts w:asciiTheme="minorHAnsi" w:hAnsiTheme="minorHAnsi" w:eastAsiaTheme="minorEastAsia" w:cstheme="minorBidi"/>
      <w:kern w:val="2"/>
      <w:sz w:val="21"/>
      <w:szCs w:val="22"/>
      <w14:ligatures w14:val="standardContextual"/>
    </w:rPr>
  </w:style>
  <w:style w:type="paragraph" w:styleId="15">
    <w:name w:val="List Number 2"/>
    <w:basedOn w:val="1"/>
    <w:semiHidden/>
    <w:unhideWhenUsed/>
    <w:qFormat/>
    <w:uiPriority w:val="99"/>
    <w:pPr>
      <w:numPr>
        <w:ilvl w:val="0"/>
        <w:numId w:val="1"/>
      </w:numPr>
      <w:contextualSpacing/>
    </w:pPr>
  </w:style>
  <w:style w:type="paragraph" w:styleId="16">
    <w:name w:val="table of authorities"/>
    <w:basedOn w:val="1"/>
    <w:next w:val="1"/>
    <w:semiHidden/>
    <w:unhideWhenUsed/>
    <w:uiPriority w:val="99"/>
    <w:pPr>
      <w:ind w:left="420" w:leftChars="200"/>
    </w:pPr>
  </w:style>
  <w:style w:type="paragraph" w:styleId="17">
    <w:name w:val="Note Heading"/>
    <w:basedOn w:val="1"/>
    <w:next w:val="1"/>
    <w:link w:val="196"/>
    <w:semiHidden/>
    <w:unhideWhenUsed/>
    <w:uiPriority w:val="99"/>
    <w:pPr>
      <w:jc w:val="center"/>
    </w:pPr>
  </w:style>
  <w:style w:type="paragraph" w:styleId="18">
    <w:name w:val="List Bullet 4"/>
    <w:basedOn w:val="1"/>
    <w:semiHidden/>
    <w:unhideWhenUsed/>
    <w:qFormat/>
    <w:uiPriority w:val="99"/>
    <w:pPr>
      <w:numPr>
        <w:ilvl w:val="0"/>
        <w:numId w:val="2"/>
      </w:numPr>
      <w:contextualSpacing/>
    </w:pPr>
  </w:style>
  <w:style w:type="paragraph" w:styleId="19">
    <w:name w:val="index 8"/>
    <w:basedOn w:val="1"/>
    <w:next w:val="1"/>
    <w:semiHidden/>
    <w:unhideWhenUsed/>
    <w:uiPriority w:val="99"/>
    <w:pPr>
      <w:ind w:left="1400" w:leftChars="1400"/>
    </w:pPr>
  </w:style>
  <w:style w:type="paragraph" w:styleId="20">
    <w:name w:val="E-mail Signature"/>
    <w:basedOn w:val="1"/>
    <w:link w:val="173"/>
    <w:semiHidden/>
    <w:unhideWhenUsed/>
    <w:qFormat/>
    <w:uiPriority w:val="99"/>
  </w:style>
  <w:style w:type="paragraph" w:styleId="21">
    <w:name w:val="List Number"/>
    <w:basedOn w:val="1"/>
    <w:semiHidden/>
    <w:unhideWhenUsed/>
    <w:qFormat/>
    <w:uiPriority w:val="99"/>
    <w:pPr>
      <w:numPr>
        <w:ilvl w:val="0"/>
        <w:numId w:val="3"/>
      </w:numPr>
      <w:contextualSpacing/>
    </w:pPr>
  </w:style>
  <w:style w:type="paragraph" w:styleId="22">
    <w:name w:val="Normal Indent"/>
    <w:basedOn w:val="1"/>
    <w:semiHidden/>
    <w:unhideWhenUsed/>
    <w:uiPriority w:val="99"/>
    <w:pPr>
      <w:ind w:firstLine="420" w:firstLineChars="200"/>
    </w:pPr>
  </w:style>
  <w:style w:type="paragraph" w:styleId="23">
    <w:name w:val="caption"/>
    <w:basedOn w:val="1"/>
    <w:next w:val="1"/>
    <w:unhideWhenUsed/>
    <w:qFormat/>
    <w:uiPriority w:val="35"/>
    <w:rPr>
      <w:rFonts w:asciiTheme="majorHAnsi" w:hAnsiTheme="majorHAnsi" w:cstheme="majorBidi"/>
      <w:sz w:val="20"/>
    </w:rPr>
  </w:style>
  <w:style w:type="paragraph" w:styleId="24">
    <w:name w:val="index 5"/>
    <w:basedOn w:val="1"/>
    <w:next w:val="1"/>
    <w:semiHidden/>
    <w:unhideWhenUsed/>
    <w:uiPriority w:val="99"/>
    <w:pPr>
      <w:ind w:left="800" w:leftChars="800"/>
    </w:pPr>
  </w:style>
  <w:style w:type="paragraph" w:styleId="25">
    <w:name w:val="List Bullet"/>
    <w:basedOn w:val="1"/>
    <w:semiHidden/>
    <w:unhideWhenUsed/>
    <w:qFormat/>
    <w:uiPriority w:val="99"/>
    <w:pPr>
      <w:numPr>
        <w:ilvl w:val="0"/>
        <w:numId w:val="4"/>
      </w:numPr>
      <w:contextualSpacing/>
    </w:pPr>
  </w:style>
  <w:style w:type="paragraph" w:styleId="26">
    <w:name w:val="envelope address"/>
    <w:basedOn w:val="1"/>
    <w:semiHidden/>
    <w:unhideWhenUsed/>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szCs w:val="24"/>
    </w:rPr>
  </w:style>
  <w:style w:type="paragraph" w:styleId="27">
    <w:name w:val="Document Map"/>
    <w:basedOn w:val="1"/>
    <w:link w:val="184"/>
    <w:semiHidden/>
    <w:unhideWhenUsed/>
    <w:uiPriority w:val="99"/>
    <w:rPr>
      <w:rFonts w:ascii="Microsoft YaHei UI" w:eastAsia="Microsoft YaHei UI"/>
      <w:sz w:val="18"/>
      <w:szCs w:val="18"/>
    </w:rPr>
  </w:style>
  <w:style w:type="paragraph" w:styleId="28">
    <w:name w:val="toa heading"/>
    <w:basedOn w:val="1"/>
    <w:next w:val="1"/>
    <w:semiHidden/>
    <w:unhideWhenUsed/>
    <w:uiPriority w:val="99"/>
    <w:pPr>
      <w:spacing w:before="120"/>
    </w:pPr>
    <w:rPr>
      <w:rFonts w:asciiTheme="majorHAnsi" w:hAnsiTheme="majorHAnsi" w:eastAsiaTheme="majorEastAsia" w:cstheme="majorBidi"/>
      <w:sz w:val="24"/>
      <w:szCs w:val="24"/>
    </w:rPr>
  </w:style>
  <w:style w:type="paragraph" w:styleId="29">
    <w:name w:val="annotation text"/>
    <w:basedOn w:val="1"/>
    <w:link w:val="122"/>
    <w:unhideWhenUsed/>
    <w:qFormat/>
    <w:uiPriority w:val="99"/>
  </w:style>
  <w:style w:type="paragraph" w:styleId="30">
    <w:name w:val="index 6"/>
    <w:basedOn w:val="1"/>
    <w:next w:val="1"/>
    <w:semiHidden/>
    <w:unhideWhenUsed/>
    <w:uiPriority w:val="99"/>
    <w:pPr>
      <w:ind w:left="1000" w:leftChars="1000"/>
    </w:pPr>
  </w:style>
  <w:style w:type="paragraph" w:styleId="31">
    <w:name w:val="Salutation"/>
    <w:basedOn w:val="1"/>
    <w:next w:val="1"/>
    <w:link w:val="171"/>
    <w:semiHidden/>
    <w:unhideWhenUsed/>
    <w:qFormat/>
    <w:uiPriority w:val="99"/>
  </w:style>
  <w:style w:type="paragraph" w:styleId="32">
    <w:name w:val="Body Text 3"/>
    <w:basedOn w:val="1"/>
    <w:link w:val="190"/>
    <w:semiHidden/>
    <w:unhideWhenUsed/>
    <w:uiPriority w:val="99"/>
    <w:pPr>
      <w:spacing w:after="120"/>
    </w:pPr>
    <w:rPr>
      <w:sz w:val="16"/>
      <w:szCs w:val="16"/>
    </w:rPr>
  </w:style>
  <w:style w:type="paragraph" w:styleId="33">
    <w:name w:val="Closing"/>
    <w:basedOn w:val="1"/>
    <w:link w:val="177"/>
    <w:semiHidden/>
    <w:unhideWhenUsed/>
    <w:qFormat/>
    <w:uiPriority w:val="99"/>
    <w:pPr>
      <w:ind w:left="100" w:leftChars="2100"/>
    </w:pPr>
  </w:style>
  <w:style w:type="paragraph" w:styleId="34">
    <w:name w:val="List Bullet 3"/>
    <w:basedOn w:val="1"/>
    <w:semiHidden/>
    <w:unhideWhenUsed/>
    <w:qFormat/>
    <w:uiPriority w:val="99"/>
    <w:pPr>
      <w:numPr>
        <w:ilvl w:val="0"/>
        <w:numId w:val="5"/>
      </w:numPr>
      <w:contextualSpacing/>
    </w:pPr>
  </w:style>
  <w:style w:type="paragraph" w:styleId="35">
    <w:name w:val="Body Text Indent"/>
    <w:basedOn w:val="1"/>
    <w:link w:val="192"/>
    <w:semiHidden/>
    <w:unhideWhenUsed/>
    <w:uiPriority w:val="99"/>
    <w:pPr>
      <w:spacing w:after="120"/>
      <w:ind w:left="420" w:leftChars="20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100" w:leftChars="200" w:hanging="200" w:hangingChars="200"/>
      <w:contextualSpacing/>
    </w:pPr>
  </w:style>
  <w:style w:type="paragraph" w:styleId="38">
    <w:name w:val="List Continue"/>
    <w:basedOn w:val="1"/>
    <w:semiHidden/>
    <w:unhideWhenUsed/>
    <w:qFormat/>
    <w:uiPriority w:val="99"/>
    <w:pPr>
      <w:spacing w:after="120"/>
      <w:ind w:left="420" w:leftChars="200"/>
      <w:contextualSpacing/>
    </w:pPr>
  </w:style>
  <w:style w:type="paragraph" w:styleId="39">
    <w:name w:val="Block Text"/>
    <w:basedOn w:val="1"/>
    <w:semiHidden/>
    <w:unhideWhenUsed/>
    <w:uiPriority w:val="99"/>
    <w:pPr>
      <w:spacing w:after="120"/>
      <w:ind w:left="1440" w:leftChars="700" w:right="1440" w:rightChars="700"/>
    </w:p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163"/>
    <w:semiHidden/>
    <w:unhideWhenUsed/>
    <w:qFormat/>
    <w:uiPriority w:val="99"/>
    <w:rPr>
      <w:i/>
      <w:iCs/>
    </w:rPr>
  </w:style>
  <w:style w:type="paragraph" w:styleId="42">
    <w:name w:val="index 4"/>
    <w:basedOn w:val="1"/>
    <w:next w:val="1"/>
    <w:semiHidden/>
    <w:unhideWhenUsed/>
    <w:uiPriority w:val="99"/>
    <w:pPr>
      <w:ind w:left="600" w:leftChars="600"/>
    </w:pPr>
  </w:style>
  <w:style w:type="paragraph" w:styleId="43">
    <w:name w:val="toc 5"/>
    <w:basedOn w:val="1"/>
    <w:next w:val="1"/>
    <w:unhideWhenUsed/>
    <w:qFormat/>
    <w:uiPriority w:val="39"/>
    <w:pPr>
      <w:autoSpaceDE/>
      <w:autoSpaceDN/>
      <w:ind w:left="1680" w:leftChars="800"/>
      <w:jc w:val="both"/>
    </w:pPr>
    <w:rPr>
      <w:rFonts w:asciiTheme="minorHAnsi" w:hAnsiTheme="minorHAnsi" w:eastAsiaTheme="minorEastAsia" w:cstheme="minorBidi"/>
      <w:kern w:val="2"/>
      <w:sz w:val="21"/>
      <w:szCs w:val="22"/>
      <w14:ligatures w14:val="standardContextual"/>
    </w:rPr>
  </w:style>
  <w:style w:type="paragraph" w:styleId="44">
    <w:name w:val="toc 3"/>
    <w:basedOn w:val="1"/>
    <w:next w:val="1"/>
    <w:unhideWhenUsed/>
    <w:qFormat/>
    <w:uiPriority w:val="39"/>
    <w:pPr>
      <w:ind w:left="840" w:leftChars="400"/>
    </w:pPr>
  </w:style>
  <w:style w:type="paragraph" w:styleId="45">
    <w:name w:val="Plain Text"/>
    <w:basedOn w:val="1"/>
    <w:link w:val="172"/>
    <w:semiHidden/>
    <w:unhideWhenUsed/>
    <w:qFormat/>
    <w:uiPriority w:val="99"/>
    <w:rPr>
      <w:rFonts w:hAnsi="Courier New" w:cs="Courier New" w:asciiTheme="minorEastAsia" w:eastAsiaTheme="minorEastAsia"/>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unhideWhenUsed/>
    <w:qFormat/>
    <w:uiPriority w:val="39"/>
    <w:pPr>
      <w:autoSpaceDE/>
      <w:autoSpaceDN/>
      <w:ind w:left="2940" w:leftChars="1400"/>
      <w:jc w:val="both"/>
    </w:pPr>
    <w:rPr>
      <w:rFonts w:asciiTheme="minorHAnsi" w:hAnsiTheme="minorHAnsi" w:eastAsiaTheme="minorEastAsia" w:cstheme="minorBidi"/>
      <w:kern w:val="2"/>
      <w:sz w:val="21"/>
      <w:szCs w:val="22"/>
      <w14:ligatures w14:val="standardContextual"/>
    </w:rPr>
  </w:style>
  <w:style w:type="paragraph" w:styleId="49">
    <w:name w:val="index 3"/>
    <w:basedOn w:val="1"/>
    <w:next w:val="1"/>
    <w:semiHidden/>
    <w:unhideWhenUsed/>
    <w:uiPriority w:val="99"/>
    <w:pPr>
      <w:ind w:left="400" w:leftChars="400"/>
    </w:pPr>
  </w:style>
  <w:style w:type="paragraph" w:styleId="50">
    <w:name w:val="Date"/>
    <w:basedOn w:val="1"/>
    <w:next w:val="1"/>
    <w:link w:val="181"/>
    <w:semiHidden/>
    <w:unhideWhenUsed/>
    <w:uiPriority w:val="99"/>
    <w:pPr>
      <w:ind w:left="100" w:leftChars="2500"/>
    </w:pPr>
  </w:style>
  <w:style w:type="paragraph" w:styleId="51">
    <w:name w:val="Body Text Indent 2"/>
    <w:basedOn w:val="1"/>
    <w:link w:val="194"/>
    <w:semiHidden/>
    <w:unhideWhenUsed/>
    <w:uiPriority w:val="99"/>
    <w:pPr>
      <w:spacing w:after="120" w:line="480" w:lineRule="auto"/>
      <w:ind w:left="420" w:leftChars="200"/>
    </w:pPr>
  </w:style>
  <w:style w:type="paragraph" w:styleId="52">
    <w:name w:val="endnote text"/>
    <w:basedOn w:val="1"/>
    <w:link w:val="183"/>
    <w:semiHidden/>
    <w:unhideWhenUsed/>
    <w:uiPriority w:val="99"/>
    <w:pPr>
      <w:snapToGrid w:val="0"/>
    </w:pPr>
  </w:style>
  <w:style w:type="paragraph" w:styleId="53">
    <w:name w:val="List Continue 5"/>
    <w:basedOn w:val="1"/>
    <w:semiHidden/>
    <w:unhideWhenUsed/>
    <w:qFormat/>
    <w:uiPriority w:val="99"/>
    <w:pPr>
      <w:spacing w:after="120"/>
      <w:ind w:left="2100" w:leftChars="1000"/>
      <w:contextualSpacing/>
    </w:pPr>
  </w:style>
  <w:style w:type="paragraph" w:styleId="54">
    <w:name w:val="Balloon Text"/>
    <w:basedOn w:val="1"/>
    <w:link w:val="153"/>
    <w:semiHidden/>
    <w:unhideWhenUsed/>
    <w:qFormat/>
    <w:uiPriority w:val="99"/>
    <w:rPr>
      <w:sz w:val="18"/>
      <w:szCs w:val="18"/>
    </w:rPr>
  </w:style>
  <w:style w:type="paragraph" w:styleId="55">
    <w:name w:val="footer"/>
    <w:basedOn w:val="1"/>
    <w:link w:val="112"/>
    <w:unhideWhenUsed/>
    <w:qFormat/>
    <w:uiPriority w:val="99"/>
    <w:pPr>
      <w:tabs>
        <w:tab w:val="center" w:pos="4153"/>
        <w:tab w:val="right" w:pos="8306"/>
      </w:tabs>
      <w:snapToGrid w:val="0"/>
    </w:pPr>
    <w:rPr>
      <w:sz w:val="18"/>
      <w:szCs w:val="18"/>
    </w:rPr>
  </w:style>
  <w:style w:type="paragraph" w:styleId="56">
    <w:name w:val="envelope return"/>
    <w:basedOn w:val="1"/>
    <w:semiHidden/>
    <w:unhideWhenUsed/>
    <w:qFormat/>
    <w:uiPriority w:val="99"/>
    <w:pPr>
      <w:snapToGrid w:val="0"/>
    </w:pPr>
    <w:rPr>
      <w:rFonts w:asciiTheme="majorHAnsi" w:hAnsiTheme="majorHAnsi" w:eastAsiaTheme="majorEastAsia" w:cstheme="majorBidi"/>
    </w:rPr>
  </w:style>
  <w:style w:type="paragraph" w:styleId="57">
    <w:name w:val="header"/>
    <w:basedOn w:val="1"/>
    <w:link w:val="111"/>
    <w:unhideWhenUsed/>
    <w:qFormat/>
    <w:uiPriority w:val="99"/>
    <w:pPr>
      <w:tabs>
        <w:tab w:val="center" w:pos="4153"/>
        <w:tab w:val="right" w:pos="8306"/>
      </w:tabs>
      <w:snapToGrid w:val="0"/>
      <w:jc w:val="center"/>
    </w:pPr>
    <w:rPr>
      <w:sz w:val="18"/>
      <w:szCs w:val="18"/>
    </w:rPr>
  </w:style>
  <w:style w:type="paragraph" w:styleId="58">
    <w:name w:val="Signature"/>
    <w:basedOn w:val="1"/>
    <w:link w:val="180"/>
    <w:semiHidden/>
    <w:unhideWhenUsed/>
    <w:uiPriority w:val="99"/>
    <w:pPr>
      <w:ind w:left="100" w:leftChars="2100"/>
    </w:pPr>
  </w:style>
  <w:style w:type="paragraph" w:styleId="59">
    <w:name w:val="toc 1"/>
    <w:basedOn w:val="60"/>
    <w:next w:val="60"/>
    <w:unhideWhenUsed/>
    <w:qFormat/>
    <w:uiPriority w:val="39"/>
  </w:style>
  <w:style w:type="paragraph" w:customStyle="1" w:styleId="60">
    <w:name w:val="自控正文"/>
    <w:basedOn w:val="1"/>
    <w:next w:val="1"/>
    <w:link w:val="113"/>
    <w:qFormat/>
    <w:uiPriority w:val="0"/>
    <w:pPr>
      <w:snapToGrid w:val="0"/>
      <w:spacing w:line="360" w:lineRule="auto"/>
      <w:ind w:firstLine="200" w:firstLineChars="200"/>
      <w:jc w:val="both"/>
    </w:pPr>
    <w:rPr>
      <w:rFonts w:ascii="Times New Roman" w:hAnsi="Times New Roman" w:eastAsia="宋体"/>
      <w:color w:val="000000" w:themeColor="text1"/>
      <w:sz w:val="21"/>
      <w14:textFill>
        <w14:solidFill>
          <w14:schemeClr w14:val="tx1"/>
        </w14:solidFill>
      </w14:textFill>
    </w:rPr>
  </w:style>
  <w:style w:type="paragraph" w:styleId="61">
    <w:name w:val="List Continue 4"/>
    <w:basedOn w:val="1"/>
    <w:semiHidden/>
    <w:unhideWhenUsed/>
    <w:qFormat/>
    <w:uiPriority w:val="99"/>
    <w:pPr>
      <w:spacing w:after="120"/>
      <w:ind w:left="1680" w:leftChars="800"/>
      <w:contextualSpacing/>
    </w:pPr>
  </w:style>
  <w:style w:type="paragraph" w:styleId="62">
    <w:name w:val="toc 4"/>
    <w:basedOn w:val="1"/>
    <w:next w:val="1"/>
    <w:unhideWhenUsed/>
    <w:qFormat/>
    <w:uiPriority w:val="39"/>
    <w:pPr>
      <w:autoSpaceDE/>
      <w:autoSpaceDN/>
      <w:ind w:left="1260" w:leftChars="600"/>
      <w:jc w:val="both"/>
    </w:pPr>
    <w:rPr>
      <w:rFonts w:asciiTheme="minorHAnsi" w:hAnsiTheme="minorHAnsi" w:eastAsiaTheme="minorEastAsia" w:cstheme="minorBidi"/>
      <w:kern w:val="2"/>
      <w:sz w:val="21"/>
      <w:szCs w:val="22"/>
      <w14:ligatures w14:val="standardContextual"/>
    </w:rPr>
  </w:style>
  <w:style w:type="paragraph" w:styleId="63">
    <w:name w:val="index heading"/>
    <w:basedOn w:val="1"/>
    <w:next w:val="64"/>
    <w:semiHidden/>
    <w:unhideWhenUsed/>
    <w:uiPriority w:val="99"/>
    <w:rPr>
      <w:rFonts w:asciiTheme="majorHAnsi" w:hAnsiTheme="majorHAnsi" w:eastAsiaTheme="majorEastAsia" w:cstheme="majorBidi"/>
      <w:b/>
      <w:bCs/>
    </w:rPr>
  </w:style>
  <w:style w:type="paragraph" w:styleId="64">
    <w:name w:val="index 1"/>
    <w:basedOn w:val="1"/>
    <w:next w:val="1"/>
    <w:semiHidden/>
    <w:unhideWhenUsed/>
    <w:uiPriority w:val="99"/>
  </w:style>
  <w:style w:type="paragraph" w:styleId="65">
    <w:name w:val="Subtitle"/>
    <w:basedOn w:val="1"/>
    <w:next w:val="1"/>
    <w:link w:val="1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66">
    <w:name w:val="List Number 5"/>
    <w:basedOn w:val="1"/>
    <w:semiHidden/>
    <w:unhideWhenUsed/>
    <w:qFormat/>
    <w:uiPriority w:val="99"/>
    <w:pPr>
      <w:numPr>
        <w:ilvl w:val="0"/>
        <w:numId w:val="10"/>
      </w:numPr>
      <w:contextualSpacing/>
    </w:pPr>
  </w:style>
  <w:style w:type="paragraph" w:styleId="67">
    <w:name w:val="List"/>
    <w:basedOn w:val="1"/>
    <w:semiHidden/>
    <w:unhideWhenUsed/>
    <w:qFormat/>
    <w:uiPriority w:val="99"/>
    <w:pPr>
      <w:ind w:left="200" w:hanging="200" w:hangingChars="200"/>
      <w:contextualSpacing/>
    </w:pPr>
  </w:style>
  <w:style w:type="paragraph" w:styleId="68">
    <w:name w:val="footnote text"/>
    <w:basedOn w:val="1"/>
    <w:link w:val="176"/>
    <w:semiHidden/>
    <w:unhideWhenUsed/>
    <w:qFormat/>
    <w:uiPriority w:val="99"/>
    <w:pPr>
      <w:snapToGrid w:val="0"/>
    </w:pPr>
    <w:rPr>
      <w:sz w:val="18"/>
      <w:szCs w:val="18"/>
    </w:rPr>
  </w:style>
  <w:style w:type="paragraph" w:styleId="69">
    <w:name w:val="toc 6"/>
    <w:basedOn w:val="1"/>
    <w:next w:val="1"/>
    <w:unhideWhenUsed/>
    <w:qFormat/>
    <w:uiPriority w:val="39"/>
    <w:pPr>
      <w:autoSpaceDE/>
      <w:autoSpaceDN/>
      <w:ind w:left="2100" w:leftChars="1000"/>
      <w:jc w:val="both"/>
    </w:pPr>
    <w:rPr>
      <w:rFonts w:asciiTheme="minorHAnsi" w:hAnsiTheme="minorHAnsi" w:eastAsiaTheme="minorEastAsia" w:cstheme="minorBidi"/>
      <w:kern w:val="2"/>
      <w:sz w:val="21"/>
      <w:szCs w:val="22"/>
      <w14:ligatures w14:val="standardContextual"/>
    </w:rPr>
  </w:style>
  <w:style w:type="paragraph" w:styleId="70">
    <w:name w:val="List 5"/>
    <w:basedOn w:val="1"/>
    <w:semiHidden/>
    <w:unhideWhenUsed/>
    <w:qFormat/>
    <w:uiPriority w:val="99"/>
    <w:pPr>
      <w:ind w:left="100" w:leftChars="800" w:hanging="200" w:hangingChars="200"/>
      <w:contextualSpacing/>
    </w:pPr>
  </w:style>
  <w:style w:type="paragraph" w:styleId="71">
    <w:name w:val="Body Text Indent 3"/>
    <w:basedOn w:val="1"/>
    <w:link w:val="195"/>
    <w:semiHidden/>
    <w:unhideWhenUsed/>
    <w:uiPriority w:val="99"/>
    <w:pPr>
      <w:spacing w:after="120"/>
      <w:ind w:left="420" w:leftChars="200"/>
    </w:pPr>
    <w:rPr>
      <w:sz w:val="16"/>
      <w:szCs w:val="16"/>
    </w:rPr>
  </w:style>
  <w:style w:type="paragraph" w:styleId="72">
    <w:name w:val="index 7"/>
    <w:basedOn w:val="1"/>
    <w:next w:val="1"/>
    <w:semiHidden/>
    <w:unhideWhenUsed/>
    <w:uiPriority w:val="99"/>
    <w:pPr>
      <w:ind w:left="1200" w:leftChars="1200"/>
    </w:pPr>
  </w:style>
  <w:style w:type="paragraph" w:styleId="73">
    <w:name w:val="index 9"/>
    <w:basedOn w:val="1"/>
    <w:next w:val="1"/>
    <w:semiHidden/>
    <w:unhideWhenUsed/>
    <w:uiPriority w:val="99"/>
    <w:pPr>
      <w:ind w:left="1600" w:leftChars="1600"/>
    </w:pPr>
  </w:style>
  <w:style w:type="paragraph" w:styleId="74">
    <w:name w:val="table of figures"/>
    <w:basedOn w:val="1"/>
    <w:next w:val="1"/>
    <w:semiHidden/>
    <w:unhideWhenUsed/>
    <w:uiPriority w:val="99"/>
    <w:pPr>
      <w:ind w:left="200" w:leftChars="200" w:hanging="200" w:hangingChars="200"/>
    </w:pPr>
  </w:style>
  <w:style w:type="paragraph" w:styleId="75">
    <w:name w:val="toc 2"/>
    <w:basedOn w:val="1"/>
    <w:next w:val="1"/>
    <w:link w:val="129"/>
    <w:unhideWhenUsed/>
    <w:qFormat/>
    <w:uiPriority w:val="39"/>
    <w:pPr>
      <w:ind w:left="420" w:leftChars="200"/>
    </w:pPr>
  </w:style>
  <w:style w:type="paragraph" w:styleId="76">
    <w:name w:val="toc 9"/>
    <w:basedOn w:val="1"/>
    <w:next w:val="1"/>
    <w:unhideWhenUsed/>
    <w:qFormat/>
    <w:uiPriority w:val="39"/>
    <w:pPr>
      <w:autoSpaceDE/>
      <w:autoSpaceDN/>
      <w:ind w:left="3360" w:leftChars="1600"/>
      <w:jc w:val="both"/>
    </w:pPr>
    <w:rPr>
      <w:rFonts w:asciiTheme="minorHAnsi" w:hAnsiTheme="minorHAnsi" w:eastAsiaTheme="minorEastAsia" w:cstheme="minorBidi"/>
      <w:kern w:val="2"/>
      <w:sz w:val="21"/>
      <w:szCs w:val="22"/>
      <w14:ligatures w14:val="standardContextual"/>
    </w:rPr>
  </w:style>
  <w:style w:type="paragraph" w:styleId="77">
    <w:name w:val="Body Text 2"/>
    <w:basedOn w:val="1"/>
    <w:link w:val="189"/>
    <w:semiHidden/>
    <w:unhideWhenUsed/>
    <w:uiPriority w:val="99"/>
    <w:pPr>
      <w:spacing w:after="120" w:line="480" w:lineRule="auto"/>
    </w:pPr>
  </w:style>
  <w:style w:type="paragraph" w:styleId="78">
    <w:name w:val="List 4"/>
    <w:basedOn w:val="1"/>
    <w:semiHidden/>
    <w:unhideWhenUsed/>
    <w:qFormat/>
    <w:uiPriority w:val="99"/>
    <w:pPr>
      <w:ind w:left="100" w:leftChars="600" w:hanging="200" w:hangingChars="200"/>
      <w:contextualSpacing/>
    </w:pPr>
  </w:style>
  <w:style w:type="paragraph" w:styleId="79">
    <w:name w:val="List Continue 2"/>
    <w:basedOn w:val="1"/>
    <w:semiHidden/>
    <w:unhideWhenUsed/>
    <w:qFormat/>
    <w:uiPriority w:val="99"/>
    <w:pPr>
      <w:spacing w:after="120"/>
      <w:ind w:left="840" w:leftChars="400"/>
      <w:contextualSpacing/>
    </w:pPr>
  </w:style>
  <w:style w:type="paragraph" w:styleId="80">
    <w:name w:val="Message Header"/>
    <w:basedOn w:val="1"/>
    <w:link w:val="186"/>
    <w:semiHidden/>
    <w:unhideWhenUs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1">
    <w:name w:val="HTML Preformatted"/>
    <w:basedOn w:val="1"/>
    <w:link w:val="164"/>
    <w:semiHidden/>
    <w:unhideWhenUsed/>
    <w:qFormat/>
    <w:uiPriority w:val="99"/>
    <w:rPr>
      <w:rFonts w:ascii="Courier New" w:hAnsi="Courier New" w:cs="Courier New"/>
      <w:sz w:val="20"/>
    </w:rPr>
  </w:style>
  <w:style w:type="paragraph" w:styleId="82">
    <w:name w:val="Normal (Web)"/>
    <w:basedOn w:val="1"/>
    <w:semiHidden/>
    <w:unhideWhenUsed/>
    <w:qFormat/>
    <w:uiPriority w:val="99"/>
    <w:rPr>
      <w:rFonts w:ascii="Times New Roman" w:hAnsi="Times New Roman" w:cs="Times New Roman"/>
      <w:sz w:val="24"/>
      <w:szCs w:val="24"/>
    </w:rPr>
  </w:style>
  <w:style w:type="paragraph" w:styleId="83">
    <w:name w:val="List Continue 3"/>
    <w:basedOn w:val="1"/>
    <w:semiHidden/>
    <w:unhideWhenUsed/>
    <w:qFormat/>
    <w:uiPriority w:val="99"/>
    <w:pPr>
      <w:spacing w:after="120"/>
      <w:ind w:left="1260" w:leftChars="600"/>
      <w:contextualSpacing/>
    </w:pPr>
  </w:style>
  <w:style w:type="paragraph" w:styleId="84">
    <w:name w:val="index 2"/>
    <w:basedOn w:val="1"/>
    <w:next w:val="1"/>
    <w:semiHidden/>
    <w:unhideWhenUsed/>
    <w:uiPriority w:val="99"/>
    <w:pPr>
      <w:ind w:left="200" w:leftChars="200"/>
    </w:pPr>
  </w:style>
  <w:style w:type="paragraph" w:styleId="85">
    <w:name w:val="Title"/>
    <w:basedOn w:val="1"/>
    <w:qFormat/>
    <w:uiPriority w:val="10"/>
    <w:pPr>
      <w:spacing w:before="21"/>
      <w:ind w:left="1007" w:right="597"/>
      <w:jc w:val="center"/>
    </w:pPr>
    <w:rPr>
      <w:b/>
      <w:sz w:val="39"/>
    </w:rPr>
  </w:style>
  <w:style w:type="paragraph" w:styleId="86">
    <w:name w:val="annotation subject"/>
    <w:basedOn w:val="29"/>
    <w:next w:val="29"/>
    <w:link w:val="123"/>
    <w:semiHidden/>
    <w:unhideWhenUsed/>
    <w:qFormat/>
    <w:uiPriority w:val="99"/>
    <w:rPr>
      <w:b/>
      <w:bCs/>
    </w:rPr>
  </w:style>
  <w:style w:type="paragraph" w:styleId="87">
    <w:name w:val="Body Text First Indent"/>
    <w:basedOn w:val="4"/>
    <w:link w:val="191"/>
    <w:semiHidden/>
    <w:unhideWhenUsed/>
    <w:uiPriority w:val="99"/>
    <w:pPr>
      <w:spacing w:after="120"/>
      <w:ind w:firstLine="420" w:firstLineChars="100"/>
    </w:pPr>
    <w:rPr>
      <w:i w:val="0"/>
      <w:sz w:val="22"/>
    </w:rPr>
  </w:style>
  <w:style w:type="paragraph" w:styleId="88">
    <w:name w:val="Body Text First Indent 2"/>
    <w:basedOn w:val="35"/>
    <w:link w:val="193"/>
    <w:semiHidden/>
    <w:unhideWhenUsed/>
    <w:uiPriority w:val="99"/>
    <w:pPr>
      <w:ind w:firstLine="420" w:firstLineChars="200"/>
    </w:pPr>
  </w:style>
  <w:style w:type="table" w:styleId="90">
    <w:name w:val="Table Grid"/>
    <w:basedOn w:val="8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2">
    <w:name w:val="Strong"/>
    <w:basedOn w:val="91"/>
    <w:qFormat/>
    <w:uiPriority w:val="22"/>
    <w:rPr>
      <w:b/>
    </w:rPr>
  </w:style>
  <w:style w:type="character" w:styleId="93">
    <w:name w:val="FollowedHyperlink"/>
    <w:basedOn w:val="91"/>
    <w:semiHidden/>
    <w:unhideWhenUsed/>
    <w:uiPriority w:val="99"/>
    <w:rPr>
      <w:color w:val="800080" w:themeColor="followedHyperlink"/>
      <w:u w:val="single"/>
      <w14:textFill>
        <w14:solidFill>
          <w14:schemeClr w14:val="folHlink"/>
        </w14:solidFill>
      </w14:textFill>
    </w:rPr>
  </w:style>
  <w:style w:type="character" w:styleId="94">
    <w:name w:val="Hyperlink"/>
    <w:basedOn w:val="91"/>
    <w:unhideWhenUsed/>
    <w:qFormat/>
    <w:uiPriority w:val="99"/>
    <w:rPr>
      <w:color w:val="0000FF" w:themeColor="hyperlink"/>
      <w:u w:val="single"/>
      <w14:textFill>
        <w14:solidFill>
          <w14:schemeClr w14:val="hlink"/>
        </w14:solidFill>
      </w14:textFill>
    </w:rPr>
  </w:style>
  <w:style w:type="character" w:styleId="95">
    <w:name w:val="annotation reference"/>
    <w:basedOn w:val="91"/>
    <w:semiHidden/>
    <w:unhideWhenUsed/>
    <w:qFormat/>
    <w:uiPriority w:val="99"/>
    <w:rPr>
      <w:sz w:val="21"/>
      <w:szCs w:val="21"/>
    </w:rPr>
  </w:style>
  <w:style w:type="table" w:customStyle="1" w:styleId="96">
    <w:name w:val="Table Normal"/>
    <w:semiHidden/>
    <w:unhideWhenUsed/>
    <w:qFormat/>
    <w:uiPriority w:val="2"/>
    <w:tblPr>
      <w:tblCellMar>
        <w:top w:w="0" w:type="dxa"/>
        <w:left w:w="0" w:type="dxa"/>
        <w:bottom w:w="0" w:type="dxa"/>
        <w:right w:w="0" w:type="dxa"/>
      </w:tblCellMar>
    </w:tblPr>
  </w:style>
  <w:style w:type="paragraph" w:styleId="97">
    <w:name w:val="List Paragraph"/>
    <w:basedOn w:val="1"/>
    <w:qFormat/>
    <w:uiPriority w:val="1"/>
    <w:pPr>
      <w:ind w:left="1362" w:hanging="351"/>
    </w:pPr>
  </w:style>
  <w:style w:type="paragraph" w:customStyle="1" w:styleId="98">
    <w:name w:val="Table Paragraph"/>
    <w:basedOn w:val="1"/>
    <w:qFormat/>
    <w:uiPriority w:val="1"/>
  </w:style>
  <w:style w:type="character" w:customStyle="1" w:styleId="99">
    <w:name w:val="Default Paragraph Font 2"/>
    <w:semiHidden/>
    <w:unhideWhenUsed/>
    <w:qFormat/>
    <w:uiPriority w:val="1"/>
  </w:style>
  <w:style w:type="paragraph" w:customStyle="1" w:styleId="100">
    <w:name w:val="P68B1DB1-Normal1"/>
    <w:basedOn w:val="1"/>
    <w:qFormat/>
    <w:uiPriority w:val="0"/>
    <w:rPr>
      <w:b/>
      <w:color w:val="FFFFFF"/>
      <w:sz w:val="21"/>
    </w:rPr>
  </w:style>
  <w:style w:type="paragraph" w:customStyle="1" w:styleId="101">
    <w:name w:val="P68B1DB1-Normal2"/>
    <w:basedOn w:val="1"/>
    <w:qFormat/>
    <w:uiPriority w:val="0"/>
    <w:rPr>
      <w:sz w:val="21"/>
    </w:rPr>
  </w:style>
  <w:style w:type="paragraph" w:customStyle="1" w:styleId="102">
    <w:name w:val="P68B1DB1-Normal3"/>
    <w:basedOn w:val="1"/>
    <w:qFormat/>
    <w:uiPriority w:val="0"/>
    <w:rPr>
      <w:sz w:val="19"/>
    </w:rPr>
  </w:style>
  <w:style w:type="paragraph" w:customStyle="1" w:styleId="103">
    <w:name w:val="P68B1DB1-Normal4"/>
    <w:basedOn w:val="1"/>
    <w:qFormat/>
    <w:uiPriority w:val="0"/>
    <w:rPr>
      <w:b/>
      <w:sz w:val="19"/>
    </w:rPr>
  </w:style>
  <w:style w:type="paragraph" w:customStyle="1" w:styleId="104">
    <w:name w:val="P68B1DB1-Normal5"/>
    <w:basedOn w:val="1"/>
    <w:qFormat/>
    <w:uiPriority w:val="0"/>
    <w:rPr>
      <w:sz w:val="23"/>
    </w:rPr>
  </w:style>
  <w:style w:type="paragraph" w:customStyle="1" w:styleId="105">
    <w:name w:val="P68B1DB1-Normal6"/>
    <w:basedOn w:val="1"/>
    <w:qFormat/>
    <w:uiPriority w:val="0"/>
    <w:rPr>
      <w:color w:val="FFFFFF"/>
      <w:sz w:val="21"/>
    </w:rPr>
  </w:style>
  <w:style w:type="paragraph" w:customStyle="1" w:styleId="106">
    <w:name w:val="P68B1DB1-Normal7"/>
    <w:basedOn w:val="1"/>
    <w:qFormat/>
    <w:uiPriority w:val="0"/>
    <w:rPr>
      <w:color w:val="233F60"/>
      <w:sz w:val="21"/>
    </w:rPr>
  </w:style>
  <w:style w:type="paragraph" w:customStyle="1" w:styleId="107">
    <w:name w:val="P68B1DB1-Normal8"/>
    <w:basedOn w:val="1"/>
    <w:qFormat/>
    <w:uiPriority w:val="0"/>
    <w:rPr>
      <w:color w:val="4F80BC"/>
      <w:sz w:val="21"/>
    </w:rPr>
  </w:style>
  <w:style w:type="paragraph" w:customStyle="1" w:styleId="108">
    <w:name w:val="P68B1DB1-Normal9"/>
    <w:basedOn w:val="1"/>
    <w:qFormat/>
    <w:uiPriority w:val="0"/>
    <w:rPr>
      <w:color w:val="365E90"/>
      <w:sz w:val="21"/>
    </w:rPr>
  </w:style>
  <w:style w:type="paragraph" w:customStyle="1" w:styleId="109">
    <w:name w:val="P68B1DB1-Normal10"/>
    <w:basedOn w:val="1"/>
    <w:qFormat/>
    <w:uiPriority w:val="0"/>
    <w:rPr>
      <w:b/>
      <w:sz w:val="21"/>
    </w:rPr>
  </w:style>
  <w:style w:type="paragraph" w:customStyle="1" w:styleId="110">
    <w:name w:val="P68B1DB1-Normal11"/>
    <w:basedOn w:val="1"/>
    <w:qFormat/>
    <w:uiPriority w:val="0"/>
    <w:rPr>
      <w:sz w:val="17"/>
    </w:rPr>
  </w:style>
  <w:style w:type="character" w:customStyle="1" w:styleId="111">
    <w:name w:val="页眉 字符"/>
    <w:basedOn w:val="91"/>
    <w:link w:val="57"/>
    <w:qFormat/>
    <w:uiPriority w:val="99"/>
    <w:rPr>
      <w:rFonts w:ascii="Calibri" w:hAnsi="Calibri" w:eastAsia="黑体" w:cs="Calibri"/>
      <w:sz w:val="18"/>
      <w:szCs w:val="18"/>
    </w:rPr>
  </w:style>
  <w:style w:type="character" w:customStyle="1" w:styleId="112">
    <w:name w:val="页脚 字符"/>
    <w:basedOn w:val="91"/>
    <w:link w:val="55"/>
    <w:qFormat/>
    <w:uiPriority w:val="99"/>
    <w:rPr>
      <w:rFonts w:ascii="Calibri" w:hAnsi="Calibri" w:eastAsia="黑体" w:cs="Calibri"/>
      <w:sz w:val="18"/>
      <w:szCs w:val="18"/>
    </w:rPr>
  </w:style>
  <w:style w:type="character" w:customStyle="1" w:styleId="113">
    <w:name w:val="自控正文 字符"/>
    <w:basedOn w:val="91"/>
    <w:link w:val="60"/>
    <w:qFormat/>
    <w:uiPriority w:val="0"/>
    <w:rPr>
      <w:rFonts w:cs="Calibri"/>
      <w:color w:val="000000" w:themeColor="text1"/>
      <w:sz w:val="21"/>
      <w14:textFill>
        <w14:solidFill>
          <w14:schemeClr w14:val="tx1"/>
        </w14:solidFill>
      </w14:textFill>
    </w:rPr>
  </w:style>
  <w:style w:type="paragraph" w:customStyle="1" w:styleId="114">
    <w:name w:val="自控1.标题"/>
    <w:basedOn w:val="60"/>
    <w:link w:val="115"/>
    <w:qFormat/>
    <w:uiPriority w:val="0"/>
    <w:pPr>
      <w:spacing w:before="200" w:after="200"/>
      <w:ind w:firstLine="0" w:firstLineChars="0"/>
      <w:outlineLvl w:val="0"/>
    </w:pPr>
    <w:rPr>
      <w:b/>
      <w:sz w:val="28"/>
    </w:rPr>
  </w:style>
  <w:style w:type="character" w:customStyle="1" w:styleId="115">
    <w:name w:val="自控1.标题 字符"/>
    <w:basedOn w:val="113"/>
    <w:link w:val="114"/>
    <w:qFormat/>
    <w:uiPriority w:val="0"/>
    <w:rPr>
      <w:rFonts w:ascii="Times New Roman" w:hAnsi="Times New Roman" w:eastAsia="宋体" w:cs="Calibri"/>
      <w:b/>
      <w:color w:val="000000" w:themeColor="text1"/>
      <w:sz w:val="28"/>
      <w14:textFill>
        <w14:solidFill>
          <w14:schemeClr w14:val="tx1"/>
        </w14:solidFill>
      </w14:textFill>
    </w:rPr>
  </w:style>
  <w:style w:type="paragraph" w:customStyle="1" w:styleId="116">
    <w:name w:val="自控1.1 标题"/>
    <w:basedOn w:val="60"/>
    <w:link w:val="117"/>
    <w:qFormat/>
    <w:uiPriority w:val="0"/>
    <w:pPr>
      <w:spacing w:before="100" w:after="100"/>
      <w:ind w:firstLine="0" w:firstLineChars="0"/>
      <w:outlineLvl w:val="1"/>
    </w:pPr>
    <w:rPr>
      <w:b/>
    </w:rPr>
  </w:style>
  <w:style w:type="character" w:customStyle="1" w:styleId="117">
    <w:name w:val="自控1.1 标题 字符"/>
    <w:basedOn w:val="113"/>
    <w:link w:val="116"/>
    <w:qFormat/>
    <w:uiPriority w:val="0"/>
    <w:rPr>
      <w:rFonts w:ascii="Times New Roman" w:hAnsi="Times New Roman" w:eastAsia="宋体" w:cs="Calibri"/>
      <w:b/>
      <w:color w:val="000000" w:themeColor="text1"/>
      <w:sz w:val="21"/>
      <w14:textFill>
        <w14:solidFill>
          <w14:schemeClr w14:val="tx1"/>
        </w14:solidFill>
      </w14:textFill>
    </w:rPr>
  </w:style>
  <w:style w:type="character" w:customStyle="1" w:styleId="118">
    <w:name w:val="正文文本 字符"/>
    <w:basedOn w:val="91"/>
    <w:link w:val="4"/>
    <w:qFormat/>
    <w:uiPriority w:val="1"/>
    <w:rPr>
      <w:rFonts w:ascii="Calibri" w:hAnsi="Calibri" w:eastAsia="黑体" w:cs="Calibri"/>
      <w:i/>
      <w:sz w:val="21"/>
    </w:rPr>
  </w:style>
  <w:style w:type="paragraph" w:customStyle="1" w:styleId="119">
    <w:name w:val="TOC 标题1"/>
    <w:basedOn w:val="3"/>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color w:val="376092" w:themeColor="accent1" w:themeShade="BF"/>
      <w:sz w:val="32"/>
      <w:szCs w:val="32"/>
    </w:rPr>
  </w:style>
  <w:style w:type="character" w:customStyle="1" w:styleId="120">
    <w:name w:val="未处理的提及1"/>
    <w:basedOn w:val="91"/>
    <w:semiHidden/>
    <w:unhideWhenUsed/>
    <w:qFormat/>
    <w:uiPriority w:val="99"/>
    <w:rPr>
      <w:color w:val="605E5C"/>
      <w:shd w:val="clear" w:color="auto" w:fill="E1DFDD"/>
    </w:rPr>
  </w:style>
  <w:style w:type="paragraph" w:customStyle="1" w:styleId="121">
    <w:name w:val="修订1"/>
    <w:hidden/>
    <w:semiHidden/>
    <w:qFormat/>
    <w:uiPriority w:val="99"/>
    <w:rPr>
      <w:rFonts w:ascii="Calibri" w:hAnsi="Calibri" w:eastAsia="黑体" w:cs="Calibri"/>
      <w:sz w:val="22"/>
      <w:lang w:val="en-US" w:eastAsia="zh-CN" w:bidi="ar-SA"/>
    </w:rPr>
  </w:style>
  <w:style w:type="character" w:customStyle="1" w:styleId="122">
    <w:name w:val="批注文字 字符"/>
    <w:basedOn w:val="91"/>
    <w:link w:val="29"/>
    <w:qFormat/>
    <w:uiPriority w:val="99"/>
    <w:rPr>
      <w:rFonts w:ascii="Calibri" w:hAnsi="Calibri" w:eastAsia="黑体" w:cs="Calibri"/>
    </w:rPr>
  </w:style>
  <w:style w:type="character" w:customStyle="1" w:styleId="123">
    <w:name w:val="批注主题 字符"/>
    <w:basedOn w:val="122"/>
    <w:link w:val="86"/>
    <w:semiHidden/>
    <w:qFormat/>
    <w:uiPriority w:val="99"/>
    <w:rPr>
      <w:rFonts w:ascii="Calibri" w:hAnsi="Calibri" w:eastAsia="黑体" w:cs="Calibri"/>
      <w:b/>
      <w:bCs/>
    </w:rPr>
  </w:style>
  <w:style w:type="paragraph" w:customStyle="1" w:styleId="124">
    <w:name w:val="！正文"/>
    <w:basedOn w:val="1"/>
    <w:qFormat/>
    <w:uiPriority w:val="0"/>
    <w:pPr>
      <w:autoSpaceDN/>
      <w:spacing w:line="360" w:lineRule="auto"/>
      <w:ind w:firstLine="200" w:firstLineChars="200"/>
      <w:jc w:val="both"/>
    </w:pPr>
    <w:rPr>
      <w:rFonts w:eastAsia="宋体" w:cs="Times New Roman"/>
      <w:color w:val="000000"/>
      <w:kern w:val="2"/>
      <w:sz w:val="24"/>
      <w:szCs w:val="24"/>
    </w:rPr>
  </w:style>
  <w:style w:type="character" w:customStyle="1" w:styleId="125">
    <w:name w:val="15"/>
    <w:basedOn w:val="91"/>
    <w:qFormat/>
    <w:uiPriority w:val="0"/>
    <w:rPr>
      <w:rFonts w:hint="default" w:ascii="Times New Roman" w:hAnsi="Times New Roman" w:cs="Times New Roman"/>
    </w:rPr>
  </w:style>
  <w:style w:type="paragraph" w:customStyle="1" w:styleId="126">
    <w:name w:val="修订2"/>
    <w:hidden/>
    <w:unhideWhenUsed/>
    <w:qFormat/>
    <w:uiPriority w:val="99"/>
    <w:rPr>
      <w:rFonts w:ascii="Calibri" w:hAnsi="Calibri" w:eastAsia="黑体" w:cs="Calibri"/>
      <w:sz w:val="22"/>
      <w:lang w:val="en-US" w:eastAsia="zh-CN" w:bidi="ar-SA"/>
    </w:rPr>
  </w:style>
  <w:style w:type="paragraph" w:customStyle="1" w:styleId="127">
    <w:name w:val="修订3"/>
    <w:hidden/>
    <w:unhideWhenUsed/>
    <w:qFormat/>
    <w:uiPriority w:val="99"/>
    <w:rPr>
      <w:rFonts w:ascii="Calibri" w:hAnsi="Calibri" w:eastAsia="黑体" w:cs="Calibri"/>
      <w:sz w:val="22"/>
      <w:lang w:val="en-US" w:eastAsia="zh-CN" w:bidi="ar-SA"/>
    </w:rPr>
  </w:style>
  <w:style w:type="paragraph" w:customStyle="1" w:styleId="128">
    <w:name w:val="自控-目录"/>
    <w:basedOn w:val="75"/>
    <w:link w:val="130"/>
    <w:qFormat/>
    <w:uiPriority w:val="0"/>
    <w:pPr>
      <w:tabs>
        <w:tab w:val="left" w:pos="1260"/>
        <w:tab w:val="right" w:leader="dot" w:pos="8780"/>
      </w:tabs>
      <w:ind w:left="440"/>
    </w:pPr>
  </w:style>
  <w:style w:type="character" w:customStyle="1" w:styleId="129">
    <w:name w:val="TOC 2 字符"/>
    <w:basedOn w:val="91"/>
    <w:link w:val="75"/>
    <w:qFormat/>
    <w:uiPriority w:val="39"/>
    <w:rPr>
      <w:rFonts w:ascii="Calibri" w:hAnsi="Calibri" w:eastAsia="黑体" w:cs="Calibri"/>
      <w:sz w:val="22"/>
    </w:rPr>
  </w:style>
  <w:style w:type="character" w:customStyle="1" w:styleId="130">
    <w:name w:val="自控-目录 字符"/>
    <w:basedOn w:val="129"/>
    <w:link w:val="128"/>
    <w:qFormat/>
    <w:uiPriority w:val="0"/>
    <w:rPr>
      <w:rFonts w:ascii="Calibri" w:hAnsi="Calibri" w:eastAsia="黑体" w:cs="Calibri"/>
      <w:sz w:val="22"/>
    </w:rPr>
  </w:style>
  <w:style w:type="paragraph" w:customStyle="1" w:styleId="131">
    <w:name w:val="TOC 标题2"/>
    <w:basedOn w:val="3"/>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color w:val="376092" w:themeColor="accent1" w:themeShade="BF"/>
      <w:sz w:val="32"/>
      <w:szCs w:val="32"/>
    </w:rPr>
  </w:style>
  <w:style w:type="paragraph" w:customStyle="1" w:styleId="132">
    <w:name w:val="修订4"/>
    <w:hidden/>
    <w:unhideWhenUsed/>
    <w:qFormat/>
    <w:uiPriority w:val="99"/>
    <w:rPr>
      <w:rFonts w:ascii="Calibri" w:hAnsi="Calibri" w:eastAsia="黑体" w:cs="Calibri"/>
      <w:sz w:val="22"/>
      <w:lang w:val="en-US" w:eastAsia="zh-CN" w:bidi="ar-SA"/>
    </w:rPr>
  </w:style>
  <w:style w:type="paragraph" w:customStyle="1" w:styleId="133">
    <w:name w:val="正文文本 (3)"/>
    <w:basedOn w:val="1"/>
    <w:qFormat/>
    <w:uiPriority w:val="0"/>
    <w:pPr>
      <w:shd w:val="clear" w:color="auto" w:fill="FFFFFF"/>
      <w:spacing w:line="0" w:lineRule="atLeast"/>
    </w:pPr>
    <w:rPr>
      <w:rFonts w:ascii="Arial" w:hAnsi="Arial" w:eastAsia="Arial"/>
      <w:sz w:val="14"/>
      <w:szCs w:val="14"/>
    </w:rPr>
  </w:style>
  <w:style w:type="character" w:customStyle="1" w:styleId="134">
    <w:name w:val="正文文本 (3) + 9 pt54"/>
    <w:qFormat/>
    <w:uiPriority w:val="0"/>
    <w:rPr>
      <w:rFonts w:ascii="Arial" w:hAnsi="Arial" w:eastAsia="Arial" w:cs="Arial"/>
      <w:b/>
      <w:bCs/>
      <w:i/>
      <w:iCs/>
      <w:spacing w:val="0"/>
      <w:sz w:val="18"/>
      <w:szCs w:val="18"/>
    </w:rPr>
  </w:style>
  <w:style w:type="character" w:customStyle="1" w:styleId="135">
    <w:name w:val="正文文本 (3) + 9 pt57"/>
    <w:qFormat/>
    <w:uiPriority w:val="0"/>
    <w:rPr>
      <w:rFonts w:ascii="Arial" w:hAnsi="Arial" w:eastAsia="Arial" w:cs="Arial"/>
      <w:b/>
      <w:bCs/>
      <w:i/>
      <w:iCs/>
      <w:spacing w:val="0"/>
      <w:sz w:val="18"/>
      <w:szCs w:val="18"/>
    </w:rPr>
  </w:style>
  <w:style w:type="character" w:customStyle="1" w:styleId="136">
    <w:name w:val="正文文本 (3) + 9 pt66"/>
    <w:qFormat/>
    <w:uiPriority w:val="0"/>
    <w:rPr>
      <w:rFonts w:ascii="Arial" w:hAnsi="Arial" w:eastAsia="Arial" w:cs="Arial"/>
      <w:b/>
      <w:bCs/>
      <w:i/>
      <w:iCs/>
      <w:spacing w:val="0"/>
      <w:sz w:val="18"/>
      <w:szCs w:val="18"/>
    </w:rPr>
  </w:style>
  <w:style w:type="character" w:customStyle="1" w:styleId="137">
    <w:name w:val="正文文本 (3) + 9 pt192"/>
    <w:qFormat/>
    <w:uiPriority w:val="0"/>
    <w:rPr>
      <w:rFonts w:ascii="Arial" w:hAnsi="Arial" w:eastAsia="Arial" w:cs="Arial"/>
      <w:i/>
      <w:iCs/>
      <w:spacing w:val="0"/>
      <w:sz w:val="18"/>
      <w:szCs w:val="18"/>
    </w:rPr>
  </w:style>
  <w:style w:type="paragraph" w:customStyle="1" w:styleId="13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4"/>
      <w:lang w:val="en-US" w:eastAsia="zh-CN" w:bidi="ar-SA"/>
    </w:rPr>
  </w:style>
  <w:style w:type="character" w:customStyle="1" w:styleId="139">
    <w:name w:val="正文文本 (3) + 9 pt113"/>
    <w:qFormat/>
    <w:uiPriority w:val="0"/>
    <w:rPr>
      <w:rFonts w:ascii="Arial" w:hAnsi="Arial" w:eastAsia="Arial" w:cs="Arial"/>
      <w:b/>
      <w:bCs/>
      <w:i/>
      <w:iCs/>
      <w:spacing w:val="0"/>
      <w:sz w:val="18"/>
      <w:szCs w:val="18"/>
    </w:rPr>
  </w:style>
  <w:style w:type="paragraph" w:customStyle="1" w:styleId="140">
    <w:name w:val="标题4"/>
    <w:basedOn w:val="141"/>
    <w:qFormat/>
    <w:uiPriority w:val="0"/>
    <w:pPr>
      <w:spacing w:before="120"/>
    </w:pPr>
  </w:style>
  <w:style w:type="paragraph" w:customStyle="1" w:styleId="141">
    <w:name w:val="标题3"/>
    <w:basedOn w:val="142"/>
    <w:qFormat/>
    <w:uiPriority w:val="0"/>
    <w:pPr>
      <w:spacing w:after="120"/>
      <w:outlineLvl w:val="2"/>
    </w:pPr>
  </w:style>
  <w:style w:type="paragraph" w:customStyle="1" w:styleId="142">
    <w:name w:val="11"/>
    <w:basedOn w:val="3"/>
    <w:qFormat/>
    <w:uiPriority w:val="0"/>
    <w:rPr>
      <w:szCs w:val="24"/>
    </w:rPr>
  </w:style>
  <w:style w:type="paragraph" w:customStyle="1" w:styleId="143">
    <w:name w:val="msolistparagraph"/>
    <w:basedOn w:val="1"/>
    <w:qFormat/>
    <w:uiPriority w:val="0"/>
    <w:pPr>
      <w:widowControl/>
      <w:kinsoku w:val="0"/>
      <w:adjustRightInd w:val="0"/>
      <w:snapToGrid w:val="0"/>
      <w:ind w:firstLine="420" w:firstLineChars="200"/>
    </w:pPr>
    <w:rPr>
      <w:rFonts w:ascii="Times New Roman" w:hAnsi="Times New Roman" w:eastAsia="宋体" w:cs="Times New Roman"/>
    </w:rPr>
  </w:style>
  <w:style w:type="character" w:customStyle="1" w:styleId="144">
    <w:name w:val="正文文本 (3) + 9 pt147"/>
    <w:qFormat/>
    <w:uiPriority w:val="0"/>
    <w:rPr>
      <w:rFonts w:ascii="Arial" w:hAnsi="Arial" w:eastAsia="Arial" w:cs="Arial"/>
      <w:b/>
      <w:bCs/>
      <w:i/>
      <w:iCs/>
      <w:spacing w:val="0"/>
      <w:sz w:val="18"/>
      <w:szCs w:val="18"/>
    </w:rPr>
  </w:style>
  <w:style w:type="character" w:customStyle="1" w:styleId="145">
    <w:name w:val="正文文本 (3) + 9 pt167"/>
    <w:qFormat/>
    <w:uiPriority w:val="0"/>
    <w:rPr>
      <w:rFonts w:ascii="Arial" w:hAnsi="Arial" w:eastAsia="Arial" w:cs="Arial"/>
      <w:b/>
      <w:bCs/>
      <w:i/>
      <w:iCs/>
      <w:spacing w:val="0"/>
      <w:sz w:val="18"/>
      <w:szCs w:val="18"/>
    </w:rPr>
  </w:style>
  <w:style w:type="character" w:customStyle="1" w:styleId="146">
    <w:name w:val="正文文本 (3) + 9 pt182"/>
    <w:qFormat/>
    <w:uiPriority w:val="0"/>
    <w:rPr>
      <w:rFonts w:ascii="Arial" w:hAnsi="Arial" w:eastAsia="Arial" w:cs="Arial"/>
      <w:b/>
      <w:bCs/>
      <w:spacing w:val="0"/>
      <w:sz w:val="18"/>
      <w:szCs w:val="18"/>
    </w:rPr>
  </w:style>
  <w:style w:type="character" w:customStyle="1" w:styleId="147">
    <w:name w:val="正文文本 (3) + 9 pt181"/>
    <w:qFormat/>
    <w:uiPriority w:val="0"/>
    <w:rPr>
      <w:rFonts w:ascii="Arial" w:hAnsi="Arial" w:eastAsia="Arial" w:cs="Arial"/>
      <w:b/>
      <w:bCs/>
      <w:spacing w:val="0"/>
      <w:sz w:val="18"/>
      <w:szCs w:val="18"/>
    </w:rPr>
  </w:style>
  <w:style w:type="table" w:customStyle="1" w:styleId="148">
    <w:name w:val="网格型1"/>
    <w:basedOn w:val="89"/>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9">
    <w:name w:val="修订5"/>
    <w:hidden/>
    <w:unhideWhenUsed/>
    <w:qFormat/>
    <w:uiPriority w:val="99"/>
    <w:rPr>
      <w:rFonts w:ascii="Calibri" w:hAnsi="Calibri" w:eastAsia="黑体" w:cs="Calibri"/>
      <w:sz w:val="22"/>
      <w:lang w:val="en-US" w:eastAsia="zh-CN" w:bidi="ar-SA"/>
    </w:rPr>
  </w:style>
  <w:style w:type="paragraph" w:customStyle="1" w:styleId="150">
    <w:name w:val="修订51"/>
    <w:hidden/>
    <w:unhideWhenUsed/>
    <w:qFormat/>
    <w:uiPriority w:val="99"/>
    <w:rPr>
      <w:rFonts w:ascii="Calibri" w:hAnsi="Calibri" w:eastAsia="黑体" w:cs="Calibri"/>
      <w:sz w:val="22"/>
      <w:lang w:val="en-US" w:eastAsia="zh-CN" w:bidi="ar-SA"/>
    </w:rPr>
  </w:style>
  <w:style w:type="character" w:customStyle="1" w:styleId="151">
    <w:name w:val="未处理的提及2"/>
    <w:basedOn w:val="91"/>
    <w:semiHidden/>
    <w:unhideWhenUsed/>
    <w:qFormat/>
    <w:uiPriority w:val="99"/>
    <w:rPr>
      <w:color w:val="605E5C"/>
      <w:shd w:val="clear" w:color="auto" w:fill="E1DFDD"/>
    </w:rPr>
  </w:style>
  <w:style w:type="paragraph" w:customStyle="1" w:styleId="152">
    <w:name w:val="修订6"/>
    <w:hidden/>
    <w:unhideWhenUsed/>
    <w:qFormat/>
    <w:uiPriority w:val="99"/>
    <w:rPr>
      <w:rFonts w:ascii="Calibri" w:hAnsi="Calibri" w:eastAsia="黑体" w:cs="Calibri"/>
      <w:sz w:val="22"/>
      <w:lang w:val="en-US" w:eastAsia="zh-CN" w:bidi="ar-SA"/>
    </w:rPr>
  </w:style>
  <w:style w:type="character" w:customStyle="1" w:styleId="153">
    <w:name w:val="批注框文本 字符"/>
    <w:basedOn w:val="91"/>
    <w:link w:val="54"/>
    <w:semiHidden/>
    <w:qFormat/>
    <w:uiPriority w:val="99"/>
    <w:rPr>
      <w:rFonts w:ascii="Calibri" w:hAnsi="Calibri" w:eastAsia="黑体" w:cs="Calibri"/>
      <w:sz w:val="18"/>
      <w:szCs w:val="18"/>
    </w:rPr>
  </w:style>
  <w:style w:type="paragraph" w:customStyle="1" w:styleId="154">
    <w:name w:val="修订7"/>
    <w:hidden/>
    <w:unhideWhenUsed/>
    <w:qFormat/>
    <w:uiPriority w:val="99"/>
    <w:rPr>
      <w:rFonts w:ascii="Calibri" w:hAnsi="Calibri" w:eastAsia="黑体" w:cs="Calibri"/>
      <w:sz w:val="22"/>
      <w:lang w:val="en-US" w:eastAsia="zh-CN" w:bidi="ar-SA"/>
    </w:rPr>
  </w:style>
  <w:style w:type="paragraph" w:customStyle="1" w:styleId="155">
    <w:name w:val="修订8"/>
    <w:hidden/>
    <w:unhideWhenUsed/>
    <w:qFormat/>
    <w:uiPriority w:val="99"/>
    <w:rPr>
      <w:rFonts w:ascii="Calibri" w:hAnsi="Calibri" w:eastAsia="黑体" w:cs="Calibri"/>
      <w:sz w:val="22"/>
      <w:lang w:val="en-US" w:eastAsia="zh-CN" w:bidi="ar-SA"/>
    </w:rPr>
  </w:style>
  <w:style w:type="paragraph" w:customStyle="1" w:styleId="156">
    <w:name w:val="修订9"/>
    <w:hidden/>
    <w:unhideWhenUsed/>
    <w:qFormat/>
    <w:uiPriority w:val="99"/>
    <w:rPr>
      <w:rFonts w:ascii="Calibri" w:hAnsi="Calibri" w:eastAsia="黑体" w:cs="Calibri"/>
      <w:sz w:val="22"/>
      <w:lang w:val="en-US" w:eastAsia="zh-CN" w:bidi="ar-SA"/>
    </w:rPr>
  </w:style>
  <w:style w:type="paragraph" w:customStyle="1" w:styleId="157">
    <w:name w:val="TOC 标题3"/>
    <w:basedOn w:val="3"/>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i w:val="0"/>
      <w:color w:val="376092" w:themeColor="accent1" w:themeShade="BF"/>
      <w:sz w:val="32"/>
      <w:szCs w:val="32"/>
    </w:rPr>
  </w:style>
  <w:style w:type="character" w:customStyle="1" w:styleId="158">
    <w:name w:val="标题 4 字符"/>
    <w:basedOn w:val="91"/>
    <w:link w:val="7"/>
    <w:semiHidden/>
    <w:qFormat/>
    <w:uiPriority w:val="9"/>
    <w:rPr>
      <w:rFonts w:asciiTheme="majorHAnsi" w:hAnsiTheme="majorHAnsi" w:eastAsiaTheme="majorEastAsia" w:cstheme="majorBidi"/>
      <w:b/>
      <w:bCs/>
      <w:sz w:val="28"/>
      <w:szCs w:val="28"/>
    </w:rPr>
  </w:style>
  <w:style w:type="character" w:customStyle="1" w:styleId="159">
    <w:name w:val="未处理的提及3"/>
    <w:basedOn w:val="91"/>
    <w:semiHidden/>
    <w:unhideWhenUsed/>
    <w:qFormat/>
    <w:uiPriority w:val="99"/>
    <w:rPr>
      <w:color w:val="605E5C"/>
      <w:shd w:val="clear" w:color="auto" w:fill="E1DFDD"/>
    </w:rPr>
  </w:style>
  <w:style w:type="paragraph" w:customStyle="1" w:styleId="160">
    <w:name w:val="修订10"/>
    <w:hidden/>
    <w:unhideWhenUsed/>
    <w:qFormat/>
    <w:uiPriority w:val="99"/>
    <w:rPr>
      <w:rFonts w:ascii="Calibri" w:hAnsi="Calibri" w:eastAsia="黑体" w:cs="Calibri"/>
      <w:sz w:val="22"/>
      <w:lang w:val="en-US" w:eastAsia="zh-CN" w:bidi="ar-SA"/>
    </w:rPr>
  </w:style>
  <w:style w:type="paragraph" w:customStyle="1" w:styleId="161">
    <w:name w:val="Revision"/>
    <w:hidden/>
    <w:unhideWhenUsed/>
    <w:qFormat/>
    <w:uiPriority w:val="99"/>
    <w:rPr>
      <w:rFonts w:ascii="Calibri" w:hAnsi="Calibri" w:eastAsia="黑体" w:cs="Calibri"/>
      <w:sz w:val="22"/>
      <w:lang w:val="en-US" w:eastAsia="zh-CN" w:bidi="ar-SA"/>
    </w:rPr>
  </w:style>
  <w:style w:type="character" w:customStyle="1" w:styleId="162">
    <w:name w:val="Unresolved Mention"/>
    <w:basedOn w:val="91"/>
    <w:semiHidden/>
    <w:unhideWhenUsed/>
    <w:qFormat/>
    <w:uiPriority w:val="99"/>
    <w:rPr>
      <w:color w:val="605E5C"/>
      <w:shd w:val="clear" w:color="auto" w:fill="E1DFDD"/>
    </w:rPr>
  </w:style>
  <w:style w:type="character" w:customStyle="1" w:styleId="163">
    <w:name w:val="HTML 地址 字符"/>
    <w:basedOn w:val="91"/>
    <w:link w:val="41"/>
    <w:semiHidden/>
    <w:qFormat/>
    <w:uiPriority w:val="99"/>
    <w:rPr>
      <w:rFonts w:ascii="Calibri" w:hAnsi="Calibri" w:eastAsia="黑体" w:cs="Calibri"/>
      <w:i/>
      <w:iCs/>
      <w:sz w:val="22"/>
    </w:rPr>
  </w:style>
  <w:style w:type="character" w:customStyle="1" w:styleId="164">
    <w:name w:val="HTML 预设格式 字符"/>
    <w:basedOn w:val="91"/>
    <w:link w:val="81"/>
    <w:semiHidden/>
    <w:qFormat/>
    <w:uiPriority w:val="99"/>
    <w:rPr>
      <w:rFonts w:ascii="Courier New" w:hAnsi="Courier New" w:eastAsia="黑体" w:cs="Courier New"/>
    </w:rPr>
  </w:style>
  <w:style w:type="paragraph" w:customStyle="1" w:styleId="165">
    <w:name w:val="TOC Heading"/>
    <w:basedOn w:val="3"/>
    <w:next w:val="1"/>
    <w:semiHidden/>
    <w:unhideWhenUsed/>
    <w:qFormat/>
    <w:uiPriority w:val="39"/>
    <w:pPr>
      <w:keepNext/>
      <w:keepLines/>
      <w:spacing w:before="340" w:after="330" w:line="578" w:lineRule="auto"/>
      <w:ind w:left="0"/>
      <w:outlineLvl w:val="9"/>
    </w:pPr>
    <w:rPr>
      <w:bCs/>
      <w:i w:val="0"/>
      <w:kern w:val="44"/>
      <w:sz w:val="44"/>
      <w:szCs w:val="44"/>
    </w:rPr>
  </w:style>
  <w:style w:type="character" w:customStyle="1" w:styleId="166">
    <w:name w:val="标题 5 字符"/>
    <w:basedOn w:val="91"/>
    <w:link w:val="8"/>
    <w:semiHidden/>
    <w:qFormat/>
    <w:uiPriority w:val="9"/>
    <w:rPr>
      <w:rFonts w:ascii="Calibri" w:hAnsi="Calibri" w:eastAsia="黑体" w:cs="Calibri"/>
      <w:b/>
      <w:bCs/>
      <w:sz w:val="28"/>
      <w:szCs w:val="28"/>
    </w:rPr>
  </w:style>
  <w:style w:type="character" w:customStyle="1" w:styleId="167">
    <w:name w:val="标题 6 字符"/>
    <w:basedOn w:val="91"/>
    <w:link w:val="9"/>
    <w:semiHidden/>
    <w:qFormat/>
    <w:uiPriority w:val="9"/>
    <w:rPr>
      <w:rFonts w:asciiTheme="majorHAnsi" w:hAnsiTheme="majorHAnsi" w:eastAsiaTheme="majorEastAsia" w:cstheme="majorBidi"/>
      <w:b/>
      <w:bCs/>
      <w:sz w:val="24"/>
      <w:szCs w:val="24"/>
    </w:rPr>
  </w:style>
  <w:style w:type="character" w:customStyle="1" w:styleId="168">
    <w:name w:val="标题 7 字符"/>
    <w:basedOn w:val="91"/>
    <w:link w:val="10"/>
    <w:semiHidden/>
    <w:qFormat/>
    <w:uiPriority w:val="9"/>
    <w:rPr>
      <w:rFonts w:ascii="Calibri" w:hAnsi="Calibri" w:eastAsia="黑体" w:cs="Calibri"/>
      <w:b/>
      <w:bCs/>
      <w:sz w:val="24"/>
      <w:szCs w:val="24"/>
    </w:rPr>
  </w:style>
  <w:style w:type="character" w:customStyle="1" w:styleId="169">
    <w:name w:val="标题 8 字符"/>
    <w:basedOn w:val="91"/>
    <w:link w:val="11"/>
    <w:semiHidden/>
    <w:qFormat/>
    <w:uiPriority w:val="9"/>
    <w:rPr>
      <w:rFonts w:asciiTheme="majorHAnsi" w:hAnsiTheme="majorHAnsi" w:eastAsiaTheme="majorEastAsia" w:cstheme="majorBidi"/>
      <w:sz w:val="24"/>
      <w:szCs w:val="24"/>
    </w:rPr>
  </w:style>
  <w:style w:type="character" w:customStyle="1" w:styleId="170">
    <w:name w:val="标题 9 字符"/>
    <w:basedOn w:val="91"/>
    <w:link w:val="12"/>
    <w:semiHidden/>
    <w:qFormat/>
    <w:uiPriority w:val="9"/>
    <w:rPr>
      <w:rFonts w:asciiTheme="majorHAnsi" w:hAnsiTheme="majorHAnsi" w:eastAsiaTheme="majorEastAsia" w:cstheme="majorBidi"/>
      <w:sz w:val="21"/>
      <w:szCs w:val="21"/>
    </w:rPr>
  </w:style>
  <w:style w:type="character" w:customStyle="1" w:styleId="171">
    <w:name w:val="称呼 字符"/>
    <w:basedOn w:val="91"/>
    <w:link w:val="31"/>
    <w:semiHidden/>
    <w:qFormat/>
    <w:uiPriority w:val="99"/>
    <w:rPr>
      <w:rFonts w:ascii="Calibri" w:hAnsi="Calibri" w:eastAsia="黑体" w:cs="Calibri"/>
      <w:sz w:val="22"/>
    </w:rPr>
  </w:style>
  <w:style w:type="character" w:customStyle="1" w:styleId="172">
    <w:name w:val="纯文本 字符"/>
    <w:basedOn w:val="91"/>
    <w:link w:val="45"/>
    <w:semiHidden/>
    <w:qFormat/>
    <w:uiPriority w:val="99"/>
    <w:rPr>
      <w:rFonts w:hAnsi="Courier New" w:cs="Courier New" w:asciiTheme="minorEastAsia" w:eastAsiaTheme="minorEastAsia"/>
      <w:sz w:val="22"/>
    </w:rPr>
  </w:style>
  <w:style w:type="character" w:customStyle="1" w:styleId="173">
    <w:name w:val="电子邮件签名 字符"/>
    <w:basedOn w:val="91"/>
    <w:link w:val="20"/>
    <w:semiHidden/>
    <w:qFormat/>
    <w:uiPriority w:val="99"/>
    <w:rPr>
      <w:rFonts w:ascii="Calibri" w:hAnsi="Calibri" w:eastAsia="黑体" w:cs="Calibri"/>
      <w:sz w:val="22"/>
    </w:rPr>
  </w:style>
  <w:style w:type="character" w:customStyle="1" w:styleId="174">
    <w:name w:val="副标题 字符"/>
    <w:basedOn w:val="91"/>
    <w:link w:val="65"/>
    <w:qFormat/>
    <w:uiPriority w:val="11"/>
    <w:rPr>
      <w:rFonts w:asciiTheme="minorHAnsi" w:hAnsiTheme="minorHAnsi" w:eastAsiaTheme="minorEastAsia" w:cstheme="minorBidi"/>
      <w:b/>
      <w:bCs/>
      <w:kern w:val="28"/>
      <w:sz w:val="32"/>
      <w:szCs w:val="32"/>
    </w:rPr>
  </w:style>
  <w:style w:type="character" w:customStyle="1" w:styleId="175">
    <w:name w:val="宏文本 字符"/>
    <w:basedOn w:val="91"/>
    <w:link w:val="2"/>
    <w:semiHidden/>
    <w:qFormat/>
    <w:uiPriority w:val="99"/>
    <w:rPr>
      <w:rFonts w:ascii="Courier New" w:hAnsi="Courier New" w:cs="Courier New"/>
      <w:sz w:val="24"/>
      <w:szCs w:val="24"/>
    </w:rPr>
  </w:style>
  <w:style w:type="character" w:customStyle="1" w:styleId="176">
    <w:name w:val="脚注文本 字符"/>
    <w:basedOn w:val="91"/>
    <w:link w:val="68"/>
    <w:semiHidden/>
    <w:qFormat/>
    <w:uiPriority w:val="99"/>
    <w:rPr>
      <w:rFonts w:ascii="Calibri" w:hAnsi="Calibri" w:eastAsia="黑体" w:cs="Calibri"/>
      <w:sz w:val="18"/>
      <w:szCs w:val="18"/>
    </w:rPr>
  </w:style>
  <w:style w:type="character" w:customStyle="1" w:styleId="177">
    <w:name w:val="结束语 字符"/>
    <w:basedOn w:val="91"/>
    <w:link w:val="33"/>
    <w:semiHidden/>
    <w:qFormat/>
    <w:uiPriority w:val="99"/>
    <w:rPr>
      <w:rFonts w:ascii="Calibri" w:hAnsi="Calibri" w:eastAsia="黑体" w:cs="Calibri"/>
      <w:sz w:val="22"/>
    </w:rPr>
  </w:style>
  <w:style w:type="paragraph" w:styleId="178">
    <w:name w:val="Intense Quote"/>
    <w:basedOn w:val="1"/>
    <w:next w:val="1"/>
    <w:link w:val="179"/>
    <w:semiHidden/>
    <w:unhideWhenUsed/>
    <w:qFormat/>
    <w:uiPriority w:val="99"/>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179">
    <w:name w:val="明显引用 字符"/>
    <w:basedOn w:val="91"/>
    <w:link w:val="178"/>
    <w:semiHidden/>
    <w:qFormat/>
    <w:uiPriority w:val="99"/>
    <w:rPr>
      <w:rFonts w:ascii="Calibri" w:hAnsi="Calibri" w:eastAsia="黑体" w:cs="Calibri"/>
      <w:i/>
      <w:iCs/>
      <w:color w:val="4F81BD" w:themeColor="accent1"/>
      <w:sz w:val="22"/>
      <w14:textFill>
        <w14:solidFill>
          <w14:schemeClr w14:val="accent1"/>
        </w14:solidFill>
      </w14:textFill>
    </w:rPr>
  </w:style>
  <w:style w:type="character" w:customStyle="1" w:styleId="180">
    <w:name w:val="签名 字符"/>
    <w:basedOn w:val="91"/>
    <w:link w:val="58"/>
    <w:semiHidden/>
    <w:uiPriority w:val="99"/>
    <w:rPr>
      <w:rFonts w:ascii="Calibri" w:hAnsi="Calibri" w:eastAsia="黑体" w:cs="Calibri"/>
      <w:sz w:val="22"/>
    </w:rPr>
  </w:style>
  <w:style w:type="character" w:customStyle="1" w:styleId="181">
    <w:name w:val="日期 字符"/>
    <w:basedOn w:val="91"/>
    <w:link w:val="50"/>
    <w:semiHidden/>
    <w:uiPriority w:val="99"/>
    <w:rPr>
      <w:rFonts w:ascii="Calibri" w:hAnsi="Calibri" w:eastAsia="黑体" w:cs="Calibri"/>
      <w:sz w:val="22"/>
    </w:rPr>
  </w:style>
  <w:style w:type="paragraph" w:customStyle="1" w:styleId="182">
    <w:name w:val="Bibliography"/>
    <w:basedOn w:val="1"/>
    <w:next w:val="1"/>
    <w:semiHidden/>
    <w:unhideWhenUsed/>
    <w:uiPriority w:val="37"/>
  </w:style>
  <w:style w:type="character" w:customStyle="1" w:styleId="183">
    <w:name w:val="尾注文本 字符"/>
    <w:basedOn w:val="91"/>
    <w:link w:val="52"/>
    <w:semiHidden/>
    <w:uiPriority w:val="99"/>
    <w:rPr>
      <w:rFonts w:ascii="Calibri" w:hAnsi="Calibri" w:eastAsia="黑体" w:cs="Calibri"/>
      <w:sz w:val="22"/>
    </w:rPr>
  </w:style>
  <w:style w:type="character" w:customStyle="1" w:styleId="184">
    <w:name w:val="文档结构图 字符"/>
    <w:basedOn w:val="91"/>
    <w:link w:val="27"/>
    <w:semiHidden/>
    <w:uiPriority w:val="99"/>
    <w:rPr>
      <w:rFonts w:ascii="Microsoft YaHei UI" w:hAnsi="Calibri" w:eastAsia="Microsoft YaHei UI" w:cs="Calibri"/>
      <w:sz w:val="18"/>
      <w:szCs w:val="18"/>
    </w:rPr>
  </w:style>
  <w:style w:type="paragraph" w:styleId="185">
    <w:name w:val="No Spacing"/>
    <w:semiHidden/>
    <w:unhideWhenUsed/>
    <w:uiPriority w:val="99"/>
    <w:pPr>
      <w:widowControl w:val="0"/>
      <w:autoSpaceDE w:val="0"/>
      <w:autoSpaceDN w:val="0"/>
    </w:pPr>
    <w:rPr>
      <w:rFonts w:ascii="Calibri" w:hAnsi="Calibri" w:eastAsia="黑体" w:cs="Calibri"/>
      <w:sz w:val="22"/>
      <w:lang w:val="en-US" w:eastAsia="zh-CN" w:bidi="ar-SA"/>
    </w:rPr>
  </w:style>
  <w:style w:type="character" w:customStyle="1" w:styleId="186">
    <w:name w:val="信息标题 字符"/>
    <w:basedOn w:val="91"/>
    <w:link w:val="80"/>
    <w:semiHidden/>
    <w:uiPriority w:val="99"/>
    <w:rPr>
      <w:rFonts w:asciiTheme="majorHAnsi" w:hAnsiTheme="majorHAnsi" w:eastAsiaTheme="majorEastAsia" w:cstheme="majorBidi"/>
      <w:sz w:val="24"/>
      <w:szCs w:val="24"/>
      <w:shd w:val="pct20" w:color="auto" w:fill="auto"/>
    </w:rPr>
  </w:style>
  <w:style w:type="paragraph" w:styleId="187">
    <w:name w:val="Quote"/>
    <w:basedOn w:val="1"/>
    <w:next w:val="1"/>
    <w:link w:val="188"/>
    <w:semiHidden/>
    <w:unhideWhenUsed/>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88">
    <w:name w:val="引用 字符"/>
    <w:basedOn w:val="91"/>
    <w:link w:val="187"/>
    <w:semiHidden/>
    <w:uiPriority w:val="99"/>
    <w:rPr>
      <w:rFonts w:ascii="Calibri" w:hAnsi="Calibri" w:eastAsia="黑体" w:cs="Calibri"/>
      <w:i/>
      <w:iCs/>
      <w:color w:val="404040" w:themeColor="text1" w:themeTint="BF"/>
      <w:sz w:val="22"/>
      <w14:textFill>
        <w14:solidFill>
          <w14:schemeClr w14:val="tx1">
            <w14:lumMod w14:val="75000"/>
            <w14:lumOff w14:val="25000"/>
          </w14:schemeClr>
        </w14:solidFill>
      </w14:textFill>
    </w:rPr>
  </w:style>
  <w:style w:type="character" w:customStyle="1" w:styleId="189">
    <w:name w:val="正文文本 2 字符"/>
    <w:basedOn w:val="91"/>
    <w:link w:val="77"/>
    <w:semiHidden/>
    <w:uiPriority w:val="99"/>
    <w:rPr>
      <w:rFonts w:ascii="Calibri" w:hAnsi="Calibri" w:eastAsia="黑体" w:cs="Calibri"/>
      <w:sz w:val="22"/>
    </w:rPr>
  </w:style>
  <w:style w:type="character" w:customStyle="1" w:styleId="190">
    <w:name w:val="正文文本 3 字符"/>
    <w:basedOn w:val="91"/>
    <w:link w:val="32"/>
    <w:semiHidden/>
    <w:uiPriority w:val="99"/>
    <w:rPr>
      <w:rFonts w:ascii="Calibri" w:hAnsi="Calibri" w:eastAsia="黑体" w:cs="Calibri"/>
      <w:sz w:val="16"/>
      <w:szCs w:val="16"/>
    </w:rPr>
  </w:style>
  <w:style w:type="character" w:customStyle="1" w:styleId="191">
    <w:name w:val="正文文本首行缩进 字符"/>
    <w:basedOn w:val="118"/>
    <w:link w:val="87"/>
    <w:semiHidden/>
    <w:uiPriority w:val="99"/>
    <w:rPr>
      <w:rFonts w:ascii="Calibri" w:hAnsi="Calibri" w:eastAsia="黑体" w:cs="Calibri"/>
      <w:i w:val="0"/>
      <w:sz w:val="22"/>
    </w:rPr>
  </w:style>
  <w:style w:type="character" w:customStyle="1" w:styleId="192">
    <w:name w:val="正文文本缩进 字符"/>
    <w:basedOn w:val="91"/>
    <w:link w:val="35"/>
    <w:semiHidden/>
    <w:uiPriority w:val="99"/>
    <w:rPr>
      <w:rFonts w:ascii="Calibri" w:hAnsi="Calibri" w:eastAsia="黑体" w:cs="Calibri"/>
      <w:sz w:val="22"/>
    </w:rPr>
  </w:style>
  <w:style w:type="character" w:customStyle="1" w:styleId="193">
    <w:name w:val="正文文本首行缩进 2 字符"/>
    <w:basedOn w:val="192"/>
    <w:link w:val="88"/>
    <w:semiHidden/>
    <w:uiPriority w:val="99"/>
    <w:rPr>
      <w:rFonts w:ascii="Calibri" w:hAnsi="Calibri" w:eastAsia="黑体" w:cs="Calibri"/>
      <w:sz w:val="22"/>
    </w:rPr>
  </w:style>
  <w:style w:type="character" w:customStyle="1" w:styleId="194">
    <w:name w:val="正文文本缩进 2 字符"/>
    <w:basedOn w:val="91"/>
    <w:link w:val="51"/>
    <w:semiHidden/>
    <w:uiPriority w:val="99"/>
    <w:rPr>
      <w:rFonts w:ascii="Calibri" w:hAnsi="Calibri" w:eastAsia="黑体" w:cs="Calibri"/>
      <w:sz w:val="22"/>
    </w:rPr>
  </w:style>
  <w:style w:type="character" w:customStyle="1" w:styleId="195">
    <w:name w:val="正文文本缩进 3 字符"/>
    <w:basedOn w:val="91"/>
    <w:link w:val="71"/>
    <w:semiHidden/>
    <w:uiPriority w:val="99"/>
    <w:rPr>
      <w:rFonts w:ascii="Calibri" w:hAnsi="Calibri" w:eastAsia="黑体" w:cs="Calibri"/>
      <w:sz w:val="16"/>
      <w:szCs w:val="16"/>
    </w:rPr>
  </w:style>
  <w:style w:type="character" w:customStyle="1" w:styleId="196">
    <w:name w:val="注释标题 字符"/>
    <w:basedOn w:val="91"/>
    <w:link w:val="17"/>
    <w:semiHidden/>
    <w:uiPriority w:val="99"/>
    <w:rPr>
      <w:rFonts w:ascii="Calibri" w:hAnsi="Calibri" w:eastAsia="黑体" w:cs="Calibri"/>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BC4F75-D531-48C0-8956-9B0F9212E51B}">
  <ds:schemaRefs/>
</ds:datastoreItem>
</file>

<file path=docProps/app.xml><?xml version="1.0" encoding="utf-8"?>
<Properties xmlns="http://schemas.openxmlformats.org/officeDocument/2006/extended-properties" xmlns:vt="http://schemas.openxmlformats.org/officeDocument/2006/docPropsVTypes">
  <Template>Normal</Template>
  <Pages>122</Pages>
  <Words>71171</Words>
  <Characters>86265</Characters>
  <Lines>3335</Lines>
  <Paragraphs>3439</Paragraphs>
  <TotalTime>1056</TotalTime>
  <ScaleCrop>false</ScaleCrop>
  <LinksUpToDate>false</LinksUpToDate>
  <CharactersWithSpaces>88596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2025-12-21T10:07:00Z</dcterms:created>
  <dc:creator>cms</dc:creator>
  <cp:lastModifiedBy>HP</cp:lastModifiedBy>
  <cp:lastPrinted>2025-12-05T10:40:00Z</cp:lastPrinted>
  <dcterms:modified xsi:type="dcterms:W3CDTF">2026-03-26T07:37:39Z</dcterms:modified>
  <dc:title>Microsoft Word - Protocol-Template-Version-1.0-040717</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LastSaved">
    <vt:filetime>2024-06-14T00:00:00Z</vt:filetime>
  </property>
  <property fmtid="{D5CDD505-2E9C-101B-9397-08002B2CF9AE}" pid="4" name="KSOProductBuildVer">
    <vt:lpwstr>2052-12.1.0.25225</vt:lpwstr>
  </property>
  <property fmtid="{D5CDD505-2E9C-101B-9397-08002B2CF9AE}" pid="5" name="ICV">
    <vt:lpwstr>D25C5951070042708DF077CA66C9A7BC_13</vt:lpwstr>
  </property>
  <property fmtid="{D5CDD505-2E9C-101B-9397-08002B2CF9AE}" pid="6" name="KSOTemplateDocerSaveRecord">
    <vt:lpwstr>eyJoZGlkIjoiZDk4YTlkOWMwNDkyNWEzODMxMGFlYjM4YTNmODliYmYiLCJ1c2VySWQiOiIxMzkyMDk2NTY2In0=</vt:lpwstr>
  </property>
</Properties>
</file>