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w16du="http://schemas.microsoft.com/office/word/2023/wordml/word16du" mc:Ignorable="w14 w15 wp14">
  <w:body>
    <w:p w14:paraId="3E190770">
      <w:pPr>
        <w:rPr>
          <w:lang w:eastAsia="zh-CN"/>
        </w:rPr>
      </w:pPr>
    </w:p>
    <w:p w14:paraId="3E68E8DD">
      <w:pPr>
        <w:spacing w:before="0" w:line="360" w:lineRule="auto"/>
        <w:ind w:firstLine="480" w:firstLineChars="200"/>
        <w:rPr>
          <w:lang w:eastAsia="zh-CN"/>
        </w:rPr>
      </w:pPr>
    </w:p>
    <w:p w14:paraId="59BA2D17">
      <w:pPr>
        <w:pStyle w:val="16"/>
        <w:tabs>
          <w:tab w:val="center" w:pos="4153"/>
          <w:tab w:val="right" w:pos="8306"/>
          <w:tab w:val="clear" w:pos="4513"/>
          <w:tab w:val="clear" w:pos="9026"/>
        </w:tabs>
        <w:spacing w:before="0" w:line="360" w:lineRule="auto"/>
        <w:ind w:firstLine="480" w:firstLineChars="200"/>
        <w:jc w:val="center"/>
        <w:rPr>
          <w:lang w:eastAsia="zh-CN"/>
        </w:rPr>
      </w:pPr>
    </w:p>
    <w:p w14:paraId="5660BE25">
      <w:pPr>
        <w:spacing w:before="0" w:line="360" w:lineRule="auto"/>
        <w:ind w:firstLine="602" w:firstLineChars="200"/>
        <w:jc w:val="center"/>
        <w:rPr>
          <w:rFonts w:cs="Times New Roman"/>
          <w:b/>
          <w:sz w:val="30"/>
          <w:szCs w:val="30"/>
          <w:lang w:eastAsia="zh-CN"/>
        </w:rPr>
      </w:pPr>
      <w:r>
        <w:rPr>
          <w:rFonts w:hint="eastAsia" w:cs="Times New Roman"/>
          <w:b/>
          <w:sz w:val="30"/>
          <w:szCs w:val="30"/>
          <w:lang w:eastAsia="zh-CN"/>
        </w:rPr>
        <w:t>合成试验药C辅助治疗当前抗抑郁治疗应答不足的重度抑郁障碍随机双盲安慰剂对照II期研究方案</w:t>
      </w:r>
    </w:p>
    <w:p w14:paraId="1E0A1104">
      <w:pPr>
        <w:spacing w:before="0" w:line="360" w:lineRule="auto"/>
        <w:ind w:firstLine="602" w:firstLineChars="200"/>
        <w:jc w:val="center"/>
        <w:rPr>
          <w:rFonts w:cs="Times New Roman"/>
          <w:b/>
          <w:sz w:val="30"/>
          <w:szCs w:val="30"/>
          <w:lang w:eastAsia="zh-CN"/>
        </w:rPr>
      </w:pPr>
    </w:p>
    <w:p w14:paraId="586B75C5">
      <w:pPr>
        <w:spacing w:before="0" w:line="360" w:lineRule="auto"/>
        <w:ind w:firstLine="602" w:firstLineChars="200"/>
        <w:jc w:val="center"/>
        <w:rPr>
          <w:rFonts w:cs="Times New Roman"/>
          <w:b/>
          <w:sz w:val="30"/>
          <w:szCs w:val="30"/>
          <w:lang w:val="en-US" w:eastAsia="zh-CN"/>
        </w:rPr>
      </w:pPr>
      <w:r>
        <w:rPr>
          <w:rFonts w:hint="eastAsia" w:cs="Times New Roman"/>
          <w:b/>
          <w:sz w:val="30"/>
          <w:szCs w:val="30"/>
          <w:lang w:val="en-US" w:eastAsia="zh-CN"/>
        </w:rPr>
        <w:t>临床试验方案</w:t>
      </w:r>
    </w:p>
    <w:p w14:paraId="2D91E8B9">
      <w:pPr>
        <w:spacing w:before="0" w:line="360" w:lineRule="auto"/>
        <w:ind w:firstLine="480" w:firstLineChars="200"/>
        <w:jc w:val="center"/>
        <w:rPr>
          <w:rFonts w:cs="Times New Roman"/>
          <w:lang w:val="en-US" w:eastAsia="zh-CN"/>
        </w:rPr>
      </w:pPr>
    </w:p>
    <w:p w14:paraId="5199D919">
      <w:pPr>
        <w:widowControl w:val="0"/>
        <w:spacing w:before="0" w:line="360" w:lineRule="auto"/>
        <w:ind w:firstLine="480"/>
        <w:jc w:val="center"/>
        <w:rPr>
          <w:rFonts w:cs="Times New Roman"/>
          <w:kern w:val="2"/>
          <w:lang w:eastAsia="zh-CN"/>
        </w:rPr>
      </w:pPr>
      <w:bookmarkStart w:id="0" w:name="_Hlk89519442"/>
    </w:p>
    <w:p w14:paraId="162A7066">
      <w:pPr>
        <w:widowControl w:val="0"/>
        <w:spacing w:before="0" w:line="360" w:lineRule="auto"/>
        <w:ind w:firstLine="480"/>
        <w:jc w:val="center"/>
        <w:rPr>
          <w:rFonts w:cs="Times New Roman"/>
          <w:kern w:val="2"/>
          <w:lang w:eastAsia="zh-CN"/>
        </w:rPr>
      </w:pPr>
      <w:r>
        <w:rPr>
          <w:rFonts w:hint="eastAsia" w:cs="Times New Roman"/>
          <w:kern w:val="2"/>
          <w:lang w:eastAsia="zh-CN"/>
        </w:rPr>
        <w:t>方案编号：</w:t>
      </w:r>
      <w:r>
        <w:rPr>
          <w:rFonts w:cs="Times New Roman"/>
          <w:kern w:val="2"/>
          <w:lang w:eastAsia="zh-CN"/>
        </w:rPr>
        <w:t xml:space="preserve">WP6-MDD-BLIND-C</w:t>
      </w:r>
      <w:r>
        <w:rPr>
          <w:rFonts w:hint="eastAsia" w:cs="Times New Roman"/>
          <w:kern w:val="2"/>
          <w:lang w:eastAsia="zh-CN"/>
        </w:rPr>
        <w:t xml:space="preserve"/>
      </w:r>
      <w:r>
        <w:rPr>
          <w:rFonts w:cs="Times New Roman"/>
          <w:kern w:val="2"/>
          <w:lang w:eastAsia="zh-CN"/>
        </w:rPr>
        <w:t xml:space="preserve"/>
      </w:r>
    </w:p>
    <w:p w14:paraId="7526A423">
      <w:pPr>
        <w:widowControl w:val="0"/>
        <w:spacing w:before="0" w:line="360" w:lineRule="auto"/>
        <w:ind w:firstLine="480"/>
        <w:jc w:val="center"/>
        <w:rPr>
          <w:rFonts w:cs="Times New Roman"/>
          <w:kern w:val="2"/>
          <w:lang w:eastAsia="zh-CN"/>
        </w:rPr>
      </w:pPr>
      <w:r>
        <w:rPr>
          <w:rFonts w:hint="eastAsia" w:cs="Times New Roman"/>
          <w:kern w:val="2"/>
          <w:lang w:eastAsia="zh-CN"/>
        </w:rPr>
        <w:t>版本号：</w:t>
      </w:r>
      <w:r>
        <w:rPr>
          <w:rFonts w:cs="Times New Roman"/>
          <w:kern w:val="2"/>
          <w:lang w:eastAsia="zh-CN"/>
        </w:rPr>
        <w:t xml:space="preserve">V0.1 </w:t>
      </w:r>
    </w:p>
    <w:p w14:paraId="6673BD90">
      <w:pPr>
        <w:widowControl w:val="0"/>
        <w:spacing w:before="0" w:line="360" w:lineRule="auto"/>
        <w:ind w:firstLine="480"/>
        <w:jc w:val="center"/>
        <w:rPr>
          <w:rFonts w:cs="Times New Roman"/>
          <w:kern w:val="2"/>
          <w:lang w:eastAsia="zh-CN"/>
        </w:rPr>
      </w:pPr>
      <w:r>
        <w:rPr>
          <w:rFonts w:hint="eastAsia" w:cs="Times New Roman"/>
          <w:kern w:val="2"/>
          <w:lang w:val="en-US" w:eastAsia="zh-CN"/>
        </w:rPr>
        <w:t>版本日期：</w:t>
      </w:r>
      <w:r>
        <w:rPr>
          <w:rFonts w:cs="Times New Roman"/>
          <w:kern w:val="2"/>
          <w:lang w:eastAsia="zh-CN"/>
        </w:rPr>
        <w:t xml:space="preserve"/>
      </w:r>
      <w:r>
        <w:rPr>
          <w:rFonts w:hint="eastAsia" w:cs="Times New Roman"/>
          <w:kern w:val="2"/>
          <w:lang w:val="en-US" w:eastAsia="zh-CN"/>
        </w:rPr>
        <w:t xml:space="preserve"/>
      </w:r>
      <w:r>
        <w:rPr>
          <w:rFonts w:cs="Times New Roman"/>
          <w:kern w:val="2"/>
          <w:lang w:eastAsia="zh-CN"/>
        </w:rPr>
        <w:t xml:space="preserve"> </w:t>
      </w:r>
    </w:p>
    <w:p w14:paraId="013C180E">
      <w:pPr>
        <w:widowControl w:val="0"/>
        <w:spacing w:before="0" w:line="360" w:lineRule="auto"/>
        <w:ind w:firstLine="480"/>
        <w:jc w:val="center"/>
        <w:rPr>
          <w:rFonts w:cs="Times New Roman"/>
          <w:kern w:val="2"/>
        </w:rPr>
      </w:pPr>
      <w:r>
        <w:rPr>
          <w:rFonts w:hint="eastAsia" w:cs="Times New Roman"/>
          <w:kern w:val="2"/>
          <w:lang w:val="en-US"/>
        </w:rPr>
        <w:t>主要研究者：</w:t>
      </w:r>
      <w:r>
        <w:rPr>
          <w:rFonts w:cs="Times New Roman"/>
          <w:kern w:val="2"/>
        </w:rPr>
        <w:t xml:space="preserve">＿＿＿＿＿＿</w:t>
      </w:r>
      <w:r>
        <w:rPr>
          <w:rFonts w:hint="eastAsia" w:cs="Times New Roman"/>
          <w:kern w:val="2"/>
          <w:lang w:val="en-US"/>
        </w:rPr>
        <w:t xml:space="preserve"/>
      </w:r>
      <w:r>
        <w:rPr>
          <w:rFonts w:cs="Times New Roman"/>
          <w:kern w:val="2"/>
        </w:rPr>
        <w:t xml:space="preserve"/>
      </w:r>
    </w:p>
    <w:p w14:paraId="79738349">
      <w:pPr>
        <w:widowControl w:val="0"/>
        <w:spacing w:before="0" w:line="360" w:lineRule="auto"/>
        <w:ind w:firstLine="480"/>
        <w:jc w:val="center"/>
        <w:rPr>
          <w:rFonts w:cs="Times New Roman"/>
          <w:kern w:val="2"/>
          <w:lang w:eastAsia="zh-CN"/>
        </w:rPr>
      </w:pPr>
      <w:bookmarkStart w:id="1" w:name="_Hlk11942058"/>
      <w:r>
        <w:rPr>
          <w:rFonts w:hint="eastAsia" w:cs="Times New Roman"/>
          <w:kern w:val="2"/>
          <w:lang w:eastAsia="zh-CN"/>
        </w:rPr>
        <w:t>组长单位：</w:t>
      </w:r>
      <w:r>
        <w:rPr>
          <w:rFonts w:cs="Times New Roman"/>
          <w:kern w:val="2"/>
          <w:lang w:eastAsia="zh-CN"/>
        </w:rPr>
        <w:t xml:space="preserve">＿＿＿＿＿＿＿＿</w:t>
      </w:r>
      <w:r>
        <w:rPr>
          <w:rFonts w:hint="eastAsia" w:cs="Times New Roman"/>
          <w:kern w:val="2"/>
          <w:lang w:eastAsia="zh-CN"/>
        </w:rPr>
        <w:t xml:space="preserve"/>
      </w:r>
      <w:r>
        <w:rPr>
          <w:rFonts w:cs="Times New Roman"/>
          <w:kern w:val="2"/>
          <w:lang w:eastAsia="zh-CN"/>
        </w:rPr>
        <w:t xml:space="preserve"/>
      </w:r>
    </w:p>
    <w:bookmarkEnd w:id="1"/>
    <w:p w14:paraId="5F807C2F">
      <w:pPr>
        <w:widowControl w:val="0"/>
        <w:spacing w:before="0" w:line="360" w:lineRule="auto"/>
        <w:ind w:firstLine="480"/>
        <w:jc w:val="center"/>
        <w:rPr>
          <w:rFonts w:cs="Times New Roman"/>
          <w:kern w:val="2"/>
          <w:lang w:eastAsia="zh-CN"/>
        </w:rPr>
      </w:pPr>
      <w:r>
        <w:rPr>
          <w:rFonts w:hint="eastAsia" w:cs="Times New Roman"/>
          <w:kern w:val="2"/>
          <w:lang w:eastAsia="zh-CN"/>
        </w:rPr>
        <w:t>申办者：</w:t>
      </w:r>
      <w:r>
        <w:rPr>
          <w:rFonts w:cs="Times New Roman"/>
          <w:kern w:val="2"/>
          <w:lang w:eastAsia="zh-CN"/>
        </w:rPr>
        <w:t xml:space="preserve"/>
      </w:r>
      <w:r>
        <w:rPr>
          <w:rFonts w:hint="eastAsia" w:cs="Times New Roman"/>
          <w:kern w:val="2"/>
          <w:lang w:eastAsia="zh-CN"/>
        </w:rPr>
        <w:t xml:space="preserve"/>
      </w:r>
      <w:r>
        <w:rPr>
          <w:rFonts w:cs="Times New Roman"/>
          <w:kern w:val="2"/>
          <w:lang w:eastAsia="zh-CN"/>
        </w:rPr>
        <w:t xml:space="preserve"/>
      </w:r>
    </w:p>
    <w:p w14:paraId="5F28F568">
      <w:pPr>
        <w:widowControl w:val="0"/>
        <w:spacing w:before="0" w:line="360" w:lineRule="auto"/>
        <w:ind w:firstLine="480"/>
        <w:jc w:val="center"/>
        <w:rPr>
          <w:rFonts w:cs="Times New Roman"/>
          <w:kern w:val="2"/>
          <w:lang w:eastAsia="zh-CN"/>
        </w:rPr>
      </w:pPr>
      <w:r>
        <w:rPr>
          <w:rFonts w:hint="eastAsia" w:cs="Times New Roman"/>
          <w:kern w:val="2"/>
          <w:lang w:eastAsia="zh-CN"/>
        </w:rPr>
        <w:t>统计分析单位</w:t>
      </w:r>
      <w:r>
        <w:rPr>
          <w:rFonts w:cs="Times New Roman"/>
          <w:kern w:val="2"/>
          <w:lang w:eastAsia="zh-CN"/>
        </w:rPr>
        <w:t>:</w:t>
      </w:r>
      <w:r>
        <w:rPr>
          <w:rFonts w:cs="Times New Roman"/>
          <w:kern w:val="2"/>
          <w:lang w:eastAsia="zh-CN"/>
        </w:rPr>
        <w:tab/>
      </w:r>
      <w:r>
        <w:rPr>
          <w:rFonts w:cs="Times New Roman"/>
          <w:kern w:val="2"/>
          <w:lang w:eastAsia="zh-CN"/>
        </w:rPr>
        <w:t xml:space="preserve">＿＿＿＿＿＿</w:t>
      </w:r>
      <w:r>
        <w:rPr>
          <w:rFonts w:hint="eastAsia" w:cs="Times New Roman"/>
          <w:kern w:val="2"/>
          <w:lang w:eastAsia="zh-CN"/>
        </w:rPr>
        <w:t xml:space="preserve"/>
      </w:r>
      <w:r>
        <w:rPr>
          <w:rFonts w:cs="Times New Roman"/>
          <w:kern w:val="2"/>
          <w:lang w:eastAsia="zh-CN"/>
        </w:rPr>
        <w:t xml:space="preserve"/>
      </w:r>
    </w:p>
    <w:p w14:paraId="415B8AEC">
      <w:pPr>
        <w:widowControl w:val="0"/>
        <w:spacing w:before="0" w:line="360" w:lineRule="auto"/>
        <w:ind w:firstLine="480"/>
        <w:jc w:val="center"/>
        <w:rPr>
          <w:rFonts w:cs="Times New Roman"/>
          <w:kern w:val="2"/>
          <w:lang w:eastAsia="zh-CN"/>
        </w:rPr>
      </w:pPr>
      <w:r>
        <w:rPr>
          <w:rFonts w:hint="eastAsia" w:cs="Times New Roman"/>
          <w:kern w:val="2"/>
          <w:lang w:eastAsia="zh-CN"/>
        </w:rPr>
        <w:t>合同研究组织：</w:t>
      </w:r>
      <w:r>
        <w:rPr>
          <w:rFonts w:cs="Times New Roman"/>
          <w:kern w:val="2"/>
          <w:lang w:eastAsia="zh-CN"/>
        </w:rPr>
        <w:t xml:space="preserve">＿＿＿＿＿＿</w:t>
      </w:r>
      <w:r>
        <w:rPr>
          <w:rFonts w:hint="eastAsia" w:cs="Times New Roman"/>
          <w:kern w:val="2"/>
          <w:lang w:eastAsia="zh-CN"/>
        </w:rPr>
        <w:t xml:space="preserve"/>
      </w:r>
      <w:r>
        <w:rPr>
          <w:rFonts w:cs="Times New Roman"/>
          <w:kern w:val="2"/>
          <w:lang w:eastAsia="zh-CN"/>
        </w:rPr>
        <w:t xml:space="preserve"/>
      </w:r>
      <w:bookmarkEnd w:id="0"/>
    </w:p>
    <w:p w14:paraId="6FED480A">
      <w:pPr>
        <w:pStyle w:val="16"/>
        <w:tabs>
          <w:tab w:val="center" w:pos="4153"/>
          <w:tab w:val="right" w:pos="8306"/>
          <w:tab w:val="clear" w:pos="4513"/>
          <w:tab w:val="clear" w:pos="9026"/>
        </w:tabs>
        <w:spacing w:before="0" w:line="360" w:lineRule="auto"/>
        <w:ind w:firstLine="480" w:firstLineChars="200"/>
        <w:rPr>
          <w:lang w:eastAsia="zh-CN"/>
        </w:rPr>
      </w:pPr>
    </w:p>
    <w:p w14:paraId="7CF18C55">
      <w:pPr>
        <w:pStyle w:val="16"/>
        <w:tabs>
          <w:tab w:val="center" w:pos="4153"/>
          <w:tab w:val="right" w:pos="8306"/>
          <w:tab w:val="clear" w:pos="4513"/>
          <w:tab w:val="clear" w:pos="9026"/>
        </w:tabs>
        <w:spacing w:before="0" w:line="360" w:lineRule="auto"/>
        <w:ind w:firstLine="480" w:firstLineChars="200"/>
        <w:rPr>
          <w:color w:val="00B0F0"/>
          <w:lang w:eastAsia="zh-CN"/>
        </w:rPr>
      </w:pPr>
    </w:p>
    <w:p w14:paraId="59A19DE0">
      <w:pPr>
        <w:pStyle w:val="16"/>
        <w:tabs>
          <w:tab w:val="center" w:pos="4153"/>
          <w:tab w:val="right" w:pos="8306"/>
          <w:tab w:val="clear" w:pos="4513"/>
          <w:tab w:val="clear" w:pos="9026"/>
        </w:tabs>
        <w:spacing w:before="0" w:line="360" w:lineRule="auto"/>
        <w:ind w:firstLine="480" w:firstLineChars="200"/>
        <w:rPr>
          <w:color w:val="00B0F0"/>
          <w:lang w:eastAsia="zh-CN"/>
        </w:rPr>
      </w:pPr>
    </w:p>
    <w:p w14:paraId="3F9717E1">
      <w:pPr>
        <w:spacing w:before="0" w:line="360" w:lineRule="auto"/>
        <w:rPr>
          <w:lang w:eastAsia="zh-CN"/>
        </w:rPr>
      </w:pPr>
      <w:r>
        <w:rPr>
          <w:lang w:val="en-US"/>
        </w:rPr>
        <mc:AlternateContent>
          <mc:Choice Requires="wps">
            <w:drawing>
              <wp:anchor distT="45720" distB="45720" distL="114300" distR="114300" simplePos="0" relativeHeight="251662336" behindDoc="0" locked="0" layoutInCell="1" allowOverlap="1">
                <wp:simplePos x="0" y="0"/>
                <wp:positionH relativeFrom="column">
                  <wp:posOffset>5080</wp:posOffset>
                </wp:positionH>
                <wp:positionV relativeFrom="paragraph">
                  <wp:posOffset>635635</wp:posOffset>
                </wp:positionV>
                <wp:extent cx="6321425" cy="1205865"/>
                <wp:effectExtent l="0" t="0" r="22225" b="13335"/>
                <wp:wrapSquare wrapText="bothSides"/>
                <wp:docPr id="217" name="文本框 2"/>
                <wp:cNvGraphicFramePr/>
                <a:graphic xmlns:a="http://schemas.openxmlformats.org/drawingml/2006/main">
                  <a:graphicData uri="http://schemas.microsoft.com/office/word/2010/wordprocessingShape">
                    <wps:wsp>
                      <wps:cNvSpPr txBox="1"/>
                      <wps:spPr bwMode="auto">
                        <a:xfrm>
                          <a:off x="0" y="0"/>
                          <a:ext cx="6321425" cy="1205865"/>
                        </a:xfrm>
                        <a:prstGeom prst="rect">
                          <a:avLst/>
                        </a:prstGeom>
                        <a:solidFill>
                          <a:srgbClr val="FFFFFF"/>
                        </a:solidFill>
                        <a:ln w="9525">
                          <a:solidFill>
                            <a:srgbClr val="000000"/>
                          </a:solidFill>
                          <a:miter lim="800000"/>
                        </a:ln>
                      </wps:spPr>
                      <wps:txbx>
                        <w:txbxContent>
                          <w:p w14:paraId="4B6BE29D">
                            <w:pPr>
                              <w:pStyle w:val="16"/>
                              <w:tabs>
                                <w:tab w:val="center" w:pos="4153"/>
                                <w:tab w:val="right" w:pos="8306"/>
                                <w:tab w:val="clear" w:pos="4513"/>
                                <w:tab w:val="clear" w:pos="9026"/>
                              </w:tabs>
                              <w:spacing w:before="0" w:line="360" w:lineRule="auto"/>
                              <w:ind w:firstLine="480" w:firstLineChars="200"/>
                              <w:jc w:val="center"/>
                              <w:rPr>
                                <w:rFonts w:ascii="宋体" w:hAnsi="宋体"/>
                                <w:szCs w:val="24"/>
                                <w:lang w:eastAsia="zh-CN"/>
                              </w:rPr>
                            </w:pPr>
                            <w:r>
                              <w:rPr>
                                <w:rFonts w:ascii="宋体" w:hAnsi="宋体"/>
                                <w:szCs w:val="24"/>
                                <w:lang w:eastAsia="zh-CN"/>
                              </w:rPr>
                              <w:t>保密声明</w:t>
                            </w:r>
                          </w:p>
                          <w:p w14:paraId="04E19028">
                            <w:pPr>
                              <w:spacing w:before="0" w:line="360" w:lineRule="auto"/>
                              <w:ind w:firstLine="480" w:firstLineChars="200"/>
                              <w:rPr>
                                <w:rFonts w:ascii="宋体" w:hAnsi="宋体"/>
                                <w:szCs w:val="24"/>
                                <w:lang w:eastAsia="zh-CN"/>
                              </w:rPr>
                            </w:pPr>
                            <w:r>
                              <w:rPr>
                                <w:rFonts w:ascii="宋体" w:hAnsi="宋体"/>
                                <w:szCs w:val="24"/>
                                <w:lang w:eastAsia="zh-CN"/>
                              </w:rPr>
                              <w:t xml:space="preserve">本文件包含重要的保密性商业信息，此信息属申办者所有</w:t>
                            </w:r>
                            <w:r>
                              <w:rPr>
                                <w:rFonts w:ascii="宋体" w:hAnsi="宋体"/>
                                <w:b/>
                                <w:bCs/>
                                <w:szCs w:val="24"/>
                                <w:lang w:eastAsia="zh-CN"/>
                              </w:rPr>
                              <w:t xml:space="preserve"/>
                            </w:r>
                            <w:r>
                              <w:rPr>
                                <w:rFonts w:hint="eastAsia" w:ascii="宋体" w:hAnsi="宋体"/>
                                <w:b/>
                                <w:bCs/>
                                <w:szCs w:val="24"/>
                                <w:lang w:eastAsia="zh-CN"/>
                              </w:rPr>
                              <w:t xml:space="preserve"/>
                            </w:r>
                            <w:r>
                              <w:rPr>
                                <w:rFonts w:ascii="宋体" w:hAnsi="宋体"/>
                                <w:b/>
                                <w:bCs/>
                                <w:szCs w:val="24"/>
                                <w:lang w:eastAsia="zh-CN"/>
                              </w:rPr>
                              <w:t xml:space="preserve"/>
                            </w:r>
                            <w:r>
                              <w:rPr>
                                <w:rFonts w:ascii="宋体" w:hAnsi="宋体"/>
                                <w:szCs w:val="24"/>
                                <w:lang w:eastAsia="zh-CN"/>
                              </w:rPr>
                              <w:t xml:space="preserve">，不得公开，除非现行法律或法规要求。必须将此保密要求告知所有收到本文件的人员，此要求同样适用于所有将来提供给您的</w:t>
                            </w:r>
                            <w:r>
                              <w:rPr>
                                <w:rFonts w:hint="eastAsia" w:ascii="宋体" w:hAnsi="宋体"/>
                                <w:szCs w:val="24"/>
                                <w:lang w:eastAsia="zh-CN"/>
                              </w:rPr>
                              <w:t>著有</w:t>
                            </w:r>
                            <w:r>
                              <w:rPr>
                                <w:rFonts w:ascii="宋体" w:hAnsi="宋体"/>
                                <w:szCs w:val="24"/>
                                <w:lang w:eastAsia="zh-CN"/>
                              </w:rPr>
                              <w:t>注有保密性质的文件。</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4pt;margin-top:50.05pt;height:94.95pt;width:497.75pt;mso-wrap-distance-bottom:3.6pt;mso-wrap-distance-left:9pt;mso-wrap-distance-right:9pt;mso-wrap-distance-top:3.6pt;z-index:251662336;mso-width-relative:page;mso-height-relative:page;" fillcolor="#FFFFFF" filled="t" stroked="t" coordsize="21600,21600" o:gfxdata="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7cNp21wAA&#10;AAgBAAAPAAAAAAAAAAEAIAAAACIAAABkcnMvZG93bnJldi54bWxQSwECFAAUAAAACACHTuJAGKjl&#10;QB8CAABOBAAADgAAAAAAAAABACAAAAAmAQAAZHJzL2Uyb0RvYy54bWxQSwUGAAAAAAYABgBZAQAA&#10;twUAAAAA&#10;">
                <v:fill on="t" focussize="0,0"/>
                <v:stroke color="#000000" miterlimit="8" joinstyle="miter"/>
                <v:imagedata o:title=""/>
                <o:lock v:ext="edit" aspectratio="f"/>
                <v:textbox>
                  <w:txbxContent>
                    <w:p w14:paraId="4B6BE29D">
                      <w:pPr>
                        <w:pStyle w:val="16"/>
                        <w:tabs>
                          <w:tab w:val="center" w:pos="4153"/>
                          <w:tab w:val="right" w:pos="8306"/>
                          <w:tab w:val="clear" w:pos="4513"/>
                          <w:tab w:val="clear" w:pos="9026"/>
                        </w:tabs>
                        <w:spacing w:before="0" w:line="360" w:lineRule="auto"/>
                        <w:ind w:firstLine="480" w:firstLineChars="200"/>
                        <w:jc w:val="center"/>
                        <w:rPr>
                          <w:rFonts w:ascii="宋体" w:hAnsi="宋体"/>
                          <w:szCs w:val="24"/>
                          <w:lang w:eastAsia="zh-CN"/>
                        </w:rPr>
                      </w:pPr>
                      <w:r>
                        <w:rPr>
                          <w:rFonts w:ascii="宋体" w:hAnsi="宋体"/>
                          <w:szCs w:val="24"/>
                          <w:lang w:eastAsia="zh-CN"/>
                        </w:rPr>
                        <w:t>保密声明</w:t>
                      </w:r>
                    </w:p>
                    <w:p w14:paraId="04E19028">
                      <w:pPr>
                        <w:spacing w:before="0" w:line="360" w:lineRule="auto"/>
                        <w:ind w:firstLine="480" w:firstLineChars="200"/>
                        <w:rPr>
                          <w:rFonts w:ascii="宋体" w:hAnsi="宋体"/>
                          <w:szCs w:val="24"/>
                          <w:lang w:eastAsia="zh-CN"/>
                        </w:rPr>
                      </w:pPr>
                      <w:r>
                        <w:rPr>
                          <w:rFonts w:ascii="宋体" w:hAnsi="宋体"/>
                          <w:szCs w:val="24"/>
                          <w:lang w:eastAsia="zh-CN"/>
                        </w:rPr>
                        <w:t xml:space="preserve">本文件包含重要的保密性商业信息，此信息属申办者所有</w:t>
                      </w:r>
                      <w:r>
                        <w:rPr>
                          <w:rFonts w:ascii="宋体" w:hAnsi="宋体"/>
                          <w:b/>
                          <w:bCs/>
                          <w:szCs w:val="24"/>
                          <w:lang w:eastAsia="zh-CN"/>
                        </w:rPr>
                        <w:t xml:space="preserve"/>
                      </w:r>
                      <w:r>
                        <w:rPr>
                          <w:rFonts w:hint="eastAsia" w:ascii="宋体" w:hAnsi="宋体"/>
                          <w:b/>
                          <w:bCs/>
                          <w:szCs w:val="24"/>
                          <w:lang w:eastAsia="zh-CN"/>
                        </w:rPr>
                        <w:t xml:space="preserve"/>
                      </w:r>
                      <w:r>
                        <w:rPr>
                          <w:rFonts w:ascii="宋体" w:hAnsi="宋体"/>
                          <w:b/>
                          <w:bCs/>
                          <w:szCs w:val="24"/>
                          <w:lang w:eastAsia="zh-CN"/>
                        </w:rPr>
                        <w:t xml:space="preserve"/>
                      </w:r>
                      <w:r>
                        <w:rPr>
                          <w:rFonts w:ascii="宋体" w:hAnsi="宋体"/>
                          <w:szCs w:val="24"/>
                          <w:lang w:eastAsia="zh-CN"/>
                        </w:rPr>
                        <w:t xml:space="preserve">，不得公开，除非现行法律或法规要求。必须将此保密要求告知所有收到本文件的人员，此要求同样适用于所有将来提供给您的</w:t>
                      </w:r>
                      <w:r>
                        <w:rPr>
                          <w:rFonts w:hint="eastAsia" w:ascii="宋体" w:hAnsi="宋体"/>
                          <w:szCs w:val="24"/>
                          <w:lang w:eastAsia="zh-CN"/>
                        </w:rPr>
                        <w:t>著有</w:t>
                      </w:r>
                      <w:r>
                        <w:rPr>
                          <w:rFonts w:ascii="宋体" w:hAnsi="宋体"/>
                          <w:szCs w:val="24"/>
                          <w:lang w:eastAsia="zh-CN"/>
                        </w:rPr>
                        <w:t>注有保密性质的文件。</w:t>
                      </w:r>
                    </w:p>
                  </w:txbxContent>
                </v:textbox>
                <w10:wrap type="square"/>
              </v:shape>
            </w:pict>
          </mc:Fallback>
        </mc:AlternateContent>
      </w:r>
    </w:p>
    <w:p w14:paraId="77FDFA9D">
      <w:pPr>
        <w:spacing w:before="0" w:line="360" w:lineRule="auto"/>
        <w:rPr>
          <w:lang w:eastAsia="zh-CN"/>
        </w:rPr>
        <w:sectPr>
          <w:headerReference r:id="rId5" w:type="default"/>
          <w:footerReference r:id="rId6" w:type="default"/>
          <w:pgSz w:w="11910" w:h="16840"/>
          <w:pgMar w:top="1440" w:right="1009" w:bottom="1440" w:left="1009" w:header="578" w:footer="578" w:gutter="0"/>
          <w:cols w:space="720" w:num="1"/>
        </w:sectPr>
      </w:pPr>
    </w:p>
    <w:p w14:paraId="2FE4B48D">
      <w:pPr>
        <w:pStyle w:val="2"/>
        <w:rPr>
          <w:rFonts w:cs="Times New Roman"/>
          <w:sz w:val="24"/>
          <w:lang w:eastAsia="zh-CN"/>
        </w:rPr>
      </w:pPr>
      <w:bookmarkStart w:id="2" w:name="_Toc132623298"/>
      <w:bookmarkStart w:id="3" w:name="_Toc104637453"/>
      <w:bookmarkStart w:id="4" w:name="_Hlk104637238"/>
      <w:bookmarkStart w:id="5" w:name="_Toc13665728"/>
      <w:bookmarkStart w:id="6" w:name="_Toc89520927"/>
      <w:bookmarkStart w:id="7" w:name="_Toc13665884"/>
      <w:bookmarkStart w:id="8" w:name="_Toc13554191"/>
      <w:bookmarkStart w:id="9" w:name="_Hlk89462804"/>
      <w:bookmarkStart w:id="10" w:name="_Toc12416123"/>
      <w:r>
        <w:rPr>
          <w:rFonts w:hint="eastAsia" w:cs="Times New Roman"/>
          <w:sz w:val="24"/>
          <w:lang w:eastAsia="zh-CN"/>
        </w:rPr>
        <w:t>方案修订历史记录</w:t>
      </w:r>
      <w:bookmarkEnd w:id="2"/>
      <w:bookmarkEnd w:id="3"/>
    </w:p>
    <w:tbl>
      <w:tblPr>
        <w:tblStyle w:val="27"/>
        <w:tblW w:w="9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134"/>
        <w:gridCol w:w="5244"/>
        <w:gridCol w:w="2030"/>
      </w:tblGrid>
      <w:tr w14:paraId="310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5" w:type="dxa"/>
            <w:tcBorders>
              <w:top w:val="single" w:color="auto" w:sz="4" w:space="0"/>
              <w:left w:val="single" w:color="auto" w:sz="4" w:space="0"/>
              <w:bottom w:val="single" w:color="auto" w:sz="4" w:space="0"/>
              <w:right w:val="single" w:color="auto" w:sz="4" w:space="0"/>
            </w:tcBorders>
          </w:tcPr>
          <w:p w14:paraId="3CAC6DB3">
            <w:pPr>
              <w:autoSpaceDE w:val="0"/>
              <w:autoSpaceDN w:val="0"/>
              <w:adjustRightInd w:val="0"/>
              <w:spacing w:before="0" w:line="360" w:lineRule="auto"/>
              <w:jc w:val="center"/>
              <w:rPr>
                <w:rFonts w:cs="Times New Roman"/>
                <w:sz w:val="21"/>
                <w:szCs w:val="21"/>
              </w:rPr>
            </w:pPr>
            <w:r>
              <w:rPr>
                <w:rFonts w:hint="eastAsia" w:cs="Times New Roman"/>
                <w:sz w:val="21"/>
                <w:szCs w:val="21"/>
              </w:rPr>
              <w:t>版本</w:t>
            </w:r>
          </w:p>
        </w:tc>
        <w:tc>
          <w:tcPr>
            <w:tcW w:w="1134" w:type="dxa"/>
            <w:tcBorders>
              <w:top w:val="single" w:color="auto" w:sz="4" w:space="0"/>
              <w:left w:val="single" w:color="auto" w:sz="4" w:space="0"/>
              <w:bottom w:val="single" w:color="auto" w:sz="4" w:space="0"/>
              <w:right w:val="single" w:color="auto" w:sz="4" w:space="0"/>
            </w:tcBorders>
          </w:tcPr>
          <w:p w14:paraId="3DF933E2">
            <w:pPr>
              <w:autoSpaceDE w:val="0"/>
              <w:autoSpaceDN w:val="0"/>
              <w:adjustRightInd w:val="0"/>
              <w:spacing w:before="0" w:line="360" w:lineRule="auto"/>
              <w:jc w:val="center"/>
              <w:rPr>
                <w:rFonts w:cs="Times New Roman"/>
                <w:sz w:val="21"/>
                <w:szCs w:val="21"/>
              </w:rPr>
            </w:pPr>
            <w:r>
              <w:rPr>
                <w:rFonts w:hint="eastAsia" w:cs="Times New Roman"/>
                <w:sz w:val="21"/>
                <w:szCs w:val="21"/>
              </w:rPr>
              <w:t>日期</w:t>
            </w:r>
          </w:p>
        </w:tc>
        <w:tc>
          <w:tcPr>
            <w:tcW w:w="5244" w:type="dxa"/>
            <w:tcBorders>
              <w:top w:val="single" w:color="auto" w:sz="4" w:space="0"/>
              <w:left w:val="single" w:color="auto" w:sz="4" w:space="0"/>
              <w:bottom w:val="single" w:color="auto" w:sz="4" w:space="0"/>
              <w:right w:val="single" w:color="auto" w:sz="4" w:space="0"/>
            </w:tcBorders>
          </w:tcPr>
          <w:p w14:paraId="1C48465C">
            <w:pPr>
              <w:autoSpaceDE w:val="0"/>
              <w:autoSpaceDN w:val="0"/>
              <w:adjustRightInd w:val="0"/>
              <w:spacing w:before="0" w:line="360" w:lineRule="auto"/>
              <w:jc w:val="center"/>
              <w:rPr>
                <w:rFonts w:cs="Times New Roman"/>
                <w:sz w:val="21"/>
                <w:szCs w:val="21"/>
              </w:rPr>
            </w:pPr>
            <w:r>
              <w:rPr>
                <w:rFonts w:hint="eastAsia" w:cs="Times New Roman"/>
                <w:sz w:val="21"/>
                <w:szCs w:val="21"/>
              </w:rPr>
              <w:t>变更描述</w:t>
            </w:r>
          </w:p>
        </w:tc>
        <w:tc>
          <w:tcPr>
            <w:tcW w:w="2030" w:type="dxa"/>
            <w:tcBorders>
              <w:top w:val="single" w:color="auto" w:sz="4" w:space="0"/>
              <w:left w:val="single" w:color="auto" w:sz="4" w:space="0"/>
              <w:bottom w:val="single" w:color="auto" w:sz="4" w:space="0"/>
              <w:right w:val="single" w:color="auto" w:sz="4" w:space="0"/>
            </w:tcBorders>
          </w:tcPr>
          <w:p w14:paraId="1BC0086C">
            <w:pPr>
              <w:autoSpaceDE w:val="0"/>
              <w:autoSpaceDN w:val="0"/>
              <w:adjustRightInd w:val="0"/>
              <w:spacing w:before="0" w:line="360" w:lineRule="auto"/>
              <w:jc w:val="center"/>
              <w:rPr>
                <w:rFonts w:cs="Times New Roman"/>
                <w:sz w:val="21"/>
                <w:szCs w:val="21"/>
              </w:rPr>
            </w:pPr>
            <w:r>
              <w:rPr>
                <w:rFonts w:hint="eastAsia" w:cs="Times New Roman"/>
                <w:sz w:val="21"/>
                <w:szCs w:val="21"/>
              </w:rPr>
              <w:t>简要依据</w:t>
            </w:r>
          </w:p>
        </w:tc>
      </w:tr>
      <w:tr w14:paraId="0FD9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47E8C262">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4775F1FB">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12D115DC">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7A404D12">
            <w:pPr>
              <w:autoSpaceDE w:val="0"/>
              <w:autoSpaceDN w:val="0"/>
              <w:adjustRightInd w:val="0"/>
              <w:spacing w:before="0" w:line="360" w:lineRule="auto"/>
              <w:ind w:firstLine="420" w:firstLineChars="200"/>
              <w:jc w:val="left"/>
              <w:rPr>
                <w:rFonts w:cs="Times New Roman"/>
                <w:sz w:val="21"/>
                <w:szCs w:val="21"/>
              </w:rPr>
            </w:pPr>
          </w:p>
        </w:tc>
      </w:tr>
      <w:tr w14:paraId="2D86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294B900D">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52E21B49">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473DB42F">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253641CC">
            <w:pPr>
              <w:autoSpaceDE w:val="0"/>
              <w:autoSpaceDN w:val="0"/>
              <w:adjustRightInd w:val="0"/>
              <w:spacing w:before="0" w:line="360" w:lineRule="auto"/>
              <w:ind w:firstLine="420" w:firstLineChars="200"/>
              <w:jc w:val="left"/>
              <w:rPr>
                <w:rFonts w:cs="Times New Roman"/>
                <w:sz w:val="21"/>
                <w:szCs w:val="21"/>
              </w:rPr>
            </w:pPr>
          </w:p>
        </w:tc>
      </w:tr>
      <w:tr w14:paraId="163C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2DBD42FD">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50BFB4E8">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658C0FAE">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49427986">
            <w:pPr>
              <w:autoSpaceDE w:val="0"/>
              <w:autoSpaceDN w:val="0"/>
              <w:adjustRightInd w:val="0"/>
              <w:spacing w:before="0" w:line="360" w:lineRule="auto"/>
              <w:ind w:firstLine="420" w:firstLineChars="200"/>
              <w:jc w:val="left"/>
              <w:rPr>
                <w:rFonts w:cs="Times New Roman"/>
                <w:sz w:val="21"/>
                <w:szCs w:val="21"/>
              </w:rPr>
            </w:pPr>
          </w:p>
        </w:tc>
      </w:tr>
      <w:tr w14:paraId="7BA9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3C1332E8">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4794C8CB">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31E7FDC5">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2BFF493B">
            <w:pPr>
              <w:autoSpaceDE w:val="0"/>
              <w:autoSpaceDN w:val="0"/>
              <w:adjustRightInd w:val="0"/>
              <w:spacing w:before="0" w:line="360" w:lineRule="auto"/>
              <w:ind w:firstLine="420" w:firstLineChars="200"/>
              <w:jc w:val="left"/>
              <w:rPr>
                <w:rFonts w:cs="Times New Roman"/>
                <w:sz w:val="21"/>
                <w:szCs w:val="21"/>
              </w:rPr>
            </w:pPr>
          </w:p>
        </w:tc>
      </w:tr>
      <w:bookmarkEnd w:id="4"/>
    </w:tbl>
    <w:p w14:paraId="772A6153">
      <w:pPr>
        <w:spacing w:before="0" w:line="240" w:lineRule="auto"/>
        <w:jc w:val="left"/>
        <w:rPr>
          <w:rFonts w:cstheme="majorBidi"/>
          <w:b/>
          <w:sz w:val="28"/>
          <w:szCs w:val="28"/>
          <w:lang w:eastAsia="zh-CN"/>
        </w:rPr>
      </w:pPr>
    </w:p>
    <w:p w14:paraId="2A81DC1A">
      <w:pPr>
        <w:spacing w:before="0" w:line="240" w:lineRule="auto"/>
        <w:jc w:val="left"/>
        <w:rPr>
          <w:rFonts w:cstheme="majorBidi"/>
          <w:b/>
          <w:sz w:val="28"/>
          <w:szCs w:val="28"/>
          <w:lang w:eastAsia="zh-CN"/>
        </w:rPr>
      </w:pPr>
      <w:r>
        <w:rPr>
          <w:rFonts w:cstheme="majorBidi"/>
          <w:b/>
          <w:sz w:val="28"/>
          <w:szCs w:val="28"/>
          <w:lang w:eastAsia="zh-CN"/>
        </w:rPr>
        <w:br w:type="page"/>
      </w:r>
    </w:p>
    <w:p w14:paraId="65844D79">
      <w:pPr>
        <w:pStyle w:val="2"/>
        <w:jc w:val="center"/>
        <w:rPr>
          <w:rFonts w:cs="Times New Roman"/>
          <w:sz w:val="24"/>
          <w:szCs w:val="24"/>
          <w:lang w:eastAsia="zh-CN"/>
        </w:rPr>
      </w:pPr>
      <w:bookmarkStart w:id="11" w:name="_Toc132623299"/>
      <w:r>
        <w:rPr>
          <w:rFonts w:hint="eastAsia" w:cs="Times New Roman"/>
          <w:sz w:val="24"/>
          <w:szCs w:val="24"/>
          <w:lang w:eastAsia="zh-CN"/>
        </w:rPr>
        <w:t>主要</w:t>
      </w:r>
      <w:r>
        <w:rPr>
          <w:rFonts w:cs="Times New Roman"/>
          <w:sz w:val="24"/>
          <w:szCs w:val="24"/>
          <w:lang w:eastAsia="zh-CN"/>
        </w:rPr>
        <w:t>研究者签字页</w:t>
      </w:r>
      <w:bookmarkEnd w:id="5"/>
      <w:bookmarkEnd w:id="6"/>
      <w:bookmarkEnd w:id="7"/>
      <w:bookmarkEnd w:id="8"/>
      <w:bookmarkEnd w:id="11"/>
    </w:p>
    <w:p w14:paraId="1F9CFF4A">
      <w:pPr>
        <w:spacing w:before="0" w:line="360" w:lineRule="auto"/>
        <w:ind w:firstLine="480"/>
        <w:rPr>
          <w:lang w:eastAsia="zh-CN"/>
        </w:rPr>
      </w:pPr>
    </w:p>
    <w:p w14:paraId="64FA75AC">
      <w:pPr>
        <w:spacing w:before="0" w:line="360" w:lineRule="auto"/>
        <w:ind w:firstLine="482"/>
        <w:rPr>
          <w:lang w:eastAsia="zh-CN"/>
        </w:rPr>
      </w:pPr>
      <w:r>
        <w:rPr>
          <w:lang w:eastAsia="zh-CN"/>
        </w:rPr>
        <w:t xml:space="preserve">我已阅读此临床试验方案（方案编号：WP6-MDD-BLIND-C，版本号：V0.1</w:t>
      </w:r>
      <w:r>
        <w:rPr>
          <w:rFonts w:hint="eastAsia"/>
          <w:lang w:eastAsia="zh-CN"/>
        </w:rPr>
        <w:t>，版本日期：</w:t>
      </w:r>
      <w:r>
        <w:rPr>
          <w:lang w:eastAsia="zh-CN"/>
        </w:rPr>
        <w:t xml:space="preserve">），同意依照此方案的所有条款、现行法规和赫尔辛基宣言中的伦理原则进行临床试验。</w:t>
      </w:r>
    </w:p>
    <w:p w14:paraId="778145BC">
      <w:pPr>
        <w:spacing w:before="0" w:line="360" w:lineRule="auto"/>
        <w:ind w:firstLine="480"/>
        <w:rPr>
          <w:lang w:eastAsia="zh-CN"/>
        </w:rPr>
      </w:pPr>
    </w:p>
    <w:p w14:paraId="355D3FF9">
      <w:pPr>
        <w:spacing w:before="0" w:line="360" w:lineRule="auto"/>
        <w:ind w:firstLine="480"/>
        <w:rPr>
          <w:lang w:eastAsia="zh-CN"/>
        </w:rPr>
      </w:pPr>
    </w:p>
    <w:p w14:paraId="556C04E7">
      <w:pPr>
        <w:spacing w:before="0" w:line="360" w:lineRule="auto"/>
        <w:ind w:firstLine="480"/>
        <w:rPr>
          <w:lang w:eastAsia="zh-CN"/>
        </w:rPr>
      </w:pPr>
      <w:r>
        <w:rPr>
          <w:lang w:eastAsia="zh-CN"/>
        </w:rPr>
        <w:t xml:space="preserve">临床研究单位：＿＿＿＿＿＿＿＿</w:t>
      </w:r>
    </w:p>
    <w:p w14:paraId="2C04FCC4">
      <w:pPr>
        <w:spacing w:before="0" w:line="360" w:lineRule="auto"/>
        <w:ind w:firstLine="480"/>
        <w:rPr>
          <w:lang w:eastAsia="zh-CN"/>
        </w:rPr>
      </w:pPr>
    </w:p>
    <w:p w14:paraId="5661C5CA">
      <w:pPr>
        <w:adjustRightInd w:val="0"/>
        <w:snapToGrid w:val="0"/>
        <w:spacing w:before="0" w:line="360" w:lineRule="auto"/>
        <w:ind w:firstLine="480"/>
        <w:rPr>
          <w:lang w:eastAsia="zh-CN"/>
        </w:rPr>
      </w:pPr>
      <w:r>
        <w:rPr>
          <w:lang w:eastAsia="zh-CN"/>
        </w:rPr>
        <w:t>主要研究者签名／日期</w:t>
      </w:r>
      <w:r>
        <w:rPr>
          <w:rFonts w:hint="eastAsia"/>
          <w:lang w:eastAsia="zh-CN"/>
        </w:rPr>
        <w:t>：</w:t>
      </w:r>
    </w:p>
    <w:p w14:paraId="7FEDC75F">
      <w:pPr>
        <w:adjustRightInd w:val="0"/>
        <w:snapToGrid w:val="0"/>
        <w:spacing w:before="0" w:line="360" w:lineRule="auto"/>
        <w:ind w:firstLine="480"/>
        <w:rPr>
          <w:lang w:eastAsia="zh-CN"/>
        </w:rPr>
      </w:pPr>
      <w:r>
        <w:rPr>
          <w:rFonts w:hint="eastAsia"/>
          <w:lang w:eastAsia="zh-CN"/>
        </w:rPr>
        <w:t xml:space="preserve"> </w:t>
      </w:r>
      <w:r>
        <w:rPr>
          <w:lang w:eastAsia="zh-CN"/>
        </w:rPr>
        <w:t xml:space="preserve">                       </w:t>
      </w:r>
    </w:p>
    <w:p w14:paraId="6006846A">
      <w:pPr>
        <w:adjustRightInd w:val="0"/>
        <w:snapToGrid w:val="0"/>
        <w:spacing w:before="0" w:line="360" w:lineRule="auto"/>
        <w:ind w:firstLine="3600" w:firstLineChars="1500"/>
        <w:rPr>
          <w:lang w:val="zh-CN" w:eastAsia="zh-CN"/>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315595</wp:posOffset>
                </wp:positionV>
                <wp:extent cx="3619500" cy="0"/>
                <wp:effectExtent l="0" t="0" r="0" b="0"/>
                <wp:wrapNone/>
                <wp:docPr id="27" name="直接连接符 27"/>
                <wp:cNvGraphicFramePr/>
                <a:graphic xmlns:a="http://schemas.openxmlformats.org/drawingml/2006/main">
                  <a:graphicData uri="http://schemas.microsoft.com/office/word/2010/wordprocessingShape">
                    <wps:wsp>
                      <wps:cNvCnPr/>
                      <wps:spPr bwMode="auto">
                        <a:xfrm>
                          <a:off x="0" y="0"/>
                          <a:ext cx="36195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24.85pt;height:0pt;width:285pt;z-index:251663360;mso-width-relative:page;mso-height-relative:page;" filled="f" stroked="t" coordsize="21600,21600" o:gfxdata="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NGi+rUAAAABgEAAA8AAAAAAAAAAQAgAAAAIgAAAGRy&#10;cy9kb3ducmV2LnhtbFBLAQIUABQAAAAIAIdO4kCPPHZZ0AEAAIgDAAAOAAAAAAAAAAEAIAAAACMB&#10;AABkcnMvZTJvRG9jLnhtbFBLBQYAAAAABgAGAFkBAABlBQAAAAA=&#10;">
                <v:fill on="f" focussize="0,0"/>
                <v:stroke color="#000000" joinstyle="round"/>
                <v:imagedata o:title=""/>
                <o:lock v:ext="edit" aspectratio="f"/>
              </v:line>
            </w:pict>
          </mc:Fallback>
        </mc:AlternateContent>
      </w:r>
      <w:r>
        <w:rPr>
          <w:lang w:eastAsia="zh-CN"/>
        </w:rPr>
        <w:t xml:space="preserve">年     月     日</w:t>
      </w:r>
    </w:p>
    <w:bookmarkEnd w:id="9"/>
    <w:p w14:paraId="4AE500BC">
      <w:pPr>
        <w:rPr>
          <w:lang w:eastAsia="zh-CN"/>
        </w:rPr>
      </w:pPr>
    </w:p>
    <w:p w14:paraId="1776759E">
      <w:pPr>
        <w:rPr>
          <w:lang w:eastAsia="zh-CN"/>
        </w:rPr>
      </w:pPr>
    </w:p>
    <w:p w14:paraId="0D023C7B">
      <w:pPr>
        <w:rPr>
          <w:lang w:eastAsia="zh-CN"/>
        </w:rPr>
      </w:pPr>
    </w:p>
    <w:p w14:paraId="36D73CEB">
      <w:pPr>
        <w:rPr>
          <w:lang w:eastAsia="zh-CN"/>
        </w:rPr>
      </w:pPr>
    </w:p>
    <w:p w14:paraId="584CD2EF">
      <w:pPr>
        <w:rPr>
          <w:lang w:eastAsia="zh-CN"/>
        </w:rPr>
      </w:pPr>
    </w:p>
    <w:p w14:paraId="71730C82">
      <w:pPr>
        <w:spacing w:before="0" w:line="240" w:lineRule="auto"/>
        <w:jc w:val="left"/>
        <w:rPr>
          <w:lang w:eastAsia="zh-CN"/>
        </w:rPr>
      </w:pPr>
      <w:r>
        <w:rPr>
          <w:lang w:eastAsia="zh-CN"/>
        </w:rPr>
        <w:br w:type="page"/>
      </w:r>
    </w:p>
    <w:p w14:paraId="1D527B4C">
      <w:pPr>
        <w:pStyle w:val="2"/>
        <w:jc w:val="center"/>
        <w:rPr>
          <w:rFonts w:cs="Times New Roman"/>
          <w:sz w:val="24"/>
          <w:szCs w:val="24"/>
          <w:lang w:eastAsia="zh-CN"/>
        </w:rPr>
      </w:pPr>
      <w:bookmarkStart w:id="12" w:name="_Toc13665885"/>
      <w:bookmarkStart w:id="13" w:name="_Toc13665729"/>
      <w:bookmarkStart w:id="14" w:name="_Toc13554192"/>
      <w:bookmarkStart w:id="15" w:name="_Toc132623300"/>
      <w:bookmarkStart w:id="16" w:name="_Toc89520928"/>
      <w:bookmarkStart w:id="17" w:name="_Hlk89462853"/>
      <w:r>
        <w:rPr>
          <w:rFonts w:cs="Times New Roman"/>
          <w:sz w:val="24"/>
          <w:szCs w:val="24"/>
          <w:lang w:eastAsia="zh-CN"/>
        </w:rPr>
        <w:t>申办者签字页</w:t>
      </w:r>
      <w:bookmarkEnd w:id="12"/>
      <w:bookmarkEnd w:id="13"/>
      <w:bookmarkEnd w:id="14"/>
      <w:bookmarkEnd w:id="15"/>
      <w:bookmarkEnd w:id="16"/>
    </w:p>
    <w:p w14:paraId="36110890">
      <w:pPr>
        <w:spacing w:before="0" w:line="360" w:lineRule="auto"/>
        <w:ind w:firstLine="482"/>
        <w:rPr>
          <w:lang w:eastAsia="zh-CN"/>
        </w:rPr>
      </w:pPr>
      <w:r>
        <w:rPr>
          <w:lang w:eastAsia="zh-CN"/>
        </w:rPr>
        <w:t xml:space="preserve">我已阅读此临床试验方案（方案编号：WP6-MDD-BLIND-C，版本号：V0.1</w:t>
      </w:r>
      <w:r>
        <w:rPr>
          <w:rFonts w:hint="eastAsia"/>
          <w:lang w:eastAsia="zh-CN"/>
        </w:rPr>
        <w:t>，版本日期：</w:t>
      </w:r>
      <w:r>
        <w:rPr>
          <w:lang w:eastAsia="zh-CN"/>
        </w:rPr>
        <w:t xml:space="preserve">），同意依照此方案的所有条款、现行法规和赫尔辛基宣言中的伦理原则进行临床试验。</w:t>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 xml:space="preserve">申办者：</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申办者代表签名／日期</w:t>
      </w:r>
      <w:r>
        <w:rPr>
          <w:rFonts w:hint="eastAsia"/>
          <w:lang w:eastAsia="zh-CN"/>
        </w:rPr>
        <w:t>：</w:t>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315595</wp:posOffset>
                </wp:positionV>
                <wp:extent cx="3619500" cy="0"/>
                <wp:effectExtent l="0" t="0" r="0" b="0"/>
                <wp:wrapNone/>
                <wp:docPr id="28" name="直接连接符 28"/>
                <wp:cNvGraphicFramePr/>
                <a:graphic xmlns:a="http://schemas.openxmlformats.org/drawingml/2006/main">
                  <a:graphicData uri="http://schemas.microsoft.com/office/word/2010/wordprocessingShape">
                    <wps:wsp>
                      <wps:cNvCnPr/>
                      <wps:spPr bwMode="auto">
                        <a:xfrm>
                          <a:off x="0" y="0"/>
                          <a:ext cx="36195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24.85pt;height:0pt;width:285pt;z-index:251664384;mso-width-relative:page;mso-height-relative:page;" filled="f" stroked="t" coordsize="21600,21600" o:gfxdata="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0aL6tQAAAAGAQAADwAAAAAAAAABACAAAAAiAAAAZHJz&#10;L2Rvd25yZXYueG1sUEsBAhQAFAAAAAgAh07iQMd3MNLPAQAAiAMAAA4AAAAAAAAAAQAgAAAAIwEA&#10;AGRycy9lMm9Eb2MueG1sUEsFBgAAAAAGAAYAWQEAAGQFAAAAAA==&#10;">
                <v:fill on="f" focussize="0,0"/>
                <v:stroke color="#000000" joinstyle="round"/>
                <v:imagedata o:title=""/>
                <o:lock v:ext="edit" aspectratio="f"/>
              </v:line>
            </w:pict>
          </mc:Fallback>
        </mc:AlternateContent>
      </w:r>
      <w:r>
        <w:rPr>
          <w:lang w:eastAsia="zh-CN"/>
        </w:rPr>
        <w:t xml:space="preserve">年     月     日</w:t>
      </w:r>
      <w:bookmarkEnd w:id="17"/>
      <w:r>
        <w:rPr>
          <w:lang w:eastAsia="zh-CN"/>
        </w:rPr>
        <w:t xml:space="preserve"/>
      </w:r>
    </w:p>
    <w:p w14:paraId="7737AF66">
      <w:pPr>
        <w:spacing w:before="0" w:line="360" w:lineRule="auto"/>
        <w:rPr>
          <w:lang w:eastAsia="zh-CN"/>
        </w:rPr>
      </w:pPr>
    </w:p>
    <w:p w14:paraId="1D527B4C">
      <w:pPr>
        <w:pStyle w:val="2"/>
        <w:jc w:val="center"/>
        <w:rPr>
          <w:rFonts w:cs="Times New Roman"/>
          <w:sz w:val="24"/>
          <w:szCs w:val="24"/>
          <w:lang w:eastAsia="zh-CN"/>
        </w:rPr>
      </w:pPr>
      <w:r>
        <w:rPr>
          <w:rFonts w:cs="Times New Roman"/>
          <w:sz w:val="24"/>
          <w:szCs w:val="24"/>
          <w:lang w:eastAsia="zh-CN"/>
        </w:rPr>
        <w:t>合同研究组织签字页</w:t>
      </w:r>
    </w:p>
    <w:p w14:paraId="36110890">
      <w:pPr>
        <w:spacing w:before="0" w:line="360" w:lineRule="auto"/>
        <w:ind w:firstLine="482"/>
        <w:rPr>
          <w:lang w:eastAsia="zh-CN"/>
        </w:rPr>
      </w:pPr>
      <w:r>
        <w:rPr>
          <w:lang w:eastAsia="zh-CN"/>
        </w:rPr>
        <w:t>我已阅读此临床试验方案（方案编号：WP6-MDD-BLIND-C，版本号：V0.1，版本日期：），同意依照此方案的所有条款、现行法规和赫尔辛基宣言中的伦理原则进行临床试验。</w:t>
      </w:r>
      <w:r>
        <w:rPr>
          <w:rFonts w:hint="eastAsia"/>
          <w:lang w:eastAsia="zh-CN"/>
        </w:rPr>
      </w:r>
      <w:r>
        <w:rPr>
          <w:lang w:eastAsia="zh-CN"/>
        </w:rPr>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合同研究组织：</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合同研究组织代表签名／日期：</w:t>
      </w:r>
      <w:r>
        <w:rPr>
          <w:rFonts w:hint="eastAsia"/>
          <w:lang w:eastAsia="zh-CN"/>
        </w:rPr>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w:t>年     月     日</w:t>
      </w:r>
      <w:r>
        <w:rPr>
          <w:lang w:eastAsia="zh-CN"/>
        </w:rPr>
      </w:r>
      <w:r>
        <w:rPr>
          <w:lang w:eastAsia="zh-CN"/>
        </w:rPr>
      </w:r>
    </w:p>
    <w:p w14:paraId="7737AF66">
      <w:pPr>
        <w:spacing w:before="0" w:line="360" w:lineRule="auto"/>
        <w:rPr>
          <w:lang w:eastAsia="zh-CN"/>
        </w:rPr>
      </w:pPr>
    </w:p>
    <w:p w14:paraId="1D527B4C">
      <w:pPr>
        <w:pStyle w:val="2"/>
        <w:jc w:val="center"/>
        <w:rPr>
          <w:rFonts w:cs="Times New Roman"/>
          <w:sz w:val="24"/>
          <w:szCs w:val="24"/>
          <w:lang w:eastAsia="zh-CN"/>
        </w:rPr>
      </w:pPr>
      <w:r>
        <w:rPr>
          <w:rFonts w:cs="Times New Roman"/>
          <w:sz w:val="24"/>
          <w:szCs w:val="24"/>
          <w:lang w:eastAsia="zh-CN"/>
        </w:rPr>
        <w:t>统计单位签字页</w:t>
      </w:r>
    </w:p>
    <w:p w14:paraId="36110890">
      <w:pPr>
        <w:spacing w:before="0" w:line="360" w:lineRule="auto"/>
        <w:ind w:firstLine="482"/>
        <w:rPr>
          <w:lang w:eastAsia="zh-CN"/>
        </w:rPr>
      </w:pPr>
      <w:r>
        <w:rPr>
          <w:lang w:eastAsia="zh-CN"/>
        </w:rPr>
        <w:t>我已阅读此临床试验方案（方案编号：WP6-MDD-BLIND-C，版本号：V0.1，版本日期：），同意依照此方案的所有条款、现行法规和赫尔辛基宣言中的伦理原则进行临床试验。</w:t>
      </w:r>
      <w:r>
        <w:rPr>
          <w:rFonts w:hint="eastAsia"/>
          <w:lang w:eastAsia="zh-CN"/>
        </w:rPr>
      </w:r>
      <w:r>
        <w:rPr>
          <w:lang w:eastAsia="zh-CN"/>
        </w:rPr>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统计单位：</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统计单位代表签名／日期：</w:t>
      </w:r>
      <w:r>
        <w:rPr>
          <w:rFonts w:hint="eastAsia"/>
          <w:lang w:eastAsia="zh-CN"/>
        </w:rPr>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w:t>年     月     日</w:t>
      </w:r>
      <w:r>
        <w:rPr>
          <w:lang w:eastAsia="zh-CN"/>
        </w:rPr>
      </w:r>
      <w:r>
        <w:rPr>
          <w:lang w:eastAsia="zh-CN"/>
        </w:rPr>
      </w:r>
    </w:p>
    <w:p w14:paraId="7737AF66">
      <w:pPr>
        <w:spacing w:before="0" w:line="360" w:lineRule="auto"/>
        <w:rPr>
          <w:lang w:eastAsia="zh-CN"/>
        </w:rPr>
      </w:pPr>
    </w:p>
    <w:p w14:paraId="01FC4423">
      <w:pPr>
        <w:pStyle w:val="2"/>
        <w:jc w:val="center"/>
        <w:rPr>
          <w:b w:val="0"/>
          <w:sz w:val="24"/>
          <w:szCs w:val="22"/>
          <w:lang w:eastAsia="zh-CN"/>
        </w:rPr>
      </w:pPr>
    </w:p>
    <w:bookmarkEnd w:id="18"/>
    <w:bookmarkEnd w:id="19"/>
    <w:bookmarkEnd w:id="20"/>
    <w:bookmarkEnd w:id="21"/>
    <w:bookmarkEnd w:id="22"/>
    <w:bookmarkEnd w:id="23"/>
    <w:p w14:paraId="66F25D3F">
      <w:pPr>
        <w:pStyle w:val="2"/>
        <w:jc w:val="center"/>
        <w:rPr>
          <w:rFonts w:cs="Times New Roman"/>
          <w:color w:val="000000" w:themeColor="text1"/>
          <w:sz w:val="24"/>
          <w:lang w:eastAsia="zh-CN"/>
          <w14:textFill>
            <w14:solidFill>
              <w14:schemeClr w14:val="tx1"/>
            </w14:solidFill>
          </w14:textFill>
        </w:rPr>
      </w:pPr>
      <w:bookmarkStart w:id="24" w:name="_Toc132623301"/>
      <w:bookmarkStart w:id="25" w:name="_Toc89520932"/>
      <w:bookmarkStart w:id="26" w:name="_Toc12416126"/>
      <w:bookmarkStart w:id="27" w:name="_Toc13554197"/>
      <w:bookmarkStart w:id="28" w:name="_Hlk89463072"/>
      <w:r>
        <w:rPr>
          <w:rFonts w:hint="eastAsia" w:cs="Times New Roman"/>
          <w:color w:val="000000" w:themeColor="text1"/>
          <w:sz w:val="24"/>
          <w:lang w:eastAsia="zh-CN"/>
          <w14:textFill>
            <w14:solidFill>
              <w14:schemeClr w14:val="tx1"/>
            </w14:solidFill>
          </w14:textFill>
        </w:rPr>
        <w:t>临床试验相关单位联系方式</w:t>
      </w:r>
      <w:bookmarkEnd w:id="24"/>
      <w:bookmarkEnd w:id="25"/>
    </w:p>
    <w:bookmarkEnd w:id="26"/>
    <w:bookmarkEnd w:id="27"/>
    <w:p w14:paraId="6CDA570F">
      <w:pPr>
        <w:numPr>
          <w:ilvl w:val="0"/>
          <w:numId w:val="2"/>
        </w:numPr>
        <w:spacing w:before="0" w:line="240" w:lineRule="auto"/>
        <w:ind w:left="0" w:firstLine="561"/>
        <w:rPr>
          <w:rFonts w:cs="Times New Roman"/>
          <w:lang w:val="zh-TW"/>
        </w:rPr>
      </w:pPr>
      <w:r>
        <w:rPr>
          <w:rFonts w:cs="Times New Roman"/>
          <w:lang w:val="zh-TW" w:eastAsia="zh-TW"/>
        </w:rPr>
        <w:t>申办者</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7"/>
        <w:gridCol w:w="4757"/>
      </w:tblGrid>
      <w:tr w14:paraId="43BB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0F4AD4F6">
            <w:pPr>
              <w:spacing w:before="0" w:line="360" w:lineRule="auto"/>
              <w:ind w:firstLine="440"/>
              <w:rPr>
                <w:rFonts w:cs="Times New Roman"/>
                <w:sz w:val="21"/>
                <w:szCs w:val="21"/>
                <w:lang w:val="zh-TW"/>
              </w:rPr>
            </w:pPr>
            <w:r>
              <w:rPr>
                <w:rFonts w:hint="eastAsia" w:cs="Times New Roman"/>
                <w:sz w:val="21"/>
                <w:szCs w:val="21"/>
                <w:lang w:val="zh-TW" w:eastAsia="zh-TW"/>
              </w:rPr>
              <w:t>项目</w:t>
            </w:r>
          </w:p>
        </w:tc>
        <w:tc>
          <w:tcPr>
            <w:tcW w:w="4757" w:type="dxa"/>
            <w:shd w:val="clear" w:color="auto" w:fill="auto"/>
            <w:vAlign w:val="center"/>
          </w:tcPr>
          <w:p w14:paraId="44D8943E">
            <w:pPr>
              <w:spacing w:before="0" w:line="360" w:lineRule="auto"/>
              <w:ind w:firstLine="440"/>
              <w:rPr>
                <w:rFonts w:cs="Times New Roman"/>
                <w:sz w:val="21"/>
                <w:szCs w:val="21"/>
                <w:lang w:val="zh-TW"/>
              </w:rPr>
            </w:pPr>
            <w:r>
              <w:rPr>
                <w:rFonts w:hint="eastAsia" w:cs="Times New Roman"/>
                <w:sz w:val="21"/>
                <w:szCs w:val="21"/>
                <w:lang w:val="zh-TW" w:eastAsia="zh-TW"/>
              </w:rPr>
              <w:t>具体内容</w:t>
            </w:r>
          </w:p>
        </w:tc>
      </w:tr>
      <w:tr w14:paraId="0B02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1CB99358">
            <w:pPr>
              <w:spacing w:before="0" w:line="360" w:lineRule="auto"/>
              <w:ind w:firstLine="440"/>
              <w:rPr>
                <w:rFonts w:cs="Times New Roman"/>
                <w:sz w:val="21"/>
                <w:szCs w:val="21"/>
                <w:lang w:val="zh-TW"/>
              </w:rPr>
            </w:pPr>
            <w:r>
              <w:rPr>
                <w:rFonts w:hint="eastAsia" w:cs="Times New Roman"/>
                <w:bCs/>
                <w:sz w:val="21"/>
                <w:szCs w:val="21"/>
                <w:lang w:val="zh-TW" w:eastAsia="zh-TW"/>
              </w:rPr>
              <w:t>申办者：</w:t>
            </w:r>
          </w:p>
        </w:tc>
        <w:tc>
          <w:tcPr>
            <w:tcW w:w="4757" w:type="dxa"/>
            <w:shd w:val="clear" w:color="auto" w:fill="auto"/>
            <w:vAlign w:val="center"/>
          </w:tcPr>
          <w:p w14:paraId="16566233">
            <w:pPr>
              <w:spacing w:before="0" w:line="360" w:lineRule="auto"/>
              <w:ind w:firstLine="440"/>
              <w:rPr>
                <w:rFonts w:cs="Times New Roman"/>
                <w:sz w:val="21"/>
                <w:szCs w:val="21"/>
                <w:lang w:val="zh-TW"/>
              </w:rPr>
            </w:pPr>
          </w:p>
        </w:tc>
      </w:tr>
      <w:tr w14:paraId="0125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66CA49B8">
            <w:pPr>
              <w:spacing w:before="0" w:line="360" w:lineRule="auto"/>
              <w:ind w:firstLine="440"/>
              <w:rPr>
                <w:rFonts w:cs="Times New Roman"/>
                <w:sz w:val="21"/>
                <w:szCs w:val="21"/>
                <w:lang w:val="zh-TW"/>
              </w:rPr>
            </w:pPr>
            <w:r>
              <w:rPr>
                <w:rFonts w:hint="eastAsia" w:cs="Times New Roman"/>
                <w:bCs/>
                <w:sz w:val="21"/>
                <w:szCs w:val="21"/>
                <w:lang w:val="zh-TW" w:eastAsia="zh-TW"/>
              </w:rPr>
              <w:t>申办者地址：</w:t>
            </w:r>
          </w:p>
        </w:tc>
        <w:tc>
          <w:tcPr>
            <w:tcW w:w="4757" w:type="dxa"/>
            <w:shd w:val="clear" w:color="auto" w:fill="auto"/>
            <w:vAlign w:val="center"/>
          </w:tcPr>
          <w:p w14:paraId="797B101A">
            <w:pPr>
              <w:spacing w:before="0" w:line="360" w:lineRule="auto"/>
              <w:ind w:firstLine="440"/>
              <w:rPr>
                <w:rFonts w:cs="Times New Roman"/>
                <w:sz w:val="21"/>
                <w:szCs w:val="21"/>
                <w:lang w:val="zh-TW"/>
              </w:rPr>
            </w:pPr>
          </w:p>
        </w:tc>
      </w:tr>
    </w:tbl>
    <w:p w14:paraId="26E13C0A">
      <w:pPr>
        <w:numPr>
          <w:ilvl w:val="0"/>
          <w:numId w:val="2"/>
        </w:numPr>
        <w:spacing w:beforeLines="50" w:line="240" w:lineRule="auto"/>
        <w:ind w:left="0" w:firstLine="561"/>
        <w:rPr>
          <w:rFonts w:cs="Times New Roman"/>
          <w:lang w:val="zh-TW" w:eastAsia="zh-TW"/>
        </w:rPr>
      </w:pPr>
      <w:r>
        <w:rPr>
          <w:rFonts w:cs="Times New Roman"/>
          <w:lang w:val="zh-TW" w:eastAsia="zh-TW"/>
        </w:rPr>
        <w:t>研究者</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2378"/>
        <w:gridCol w:w="2379"/>
        <w:gridCol w:w="2379"/>
      </w:tblGrid>
      <w:tr w14:paraId="60F8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29C9057B">
            <w:pPr>
              <w:spacing w:before="0" w:line="360" w:lineRule="auto"/>
              <w:ind w:firstLine="440"/>
              <w:rPr>
                <w:rFonts w:cs="Times New Roman"/>
                <w:sz w:val="21"/>
                <w:szCs w:val="21"/>
                <w:lang w:val="zh-TW" w:eastAsia="zh-TW"/>
              </w:rPr>
            </w:pPr>
            <w:r>
              <w:rPr>
                <w:rFonts w:hint="eastAsia" w:cs="Times New Roman"/>
                <w:sz w:val="21"/>
                <w:szCs w:val="21"/>
                <w:lang w:val="zh-TW" w:eastAsia="zh-TW"/>
              </w:rPr>
              <w:t>姓名</w:t>
            </w:r>
          </w:p>
        </w:tc>
        <w:tc>
          <w:tcPr>
            <w:tcW w:w="2378" w:type="dxa"/>
            <w:shd w:val="clear" w:color="auto" w:fill="auto"/>
            <w:vAlign w:val="center"/>
          </w:tcPr>
          <w:p w14:paraId="1FE3FBDA">
            <w:pPr>
              <w:spacing w:before="0" w:line="360" w:lineRule="auto"/>
              <w:ind w:firstLine="440"/>
              <w:rPr>
                <w:rFonts w:cs="Times New Roman"/>
                <w:sz w:val="21"/>
                <w:szCs w:val="21"/>
                <w:lang w:val="zh-TW" w:eastAsia="zh-TW"/>
              </w:rPr>
            </w:pPr>
            <w:r>
              <w:rPr>
                <w:rFonts w:hint="eastAsia" w:cs="Times New Roman"/>
                <w:sz w:val="21"/>
                <w:szCs w:val="21"/>
                <w:lang w:val="zh-TW" w:eastAsia="zh-TW"/>
              </w:rPr>
              <w:t>职称</w:t>
            </w:r>
          </w:p>
        </w:tc>
        <w:tc>
          <w:tcPr>
            <w:tcW w:w="2379" w:type="dxa"/>
            <w:shd w:val="clear" w:color="auto" w:fill="auto"/>
            <w:vAlign w:val="center"/>
          </w:tcPr>
          <w:p w14:paraId="0841AE91">
            <w:pPr>
              <w:spacing w:before="0" w:line="360" w:lineRule="auto"/>
              <w:ind w:firstLine="440"/>
              <w:rPr>
                <w:rFonts w:cs="Times New Roman"/>
                <w:sz w:val="21"/>
                <w:szCs w:val="21"/>
                <w:lang w:val="zh-TW" w:eastAsia="zh-TW"/>
              </w:rPr>
            </w:pPr>
            <w:r>
              <w:rPr>
                <w:rFonts w:hint="eastAsia" w:cs="Times New Roman"/>
                <w:sz w:val="21"/>
                <w:szCs w:val="21"/>
                <w:lang w:val="zh-TW" w:eastAsia="zh-TW"/>
              </w:rPr>
              <w:t>职务</w:t>
            </w:r>
          </w:p>
        </w:tc>
        <w:tc>
          <w:tcPr>
            <w:tcW w:w="2379" w:type="dxa"/>
            <w:shd w:val="clear" w:color="auto" w:fill="auto"/>
            <w:vAlign w:val="center"/>
          </w:tcPr>
          <w:p w14:paraId="5AD2B861">
            <w:pPr>
              <w:spacing w:before="0" w:line="360" w:lineRule="auto"/>
              <w:ind w:firstLine="440"/>
              <w:rPr>
                <w:rFonts w:cs="Times New Roman"/>
                <w:sz w:val="21"/>
                <w:szCs w:val="21"/>
                <w:lang w:val="zh-TW" w:eastAsia="zh-TW"/>
              </w:rPr>
            </w:pPr>
            <w:r>
              <w:rPr>
                <w:rFonts w:hint="eastAsia" w:cs="Times New Roman"/>
                <w:sz w:val="21"/>
                <w:szCs w:val="21"/>
                <w:lang w:val="zh-TW" w:eastAsia="zh-TW"/>
              </w:rPr>
              <w:t>临床试验机构名称</w:t>
            </w:r>
          </w:p>
        </w:tc>
      </w:tr>
      <w:tr w14:paraId="5BEA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32C4E8FA">
            <w:pPr>
              <w:spacing w:before="0" w:line="360" w:lineRule="auto"/>
              <w:ind w:firstLine="440"/>
              <w:rPr>
                <w:rFonts w:cs="Times New Roman"/>
                <w:sz w:val="21"/>
                <w:szCs w:val="21"/>
                <w:lang w:val="zh-TW" w:eastAsia="zh-TW"/>
              </w:rPr>
            </w:pPr>
            <w:r>
              <w:rPr>
                <w:rFonts w:cs="Times New Roman"/>
                <w:sz w:val="21"/>
                <w:szCs w:val="21"/>
                <w:lang w:val="zh-TW" w:eastAsia="zh-TW"/>
              </w:rPr>
              <w:t xml:space="preserve"/>
            </w:r>
          </w:p>
        </w:tc>
        <w:tc>
          <w:tcPr>
            <w:tcW w:w="2378" w:type="dxa"/>
            <w:shd w:val="clear" w:color="auto" w:fill="auto"/>
            <w:vAlign w:val="center"/>
          </w:tcPr>
          <w:p w14:paraId="472A7F1C">
            <w:pPr>
              <w:spacing w:before="0" w:line="360" w:lineRule="auto"/>
              <w:ind w:firstLine="440"/>
              <w:rPr>
                <w:rFonts w:cs="Times New Roman"/>
                <w:sz w:val="21"/>
                <w:szCs w:val="21"/>
                <w:lang w:val="zh-TW" w:eastAsia="zh-TW"/>
              </w:rPr>
            </w:pPr>
            <w:r>
              <w:rPr>
                <w:rFonts w:hint="eastAsia" w:cs="Times New Roman"/>
                <w:sz w:val="21"/>
                <w:szCs w:val="21"/>
                <w:lang w:val="zh-TW" w:eastAsia="zh-TW"/>
              </w:rPr>
              <w:t>主任医师</w:t>
            </w:r>
          </w:p>
        </w:tc>
        <w:tc>
          <w:tcPr>
            <w:tcW w:w="2379" w:type="dxa"/>
            <w:shd w:val="clear" w:color="auto" w:fill="auto"/>
            <w:vAlign w:val="center"/>
          </w:tcPr>
          <w:p w14:paraId="445B292B">
            <w:pPr>
              <w:spacing w:before="0" w:line="360" w:lineRule="auto"/>
              <w:ind w:firstLine="440"/>
              <w:rPr>
                <w:rFonts w:cs="Times New Roman"/>
                <w:sz w:val="21"/>
                <w:szCs w:val="21"/>
                <w:lang w:val="zh-TW" w:eastAsia="zh-TW"/>
              </w:rPr>
            </w:pPr>
            <w:r>
              <w:rPr>
                <w:rFonts w:hint="eastAsia" w:cs="Times New Roman"/>
                <w:sz w:val="21"/>
                <w:szCs w:val="21"/>
                <w:lang w:val="zh-TW" w:eastAsia="zh-TW"/>
              </w:rPr>
              <w:t>研究者</w:t>
            </w:r>
          </w:p>
        </w:tc>
        <w:tc>
          <w:tcPr>
            <w:tcW w:w="2379" w:type="dxa"/>
            <w:shd w:val="clear" w:color="auto" w:fill="auto"/>
            <w:vAlign w:val="center"/>
          </w:tcPr>
          <w:p w14:paraId="784721D9">
            <w:pPr>
              <w:spacing w:before="0" w:line="360" w:lineRule="auto"/>
              <w:ind w:firstLine="440"/>
              <w:rPr>
                <w:rFonts w:cs="Times New Roman"/>
                <w:sz w:val="21"/>
                <w:szCs w:val="21"/>
                <w:lang w:val="zh-TW" w:eastAsia="zh-TW"/>
              </w:rPr>
            </w:pPr>
            <w:r>
              <w:rPr>
                <w:rFonts w:cs="Times New Roman"/>
                <w:sz w:val="21"/>
                <w:szCs w:val="21"/>
                <w:lang w:val="zh-TW" w:eastAsia="zh-TW"/>
              </w:rPr>
              <w:t xml:space="preserve"/>
            </w:r>
          </w:p>
        </w:tc>
      </w:tr>
      <w:tr w14:paraId="3D47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4AE80EEB">
            <w:pPr>
              <w:spacing w:before="0" w:line="360" w:lineRule="auto"/>
              <w:ind w:firstLine="440"/>
              <w:rPr>
                <w:rFonts w:cs="Times New Roman"/>
                <w:sz w:val="21"/>
                <w:szCs w:val="21"/>
                <w:lang w:val="zh-TW" w:eastAsia="zh-TW"/>
              </w:rPr>
            </w:pPr>
          </w:p>
        </w:tc>
        <w:tc>
          <w:tcPr>
            <w:tcW w:w="2378" w:type="dxa"/>
            <w:shd w:val="clear" w:color="auto" w:fill="auto"/>
            <w:vAlign w:val="center"/>
          </w:tcPr>
          <w:p w14:paraId="4391263C">
            <w:pPr>
              <w:spacing w:before="0" w:line="360" w:lineRule="auto"/>
              <w:ind w:firstLine="440"/>
              <w:rPr>
                <w:rFonts w:cs="Times New Roman"/>
                <w:sz w:val="21"/>
                <w:szCs w:val="21"/>
                <w:lang w:val="zh-TW" w:eastAsia="zh-TW"/>
              </w:rPr>
            </w:pPr>
          </w:p>
        </w:tc>
        <w:tc>
          <w:tcPr>
            <w:tcW w:w="2379" w:type="dxa"/>
            <w:shd w:val="clear" w:color="auto" w:fill="auto"/>
            <w:vAlign w:val="center"/>
          </w:tcPr>
          <w:p w14:paraId="3274B5F9">
            <w:pPr>
              <w:spacing w:before="0" w:line="360" w:lineRule="auto"/>
              <w:ind w:firstLine="440"/>
              <w:rPr>
                <w:rFonts w:cs="Times New Roman"/>
                <w:sz w:val="21"/>
                <w:szCs w:val="21"/>
                <w:lang w:val="zh-TW" w:eastAsia="zh-TW"/>
              </w:rPr>
            </w:pPr>
          </w:p>
        </w:tc>
        <w:tc>
          <w:tcPr>
            <w:tcW w:w="2379" w:type="dxa"/>
            <w:shd w:val="clear" w:color="auto" w:fill="auto"/>
            <w:vAlign w:val="center"/>
          </w:tcPr>
          <w:p w14:paraId="4275D3B2">
            <w:pPr>
              <w:spacing w:before="0" w:line="360" w:lineRule="auto"/>
              <w:ind w:firstLine="440"/>
              <w:rPr>
                <w:rFonts w:cs="Times New Roman"/>
                <w:sz w:val="21"/>
                <w:szCs w:val="21"/>
                <w:lang w:val="zh-TW" w:eastAsia="zh-TW"/>
              </w:rPr>
            </w:pPr>
          </w:p>
        </w:tc>
      </w:tr>
      <w:tr w14:paraId="42BE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6C311BFC">
            <w:pPr>
              <w:spacing w:before="0" w:line="360" w:lineRule="auto"/>
              <w:ind w:firstLine="440"/>
              <w:rPr>
                <w:rFonts w:cs="Times New Roman"/>
                <w:sz w:val="21"/>
                <w:szCs w:val="21"/>
                <w:lang w:val="zh-TW" w:eastAsia="zh-TW"/>
              </w:rPr>
            </w:pPr>
          </w:p>
        </w:tc>
        <w:tc>
          <w:tcPr>
            <w:tcW w:w="2378" w:type="dxa"/>
            <w:shd w:val="clear" w:color="auto" w:fill="auto"/>
            <w:vAlign w:val="center"/>
          </w:tcPr>
          <w:p w14:paraId="330B8437">
            <w:pPr>
              <w:spacing w:before="0" w:line="360" w:lineRule="auto"/>
              <w:ind w:firstLine="440"/>
              <w:rPr>
                <w:rFonts w:cs="Times New Roman"/>
                <w:sz w:val="21"/>
                <w:szCs w:val="21"/>
                <w:lang w:val="zh-TW" w:eastAsia="zh-TW"/>
              </w:rPr>
            </w:pPr>
          </w:p>
        </w:tc>
        <w:tc>
          <w:tcPr>
            <w:tcW w:w="2379" w:type="dxa"/>
            <w:shd w:val="clear" w:color="auto" w:fill="auto"/>
            <w:vAlign w:val="center"/>
          </w:tcPr>
          <w:p w14:paraId="5BDBFA96">
            <w:pPr>
              <w:spacing w:before="0" w:line="360" w:lineRule="auto"/>
              <w:ind w:firstLine="440"/>
              <w:rPr>
                <w:rFonts w:cs="Times New Roman"/>
                <w:sz w:val="21"/>
                <w:szCs w:val="21"/>
                <w:lang w:val="zh-TW" w:eastAsia="zh-TW"/>
              </w:rPr>
            </w:pPr>
          </w:p>
        </w:tc>
        <w:tc>
          <w:tcPr>
            <w:tcW w:w="2379" w:type="dxa"/>
            <w:shd w:val="clear" w:color="auto" w:fill="auto"/>
            <w:vAlign w:val="center"/>
          </w:tcPr>
          <w:p w14:paraId="212926B5">
            <w:pPr>
              <w:spacing w:before="0" w:line="360" w:lineRule="auto"/>
              <w:ind w:firstLine="440"/>
              <w:rPr>
                <w:rFonts w:cs="Times New Roman"/>
                <w:sz w:val="21"/>
                <w:szCs w:val="21"/>
                <w:lang w:val="zh-TW" w:eastAsia="zh-TW"/>
              </w:rPr>
            </w:pPr>
          </w:p>
        </w:tc>
      </w:tr>
      <w:tr w14:paraId="658D9751">
        <w:tblPrEx>
          <w:tblCellMar>
            <w:top w:w="0" w:type="dxa"/>
            <w:left w:w="108" w:type="dxa"/>
            <w:bottom w:w="0" w:type="dxa"/>
            <w:right w:w="108" w:type="dxa"/>
          </w:tblCellMar>
        </w:tblPrEx>
        <w:tc>
          <w:tcPr>
            <w:tcW w:w="2378" w:type="dxa"/>
            <w:shd w:val="clear" w:color="auto" w:fill="auto"/>
            <w:vAlign w:val="center"/>
          </w:tcPr>
          <w:p w14:paraId="2A3B7811">
            <w:pPr>
              <w:spacing w:before="0" w:line="360" w:lineRule="auto"/>
              <w:ind w:firstLine="440"/>
              <w:rPr>
                <w:rFonts w:cs="Times New Roman"/>
                <w:sz w:val="21"/>
                <w:szCs w:val="21"/>
                <w:lang w:val="zh-TW" w:eastAsia="zh-TW"/>
              </w:rPr>
            </w:pPr>
          </w:p>
        </w:tc>
        <w:tc>
          <w:tcPr>
            <w:tcW w:w="2378" w:type="dxa"/>
            <w:shd w:val="clear" w:color="auto" w:fill="auto"/>
            <w:vAlign w:val="center"/>
          </w:tcPr>
          <w:p w14:paraId="4679F446">
            <w:pPr>
              <w:spacing w:before="0" w:line="360" w:lineRule="auto"/>
              <w:ind w:firstLine="440"/>
              <w:rPr>
                <w:rFonts w:cs="Times New Roman"/>
                <w:sz w:val="21"/>
                <w:szCs w:val="21"/>
                <w:lang w:val="zh-TW" w:eastAsia="zh-TW"/>
              </w:rPr>
            </w:pPr>
          </w:p>
        </w:tc>
        <w:tc>
          <w:tcPr>
            <w:tcW w:w="2379" w:type="dxa"/>
            <w:shd w:val="clear" w:color="auto" w:fill="auto"/>
            <w:vAlign w:val="center"/>
          </w:tcPr>
          <w:p w14:paraId="4F9D01F0">
            <w:pPr>
              <w:spacing w:before="0" w:line="360" w:lineRule="auto"/>
              <w:ind w:firstLine="440"/>
              <w:rPr>
                <w:rFonts w:cs="Times New Roman"/>
                <w:sz w:val="21"/>
                <w:szCs w:val="21"/>
                <w:lang w:val="zh-TW" w:eastAsia="zh-TW"/>
              </w:rPr>
            </w:pPr>
          </w:p>
        </w:tc>
        <w:tc>
          <w:tcPr>
            <w:tcW w:w="2379" w:type="dxa"/>
            <w:shd w:val="clear" w:color="auto" w:fill="auto"/>
            <w:vAlign w:val="center"/>
          </w:tcPr>
          <w:p w14:paraId="55602C3A">
            <w:pPr>
              <w:spacing w:before="0" w:line="360" w:lineRule="auto"/>
              <w:ind w:firstLine="440"/>
              <w:rPr>
                <w:rFonts w:cs="Times New Roman"/>
                <w:sz w:val="21"/>
                <w:szCs w:val="21"/>
                <w:lang w:val="zh-TW" w:eastAsia="zh-TW"/>
              </w:rPr>
            </w:pPr>
          </w:p>
        </w:tc>
      </w:tr>
      <w:tr w14:paraId="1B4E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03F2EDFF">
            <w:pPr>
              <w:spacing w:before="0" w:line="360" w:lineRule="auto"/>
              <w:ind w:firstLine="440"/>
              <w:rPr>
                <w:rFonts w:cs="Times New Roman"/>
                <w:sz w:val="21"/>
                <w:szCs w:val="21"/>
                <w:lang w:val="zh-TW" w:eastAsia="zh-TW"/>
              </w:rPr>
            </w:pPr>
          </w:p>
        </w:tc>
        <w:tc>
          <w:tcPr>
            <w:tcW w:w="2378" w:type="dxa"/>
            <w:shd w:val="clear" w:color="auto" w:fill="auto"/>
            <w:vAlign w:val="center"/>
          </w:tcPr>
          <w:p w14:paraId="19A114E0">
            <w:pPr>
              <w:spacing w:before="0" w:line="360" w:lineRule="auto"/>
              <w:ind w:firstLine="440"/>
              <w:rPr>
                <w:rFonts w:cs="Times New Roman"/>
                <w:sz w:val="21"/>
                <w:szCs w:val="21"/>
                <w:lang w:val="zh-TW" w:eastAsia="zh-TW"/>
              </w:rPr>
            </w:pPr>
          </w:p>
        </w:tc>
        <w:tc>
          <w:tcPr>
            <w:tcW w:w="2379" w:type="dxa"/>
            <w:shd w:val="clear" w:color="auto" w:fill="auto"/>
            <w:vAlign w:val="center"/>
          </w:tcPr>
          <w:p w14:paraId="53AA828E">
            <w:pPr>
              <w:spacing w:before="0" w:line="360" w:lineRule="auto"/>
              <w:ind w:firstLine="440"/>
              <w:rPr>
                <w:rFonts w:cs="Times New Roman"/>
                <w:sz w:val="21"/>
                <w:szCs w:val="21"/>
                <w:lang w:val="zh-TW" w:eastAsia="zh-TW"/>
              </w:rPr>
            </w:pPr>
          </w:p>
        </w:tc>
        <w:tc>
          <w:tcPr>
            <w:tcW w:w="2379" w:type="dxa"/>
            <w:shd w:val="clear" w:color="auto" w:fill="auto"/>
            <w:vAlign w:val="center"/>
          </w:tcPr>
          <w:p w14:paraId="4F5F6FBB">
            <w:pPr>
              <w:spacing w:before="0" w:line="360" w:lineRule="auto"/>
              <w:ind w:firstLine="440"/>
              <w:rPr>
                <w:rFonts w:cs="Times New Roman"/>
                <w:sz w:val="21"/>
                <w:szCs w:val="21"/>
                <w:lang w:val="zh-TW" w:eastAsia="zh-TW"/>
              </w:rPr>
            </w:pPr>
          </w:p>
        </w:tc>
      </w:tr>
    </w:tbl>
    <w:p w14:paraId="220FE6D4">
      <w:pPr>
        <w:numPr>
          <w:ilvl w:val="0"/>
          <w:numId w:val="2"/>
        </w:numPr>
        <w:spacing w:beforeLines="50" w:line="240" w:lineRule="auto"/>
        <w:ind w:left="0" w:firstLine="561"/>
        <w:rPr>
          <w:rFonts w:cs="Times New Roman"/>
          <w:lang w:val="zh-TW" w:eastAsia="zh-TW"/>
        </w:rPr>
      </w:pPr>
      <w:r>
        <w:rPr>
          <w:rFonts w:cs="Times New Roman"/>
          <w:lang w:val="zh-TW" w:eastAsia="zh-TW"/>
        </w:rPr>
        <w:t>参与临床试验单位及相关部门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3171"/>
        <w:gridCol w:w="3172"/>
      </w:tblGrid>
      <w:tr w14:paraId="0D03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571713AD">
            <w:pPr>
              <w:spacing w:before="0" w:line="360" w:lineRule="auto"/>
              <w:ind w:firstLine="440"/>
              <w:rPr>
                <w:rFonts w:cs="Times New Roman"/>
                <w:sz w:val="21"/>
                <w:szCs w:val="21"/>
                <w:lang w:val="zh-TW" w:eastAsia="zh-TW"/>
              </w:rPr>
            </w:pPr>
            <w:r>
              <w:rPr>
                <w:rFonts w:hint="eastAsia" w:cs="Times New Roman"/>
                <w:sz w:val="21"/>
                <w:szCs w:val="21"/>
                <w:lang w:val="zh-TW" w:eastAsia="zh-TW"/>
              </w:rPr>
              <w:t>参与临床试验单位</w:t>
            </w:r>
          </w:p>
        </w:tc>
        <w:tc>
          <w:tcPr>
            <w:tcW w:w="3171" w:type="dxa"/>
            <w:shd w:val="clear" w:color="auto" w:fill="auto"/>
            <w:vAlign w:val="center"/>
          </w:tcPr>
          <w:p w14:paraId="2B5ACAAF">
            <w:pPr>
              <w:spacing w:before="0" w:line="360" w:lineRule="auto"/>
              <w:ind w:firstLine="440"/>
              <w:rPr>
                <w:rFonts w:cs="Times New Roman"/>
                <w:sz w:val="21"/>
                <w:szCs w:val="21"/>
                <w:lang w:val="zh-TW" w:eastAsia="zh-TW"/>
              </w:rPr>
            </w:pPr>
            <w:r>
              <w:rPr>
                <w:rFonts w:hint="eastAsia" w:cs="Times New Roman"/>
                <w:sz w:val="21"/>
                <w:szCs w:val="21"/>
                <w:lang w:val="zh-TW" w:eastAsia="zh-TW"/>
              </w:rPr>
              <w:t>部门</w:t>
            </w:r>
          </w:p>
        </w:tc>
        <w:tc>
          <w:tcPr>
            <w:tcW w:w="3172" w:type="dxa"/>
            <w:shd w:val="clear" w:color="auto" w:fill="auto"/>
            <w:vAlign w:val="center"/>
          </w:tcPr>
          <w:p w14:paraId="551E788F">
            <w:pPr>
              <w:spacing w:before="0" w:line="360" w:lineRule="auto"/>
              <w:ind w:firstLine="440"/>
              <w:rPr>
                <w:rFonts w:cs="Times New Roman"/>
                <w:sz w:val="21"/>
                <w:szCs w:val="21"/>
                <w:lang w:val="zh-TW" w:eastAsia="zh-TW"/>
              </w:rPr>
            </w:pPr>
            <w:r>
              <w:rPr>
                <w:rFonts w:hint="eastAsia" w:cs="Times New Roman"/>
                <w:sz w:val="21"/>
                <w:szCs w:val="21"/>
                <w:lang w:val="zh-TW" w:eastAsia="zh-TW"/>
              </w:rPr>
              <w:t>地址</w:t>
            </w:r>
          </w:p>
        </w:tc>
      </w:tr>
      <w:tr w14:paraId="21A1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6B115E82">
            <w:pPr>
              <w:spacing w:before="0" w:line="360" w:lineRule="auto"/>
              <w:ind w:firstLine="440"/>
              <w:rPr>
                <w:rFonts w:cs="Times New Roman"/>
                <w:sz w:val="21"/>
                <w:szCs w:val="21"/>
                <w:lang w:val="zh-TW" w:eastAsia="zh-TW"/>
              </w:rPr>
            </w:pPr>
          </w:p>
        </w:tc>
        <w:tc>
          <w:tcPr>
            <w:tcW w:w="3171" w:type="dxa"/>
            <w:shd w:val="clear" w:color="auto" w:fill="auto"/>
            <w:vAlign w:val="center"/>
          </w:tcPr>
          <w:p w14:paraId="14637F31">
            <w:pPr>
              <w:spacing w:before="0" w:line="360" w:lineRule="auto"/>
              <w:ind w:firstLine="440"/>
              <w:rPr>
                <w:rFonts w:cs="Times New Roman"/>
                <w:sz w:val="21"/>
                <w:szCs w:val="21"/>
                <w:lang w:val="zh-TW" w:eastAsia="zh-TW"/>
              </w:rPr>
            </w:pPr>
            <w:r>
              <w:rPr>
                <w:rFonts w:hint="eastAsia" w:cs="Times New Roman"/>
                <w:bCs/>
                <w:sz w:val="21"/>
                <w:szCs w:val="21"/>
                <w:lang w:val="zh-TW" w:eastAsia="zh-TW"/>
              </w:rPr>
              <w:t>合同研究组织</w:t>
            </w:r>
          </w:p>
        </w:tc>
        <w:tc>
          <w:tcPr>
            <w:tcW w:w="3172" w:type="dxa"/>
            <w:shd w:val="clear" w:color="auto" w:fill="auto"/>
            <w:vAlign w:val="center"/>
          </w:tcPr>
          <w:p w14:paraId="481325E2">
            <w:pPr>
              <w:spacing w:before="0" w:line="360" w:lineRule="auto"/>
              <w:ind w:firstLine="440"/>
              <w:rPr>
                <w:rFonts w:cs="Times New Roman"/>
                <w:sz w:val="21"/>
                <w:szCs w:val="21"/>
                <w:lang w:val="zh-TW" w:eastAsia="zh-TW"/>
              </w:rPr>
            </w:pPr>
          </w:p>
        </w:tc>
      </w:tr>
      <w:tr w14:paraId="7B9E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4138F9DE">
            <w:pPr>
              <w:spacing w:before="0" w:line="360" w:lineRule="auto"/>
              <w:ind w:firstLine="440"/>
              <w:rPr>
                <w:rFonts w:cs="Times New Roman"/>
                <w:sz w:val="21"/>
                <w:szCs w:val="21"/>
                <w:lang w:val="zh-TW" w:eastAsia="zh-TW"/>
              </w:rPr>
            </w:pPr>
          </w:p>
        </w:tc>
        <w:tc>
          <w:tcPr>
            <w:tcW w:w="3171" w:type="dxa"/>
            <w:shd w:val="clear" w:color="auto" w:fill="auto"/>
            <w:vAlign w:val="center"/>
          </w:tcPr>
          <w:p w14:paraId="41D68447">
            <w:pPr>
              <w:spacing w:before="0" w:line="360" w:lineRule="auto"/>
              <w:ind w:firstLine="440"/>
              <w:rPr>
                <w:rFonts w:cs="Times New Roman"/>
                <w:sz w:val="21"/>
                <w:szCs w:val="21"/>
                <w:lang w:val="zh-TW" w:eastAsia="zh-TW"/>
              </w:rPr>
            </w:pPr>
            <w:r>
              <w:rPr>
                <w:rFonts w:hint="eastAsia" w:cs="Times New Roman"/>
                <w:bCs/>
                <w:sz w:val="21"/>
                <w:szCs w:val="21"/>
                <w:lang w:val="zh-TW" w:eastAsia="zh-TW"/>
              </w:rPr>
              <w:t>统计分析</w:t>
            </w:r>
          </w:p>
        </w:tc>
        <w:tc>
          <w:tcPr>
            <w:tcW w:w="3172" w:type="dxa"/>
            <w:shd w:val="clear" w:color="auto" w:fill="auto"/>
            <w:vAlign w:val="center"/>
          </w:tcPr>
          <w:p w14:paraId="5D9D6E55">
            <w:pPr>
              <w:spacing w:before="0" w:line="360" w:lineRule="auto"/>
              <w:ind w:firstLine="440"/>
              <w:rPr>
                <w:rFonts w:cs="Times New Roman"/>
                <w:sz w:val="21"/>
                <w:szCs w:val="21"/>
                <w:lang w:val="zh-TW" w:eastAsia="zh-TW"/>
              </w:rPr>
            </w:pPr>
          </w:p>
        </w:tc>
      </w:tr>
      <w:tr w14:paraId="0260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111B2BE2">
            <w:pPr>
              <w:spacing w:before="0" w:line="360" w:lineRule="auto"/>
              <w:ind w:firstLine="440"/>
              <w:rPr>
                <w:rFonts w:cs="Times New Roman"/>
                <w:sz w:val="21"/>
                <w:szCs w:val="21"/>
                <w:lang w:val="zh-TW" w:eastAsia="zh-TW"/>
              </w:rPr>
            </w:pPr>
          </w:p>
        </w:tc>
        <w:tc>
          <w:tcPr>
            <w:tcW w:w="3171" w:type="dxa"/>
            <w:shd w:val="clear" w:color="auto" w:fill="auto"/>
            <w:vAlign w:val="center"/>
          </w:tcPr>
          <w:p w14:paraId="5A6F3AEB">
            <w:pPr>
              <w:spacing w:before="0" w:line="360" w:lineRule="auto"/>
              <w:ind w:firstLine="440"/>
              <w:rPr>
                <w:rFonts w:cs="Times New Roman"/>
                <w:sz w:val="21"/>
                <w:szCs w:val="21"/>
                <w:lang w:val="zh-TW" w:eastAsia="zh-TW"/>
              </w:rPr>
            </w:pPr>
            <w:r>
              <w:rPr>
                <w:rFonts w:hint="eastAsia" w:cs="Times New Roman"/>
                <w:bCs/>
                <w:sz w:val="21"/>
                <w:szCs w:val="21"/>
                <w:lang w:val="zh-TW" w:eastAsia="zh-TW"/>
              </w:rPr>
              <w:t>数据管理</w:t>
            </w:r>
          </w:p>
        </w:tc>
        <w:tc>
          <w:tcPr>
            <w:tcW w:w="3172" w:type="dxa"/>
            <w:shd w:val="clear" w:color="auto" w:fill="auto"/>
            <w:vAlign w:val="center"/>
          </w:tcPr>
          <w:p w14:paraId="78341D96">
            <w:pPr>
              <w:spacing w:before="0" w:line="360" w:lineRule="auto"/>
              <w:ind w:firstLine="440"/>
              <w:rPr>
                <w:rFonts w:cs="Times New Roman"/>
                <w:sz w:val="21"/>
                <w:szCs w:val="21"/>
                <w:lang w:val="zh-TW" w:eastAsia="zh-TW"/>
              </w:rPr>
            </w:pPr>
          </w:p>
        </w:tc>
      </w:tr>
      <w:tr w14:paraId="64F9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396C0A8C">
            <w:pPr>
              <w:spacing w:before="0" w:line="360" w:lineRule="auto"/>
              <w:ind w:firstLine="440"/>
              <w:rPr>
                <w:rFonts w:cs="Times New Roman"/>
                <w:lang w:val="zh-TW" w:eastAsia="zh-TW"/>
              </w:rPr>
            </w:pPr>
          </w:p>
        </w:tc>
        <w:tc>
          <w:tcPr>
            <w:tcW w:w="3171" w:type="dxa"/>
            <w:shd w:val="clear" w:color="auto" w:fill="auto"/>
            <w:vAlign w:val="center"/>
          </w:tcPr>
          <w:p w14:paraId="00DD7C53">
            <w:pPr>
              <w:spacing w:before="0" w:line="360" w:lineRule="auto"/>
              <w:ind w:firstLine="440"/>
              <w:rPr>
                <w:rFonts w:cs="Times New Roman"/>
                <w:lang w:val="zh-TW" w:eastAsia="zh-TW"/>
              </w:rPr>
            </w:pPr>
            <w:r>
              <w:rPr>
                <w:rFonts w:cs="Times New Roman"/>
                <w:bCs/>
                <w:lang w:val="zh-TW" w:eastAsia="zh-TW"/>
              </w:rPr>
              <w:t>中心实验室检查</w:t>
            </w:r>
          </w:p>
        </w:tc>
        <w:tc>
          <w:tcPr>
            <w:tcW w:w="3172" w:type="dxa"/>
            <w:shd w:val="clear" w:color="auto" w:fill="auto"/>
            <w:vAlign w:val="center"/>
          </w:tcPr>
          <w:p w14:paraId="4BF73001">
            <w:pPr>
              <w:spacing w:before="0" w:line="360" w:lineRule="auto"/>
              <w:ind w:firstLine="440"/>
              <w:rPr>
                <w:rFonts w:cs="Times New Roman"/>
                <w:lang w:val="zh-TW" w:eastAsia="zh-TW"/>
              </w:rPr>
            </w:pPr>
          </w:p>
        </w:tc>
      </w:tr>
      <w:bookmarkEnd w:id="10"/>
      <w:bookmarkEnd w:id="28"/>
    </w:tbl>
    <w:p w14:paraId="5B36869C">
      <w:pPr>
        <w:spacing w:before="0" w:line="360" w:lineRule="auto"/>
        <w:ind w:firstLine="482" w:firstLineChars="200"/>
        <w:jc w:val="center"/>
        <w:outlineLvl w:val="0"/>
        <w:rPr>
          <w:rFonts w:cs="Times New Roman"/>
          <w:b/>
          <w:bCs/>
          <w:szCs w:val="24"/>
          <w:lang w:eastAsia="zh-CN"/>
        </w:rPr>
      </w:pPr>
      <w:bookmarkStart w:id="29" w:name="_Toc132623302"/>
      <w:r>
        <w:rPr>
          <w:rFonts w:hint="eastAsia" w:cs="Times New Roman"/>
          <w:b/>
          <w:bCs/>
          <w:szCs w:val="24"/>
          <w:lang w:eastAsia="zh-CN"/>
        </w:rPr>
        <w:t>缩略语表</w:t>
      </w:r>
      <w:bookmarkEnd w:id="29"/>
    </w:p>
    <w:tbl>
      <w:tblPr>
        <w:tblStyle w:val="27"/>
        <w:tblW w:w="8500" w:type="dxa"/>
        <w:jc w:val="center"/>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1831"/>
        <w:gridCol w:w="3841"/>
        <w:gridCol w:w="2828"/>
      </w:tblGrid>
      <w:tr w14:paraId="5959BAF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2D621EA">
            <w:pPr>
              <w:spacing w:before="0" w:line="360" w:lineRule="auto"/>
              <w:rPr>
                <w:sz w:val="21"/>
                <w:szCs w:val="21"/>
              </w:rPr>
            </w:pPr>
            <w:r>
              <w:rPr>
                <w:sz w:val="21"/>
                <w:szCs w:val="21"/>
              </w:rPr>
              <w:t>缩写和术语</w:t>
            </w:r>
          </w:p>
        </w:tc>
        <w:tc>
          <w:tcPr>
            <w:tcW w:w="3841" w:type="dxa"/>
          </w:tcPr>
          <w:p w14:paraId="5BDFE54C">
            <w:pPr>
              <w:spacing w:before="0" w:line="360" w:lineRule="auto"/>
              <w:rPr>
                <w:sz w:val="21"/>
                <w:szCs w:val="21"/>
              </w:rPr>
            </w:pPr>
            <w:r>
              <w:rPr>
                <w:color w:val="000000"/>
                <w:sz w:val="21"/>
                <w:szCs w:val="21"/>
              </w:rPr>
              <w:t>英文全称</w:t>
            </w:r>
          </w:p>
        </w:tc>
        <w:tc>
          <w:tcPr>
            <w:tcW w:w="2828" w:type="dxa"/>
          </w:tcPr>
          <w:p w14:paraId="376C85E7">
            <w:pPr>
              <w:spacing w:before="0" w:line="360" w:lineRule="auto"/>
              <w:rPr>
                <w:sz w:val="21"/>
                <w:szCs w:val="21"/>
              </w:rPr>
            </w:pPr>
            <w:r>
              <w:rPr>
                <w:sz w:val="21"/>
                <w:szCs w:val="21"/>
              </w:rPr>
              <w:t>中文释义</w:t>
            </w:r>
          </w:p>
        </w:tc>
      </w:tr>
      <w:tr w14:paraId="180C773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266A3F1">
            <w:pPr>
              <w:spacing w:before="0" w:line="360" w:lineRule="auto"/>
              <w:rPr>
                <w:sz w:val="21"/>
                <w:szCs w:val="21"/>
              </w:rPr>
            </w:pPr>
            <w:bookmarkStart w:id="30" w:name="OLE_LINK16"/>
            <w:bookmarkStart w:id="31" w:name="OLE_LINK15"/>
            <w:r>
              <w:rPr>
                <w:sz w:val="21"/>
                <w:szCs w:val="21"/>
              </w:rPr>
              <w:t>AE</w:t>
            </w:r>
          </w:p>
        </w:tc>
        <w:tc>
          <w:tcPr>
            <w:tcW w:w="3841" w:type="dxa"/>
          </w:tcPr>
          <w:p w14:paraId="16AC4B51">
            <w:pPr>
              <w:spacing w:before="0" w:line="360" w:lineRule="auto"/>
              <w:rPr>
                <w:sz w:val="21"/>
                <w:szCs w:val="21"/>
              </w:rPr>
            </w:pPr>
            <w:r>
              <w:rPr>
                <w:color w:val="000000"/>
                <w:sz w:val="21"/>
                <w:szCs w:val="21"/>
              </w:rPr>
              <w:t>Adverse event</w:t>
            </w:r>
          </w:p>
        </w:tc>
        <w:tc>
          <w:tcPr>
            <w:tcW w:w="2828" w:type="dxa"/>
          </w:tcPr>
          <w:p w14:paraId="6AD21214">
            <w:pPr>
              <w:spacing w:before="0" w:line="360" w:lineRule="auto"/>
              <w:rPr>
                <w:sz w:val="21"/>
                <w:szCs w:val="21"/>
              </w:rPr>
            </w:pPr>
            <w:r>
              <w:rPr>
                <w:sz w:val="21"/>
                <w:szCs w:val="21"/>
              </w:rPr>
              <w:t>不良事件</w:t>
            </w:r>
          </w:p>
        </w:tc>
      </w:tr>
      <w:tr w14:paraId="2ADEDBD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14531E6">
            <w:pPr>
              <w:spacing w:before="0" w:line="360" w:lineRule="auto"/>
              <w:rPr>
                <w:sz w:val="21"/>
                <w:szCs w:val="21"/>
              </w:rPr>
            </w:pPr>
            <w:r>
              <w:rPr>
                <w:sz w:val="21"/>
                <w:szCs w:val="21"/>
              </w:rPr>
              <w:t>ALB</w:t>
            </w:r>
          </w:p>
        </w:tc>
        <w:tc>
          <w:tcPr>
            <w:tcW w:w="3841" w:type="dxa"/>
          </w:tcPr>
          <w:p w14:paraId="469806A4">
            <w:pPr>
              <w:spacing w:before="0" w:line="360" w:lineRule="auto"/>
              <w:rPr>
                <w:sz w:val="21"/>
                <w:szCs w:val="21"/>
              </w:rPr>
            </w:pPr>
            <w:r>
              <w:rPr>
                <w:sz w:val="21"/>
                <w:szCs w:val="21"/>
              </w:rPr>
              <w:t>Albumin</w:t>
            </w:r>
          </w:p>
        </w:tc>
        <w:tc>
          <w:tcPr>
            <w:tcW w:w="2828" w:type="dxa"/>
          </w:tcPr>
          <w:p w14:paraId="5143A35C">
            <w:pPr>
              <w:spacing w:before="0" w:line="360" w:lineRule="auto"/>
              <w:rPr>
                <w:sz w:val="21"/>
                <w:szCs w:val="21"/>
              </w:rPr>
            </w:pPr>
            <w:r>
              <w:rPr>
                <w:sz w:val="21"/>
                <w:szCs w:val="21"/>
              </w:rPr>
              <w:t>白蛋白</w:t>
            </w:r>
          </w:p>
        </w:tc>
      </w:tr>
      <w:tr w14:paraId="07271F2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2A46B4C">
            <w:pPr>
              <w:spacing w:before="0" w:line="360" w:lineRule="auto"/>
              <w:rPr>
                <w:sz w:val="21"/>
                <w:szCs w:val="21"/>
              </w:rPr>
            </w:pPr>
            <w:r>
              <w:rPr>
                <w:sz w:val="21"/>
                <w:szCs w:val="21"/>
              </w:rPr>
              <w:t>ALT</w:t>
            </w:r>
          </w:p>
        </w:tc>
        <w:tc>
          <w:tcPr>
            <w:tcW w:w="3841" w:type="dxa"/>
          </w:tcPr>
          <w:p w14:paraId="38B5122F">
            <w:pPr>
              <w:spacing w:before="0" w:line="360" w:lineRule="auto"/>
              <w:rPr>
                <w:sz w:val="21"/>
                <w:szCs w:val="21"/>
              </w:rPr>
            </w:pPr>
            <w:r>
              <w:rPr>
                <w:sz w:val="21"/>
                <w:szCs w:val="21"/>
              </w:rPr>
              <w:t>Alanine aminotransferase</w:t>
            </w:r>
          </w:p>
        </w:tc>
        <w:tc>
          <w:tcPr>
            <w:tcW w:w="2828" w:type="dxa"/>
          </w:tcPr>
          <w:p w14:paraId="15876B2B">
            <w:pPr>
              <w:spacing w:before="0" w:line="360" w:lineRule="auto"/>
              <w:rPr>
                <w:sz w:val="21"/>
                <w:szCs w:val="21"/>
              </w:rPr>
            </w:pPr>
            <w:r>
              <w:rPr>
                <w:sz w:val="21"/>
                <w:szCs w:val="21"/>
              </w:rPr>
              <w:t>丙氨酸氨基转移酶</w:t>
            </w:r>
          </w:p>
        </w:tc>
      </w:tr>
      <w:tr w14:paraId="6A44815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2E2B612">
            <w:pPr>
              <w:spacing w:before="0" w:line="360" w:lineRule="auto"/>
              <w:rPr>
                <w:sz w:val="21"/>
                <w:szCs w:val="21"/>
              </w:rPr>
            </w:pPr>
            <w:r>
              <w:rPr>
                <w:sz w:val="21"/>
                <w:szCs w:val="21"/>
              </w:rPr>
              <w:t>ALP</w:t>
            </w:r>
          </w:p>
        </w:tc>
        <w:tc>
          <w:tcPr>
            <w:tcW w:w="3841" w:type="dxa"/>
          </w:tcPr>
          <w:p w14:paraId="4E6F8C08">
            <w:pPr>
              <w:spacing w:before="0" w:line="360" w:lineRule="auto"/>
              <w:rPr>
                <w:sz w:val="21"/>
                <w:szCs w:val="21"/>
              </w:rPr>
            </w:pPr>
            <w:r>
              <w:rPr>
                <w:sz w:val="21"/>
                <w:szCs w:val="21"/>
              </w:rPr>
              <w:t>Alkaline phosphatase</w:t>
            </w:r>
          </w:p>
        </w:tc>
        <w:tc>
          <w:tcPr>
            <w:tcW w:w="2828" w:type="dxa"/>
          </w:tcPr>
          <w:p w14:paraId="285BF14B">
            <w:pPr>
              <w:spacing w:before="0" w:line="360" w:lineRule="auto"/>
              <w:rPr>
                <w:sz w:val="21"/>
                <w:szCs w:val="21"/>
              </w:rPr>
            </w:pPr>
            <w:r>
              <w:rPr>
                <w:sz w:val="21"/>
                <w:szCs w:val="21"/>
              </w:rPr>
              <w:t>碱性磷酸酶</w:t>
            </w:r>
          </w:p>
        </w:tc>
      </w:tr>
      <w:tr w14:paraId="1A9CC373">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121EDAB">
            <w:pPr>
              <w:spacing w:before="0" w:line="360" w:lineRule="auto"/>
              <w:rPr>
                <w:sz w:val="21"/>
                <w:szCs w:val="21"/>
              </w:rPr>
            </w:pPr>
            <w:r>
              <w:rPr>
                <w:sz w:val="21"/>
                <w:szCs w:val="21"/>
              </w:rPr>
              <w:t>ANC</w:t>
            </w:r>
          </w:p>
        </w:tc>
        <w:tc>
          <w:tcPr>
            <w:tcW w:w="3841" w:type="dxa"/>
          </w:tcPr>
          <w:p w14:paraId="6DA7B2E1">
            <w:pPr>
              <w:spacing w:before="0" w:line="360" w:lineRule="auto"/>
              <w:rPr>
                <w:sz w:val="21"/>
                <w:szCs w:val="21"/>
              </w:rPr>
            </w:pPr>
            <w:r>
              <w:rPr>
                <w:color w:val="000000"/>
                <w:sz w:val="21"/>
                <w:szCs w:val="21"/>
              </w:rPr>
              <w:t>Absolute neutrophil count</w:t>
            </w:r>
          </w:p>
        </w:tc>
        <w:tc>
          <w:tcPr>
            <w:tcW w:w="2828" w:type="dxa"/>
          </w:tcPr>
          <w:p w14:paraId="558641F2">
            <w:pPr>
              <w:spacing w:before="0" w:line="360" w:lineRule="auto"/>
              <w:rPr>
                <w:sz w:val="21"/>
                <w:szCs w:val="21"/>
              </w:rPr>
            </w:pPr>
            <w:r>
              <w:rPr>
                <w:sz w:val="21"/>
                <w:szCs w:val="21"/>
              </w:rPr>
              <w:t>中性粒细胞计数</w:t>
            </w:r>
          </w:p>
        </w:tc>
      </w:tr>
      <w:tr w14:paraId="3AEE041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B02C0C9">
            <w:pPr>
              <w:spacing w:before="0" w:line="360" w:lineRule="auto"/>
              <w:rPr>
                <w:sz w:val="21"/>
                <w:szCs w:val="21"/>
              </w:rPr>
            </w:pPr>
            <w:r>
              <w:rPr>
                <w:sz w:val="21"/>
                <w:szCs w:val="21"/>
              </w:rPr>
              <w:t>APTT</w:t>
            </w:r>
          </w:p>
        </w:tc>
        <w:tc>
          <w:tcPr>
            <w:tcW w:w="3841" w:type="dxa"/>
            <w:vAlign w:val="center"/>
          </w:tcPr>
          <w:p w14:paraId="03AAA6BB">
            <w:pPr>
              <w:spacing w:before="0" w:line="360" w:lineRule="auto"/>
              <w:rPr>
                <w:sz w:val="21"/>
                <w:szCs w:val="21"/>
              </w:rPr>
            </w:pPr>
            <w:r>
              <w:rPr>
                <w:color w:val="000000"/>
                <w:sz w:val="21"/>
                <w:szCs w:val="21"/>
              </w:rPr>
              <w:t>Activeated partial thromboplastin time</w:t>
            </w:r>
          </w:p>
        </w:tc>
        <w:tc>
          <w:tcPr>
            <w:tcW w:w="2828" w:type="dxa"/>
          </w:tcPr>
          <w:p w14:paraId="44CB00E4">
            <w:pPr>
              <w:spacing w:before="0" w:line="360" w:lineRule="auto"/>
              <w:rPr>
                <w:sz w:val="21"/>
                <w:szCs w:val="21"/>
              </w:rPr>
            </w:pPr>
            <w:r>
              <w:rPr>
                <w:sz w:val="21"/>
                <w:szCs w:val="21"/>
              </w:rPr>
              <w:t>部分凝血活酶时间</w:t>
            </w:r>
          </w:p>
        </w:tc>
      </w:tr>
      <w:tr w14:paraId="3E60305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81EE6D4">
            <w:pPr>
              <w:spacing w:before="0" w:line="360" w:lineRule="auto"/>
              <w:rPr>
                <w:sz w:val="21"/>
                <w:szCs w:val="21"/>
              </w:rPr>
            </w:pPr>
            <w:r>
              <w:rPr>
                <w:sz w:val="21"/>
                <w:szCs w:val="21"/>
              </w:rPr>
              <w:t>AST</w:t>
            </w:r>
          </w:p>
        </w:tc>
        <w:tc>
          <w:tcPr>
            <w:tcW w:w="3841" w:type="dxa"/>
            <w:vAlign w:val="center"/>
          </w:tcPr>
          <w:p w14:paraId="348A2703">
            <w:pPr>
              <w:spacing w:before="0" w:line="360" w:lineRule="auto"/>
              <w:rPr>
                <w:sz w:val="21"/>
                <w:szCs w:val="21"/>
              </w:rPr>
            </w:pPr>
            <w:r>
              <w:rPr>
                <w:color w:val="000000"/>
                <w:sz w:val="21"/>
                <w:szCs w:val="21"/>
              </w:rPr>
              <w:t>Aspartate aminotransferase</w:t>
            </w:r>
          </w:p>
        </w:tc>
        <w:tc>
          <w:tcPr>
            <w:tcW w:w="2828" w:type="dxa"/>
          </w:tcPr>
          <w:p w14:paraId="33076952">
            <w:pPr>
              <w:spacing w:before="0" w:line="360" w:lineRule="auto"/>
              <w:rPr>
                <w:sz w:val="21"/>
                <w:szCs w:val="21"/>
                <w:lang w:eastAsia="zh-CN"/>
              </w:rPr>
            </w:pPr>
            <w:r>
              <w:rPr>
                <w:sz w:val="21"/>
                <w:szCs w:val="21"/>
                <w:lang w:eastAsia="zh-CN"/>
              </w:rPr>
              <w:t>天门冬氨酸氨基转移酶</w:t>
            </w:r>
          </w:p>
        </w:tc>
      </w:tr>
      <w:tr w14:paraId="6337CD95">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B2BC411">
            <w:pPr>
              <w:spacing w:before="0" w:line="360" w:lineRule="auto"/>
              <w:rPr>
                <w:sz w:val="21"/>
                <w:szCs w:val="21"/>
              </w:rPr>
            </w:pPr>
            <w:r>
              <w:rPr>
                <w:sz w:val="21"/>
                <w:szCs w:val="21"/>
              </w:rPr>
              <w:t>AUC</w:t>
            </w:r>
          </w:p>
        </w:tc>
        <w:tc>
          <w:tcPr>
            <w:tcW w:w="3841" w:type="dxa"/>
            <w:vAlign w:val="center"/>
          </w:tcPr>
          <w:p w14:paraId="290D6BB6">
            <w:pPr>
              <w:spacing w:before="0" w:line="360" w:lineRule="auto"/>
              <w:rPr>
                <w:sz w:val="21"/>
                <w:szCs w:val="21"/>
              </w:rPr>
            </w:pPr>
            <w:r>
              <w:rPr>
                <w:color w:val="000000"/>
                <w:sz w:val="21"/>
                <w:szCs w:val="21"/>
              </w:rPr>
              <w:t>Area under curve</w:t>
            </w:r>
          </w:p>
        </w:tc>
        <w:tc>
          <w:tcPr>
            <w:tcW w:w="2828" w:type="dxa"/>
          </w:tcPr>
          <w:p w14:paraId="02E9ED0D">
            <w:pPr>
              <w:spacing w:before="0" w:line="360" w:lineRule="auto"/>
              <w:rPr>
                <w:sz w:val="21"/>
                <w:szCs w:val="21"/>
              </w:rPr>
            </w:pPr>
            <w:r>
              <w:rPr>
                <w:sz w:val="21"/>
                <w:szCs w:val="21"/>
              </w:rPr>
              <w:t>药时曲线下面积</w:t>
            </w:r>
          </w:p>
        </w:tc>
      </w:tr>
      <w:tr w14:paraId="0DB76F9E">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ED6C05E">
            <w:pPr>
              <w:spacing w:before="0" w:line="360" w:lineRule="auto"/>
              <w:rPr>
                <w:sz w:val="21"/>
                <w:szCs w:val="21"/>
              </w:rPr>
            </w:pPr>
            <w:r>
              <w:rPr>
                <w:sz w:val="21"/>
                <w:szCs w:val="21"/>
              </w:rPr>
              <w:t>BUN</w:t>
            </w:r>
          </w:p>
        </w:tc>
        <w:tc>
          <w:tcPr>
            <w:tcW w:w="3841" w:type="dxa"/>
          </w:tcPr>
          <w:p w14:paraId="3F9ED4ED">
            <w:pPr>
              <w:spacing w:before="0" w:line="360" w:lineRule="auto"/>
              <w:rPr>
                <w:sz w:val="21"/>
                <w:szCs w:val="21"/>
              </w:rPr>
            </w:pPr>
            <w:r>
              <w:rPr>
                <w:color w:val="000000"/>
                <w:sz w:val="21"/>
                <w:szCs w:val="21"/>
              </w:rPr>
              <w:t>Blood urea nitrogen</w:t>
            </w:r>
          </w:p>
        </w:tc>
        <w:tc>
          <w:tcPr>
            <w:tcW w:w="2828" w:type="dxa"/>
          </w:tcPr>
          <w:p w14:paraId="4B5B6ED3">
            <w:pPr>
              <w:spacing w:before="0" w:line="360" w:lineRule="auto"/>
              <w:rPr>
                <w:sz w:val="21"/>
                <w:szCs w:val="21"/>
              </w:rPr>
            </w:pPr>
            <w:r>
              <w:rPr>
                <w:sz w:val="21"/>
                <w:szCs w:val="21"/>
              </w:rPr>
              <w:t>尿素氮</w:t>
            </w:r>
          </w:p>
        </w:tc>
      </w:tr>
      <w:tr w14:paraId="62B6D41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141C781">
            <w:pPr>
              <w:spacing w:before="0" w:line="360" w:lineRule="auto"/>
              <w:rPr>
                <w:sz w:val="21"/>
                <w:szCs w:val="21"/>
              </w:rPr>
            </w:pPr>
            <w:r>
              <w:rPr>
                <w:sz w:val="21"/>
                <w:szCs w:val="21"/>
              </w:rPr>
              <w:t>CL</w:t>
            </w:r>
          </w:p>
        </w:tc>
        <w:tc>
          <w:tcPr>
            <w:tcW w:w="3841" w:type="dxa"/>
          </w:tcPr>
          <w:p w14:paraId="638F8829">
            <w:pPr>
              <w:spacing w:before="0" w:line="360" w:lineRule="auto"/>
              <w:rPr>
                <w:sz w:val="21"/>
                <w:szCs w:val="21"/>
              </w:rPr>
            </w:pPr>
            <w:r>
              <w:rPr>
                <w:sz w:val="21"/>
                <w:szCs w:val="21"/>
              </w:rPr>
              <w:t>Plasma clearance</w:t>
            </w:r>
          </w:p>
        </w:tc>
        <w:tc>
          <w:tcPr>
            <w:tcW w:w="2828" w:type="dxa"/>
          </w:tcPr>
          <w:p w14:paraId="1467871B">
            <w:pPr>
              <w:spacing w:before="0" w:line="360" w:lineRule="auto"/>
              <w:rPr>
                <w:sz w:val="21"/>
                <w:szCs w:val="21"/>
              </w:rPr>
            </w:pPr>
            <w:r>
              <w:rPr>
                <w:sz w:val="21"/>
                <w:szCs w:val="21"/>
              </w:rPr>
              <w:t>血浆清除率</w:t>
            </w:r>
          </w:p>
        </w:tc>
      </w:tr>
      <w:tr w14:paraId="6CE108A2">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AF3B341">
            <w:pPr>
              <w:spacing w:before="0" w:line="360" w:lineRule="auto"/>
              <w:rPr>
                <w:sz w:val="21"/>
                <w:szCs w:val="21"/>
              </w:rPr>
            </w:pPr>
            <w:r>
              <w:rPr>
                <w:sz w:val="21"/>
                <w:szCs w:val="21"/>
              </w:rPr>
              <w:t>Cr</w:t>
            </w:r>
          </w:p>
        </w:tc>
        <w:tc>
          <w:tcPr>
            <w:tcW w:w="3841" w:type="dxa"/>
          </w:tcPr>
          <w:p w14:paraId="123074DF">
            <w:pPr>
              <w:spacing w:before="0" w:line="360" w:lineRule="auto"/>
              <w:rPr>
                <w:sz w:val="21"/>
                <w:szCs w:val="21"/>
              </w:rPr>
            </w:pPr>
            <w:r>
              <w:rPr>
                <w:color w:val="000000"/>
                <w:sz w:val="21"/>
                <w:szCs w:val="21"/>
              </w:rPr>
              <w:t>Creatinine</w:t>
            </w:r>
          </w:p>
        </w:tc>
        <w:tc>
          <w:tcPr>
            <w:tcW w:w="2828" w:type="dxa"/>
          </w:tcPr>
          <w:p w14:paraId="68004196">
            <w:pPr>
              <w:spacing w:before="0" w:line="360" w:lineRule="auto"/>
              <w:rPr>
                <w:sz w:val="21"/>
                <w:szCs w:val="21"/>
              </w:rPr>
            </w:pPr>
            <w:r>
              <w:rPr>
                <w:sz w:val="21"/>
                <w:szCs w:val="21"/>
              </w:rPr>
              <w:t>肌酐</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CRF</w:t>
            </w:r>
          </w:p>
        </w:tc>
        <w:tc>
          <w:tcPr>
            <w:tcW w:w="3841" w:type="dxa"/>
          </w:tcPr>
          <w:p w14:paraId="13936DB0">
            <w:pPr>
              <w:spacing w:before="0" w:line="360" w:lineRule="auto"/>
              <w:rPr>
                <w:sz w:val="21"/>
                <w:szCs w:val="21"/>
              </w:rPr>
            </w:pPr>
            <w:r>
              <w:rPr>
                <w:color w:val="000000"/>
                <w:sz w:val="21"/>
                <w:szCs w:val="21"/>
              </w:rPr>
              <w:t>Case report form</w:t>
            </w:r>
          </w:p>
        </w:tc>
        <w:tc>
          <w:tcPr>
            <w:tcW w:w="2828" w:type="dxa"/>
          </w:tcPr>
          <w:p w14:paraId="19E3A932">
            <w:pPr>
              <w:spacing w:before="0" w:line="360" w:lineRule="auto"/>
              <w:rPr>
                <w:sz w:val="21"/>
                <w:szCs w:val="21"/>
              </w:rPr>
            </w:pPr>
            <w:r>
              <w:rPr>
                <w:sz w:val="21"/>
                <w:szCs w:val="21"/>
              </w:rPr>
              <w:t>病例报告表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CRO</w:t>
            </w:r>
          </w:p>
        </w:tc>
        <w:tc>
          <w:tcPr>
            <w:tcW w:w="3841" w:type="dxa"/>
          </w:tcPr>
          <w:p w14:paraId="13936DB0">
            <w:pPr>
              <w:spacing w:before="0" w:line="360" w:lineRule="auto"/>
              <w:rPr>
                <w:sz w:val="21"/>
                <w:szCs w:val="21"/>
              </w:rPr>
            </w:pPr>
            <w:r>
              <w:rPr>
                <w:color w:val="000000"/>
                <w:sz w:val="21"/>
                <w:szCs w:val="21"/>
              </w:rPr>
              <w:t xml:space="preserve">Contract Research Organization</w:t>
            </w:r>
          </w:p>
        </w:tc>
        <w:tc>
          <w:tcPr>
            <w:tcW w:w="2828" w:type="dxa"/>
          </w:tcPr>
          <w:p w14:paraId="19E3A932">
            <w:pPr>
              <w:spacing w:before="0" w:line="360" w:lineRule="auto"/>
              <w:rPr>
                <w:sz w:val="21"/>
                <w:szCs w:val="21"/>
              </w:rPr>
            </w:pPr>
            <w:r>
              <w:rPr>
                <w:sz w:val="21"/>
                <w:szCs w:val="21"/>
              </w:rPr>
              <w:t xml:space="preserve">合同研究组织</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CTCAE</w:t>
            </w:r>
          </w:p>
        </w:tc>
        <w:tc>
          <w:tcPr>
            <w:tcW w:w="3841" w:type="dxa"/>
          </w:tcPr>
          <w:p w14:paraId="13936DB0">
            <w:pPr>
              <w:spacing w:before="0" w:line="360" w:lineRule="auto"/>
              <w:rPr>
                <w:sz w:val="21"/>
                <w:szCs w:val="21"/>
              </w:rPr>
            </w:pPr>
            <w:r>
              <w:rPr>
                <w:color w:val="000000"/>
                <w:sz w:val="21"/>
                <w:szCs w:val="21"/>
              </w:rPr>
              <w:t xml:space="preserve">Common Terminology Criteria for Adverse Events</w:t>
            </w:r>
          </w:p>
        </w:tc>
        <w:tc>
          <w:tcPr>
            <w:tcW w:w="2828" w:type="dxa"/>
          </w:tcPr>
          <w:p w14:paraId="19E3A932">
            <w:pPr>
              <w:spacing w:before="0" w:line="360" w:lineRule="auto"/>
              <w:rPr>
                <w:sz w:val="21"/>
                <w:szCs w:val="21"/>
              </w:rPr>
            </w:pPr>
            <w:r>
              <w:rPr>
                <w:sz w:val="21"/>
                <w:szCs w:val="21"/>
              </w:rPr>
              <w:t xml:space="preserve">不良事件通用术语标准</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DMP</w:t>
            </w:r>
          </w:p>
        </w:tc>
        <w:tc>
          <w:tcPr>
            <w:tcW w:w="3841" w:type="dxa"/>
          </w:tcPr>
          <w:p w14:paraId="13936DB0">
            <w:pPr>
              <w:spacing w:before="0" w:line="360" w:lineRule="auto"/>
              <w:rPr>
                <w:sz w:val="21"/>
                <w:szCs w:val="21"/>
              </w:rPr>
            </w:pPr>
            <w:r>
              <w:rPr>
                <w:color w:val="000000"/>
                <w:sz w:val="21"/>
                <w:szCs w:val="21"/>
              </w:rPr>
              <w:t xml:space="preserve">Data Management Plan</w:t>
            </w:r>
          </w:p>
        </w:tc>
        <w:tc>
          <w:tcPr>
            <w:tcW w:w="2828" w:type="dxa"/>
          </w:tcPr>
          <w:p w14:paraId="19E3A932">
            <w:pPr>
              <w:spacing w:before="0" w:line="360" w:lineRule="auto"/>
              <w:rPr>
                <w:sz w:val="21"/>
                <w:szCs w:val="21"/>
              </w:rPr>
            </w:pPr>
            <w:r>
              <w:rPr>
                <w:sz w:val="21"/>
                <w:szCs w:val="21"/>
              </w:rPr>
              <w:t xml:space="preserve">数据管理计划</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DSUR</w:t>
            </w:r>
          </w:p>
        </w:tc>
        <w:tc>
          <w:tcPr>
            <w:tcW w:w="3841" w:type="dxa"/>
          </w:tcPr>
          <w:p w14:paraId="13936DB0">
            <w:pPr>
              <w:spacing w:before="0" w:line="360" w:lineRule="auto"/>
              <w:rPr>
                <w:sz w:val="21"/>
                <w:szCs w:val="21"/>
              </w:rPr>
            </w:pPr>
            <w:r>
              <w:rPr>
                <w:color w:val="000000"/>
                <w:sz w:val="21"/>
                <w:szCs w:val="21"/>
              </w:rPr>
              <w:t xml:space="preserve">Development Safety Update Report</w:t>
            </w:r>
          </w:p>
        </w:tc>
        <w:tc>
          <w:tcPr>
            <w:tcW w:w="2828" w:type="dxa"/>
          </w:tcPr>
          <w:p w14:paraId="19E3A932">
            <w:pPr>
              <w:spacing w:before="0" w:line="360" w:lineRule="auto"/>
              <w:rPr>
                <w:sz w:val="21"/>
                <w:szCs w:val="21"/>
              </w:rPr>
            </w:pPr>
            <w:r>
              <w:rPr>
                <w:sz w:val="21"/>
                <w:szCs w:val="21"/>
              </w:rPr>
              <w:t xml:space="preserve">药物研发期间安全性更新报告</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EDC</w:t>
            </w:r>
          </w:p>
        </w:tc>
        <w:tc>
          <w:tcPr>
            <w:tcW w:w="3841" w:type="dxa"/>
          </w:tcPr>
          <w:p w14:paraId="13936DB0">
            <w:pPr>
              <w:spacing w:before="0" w:line="360" w:lineRule="auto"/>
              <w:rPr>
                <w:sz w:val="21"/>
                <w:szCs w:val="21"/>
              </w:rPr>
            </w:pPr>
            <w:r>
              <w:rPr>
                <w:color w:val="000000"/>
                <w:sz w:val="21"/>
                <w:szCs w:val="21"/>
              </w:rPr>
              <w:t xml:space="preserve">Electronic Data Capture</w:t>
            </w:r>
          </w:p>
        </w:tc>
        <w:tc>
          <w:tcPr>
            <w:tcW w:w="2828" w:type="dxa"/>
          </w:tcPr>
          <w:p w14:paraId="19E3A932">
            <w:pPr>
              <w:spacing w:before="0" w:line="360" w:lineRule="auto"/>
              <w:rPr>
                <w:sz w:val="21"/>
                <w:szCs w:val="21"/>
              </w:rPr>
            </w:pPr>
            <w:r>
              <w:rPr>
                <w:sz w:val="21"/>
                <w:szCs w:val="21"/>
              </w:rPr>
              <w:t xml:space="preserve">电子数据采集系统</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eCRF</w:t>
            </w:r>
          </w:p>
        </w:tc>
        <w:tc>
          <w:tcPr>
            <w:tcW w:w="3841" w:type="dxa"/>
          </w:tcPr>
          <w:p w14:paraId="13936DB0">
            <w:pPr>
              <w:spacing w:before="0" w:line="360" w:lineRule="auto"/>
              <w:rPr>
                <w:sz w:val="21"/>
                <w:szCs w:val="21"/>
              </w:rPr>
            </w:pPr>
            <w:r>
              <w:rPr>
                <w:color w:val="000000"/>
                <w:sz w:val="21"/>
                <w:szCs w:val="21"/>
              </w:rPr>
              <w:t xml:space="preserve">electronic Case Report Form</w:t>
            </w:r>
          </w:p>
        </w:tc>
        <w:tc>
          <w:tcPr>
            <w:tcW w:w="2828" w:type="dxa"/>
          </w:tcPr>
          <w:p w14:paraId="19E3A932">
            <w:pPr>
              <w:spacing w:before="0" w:line="360" w:lineRule="auto"/>
              <w:rPr>
                <w:sz w:val="21"/>
                <w:szCs w:val="21"/>
              </w:rPr>
            </w:pPr>
            <w:r>
              <w:rPr>
                <w:sz w:val="21"/>
                <w:szCs w:val="21"/>
              </w:rPr>
              <w:t xml:space="preserve">电子病例报告表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ICF</w:t>
            </w:r>
          </w:p>
        </w:tc>
        <w:tc>
          <w:tcPr>
            <w:tcW w:w="3841" w:type="dxa"/>
          </w:tcPr>
          <w:p w14:paraId="13936DB0">
            <w:pPr>
              <w:spacing w:before="0" w:line="360" w:lineRule="auto"/>
              <w:rPr>
                <w:sz w:val="21"/>
                <w:szCs w:val="21"/>
              </w:rPr>
            </w:pPr>
            <w:r>
              <w:rPr>
                <w:color w:val="000000"/>
                <w:sz w:val="21"/>
                <w:szCs w:val="21"/>
              </w:rPr>
              <w:t xml:space="preserve">Informed Consent Form</w:t>
            </w:r>
          </w:p>
        </w:tc>
        <w:tc>
          <w:tcPr>
            <w:tcW w:w="2828" w:type="dxa"/>
          </w:tcPr>
          <w:p w14:paraId="19E3A932">
            <w:pPr>
              <w:spacing w:before="0" w:line="360" w:lineRule="auto"/>
              <w:rPr>
                <w:sz w:val="21"/>
                <w:szCs w:val="21"/>
              </w:rPr>
            </w:pPr>
            <w:r>
              <w:rPr>
                <w:sz w:val="21"/>
                <w:szCs w:val="21"/>
              </w:rPr>
              <w:t xml:space="preserve">知情同意书</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IWRS</w:t>
            </w:r>
          </w:p>
        </w:tc>
        <w:tc>
          <w:tcPr>
            <w:tcW w:w="3841" w:type="dxa"/>
          </w:tcPr>
          <w:p w14:paraId="13936DB0">
            <w:pPr>
              <w:spacing w:before="0" w:line="360" w:lineRule="auto"/>
              <w:rPr>
                <w:sz w:val="21"/>
                <w:szCs w:val="21"/>
              </w:rPr>
            </w:pPr>
            <w:r>
              <w:rPr>
                <w:color w:val="000000"/>
                <w:sz w:val="21"/>
                <w:szCs w:val="21"/>
              </w:rPr>
              <w:t xml:space="preserve">Interactive Web Response System</w:t>
            </w:r>
          </w:p>
        </w:tc>
        <w:tc>
          <w:tcPr>
            <w:tcW w:w="2828" w:type="dxa"/>
          </w:tcPr>
          <w:p w14:paraId="19E3A932">
            <w:pPr>
              <w:spacing w:before="0" w:line="360" w:lineRule="auto"/>
              <w:rPr>
                <w:sz w:val="21"/>
                <w:szCs w:val="21"/>
              </w:rPr>
            </w:pPr>
            <w:r>
              <w:rPr>
                <w:sz w:val="21"/>
                <w:szCs w:val="21"/>
              </w:rPr>
              <w:t xml:space="preserve">交互式网络应答系统</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MedDRA</w:t>
            </w:r>
          </w:p>
        </w:tc>
        <w:tc>
          <w:tcPr>
            <w:tcW w:w="3841" w:type="dxa"/>
          </w:tcPr>
          <w:p w14:paraId="13936DB0">
            <w:pPr>
              <w:spacing w:before="0" w:line="360" w:lineRule="auto"/>
              <w:rPr>
                <w:sz w:val="21"/>
                <w:szCs w:val="21"/>
              </w:rPr>
            </w:pPr>
            <w:r>
              <w:rPr>
                <w:color w:val="000000"/>
                <w:sz w:val="21"/>
                <w:szCs w:val="21"/>
              </w:rPr>
              <w:t xml:space="preserve">Medical Dictionary for Regulatory Activities</w:t>
            </w:r>
          </w:p>
        </w:tc>
        <w:tc>
          <w:tcPr>
            <w:tcW w:w="2828" w:type="dxa"/>
          </w:tcPr>
          <w:p w14:paraId="19E3A932">
            <w:pPr>
              <w:spacing w:before="0" w:line="360" w:lineRule="auto"/>
              <w:rPr>
                <w:sz w:val="21"/>
                <w:szCs w:val="21"/>
              </w:rPr>
            </w:pPr>
            <w:r>
              <w:rPr>
                <w:sz w:val="21"/>
                <w:szCs w:val="21"/>
              </w:rPr>
              <w:t xml:space="preserve">监管活动医学词典</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SAP</w:t>
            </w:r>
          </w:p>
        </w:tc>
        <w:tc>
          <w:tcPr>
            <w:tcW w:w="3841" w:type="dxa"/>
          </w:tcPr>
          <w:p w14:paraId="13936DB0">
            <w:pPr>
              <w:spacing w:before="0" w:line="360" w:lineRule="auto"/>
              <w:rPr>
                <w:sz w:val="21"/>
                <w:szCs w:val="21"/>
              </w:rPr>
            </w:pPr>
            <w:r>
              <w:rPr>
                <w:color w:val="000000"/>
                <w:sz w:val="21"/>
                <w:szCs w:val="21"/>
              </w:rPr>
              <w:t xml:space="preserve">Statistical Analysis Plan</w:t>
            </w:r>
          </w:p>
        </w:tc>
        <w:tc>
          <w:tcPr>
            <w:tcW w:w="2828" w:type="dxa"/>
          </w:tcPr>
          <w:p w14:paraId="19E3A932">
            <w:pPr>
              <w:spacing w:before="0" w:line="360" w:lineRule="auto"/>
              <w:rPr>
                <w:sz w:val="21"/>
                <w:szCs w:val="21"/>
              </w:rPr>
            </w:pPr>
            <w:r>
              <w:rPr>
                <w:sz w:val="21"/>
                <w:szCs w:val="21"/>
              </w:rPr>
              <w:t xml:space="preserve">统计分析计划</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SoA</w:t>
            </w:r>
          </w:p>
        </w:tc>
        <w:tc>
          <w:tcPr>
            <w:tcW w:w="3841" w:type="dxa"/>
          </w:tcPr>
          <w:p w14:paraId="13936DB0">
            <w:pPr>
              <w:spacing w:before="0" w:line="360" w:lineRule="auto"/>
              <w:rPr>
                <w:sz w:val="21"/>
                <w:szCs w:val="21"/>
              </w:rPr>
            </w:pPr>
            <w:r>
              <w:rPr>
                <w:color w:val="000000"/>
                <w:sz w:val="21"/>
                <w:szCs w:val="21"/>
              </w:rPr>
              <w:t xml:space="preserve">Schedule of Activities</w:t>
            </w:r>
          </w:p>
        </w:tc>
        <w:tc>
          <w:tcPr>
            <w:tcW w:w="2828" w:type="dxa"/>
          </w:tcPr>
          <w:p w14:paraId="19E3A932">
            <w:pPr>
              <w:spacing w:before="0" w:line="360" w:lineRule="auto"/>
              <w:rPr>
                <w:sz w:val="21"/>
                <w:szCs w:val="21"/>
              </w:rPr>
            </w:pPr>
            <w:r>
              <w:rPr>
                <w:sz w:val="21"/>
                <w:szCs w:val="21"/>
              </w:rPr>
              <w:t xml:space="preserve">研究流程表/活动时间表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SUSAR</w:t>
            </w:r>
          </w:p>
        </w:tc>
        <w:tc>
          <w:tcPr>
            <w:tcW w:w="3841" w:type="dxa"/>
          </w:tcPr>
          <w:p w14:paraId="13936DB0">
            <w:pPr>
              <w:spacing w:before="0" w:line="360" w:lineRule="auto"/>
              <w:rPr>
                <w:sz w:val="21"/>
                <w:szCs w:val="21"/>
              </w:rPr>
            </w:pPr>
            <w:r>
              <w:rPr>
                <w:color w:val="000000"/>
                <w:sz w:val="21"/>
                <w:szCs w:val="21"/>
              </w:rPr>
              <w:t xml:space="preserve">Suspected Unexpected Serious Adverse Reaction</w:t>
            </w:r>
          </w:p>
        </w:tc>
        <w:tc>
          <w:tcPr>
            <w:tcW w:w="2828" w:type="dxa"/>
          </w:tcPr>
          <w:p w14:paraId="19E3A932">
            <w:pPr>
              <w:spacing w:before="0" w:line="360" w:lineRule="auto"/>
              <w:rPr>
                <w:sz w:val="21"/>
                <w:szCs w:val="21"/>
              </w:rPr>
            </w:pPr>
            <w:r>
              <w:rPr>
                <w:sz w:val="21"/>
                <w:szCs w:val="21"/>
              </w:rPr>
              <w:t xml:space="preserve">可疑且非预期严重不良反应</w:t>
            </w:r>
          </w:p>
        </w:tc>
      </w:tr>
      <w:tr w14:paraId="78A20E0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F2364CD">
            <w:pPr>
              <w:spacing w:before="0" w:line="360" w:lineRule="auto"/>
              <w:rPr>
                <w:sz w:val="21"/>
                <w:szCs w:val="21"/>
              </w:rPr>
            </w:pPr>
            <w:r>
              <w:rPr>
                <w:sz w:val="21"/>
                <w:szCs w:val="21"/>
              </w:rPr>
              <w:t>DBil</w:t>
            </w:r>
          </w:p>
        </w:tc>
        <w:tc>
          <w:tcPr>
            <w:tcW w:w="3841" w:type="dxa"/>
          </w:tcPr>
          <w:p w14:paraId="3BDEF0F4">
            <w:pPr>
              <w:spacing w:before="0" w:line="360" w:lineRule="auto"/>
              <w:rPr>
                <w:sz w:val="21"/>
                <w:szCs w:val="21"/>
              </w:rPr>
            </w:pPr>
            <w:r>
              <w:rPr>
                <w:color w:val="000000"/>
                <w:sz w:val="21"/>
                <w:szCs w:val="21"/>
              </w:rPr>
              <w:t>Direct bilirubin</w:t>
            </w:r>
          </w:p>
        </w:tc>
        <w:tc>
          <w:tcPr>
            <w:tcW w:w="2828" w:type="dxa"/>
          </w:tcPr>
          <w:p w14:paraId="72CE8A71">
            <w:pPr>
              <w:spacing w:before="0" w:line="360" w:lineRule="auto"/>
              <w:rPr>
                <w:sz w:val="21"/>
                <w:szCs w:val="21"/>
              </w:rPr>
            </w:pPr>
            <w:r>
              <w:rPr>
                <w:sz w:val="21"/>
                <w:szCs w:val="21"/>
              </w:rPr>
              <w:t>直接胆红素</w:t>
            </w:r>
          </w:p>
        </w:tc>
      </w:tr>
      <w:tr w14:paraId="037AA8A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7C0121D8">
            <w:pPr>
              <w:spacing w:before="0" w:line="360" w:lineRule="auto"/>
              <w:rPr>
                <w:sz w:val="21"/>
                <w:szCs w:val="21"/>
              </w:rPr>
            </w:pPr>
            <w:r>
              <w:rPr>
                <w:sz w:val="21"/>
                <w:szCs w:val="21"/>
              </w:rPr>
              <w:t>DNA</w:t>
            </w:r>
          </w:p>
        </w:tc>
        <w:tc>
          <w:tcPr>
            <w:tcW w:w="3841" w:type="dxa"/>
          </w:tcPr>
          <w:p w14:paraId="527C4CAF">
            <w:pPr>
              <w:spacing w:before="0" w:line="360" w:lineRule="auto"/>
              <w:rPr>
                <w:sz w:val="21"/>
                <w:szCs w:val="21"/>
              </w:rPr>
            </w:pPr>
            <w:r>
              <w:rPr>
                <w:sz w:val="21"/>
                <w:szCs w:val="21"/>
              </w:rPr>
              <w:t>Deoxyribonucleic acid</w:t>
            </w:r>
          </w:p>
        </w:tc>
        <w:tc>
          <w:tcPr>
            <w:tcW w:w="2828" w:type="dxa"/>
          </w:tcPr>
          <w:p w14:paraId="0596C11A">
            <w:pPr>
              <w:spacing w:before="0" w:line="360" w:lineRule="auto"/>
              <w:rPr>
                <w:sz w:val="21"/>
                <w:szCs w:val="21"/>
              </w:rPr>
            </w:pPr>
            <w:r>
              <w:rPr>
                <w:sz w:val="21"/>
                <w:szCs w:val="21"/>
              </w:rPr>
              <w:t>脱氧核糖核酸</w:t>
            </w:r>
          </w:p>
        </w:tc>
      </w:tr>
      <w:tr w14:paraId="14FFE00F">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3A5274D">
            <w:pPr>
              <w:spacing w:before="0" w:line="360" w:lineRule="auto"/>
              <w:rPr>
                <w:sz w:val="21"/>
                <w:szCs w:val="21"/>
              </w:rPr>
            </w:pPr>
            <w:r>
              <w:rPr>
                <w:rFonts w:hint="eastAsia"/>
                <w:sz w:val="21"/>
                <w:szCs w:val="21"/>
              </w:rPr>
              <w:t>E</w:t>
            </w:r>
            <w:r>
              <w:rPr>
                <w:sz w:val="21"/>
                <w:szCs w:val="21"/>
              </w:rPr>
              <w:t>C</w:t>
            </w:r>
          </w:p>
        </w:tc>
        <w:tc>
          <w:tcPr>
            <w:tcW w:w="3841" w:type="dxa"/>
          </w:tcPr>
          <w:p w14:paraId="41E16886">
            <w:pPr>
              <w:spacing w:before="0" w:line="360" w:lineRule="auto"/>
              <w:rPr>
                <w:rFonts w:cs="Times New Roman"/>
                <w:sz w:val="21"/>
                <w:szCs w:val="21"/>
              </w:rPr>
            </w:pPr>
            <w:r>
              <w:rPr>
                <w:rFonts w:cs="Times New Roman"/>
                <w:color w:val="333333"/>
                <w:sz w:val="21"/>
                <w:szCs w:val="21"/>
              </w:rPr>
              <w:t>Ethics Committee</w:t>
            </w:r>
          </w:p>
        </w:tc>
        <w:tc>
          <w:tcPr>
            <w:tcW w:w="2828" w:type="dxa"/>
          </w:tcPr>
          <w:p w14:paraId="7F73B551">
            <w:pPr>
              <w:spacing w:before="0" w:line="360" w:lineRule="auto"/>
              <w:rPr>
                <w:sz w:val="21"/>
                <w:szCs w:val="21"/>
              </w:rPr>
            </w:pPr>
            <w:r w:rsidR="273394C3">
              <w:rPr>
                <w:sz w:val="21"/>
                <w:szCs w:val="21"/>
              </w:rPr>
              <w:t xml:space="preserve">伦理审查委员会</w:t>
            </w:r>
          </w:p>
        </w:tc>
      </w:tr>
      <w:tr w14:paraId="29200C0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7436E33">
            <w:pPr>
              <w:spacing w:before="0" w:line="360" w:lineRule="auto"/>
              <w:rPr>
                <w:sz w:val="21"/>
                <w:szCs w:val="21"/>
              </w:rPr>
            </w:pPr>
            <w:r>
              <w:rPr>
                <w:sz w:val="21"/>
                <w:szCs w:val="21"/>
              </w:rPr>
              <w:t>FAS</w:t>
            </w:r>
          </w:p>
        </w:tc>
        <w:tc>
          <w:tcPr>
            <w:tcW w:w="3841" w:type="dxa"/>
          </w:tcPr>
          <w:p w14:paraId="30E770B2">
            <w:pPr>
              <w:spacing w:before="0" w:line="360" w:lineRule="auto"/>
              <w:rPr>
                <w:sz w:val="21"/>
                <w:szCs w:val="21"/>
              </w:rPr>
            </w:pPr>
            <w:r>
              <w:rPr>
                <w:color w:val="000000"/>
                <w:sz w:val="21"/>
                <w:szCs w:val="21"/>
              </w:rPr>
              <w:t>Full analyse set</w:t>
            </w:r>
          </w:p>
        </w:tc>
        <w:tc>
          <w:tcPr>
            <w:tcW w:w="2828" w:type="dxa"/>
          </w:tcPr>
          <w:p w14:paraId="39DB3228">
            <w:pPr>
              <w:spacing w:before="0" w:line="360" w:lineRule="auto"/>
              <w:rPr>
                <w:sz w:val="21"/>
                <w:szCs w:val="21"/>
              </w:rPr>
            </w:pPr>
            <w:r>
              <w:rPr>
                <w:sz w:val="21"/>
                <w:szCs w:val="21"/>
              </w:rPr>
              <w:t>全分析集</w:t>
            </w:r>
          </w:p>
        </w:tc>
      </w:tr>
      <w:tr w14:paraId="4ED6FDEE">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D7A9780">
            <w:pPr>
              <w:spacing w:before="0" w:line="360" w:lineRule="auto"/>
              <w:rPr>
                <w:sz w:val="21"/>
                <w:szCs w:val="21"/>
              </w:rPr>
            </w:pPr>
            <w:r>
              <w:rPr>
                <w:sz w:val="21"/>
                <w:szCs w:val="21"/>
              </w:rPr>
              <w:t>GCP</w:t>
            </w:r>
          </w:p>
        </w:tc>
        <w:tc>
          <w:tcPr>
            <w:tcW w:w="3841" w:type="dxa"/>
          </w:tcPr>
          <w:p w14:paraId="7312E85B">
            <w:pPr>
              <w:spacing w:before="0" w:line="360" w:lineRule="auto"/>
              <w:rPr>
                <w:sz w:val="21"/>
                <w:szCs w:val="21"/>
              </w:rPr>
            </w:pPr>
            <w:r>
              <w:rPr>
                <w:color w:val="000000"/>
                <w:sz w:val="21"/>
                <w:szCs w:val="21"/>
              </w:rPr>
              <w:t>Good Clinical Practice</w:t>
            </w:r>
          </w:p>
        </w:tc>
        <w:tc>
          <w:tcPr>
            <w:tcW w:w="2828" w:type="dxa"/>
          </w:tcPr>
          <w:p w14:paraId="3768E99D">
            <w:pPr>
              <w:spacing w:before="0" w:line="360" w:lineRule="auto"/>
              <w:rPr>
                <w:sz w:val="21"/>
                <w:szCs w:val="21"/>
              </w:rPr>
            </w:pPr>
            <w:r>
              <w:rPr>
                <w:sz w:val="21"/>
                <w:szCs w:val="21"/>
              </w:rPr>
              <w:t>临床试验管理规范</w:t>
            </w:r>
          </w:p>
        </w:tc>
      </w:tr>
      <w:tr w14:paraId="6EA40D75">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8D881C2">
            <w:pPr>
              <w:spacing w:before="0" w:line="360" w:lineRule="auto"/>
              <w:rPr>
                <w:sz w:val="21"/>
                <w:szCs w:val="21"/>
              </w:rPr>
            </w:pPr>
            <w:r>
              <w:rPr>
                <w:sz w:val="21"/>
                <w:szCs w:val="21"/>
              </w:rPr>
              <w:t>GGT</w:t>
            </w:r>
          </w:p>
        </w:tc>
        <w:tc>
          <w:tcPr>
            <w:tcW w:w="3841" w:type="dxa"/>
          </w:tcPr>
          <w:p w14:paraId="14F6B157">
            <w:pPr>
              <w:spacing w:before="0" w:line="360" w:lineRule="auto"/>
              <w:rPr>
                <w:sz w:val="21"/>
                <w:szCs w:val="21"/>
              </w:rPr>
            </w:pPr>
            <w:r>
              <w:rPr>
                <w:sz w:val="21"/>
                <w:szCs w:val="21"/>
              </w:rPr>
              <w:t>Glutamyltransferase</w:t>
            </w:r>
          </w:p>
        </w:tc>
        <w:tc>
          <w:tcPr>
            <w:tcW w:w="2828" w:type="dxa"/>
          </w:tcPr>
          <w:p w14:paraId="56FE237B">
            <w:pPr>
              <w:spacing w:before="0" w:line="360" w:lineRule="auto"/>
              <w:rPr>
                <w:sz w:val="21"/>
                <w:szCs w:val="21"/>
              </w:rPr>
            </w:pPr>
            <w:r>
              <w:rPr>
                <w:sz w:val="21"/>
                <w:szCs w:val="21"/>
              </w:rPr>
              <w:t>γ-谷氨酰转肽酶</w:t>
            </w:r>
          </w:p>
        </w:tc>
      </w:tr>
      <w:tr w14:paraId="04A34FBC">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6A5314C">
            <w:pPr>
              <w:spacing w:before="0" w:line="360" w:lineRule="auto"/>
              <w:rPr>
                <w:sz w:val="21"/>
                <w:szCs w:val="21"/>
              </w:rPr>
            </w:pPr>
            <w:r>
              <w:rPr>
                <w:sz w:val="21"/>
                <w:szCs w:val="21"/>
              </w:rPr>
              <w:t>Hb</w:t>
            </w:r>
          </w:p>
        </w:tc>
        <w:tc>
          <w:tcPr>
            <w:tcW w:w="3841" w:type="dxa"/>
          </w:tcPr>
          <w:p w14:paraId="2A610AC0">
            <w:pPr>
              <w:spacing w:before="0" w:line="360" w:lineRule="auto"/>
              <w:rPr>
                <w:sz w:val="21"/>
                <w:szCs w:val="21"/>
              </w:rPr>
            </w:pPr>
            <w:r>
              <w:rPr>
                <w:color w:val="000000"/>
                <w:sz w:val="21"/>
                <w:szCs w:val="21"/>
              </w:rPr>
              <w:t>Hemoglobin</w:t>
            </w:r>
          </w:p>
        </w:tc>
        <w:tc>
          <w:tcPr>
            <w:tcW w:w="2828" w:type="dxa"/>
          </w:tcPr>
          <w:p w14:paraId="67E62EEE">
            <w:pPr>
              <w:spacing w:before="0" w:line="360" w:lineRule="auto"/>
              <w:rPr>
                <w:sz w:val="21"/>
                <w:szCs w:val="21"/>
              </w:rPr>
            </w:pPr>
            <w:r>
              <w:rPr>
                <w:sz w:val="21"/>
                <w:szCs w:val="21"/>
              </w:rPr>
              <w:t>血红蛋白</w:t>
            </w:r>
          </w:p>
        </w:tc>
      </w:tr>
      <w:tr w14:paraId="25DC7E1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83688A9">
            <w:pPr>
              <w:spacing w:before="0" w:line="360" w:lineRule="auto"/>
              <w:rPr>
                <w:sz w:val="21"/>
                <w:szCs w:val="21"/>
              </w:rPr>
            </w:pPr>
            <w:r>
              <w:rPr>
                <w:sz w:val="21"/>
                <w:szCs w:val="21"/>
              </w:rPr>
              <w:t>HIV</w:t>
            </w:r>
          </w:p>
        </w:tc>
        <w:tc>
          <w:tcPr>
            <w:tcW w:w="3841" w:type="dxa"/>
            <w:vAlign w:val="center"/>
          </w:tcPr>
          <w:p w14:paraId="2F257910">
            <w:pPr>
              <w:spacing w:before="0" w:line="360" w:lineRule="auto"/>
              <w:rPr>
                <w:sz w:val="21"/>
                <w:szCs w:val="21"/>
              </w:rPr>
            </w:pPr>
            <w:r>
              <w:rPr>
                <w:color w:val="000000"/>
                <w:sz w:val="21"/>
                <w:szCs w:val="21"/>
              </w:rPr>
              <w:t>Human immunodeficiency virus</w:t>
            </w:r>
          </w:p>
        </w:tc>
        <w:tc>
          <w:tcPr>
            <w:tcW w:w="2828" w:type="dxa"/>
          </w:tcPr>
          <w:p w14:paraId="4BA22118">
            <w:pPr>
              <w:spacing w:before="0" w:line="360" w:lineRule="auto"/>
              <w:rPr>
                <w:sz w:val="21"/>
                <w:szCs w:val="21"/>
              </w:rPr>
            </w:pPr>
            <w:r>
              <w:rPr>
                <w:sz w:val="21"/>
                <w:szCs w:val="21"/>
              </w:rPr>
              <w:t>人类免疫缺陷病毒</w:t>
            </w:r>
          </w:p>
        </w:tc>
      </w:tr>
      <w:tr w14:paraId="6171210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6DE3989">
            <w:pPr>
              <w:spacing w:before="0" w:line="360" w:lineRule="auto"/>
              <w:rPr>
                <w:sz w:val="21"/>
                <w:szCs w:val="21"/>
              </w:rPr>
            </w:pPr>
            <w:r>
              <w:rPr>
                <w:sz w:val="21"/>
                <w:szCs w:val="21"/>
              </w:rPr>
              <w:t>ITT</w:t>
            </w:r>
          </w:p>
        </w:tc>
        <w:tc>
          <w:tcPr>
            <w:tcW w:w="3841" w:type="dxa"/>
            <w:vAlign w:val="center"/>
          </w:tcPr>
          <w:p w14:paraId="6651F5F0">
            <w:pPr>
              <w:spacing w:before="0" w:line="360" w:lineRule="auto"/>
              <w:rPr>
                <w:sz w:val="21"/>
                <w:szCs w:val="21"/>
              </w:rPr>
            </w:pPr>
            <w:r>
              <w:rPr>
                <w:color w:val="000000"/>
                <w:sz w:val="21"/>
                <w:szCs w:val="21"/>
              </w:rPr>
              <w:t>Intend to treat</w:t>
            </w:r>
          </w:p>
        </w:tc>
        <w:tc>
          <w:tcPr>
            <w:tcW w:w="2828" w:type="dxa"/>
          </w:tcPr>
          <w:p w14:paraId="7154E8BA">
            <w:pPr>
              <w:spacing w:before="0" w:line="360" w:lineRule="auto"/>
              <w:rPr>
                <w:sz w:val="21"/>
                <w:szCs w:val="21"/>
              </w:rPr>
            </w:pPr>
            <w:r>
              <w:rPr>
                <w:sz w:val="21"/>
                <w:szCs w:val="21"/>
              </w:rPr>
              <w:t>意向性治疗</w:t>
            </w:r>
          </w:p>
        </w:tc>
      </w:tr>
      <w:tr w14:paraId="4F370A5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C0CF451">
            <w:pPr>
              <w:spacing w:before="0" w:line="360" w:lineRule="auto"/>
              <w:rPr>
                <w:sz w:val="21"/>
                <w:szCs w:val="21"/>
              </w:rPr>
            </w:pPr>
            <w:r>
              <w:rPr>
                <w:sz w:val="21"/>
                <w:szCs w:val="21"/>
              </w:rPr>
              <w:t>LVEF</w:t>
            </w:r>
          </w:p>
        </w:tc>
        <w:tc>
          <w:tcPr>
            <w:tcW w:w="3841" w:type="dxa"/>
            <w:vAlign w:val="center"/>
          </w:tcPr>
          <w:p w14:paraId="28059B0C">
            <w:pPr>
              <w:spacing w:before="0" w:line="360" w:lineRule="auto"/>
              <w:rPr>
                <w:sz w:val="21"/>
                <w:szCs w:val="21"/>
              </w:rPr>
            </w:pPr>
            <w:r>
              <w:rPr>
                <w:color w:val="000000"/>
                <w:sz w:val="21"/>
                <w:szCs w:val="21"/>
              </w:rPr>
              <w:t>Left ventricular ejection fraction</w:t>
            </w:r>
          </w:p>
        </w:tc>
        <w:tc>
          <w:tcPr>
            <w:tcW w:w="2828" w:type="dxa"/>
          </w:tcPr>
          <w:p w14:paraId="7A19EA1B">
            <w:pPr>
              <w:spacing w:before="0" w:line="360" w:lineRule="auto"/>
              <w:rPr>
                <w:sz w:val="21"/>
                <w:szCs w:val="21"/>
              </w:rPr>
            </w:pPr>
            <w:r>
              <w:rPr>
                <w:sz w:val="21"/>
                <w:szCs w:val="21"/>
              </w:rPr>
              <w:t>左室射血分数</w:t>
            </w:r>
          </w:p>
        </w:tc>
      </w:tr>
      <w:tr w14:paraId="3E995B7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D948140">
            <w:pPr>
              <w:spacing w:before="0" w:line="360" w:lineRule="auto"/>
              <w:rPr>
                <w:sz w:val="21"/>
                <w:szCs w:val="21"/>
              </w:rPr>
            </w:pPr>
            <w:r>
              <w:rPr>
                <w:sz w:val="21"/>
                <w:szCs w:val="21"/>
              </w:rPr>
              <w:t>NYHA</w:t>
            </w:r>
          </w:p>
        </w:tc>
        <w:tc>
          <w:tcPr>
            <w:tcW w:w="3841" w:type="dxa"/>
          </w:tcPr>
          <w:p w14:paraId="152F3F55">
            <w:pPr>
              <w:spacing w:before="0" w:line="360" w:lineRule="auto"/>
              <w:rPr>
                <w:sz w:val="21"/>
                <w:szCs w:val="21"/>
              </w:rPr>
            </w:pPr>
            <w:r>
              <w:rPr>
                <w:color w:val="000000"/>
                <w:sz w:val="21"/>
                <w:szCs w:val="21"/>
              </w:rPr>
              <w:t>New York Heart Association</w:t>
            </w:r>
          </w:p>
        </w:tc>
        <w:tc>
          <w:tcPr>
            <w:tcW w:w="2828" w:type="dxa"/>
          </w:tcPr>
          <w:p w14:paraId="509D5381">
            <w:pPr>
              <w:spacing w:before="0" w:line="360" w:lineRule="auto"/>
              <w:rPr>
                <w:sz w:val="21"/>
                <w:szCs w:val="21"/>
              </w:rPr>
            </w:pPr>
            <w:r>
              <w:rPr>
                <w:sz w:val="21"/>
                <w:szCs w:val="21"/>
              </w:rPr>
              <w:t>美国纽约心脏病协会</w:t>
            </w:r>
          </w:p>
        </w:tc>
      </w:tr>
      <w:tr w14:paraId="5BDF7A1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C57021B">
            <w:pPr>
              <w:spacing w:before="0" w:line="360" w:lineRule="auto"/>
              <w:rPr>
                <w:sz w:val="21"/>
                <w:szCs w:val="21"/>
              </w:rPr>
            </w:pPr>
            <w:r>
              <w:rPr>
                <w:sz w:val="21"/>
                <w:szCs w:val="21"/>
              </w:rPr>
              <w:t>ORR</w:t>
            </w:r>
          </w:p>
        </w:tc>
        <w:tc>
          <w:tcPr>
            <w:tcW w:w="3841" w:type="dxa"/>
          </w:tcPr>
          <w:p w14:paraId="50F894C8">
            <w:pPr>
              <w:spacing w:before="0" w:line="360" w:lineRule="auto"/>
              <w:rPr>
                <w:sz w:val="21"/>
                <w:szCs w:val="21"/>
              </w:rPr>
            </w:pPr>
            <w:r>
              <w:rPr>
                <w:color w:val="000000"/>
                <w:sz w:val="21"/>
                <w:szCs w:val="21"/>
              </w:rPr>
              <w:t>Objective response rate</w:t>
            </w:r>
          </w:p>
        </w:tc>
        <w:tc>
          <w:tcPr>
            <w:tcW w:w="2828" w:type="dxa"/>
          </w:tcPr>
          <w:p w14:paraId="6B70A7BA">
            <w:pPr>
              <w:spacing w:before="0" w:line="360" w:lineRule="auto"/>
              <w:rPr>
                <w:sz w:val="21"/>
                <w:szCs w:val="21"/>
              </w:rPr>
            </w:pPr>
            <w:r>
              <w:rPr>
                <w:sz w:val="21"/>
                <w:szCs w:val="21"/>
              </w:rPr>
              <w:t>客观缓解率</w:t>
            </w:r>
          </w:p>
        </w:tc>
      </w:tr>
      <w:tr w14:paraId="184EA91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75A9C71">
            <w:pPr>
              <w:spacing w:before="0" w:line="360" w:lineRule="auto"/>
              <w:rPr>
                <w:sz w:val="21"/>
                <w:szCs w:val="21"/>
              </w:rPr>
            </w:pPr>
            <w:r>
              <w:rPr>
                <w:sz w:val="21"/>
                <w:szCs w:val="21"/>
              </w:rPr>
              <w:t>PLT</w:t>
            </w:r>
          </w:p>
        </w:tc>
        <w:tc>
          <w:tcPr>
            <w:tcW w:w="3841" w:type="dxa"/>
          </w:tcPr>
          <w:p w14:paraId="5A3072B7">
            <w:pPr>
              <w:spacing w:before="0" w:line="360" w:lineRule="auto"/>
              <w:rPr>
                <w:sz w:val="21"/>
                <w:szCs w:val="21"/>
              </w:rPr>
            </w:pPr>
            <w:r>
              <w:rPr>
                <w:color w:val="000000"/>
                <w:sz w:val="21"/>
                <w:szCs w:val="21"/>
              </w:rPr>
              <w:t>Platelet</w:t>
            </w:r>
          </w:p>
        </w:tc>
        <w:tc>
          <w:tcPr>
            <w:tcW w:w="2828" w:type="dxa"/>
          </w:tcPr>
          <w:p w14:paraId="0FADC441">
            <w:pPr>
              <w:spacing w:before="0" w:line="360" w:lineRule="auto"/>
              <w:rPr>
                <w:sz w:val="21"/>
                <w:szCs w:val="21"/>
              </w:rPr>
            </w:pPr>
            <w:r>
              <w:rPr>
                <w:sz w:val="21"/>
                <w:szCs w:val="21"/>
              </w:rPr>
              <w:t>血小板</w:t>
            </w:r>
          </w:p>
        </w:tc>
      </w:tr>
      <w:tr w14:paraId="52A1EE1B">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CB88E2D">
            <w:pPr>
              <w:spacing w:before="0" w:line="360" w:lineRule="auto"/>
              <w:rPr>
                <w:sz w:val="21"/>
                <w:szCs w:val="21"/>
              </w:rPr>
            </w:pPr>
            <w:r>
              <w:rPr>
                <w:sz w:val="21"/>
                <w:szCs w:val="21"/>
              </w:rPr>
              <w:t>PK</w:t>
            </w:r>
          </w:p>
        </w:tc>
        <w:tc>
          <w:tcPr>
            <w:tcW w:w="3841" w:type="dxa"/>
          </w:tcPr>
          <w:p w14:paraId="6F331323">
            <w:pPr>
              <w:spacing w:before="0" w:line="360" w:lineRule="auto"/>
              <w:rPr>
                <w:sz w:val="21"/>
                <w:szCs w:val="21"/>
              </w:rPr>
            </w:pPr>
            <w:r>
              <w:rPr>
                <w:color w:val="000000"/>
                <w:sz w:val="21"/>
                <w:szCs w:val="21"/>
              </w:rPr>
              <w:t>Pharmacokinetics</w:t>
            </w:r>
          </w:p>
        </w:tc>
        <w:tc>
          <w:tcPr>
            <w:tcW w:w="2828" w:type="dxa"/>
          </w:tcPr>
          <w:p w14:paraId="157207CD">
            <w:pPr>
              <w:spacing w:before="0" w:line="360" w:lineRule="auto"/>
              <w:rPr>
                <w:sz w:val="21"/>
                <w:szCs w:val="21"/>
              </w:rPr>
            </w:pPr>
            <w:r>
              <w:rPr>
                <w:sz w:val="21"/>
                <w:szCs w:val="21"/>
              </w:rPr>
              <w:t>药代动力学</w:t>
            </w:r>
          </w:p>
        </w:tc>
      </w:tr>
      <w:tr w14:paraId="52A76AB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9386936">
            <w:pPr>
              <w:spacing w:before="0" w:line="360" w:lineRule="auto"/>
              <w:rPr>
                <w:sz w:val="21"/>
                <w:szCs w:val="21"/>
              </w:rPr>
            </w:pPr>
            <w:r>
              <w:rPr>
                <w:sz w:val="21"/>
                <w:szCs w:val="21"/>
              </w:rPr>
              <w:t>PT</w:t>
            </w:r>
          </w:p>
        </w:tc>
        <w:tc>
          <w:tcPr>
            <w:tcW w:w="3841" w:type="dxa"/>
          </w:tcPr>
          <w:p w14:paraId="74290991">
            <w:pPr>
              <w:spacing w:before="0" w:line="360" w:lineRule="auto"/>
              <w:rPr>
                <w:sz w:val="21"/>
                <w:szCs w:val="21"/>
              </w:rPr>
            </w:pPr>
            <w:r>
              <w:rPr>
                <w:color w:val="000000"/>
                <w:sz w:val="21"/>
                <w:szCs w:val="21"/>
              </w:rPr>
              <w:t>Prothrombin time</w:t>
            </w:r>
          </w:p>
        </w:tc>
        <w:tc>
          <w:tcPr>
            <w:tcW w:w="2828" w:type="dxa"/>
          </w:tcPr>
          <w:p w14:paraId="6560EE6B">
            <w:pPr>
              <w:spacing w:before="0" w:line="360" w:lineRule="auto"/>
              <w:rPr>
                <w:sz w:val="21"/>
                <w:szCs w:val="21"/>
              </w:rPr>
            </w:pPr>
            <w:r>
              <w:rPr>
                <w:sz w:val="21"/>
                <w:szCs w:val="21"/>
              </w:rPr>
              <w:t>凝血酶原时间</w:t>
            </w:r>
          </w:p>
        </w:tc>
      </w:tr>
      <w:tr w14:paraId="2831BDB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7BB4F0BF">
            <w:pPr>
              <w:spacing w:before="0" w:line="360" w:lineRule="auto"/>
              <w:rPr>
                <w:sz w:val="21"/>
                <w:szCs w:val="21"/>
              </w:rPr>
            </w:pPr>
            <w:r>
              <w:rPr>
                <w:sz w:val="21"/>
                <w:szCs w:val="21"/>
              </w:rPr>
              <w:t>RBC</w:t>
            </w:r>
          </w:p>
        </w:tc>
        <w:tc>
          <w:tcPr>
            <w:tcW w:w="3841" w:type="dxa"/>
          </w:tcPr>
          <w:p w14:paraId="6784D788">
            <w:pPr>
              <w:spacing w:before="0" w:line="360" w:lineRule="auto"/>
              <w:rPr>
                <w:sz w:val="21"/>
                <w:szCs w:val="21"/>
              </w:rPr>
            </w:pPr>
            <w:r>
              <w:rPr>
                <w:color w:val="000000"/>
                <w:sz w:val="21"/>
                <w:szCs w:val="21"/>
              </w:rPr>
              <w:t>Red blood cell</w:t>
            </w:r>
          </w:p>
        </w:tc>
        <w:tc>
          <w:tcPr>
            <w:tcW w:w="2828" w:type="dxa"/>
          </w:tcPr>
          <w:p w14:paraId="6E4D57E4">
            <w:pPr>
              <w:spacing w:before="0" w:line="360" w:lineRule="auto"/>
              <w:rPr>
                <w:sz w:val="21"/>
                <w:szCs w:val="21"/>
              </w:rPr>
            </w:pPr>
            <w:r>
              <w:rPr>
                <w:sz w:val="21"/>
                <w:szCs w:val="21"/>
              </w:rPr>
              <w:t>红细胞计数</w:t>
            </w:r>
          </w:p>
        </w:tc>
      </w:tr>
      <w:tr w14:paraId="1CE6D14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747E0F0">
            <w:pPr>
              <w:spacing w:before="0" w:line="360" w:lineRule="auto"/>
              <w:rPr>
                <w:sz w:val="21"/>
                <w:szCs w:val="21"/>
              </w:rPr>
            </w:pPr>
            <w:r>
              <w:rPr>
                <w:sz w:val="21"/>
                <w:szCs w:val="21"/>
              </w:rPr>
              <w:t>RNA</w:t>
            </w:r>
          </w:p>
        </w:tc>
        <w:tc>
          <w:tcPr>
            <w:tcW w:w="3841" w:type="dxa"/>
          </w:tcPr>
          <w:p w14:paraId="3B8D074B">
            <w:pPr>
              <w:spacing w:before="0" w:line="360" w:lineRule="auto"/>
              <w:rPr>
                <w:sz w:val="21"/>
                <w:szCs w:val="21"/>
              </w:rPr>
            </w:pPr>
            <w:r>
              <w:rPr>
                <w:sz w:val="21"/>
                <w:szCs w:val="21"/>
              </w:rPr>
              <w:t>Ribonucleic acid</w:t>
            </w:r>
          </w:p>
        </w:tc>
        <w:tc>
          <w:tcPr>
            <w:tcW w:w="2828" w:type="dxa"/>
          </w:tcPr>
          <w:p w14:paraId="2C5D9340">
            <w:pPr>
              <w:spacing w:before="0" w:line="360" w:lineRule="auto"/>
              <w:rPr>
                <w:sz w:val="21"/>
                <w:szCs w:val="21"/>
              </w:rPr>
            </w:pPr>
            <w:r>
              <w:rPr>
                <w:sz w:val="21"/>
                <w:szCs w:val="21"/>
              </w:rPr>
              <w:t>核糖核酸</w:t>
            </w:r>
          </w:p>
        </w:tc>
      </w:tr>
      <w:tr w14:paraId="74EF6BF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DF727CB">
            <w:pPr>
              <w:spacing w:before="0" w:line="360" w:lineRule="auto"/>
              <w:rPr>
                <w:sz w:val="21"/>
                <w:szCs w:val="21"/>
              </w:rPr>
            </w:pPr>
            <w:r>
              <w:rPr>
                <w:sz w:val="21"/>
                <w:szCs w:val="21"/>
              </w:rPr>
              <w:t>RP2D</w:t>
            </w:r>
          </w:p>
        </w:tc>
        <w:tc>
          <w:tcPr>
            <w:tcW w:w="3841" w:type="dxa"/>
          </w:tcPr>
          <w:p w14:paraId="6DBE8DE1">
            <w:pPr>
              <w:spacing w:before="0" w:line="360" w:lineRule="auto"/>
              <w:rPr>
                <w:sz w:val="21"/>
                <w:szCs w:val="21"/>
              </w:rPr>
            </w:pPr>
            <w:r>
              <w:rPr>
                <w:color w:val="000000"/>
                <w:sz w:val="21"/>
                <w:szCs w:val="21"/>
              </w:rPr>
              <w:t>Recommended phase 2 dose</w:t>
            </w:r>
            <w:r>
              <w:rPr>
                <w:sz w:val="21"/>
                <w:szCs w:val="21"/>
              </w:rPr>
              <w:t xml:space="preserve"> </w:t>
            </w:r>
          </w:p>
        </w:tc>
        <w:tc>
          <w:tcPr>
            <w:tcW w:w="2828" w:type="dxa"/>
          </w:tcPr>
          <w:p w14:paraId="4255E999">
            <w:pPr>
              <w:spacing w:before="0" w:line="360" w:lineRule="auto"/>
              <w:rPr>
                <w:sz w:val="21"/>
                <w:szCs w:val="21"/>
              </w:rPr>
            </w:pPr>
            <w:r>
              <w:rPr>
                <w:sz w:val="21"/>
                <w:szCs w:val="21"/>
              </w:rPr>
              <w:t>2期临床试验推荐剂量</w:t>
            </w:r>
          </w:p>
        </w:tc>
      </w:tr>
      <w:tr w14:paraId="28263AA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vAlign w:val="center"/>
          </w:tcPr>
          <w:p w14:paraId="200DFDAF">
            <w:pPr>
              <w:spacing w:before="0" w:line="360" w:lineRule="auto"/>
              <w:rPr>
                <w:sz w:val="21"/>
                <w:szCs w:val="21"/>
              </w:rPr>
            </w:pPr>
            <w:r>
              <w:rPr>
                <w:sz w:val="21"/>
                <w:szCs w:val="21"/>
              </w:rPr>
              <w:t>SAE</w:t>
            </w:r>
          </w:p>
        </w:tc>
        <w:tc>
          <w:tcPr>
            <w:tcW w:w="3841" w:type="dxa"/>
            <w:vAlign w:val="center"/>
          </w:tcPr>
          <w:p w14:paraId="53C9EE53">
            <w:pPr>
              <w:spacing w:before="0" w:line="360" w:lineRule="auto"/>
              <w:rPr>
                <w:sz w:val="21"/>
                <w:szCs w:val="21"/>
              </w:rPr>
            </w:pPr>
            <w:r>
              <w:rPr>
                <w:color w:val="000000"/>
                <w:sz w:val="21"/>
                <w:szCs w:val="21"/>
              </w:rPr>
              <w:t>Serious adverse event</w:t>
            </w:r>
          </w:p>
        </w:tc>
        <w:tc>
          <w:tcPr>
            <w:tcW w:w="2828" w:type="dxa"/>
            <w:vAlign w:val="center"/>
          </w:tcPr>
          <w:p w14:paraId="04C8D87F">
            <w:pPr>
              <w:spacing w:before="0" w:line="360" w:lineRule="auto"/>
              <w:rPr>
                <w:sz w:val="21"/>
                <w:szCs w:val="21"/>
              </w:rPr>
            </w:pPr>
            <w:r>
              <w:rPr>
                <w:sz w:val="21"/>
                <w:szCs w:val="21"/>
              </w:rPr>
              <w:t>严重不良事件</w:t>
            </w:r>
          </w:p>
        </w:tc>
      </w:tr>
      <w:tr w14:paraId="2F77B18F">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DA5138D">
            <w:pPr>
              <w:spacing w:before="0" w:line="360" w:lineRule="auto"/>
              <w:rPr>
                <w:sz w:val="21"/>
                <w:szCs w:val="21"/>
              </w:rPr>
            </w:pPr>
            <w:r>
              <w:rPr>
                <w:sz w:val="21"/>
                <w:szCs w:val="21"/>
              </w:rPr>
              <w:t>SOP</w:t>
            </w:r>
          </w:p>
        </w:tc>
        <w:tc>
          <w:tcPr>
            <w:tcW w:w="3841" w:type="dxa"/>
          </w:tcPr>
          <w:p w14:paraId="20EBDDDE">
            <w:pPr>
              <w:spacing w:before="0" w:line="360" w:lineRule="auto"/>
              <w:rPr>
                <w:sz w:val="21"/>
                <w:szCs w:val="21"/>
              </w:rPr>
            </w:pPr>
            <w:r>
              <w:rPr>
                <w:color w:val="000000"/>
                <w:sz w:val="21"/>
                <w:szCs w:val="21"/>
              </w:rPr>
              <w:t>Standard Operation Procedure</w:t>
            </w:r>
          </w:p>
        </w:tc>
        <w:tc>
          <w:tcPr>
            <w:tcW w:w="2828" w:type="dxa"/>
          </w:tcPr>
          <w:p w14:paraId="13AB58BB">
            <w:pPr>
              <w:spacing w:before="0" w:line="360" w:lineRule="auto"/>
              <w:rPr>
                <w:sz w:val="21"/>
                <w:szCs w:val="21"/>
              </w:rPr>
            </w:pPr>
            <w:r>
              <w:rPr>
                <w:sz w:val="21"/>
                <w:szCs w:val="21"/>
              </w:rPr>
              <w:t>标准操作规程</w:t>
            </w:r>
          </w:p>
        </w:tc>
      </w:tr>
      <w:tr w14:paraId="504F132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DE39A8F">
            <w:pPr>
              <w:spacing w:before="0" w:line="360" w:lineRule="auto"/>
              <w:rPr>
                <w:sz w:val="21"/>
                <w:szCs w:val="21"/>
              </w:rPr>
            </w:pPr>
            <w:r>
              <w:rPr>
                <w:sz w:val="21"/>
                <w:szCs w:val="21"/>
              </w:rPr>
              <w:t>SS</w:t>
            </w:r>
          </w:p>
        </w:tc>
        <w:tc>
          <w:tcPr>
            <w:tcW w:w="3841" w:type="dxa"/>
          </w:tcPr>
          <w:p w14:paraId="3FAD3119">
            <w:pPr>
              <w:spacing w:before="0" w:line="360" w:lineRule="auto"/>
              <w:rPr>
                <w:sz w:val="21"/>
                <w:szCs w:val="21"/>
              </w:rPr>
            </w:pPr>
            <w:r>
              <w:rPr>
                <w:color w:val="000000"/>
                <w:sz w:val="21"/>
                <w:szCs w:val="21"/>
              </w:rPr>
              <w:t>Safety Analysis set</w:t>
            </w:r>
          </w:p>
        </w:tc>
        <w:tc>
          <w:tcPr>
            <w:tcW w:w="2828" w:type="dxa"/>
          </w:tcPr>
          <w:p w14:paraId="72415B0E">
            <w:pPr>
              <w:spacing w:before="0" w:line="360" w:lineRule="auto"/>
              <w:rPr>
                <w:sz w:val="21"/>
                <w:szCs w:val="21"/>
              </w:rPr>
            </w:pPr>
            <w:r>
              <w:rPr>
                <w:sz w:val="21"/>
                <w:szCs w:val="21"/>
              </w:rPr>
              <w:t>安全性分析集</w:t>
            </w:r>
          </w:p>
        </w:tc>
      </w:tr>
      <w:tr w14:paraId="5E890B42">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vAlign w:val="center"/>
          </w:tcPr>
          <w:p w14:paraId="049ED51A">
            <w:pPr>
              <w:spacing w:before="0" w:line="360" w:lineRule="auto"/>
              <w:rPr>
                <w:sz w:val="21"/>
                <w:szCs w:val="21"/>
              </w:rPr>
            </w:pPr>
            <w:r>
              <w:rPr>
                <w:sz w:val="21"/>
                <w:szCs w:val="21"/>
              </w:rPr>
              <w:t>TBil</w:t>
            </w:r>
          </w:p>
        </w:tc>
        <w:tc>
          <w:tcPr>
            <w:tcW w:w="3841" w:type="dxa"/>
            <w:vAlign w:val="center"/>
          </w:tcPr>
          <w:p w14:paraId="5C620BAD">
            <w:pPr>
              <w:spacing w:before="0" w:line="360" w:lineRule="auto"/>
              <w:rPr>
                <w:sz w:val="21"/>
                <w:szCs w:val="21"/>
              </w:rPr>
            </w:pPr>
            <w:r>
              <w:rPr>
                <w:color w:val="000000"/>
                <w:sz w:val="21"/>
                <w:szCs w:val="21"/>
              </w:rPr>
              <w:t>Total bilirubin</w:t>
            </w:r>
          </w:p>
        </w:tc>
        <w:tc>
          <w:tcPr>
            <w:tcW w:w="2828" w:type="dxa"/>
            <w:vAlign w:val="center"/>
          </w:tcPr>
          <w:p w14:paraId="3866E5C2">
            <w:pPr>
              <w:spacing w:before="0" w:line="360" w:lineRule="auto"/>
              <w:rPr>
                <w:sz w:val="21"/>
                <w:szCs w:val="21"/>
              </w:rPr>
            </w:pPr>
            <w:r>
              <w:rPr>
                <w:sz w:val="21"/>
                <w:szCs w:val="21"/>
              </w:rPr>
              <w:t>总胆红素</w:t>
            </w:r>
          </w:p>
        </w:tc>
      </w:tr>
      <w:tr w14:paraId="264614F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A81BD44">
            <w:pPr>
              <w:spacing w:before="0" w:line="360" w:lineRule="auto"/>
              <w:rPr>
                <w:sz w:val="21"/>
                <w:szCs w:val="21"/>
              </w:rPr>
            </w:pPr>
            <w:r>
              <w:rPr>
                <w:sz w:val="21"/>
                <w:szCs w:val="21"/>
              </w:rPr>
              <w:t>ULN</w:t>
            </w:r>
          </w:p>
        </w:tc>
        <w:tc>
          <w:tcPr>
            <w:tcW w:w="3841" w:type="dxa"/>
          </w:tcPr>
          <w:p w14:paraId="6E46AED2">
            <w:pPr>
              <w:spacing w:before="0" w:line="360" w:lineRule="auto"/>
              <w:rPr>
                <w:sz w:val="21"/>
                <w:szCs w:val="21"/>
              </w:rPr>
            </w:pPr>
            <w:r>
              <w:rPr>
                <w:color w:val="000000"/>
                <w:sz w:val="21"/>
                <w:szCs w:val="21"/>
              </w:rPr>
              <w:t>Upper limit of normal</w:t>
            </w:r>
          </w:p>
        </w:tc>
        <w:tc>
          <w:tcPr>
            <w:tcW w:w="2828" w:type="dxa"/>
          </w:tcPr>
          <w:p w14:paraId="28AD9551">
            <w:pPr>
              <w:spacing w:before="0" w:line="360" w:lineRule="auto"/>
              <w:rPr>
                <w:sz w:val="21"/>
                <w:szCs w:val="21"/>
              </w:rPr>
            </w:pPr>
            <w:r>
              <w:rPr>
                <w:sz w:val="21"/>
                <w:szCs w:val="21"/>
              </w:rPr>
              <w:t>正常值上限</w:t>
            </w:r>
          </w:p>
        </w:tc>
      </w:tr>
      <w:tr w14:paraId="2A580E7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99F7869">
            <w:pPr>
              <w:spacing w:before="0" w:line="360" w:lineRule="auto"/>
              <w:rPr>
                <w:sz w:val="21"/>
                <w:szCs w:val="21"/>
              </w:rPr>
            </w:pPr>
            <w:r>
              <w:rPr>
                <w:sz w:val="21"/>
                <w:szCs w:val="21"/>
              </w:rPr>
              <w:t>UREA</w:t>
            </w:r>
          </w:p>
        </w:tc>
        <w:tc>
          <w:tcPr>
            <w:tcW w:w="3841" w:type="dxa"/>
          </w:tcPr>
          <w:p w14:paraId="25DB39D3">
            <w:pPr>
              <w:spacing w:before="0" w:line="360" w:lineRule="auto"/>
              <w:rPr>
                <w:sz w:val="21"/>
                <w:szCs w:val="21"/>
              </w:rPr>
            </w:pPr>
            <w:r>
              <w:rPr>
                <w:sz w:val="21"/>
                <w:szCs w:val="21"/>
              </w:rPr>
              <w:t>——</w:t>
            </w:r>
          </w:p>
        </w:tc>
        <w:tc>
          <w:tcPr>
            <w:tcW w:w="2828" w:type="dxa"/>
          </w:tcPr>
          <w:p w14:paraId="664619C9">
            <w:pPr>
              <w:spacing w:before="0" w:line="360" w:lineRule="auto"/>
              <w:rPr>
                <w:sz w:val="21"/>
                <w:szCs w:val="21"/>
              </w:rPr>
            </w:pPr>
            <w:r>
              <w:rPr>
                <w:sz w:val="21"/>
                <w:szCs w:val="21"/>
              </w:rPr>
              <w:t>尿素</w:t>
            </w:r>
          </w:p>
        </w:tc>
      </w:tr>
      <w:tr w14:paraId="1E51DE43">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F2F8190">
            <w:pPr>
              <w:spacing w:before="0" w:line="360" w:lineRule="auto"/>
              <w:rPr>
                <w:sz w:val="21"/>
                <w:szCs w:val="21"/>
              </w:rPr>
            </w:pPr>
            <w:r>
              <w:rPr>
                <w:sz w:val="21"/>
                <w:szCs w:val="21"/>
              </w:rPr>
              <w:t>WBC</w:t>
            </w:r>
          </w:p>
        </w:tc>
        <w:tc>
          <w:tcPr>
            <w:tcW w:w="3841" w:type="dxa"/>
            <w:vAlign w:val="center"/>
          </w:tcPr>
          <w:p w14:paraId="2C8A29BC">
            <w:pPr>
              <w:spacing w:before="0" w:line="360" w:lineRule="auto"/>
              <w:rPr>
                <w:sz w:val="21"/>
                <w:szCs w:val="21"/>
              </w:rPr>
            </w:pPr>
            <w:r>
              <w:rPr>
                <w:color w:val="000000"/>
                <w:sz w:val="21"/>
                <w:szCs w:val="21"/>
              </w:rPr>
              <w:t>White blood cell</w:t>
            </w:r>
          </w:p>
        </w:tc>
        <w:tc>
          <w:tcPr>
            <w:tcW w:w="2828" w:type="dxa"/>
          </w:tcPr>
          <w:p w14:paraId="4B6FE285">
            <w:pPr>
              <w:spacing w:before="0" w:line="360" w:lineRule="auto"/>
              <w:rPr>
                <w:sz w:val="21"/>
                <w:szCs w:val="21"/>
              </w:rPr>
            </w:pPr>
            <w:r>
              <w:rPr>
                <w:sz w:val="21"/>
                <w:szCs w:val="21"/>
              </w:rPr>
              <w:t>白细胞计数</w:t>
            </w:r>
          </w:p>
        </w:tc>
      </w:tr>
      <w:bookmarkEnd w:id="30"/>
      <w:bookmarkEnd w:id="31"/>
    </w:tbl>
    <w:p w14:paraId="45C870EE">
      <w:pPr>
        <w:spacing w:before="0" w:line="360" w:lineRule="auto"/>
        <w:jc w:val="center"/>
        <w:rPr>
          <w:lang w:val="en-US"/>
        </w:rPr>
      </w:pPr>
    </w:p>
    <w:p w14:paraId="482644AA">
      <w:pPr>
        <w:spacing w:before="0" w:line="240" w:lineRule="auto"/>
        <w:jc w:val="left"/>
        <w:rPr>
          <w:lang w:val="en-US"/>
        </w:rPr>
      </w:pPr>
      <w:r>
        <w:rPr>
          <w:lang w:val="en-US"/>
        </w:rPr>
        <w:br w:type="page"/>
      </w:r>
    </w:p>
    <w:p w14:paraId="7C67B2E8">
      <w:pPr>
        <w:pStyle w:val="2"/>
        <w:jc w:val="center"/>
        <w:rPr>
          <w:sz w:val="28"/>
          <w:szCs w:val="28"/>
          <w:lang w:eastAsia="zh-CN"/>
        </w:rPr>
      </w:pPr>
      <w:bookmarkStart w:id="32" w:name="_Toc132623303"/>
      <w:r>
        <w:rPr>
          <w:sz w:val="28"/>
          <w:szCs w:val="28"/>
          <w:lang w:eastAsia="zh-CN"/>
        </w:rPr>
        <w:t>目 录</w:t>
      </w:r>
      <w:bookmarkEnd w:id="32"/>
    </w:p>
    <w:p>
      <w:r>
        <w:fldChar w:fldCharType="begin" w:dirty="true"/>
      </w:r>
      <w:r>
        <w:instrText xml:space="preserve"> TOC \o "1-3" \h \z \u </w:instrText>
      </w:r>
      <w:r>
        <w:fldChar w:fldCharType="separate"/>
      </w:r>
      <w:r>
        <w:t>方案修订历史记录</w:t>
      </w:r>
      <w:r>
        <w:br/>
      </w:r>
      <w:r>
        <w:t>主要研究者签字页</w:t>
      </w:r>
      <w:r>
        <w:br/>
      </w:r>
      <w:r>
        <w:t>申办者签字页</w:t>
      </w:r>
      <w:r>
        <w:br/>
      </w:r>
      <w:r>
        <w:t>合同研究组织签字页</w:t>
      </w:r>
      <w:r>
        <w:br/>
      </w:r>
      <w:r>
        <w:t>统计单位签字页</w:t>
      </w:r>
      <w:r>
        <w:br/>
      </w:r>
      <w:r>
        <w:t>临床试验相关单位联系方式</w:t>
      </w:r>
      <w:r>
        <w:br/>
      </w:r>
      <w:r>
        <w:t>概要</w:t>
      </w:r>
      <w:r>
        <w:br/>
      </w:r>
      <w:r>
        <w:t>研究理论依据</w:t>
      </w:r>
      <w:r>
        <w:br/>
      </w:r>
      <w:r>
        <w:t>研究药物</w:t>
      </w:r>
      <w:r>
        <w:br/>
      </w:r>
      <w:r>
        <w:t>主要目的</w:t>
      </w:r>
      <w:r>
        <w:br/>
      </w:r>
      <w:r>
        <w:t>次要目的</w:t>
      </w:r>
      <w:r>
        <w:br/>
      </w:r>
      <w:r>
        <w:t>总体设计</w:t>
      </w:r>
      <w:r>
        <w:br/>
      </w:r>
      <w:r>
        <w:t>剂量选择依据</w:t>
      </w:r>
      <w:r>
        <w:br/>
      </w:r>
      <w:r>
        <w:t>研究结束的定义</w:t>
      </w:r>
      <w:r>
        <w:br/>
      </w:r>
      <w:r>
        <w:t>随机化和盲法</w:t>
      </w:r>
      <w:r>
        <w:br/>
      </w:r>
      <w:r>
        <w:t>入选标准</w:t>
      </w:r>
      <w:r>
        <w:br/>
      </w:r>
      <w:r>
        <w:t>排除标准</w:t>
      </w:r>
      <w:r>
        <w:br/>
      </w:r>
      <w:r>
        <w:t>研究药物描述</w:t>
      </w:r>
      <w:r>
        <w:br/>
      </w:r>
      <w:r>
        <w:t>研究药物给药方案</w:t>
      </w:r>
      <w:r>
        <w:br/>
      </w:r>
      <w:r>
        <w:t>研究干预的依从性</w:t>
      </w:r>
      <w:r>
        <w:br/>
      </w:r>
      <w:r>
        <w:t>禁止使用的食物、药物和治疗</w:t>
      </w:r>
      <w:r>
        <w:br/>
      </w:r>
      <w:r>
        <w:t>允许使用的药物和治疗</w:t>
      </w:r>
      <w:r>
        <w:br/>
      </w:r>
      <w:r>
        <w:t>筛选期</w:t>
      </w:r>
      <w:r>
        <w:br/>
      </w:r>
      <w:r>
        <w:t>治疗期</w:t>
      </w:r>
      <w:r>
        <w:br/>
      </w:r>
      <w:r>
        <w:t>疗效评估</w:t>
      </w:r>
      <w:r>
        <w:br/>
      </w:r>
      <w:r>
        <w:t>安全性和其他评估</w:t>
      </w:r>
      <w:r>
        <w:br/>
      </w:r>
      <w:r>
        <w:t>不良事件的定义</w:t>
      </w:r>
      <w:r>
        <w:br/>
      </w:r>
      <w:r>
        <w:t>不良事件的随访</w:t>
      </w:r>
      <w:r>
        <w:br/>
      </w:r>
      <w:r>
        <w:t>特殊关注不良事件</w:t>
      </w:r>
      <w:r>
        <w:br/>
      </w:r>
      <w:r>
        <w:t>样本量估算</w:t>
      </w:r>
      <w:r>
        <w:br/>
      </w:r>
      <w:r>
        <w:t>安全性分析</w:t>
      </w:r>
      <w:r>
        <w:br/>
      </w:r>
      <w:r>
        <w:t>数据收集和管理职责</w:t>
      </w:r>
      <w:r>
        <w:br/>
      </w:r>
      <w:r>
        <w:t>数据采集与方式</w:t>
      </w:r>
      <w:r>
        <w:br/>
      </w:r>
      <w:r>
        <w:t>数据清理与质疑解决</w:t>
      </w:r>
      <w:r>
        <w:br/>
      </w:r>
      <w:r>
        <w:t>研究记录的保存</w:t>
      </w:r>
      <w:r>
        <w:br/>
      </w:r>
      <w:r>
        <w:t>伦理规范</w:t>
      </w:r>
      <w:r>
        <w:br/>
      </w:r>
      <w:r>
        <w:t>保密和隐私</w:t>
      </w:r>
      <w:r>
        <w:br/>
      </w:r>
      <w:r>
        <w:t>质量源于设计与风险管理</w:t>
      </w:r>
      <w:r>
        <w:br/>
      </w:r>
      <w:r>
        <w:t>对申办者的要求</w:t>
      </w:r>
      <w:r>
        <w:br/>
      </w:r>
      <w:r>
        <w:t>申办者或其代表委派的监查员职责</w:t>
      </w:r>
      <w:r>
        <w:br/>
      </w:r>
      <w:r>
        <w:t>稽查和视察</w:t>
      </w:r>
      <w:r>
        <w:br/>
      </w:r>
      <w:r>
        <w:t>方案偏离</w:t>
      </w:r>
      <w:r>
        <w:br/>
      </w:r>
      <w:r>
        <w:t>附录</w:t>
      </w:r>
      <w:r>
        <w:br/>
      </w:r>
      <w:r>
        <w:t>附录 3 中心实验室信息和样本销毁公司信息</w:t>
      </w:r>
      <w:r>
        <w:fldChar w:fldCharType="end"/>
      </w:r>
    </w:p>
    <w:p>
      <w:r>
        <w:br w:type="page"/>
      </w:r>
    </w:p>
    <w:p>
      <w:pPr>
        <w:pStyle w:val="2"/>
      </w:pPr>
      <w:bookmarkStart w:id="881267036" w:name="chap_v2_n_1_1"/>
      <w:r>
        <w:t>概要</w:t>
      </w:r>
      <w:bookmarkEnd w:id="881267036"/>
    </w:p>
    <w:p>
      <w:r>
        <w:t>本研究是一项在中国开展的多中心、随机、双盲、安慰剂对照、平行组II期优效研究，方案编号为WP6-MDD-BLIND-C，方案版本为V0.1。研究题目为合成试验药C辅助治疗当前抗抑郁治疗应答不足的重度抑郁障碍随机双盲安慰剂对照II期研究方案。试验药物为合成试验药C，适应症为当前抗抑郁治疗应答不足的重度抑郁障碍。目标研究人群为18–65岁重度抑郁障碍成人，在稳定SSRI治疗下当前发作应答不足。试验组在既有稳定SSRI治疗基础上口服合成试验药C 20 mg，每晚一次，对照组口服匹配安慰剂，每晚一次，双盲辅助治疗期为8周。计划约170例试验参与者按1:1随机分配。主要研究目的为评价合成试验药C辅助治疗较安慰剂辅助治疗改善抑郁症状的优效性；次要研究目的为评价临床应答、缓解及功能改善。主要终点为第8周MADRS总分较基线变化。关键次要终点包括第8周MADRS应答率（总分较基线下降≥50%）和第8周MADRS缓解率（总分≤10）；其他次要终点为第8周SDS总分较基线变化。安全性终点包括TEAE、SAE及导致停药的不良事件发生率，以及C-SSRS自杀意念与行为评价及生命体征、实验室检查、心电图变化。研究时期包括筛选期2周、双盲辅助治疗期8周和安全性随访期2周；访视包括筛选、基线及第1、2、4、6、8周访视，第10周安全性随访。主要分析采用MMRM，报告第8周最小二乘均值差、95%置信区间和双侧P值，以优效性为目标。</w:t>
      </w:r>
    </w:p>
    <w:p>
      <w:pPr>
        <w:pStyle w:val="2"/>
      </w:pPr>
      <w:bookmarkStart w:id="1388902651" w:name="chap_v2_n_2_1"/>
      <w:r>
        <w:t>研究理论依据</w:t>
      </w:r>
      <w:bookmarkEnd w:id="1388902651"/>
    </w:p>
    <w:p>
      <w:r>
        <w:t>本研究拟针对当前抗抑郁治疗应答不足的重度抑郁障碍成人，在既有稳定SSRI治疗基础上，评估合成试验药C辅助治疗的抗抑郁疗效、安全性与耐受性。重度抑郁障碍患者即使接受足量足疗程的SSRI治疗，仍可能持续存在抑郁症状和功能损害，因此需要新的辅助治疗选择。合成试验药C为合成中枢机制C调节剂，口服胶囊，系统暴露，拟定20 mg每晚一次给药，双盲辅助治疗8周。本研究采用多中心、随机、双盲、安慰剂对照、平行组II期优效设计，以匹配安慰剂辅助稳定SSRI为对照，1:1随机，目标人群为18–65岁、当前发作持续至少8周、基线MADRS总分≥26且筛选前SSRI剂量稳定至少4周的成人患者。研究以第8周MADRS总分较基线变化为主要终点，并以MADRS应答率、缓解率及SDS总分变化评价临床获益，同时收集TEAE、SAE、导致停药的不良事件、C-SSRS自杀意念与行为评价以及生命体征、实验室检查和心电图变化。该设计旨在在控制安慰剂效应和评估偏倚的前提下，评价合成试验药C作为辅助治疗能否为当前抗抑郁治疗应答不足的患者带来可重复的抑郁症状改善，并形成后续临床开发所需的安全性依据。</w:t>
      </w:r>
    </w:p>
    <w:p>
      <w:pPr>
        <w:pStyle w:val="3"/>
      </w:pPr>
      <w:bookmarkStart w:id="1613399000" w:name="chap_v2_n_2_2_1"/>
      <w:r>
        <w:t>研究药物</w:t>
      </w:r>
      <w:bookmarkEnd w:id="1613399000"/>
    </w:p>
    <w:p>
      <w:r>
        <w:t>合成试验药C为小分子药物，其靶点/作用机制为合成中枢机制C调节剂。本品采用口服给药，剂型为胶囊。在本研究中，试验组在既有稳定SSRI治疗基础上口服合成试验药C 20 mg，每晚一次；对照组口服匹配安慰剂，每晚一次；双盲辅助治疗期为8周。该给药设计用于在稳定SSRI治疗背景下评价合成试验药C辅助治疗当前抗抑郁治疗应答不足的重度抑郁障碍的抗抑郁疗效与安全性。</w:t>
      </w:r>
    </w:p>
    <w:p>
      <w:r>
        <w:t>合成试验药C是一种小分子药物，剂型为胶囊，经口服途径给药。在双盲辅助治疗期内，试验组试验参与者在既有稳定SSRI治疗基础上口服合成试验药C 20 mg，每晚一次，持续8周；对照组口服匹配安慰剂，每晚一次，持续8周。本研究不设置计划性剂量调整；因安全性需要的暂停或永久停药按方案停药标准处理。双盲期允许的合并治疗包括方案规定范围内的短期失眠对症用药，既有SSRI需维持稳定剂量；双盲期禁止新增其他抗抑郁药、抗精神病药或系统性心理治疗。</w:t>
      </w:r>
    </w:p>
    <w:p>
      <w:pPr>
        <w:pStyle w:val="3"/>
      </w:pPr>
      <w:bookmarkStart w:id="51841284" w:name="chap_v2_n_3_1_1"/>
      <w:r>
        <w:t>主要目的</w:t>
      </w:r>
      <w:bookmarkEnd w:id="51841284"/>
    </w:p>
    <w:p>
      <w:r>
        <w:t>本研究的主要目的是评价合成试验药C辅助治疗较安慰剂辅助治疗改善抑郁症状的优效性。主要终点为第8周MADRS总分较基线变化。关键次要终点包括第8周MADRS应答率，定义为MADRS总分较基线下降≥50%，以及第8周MADRS缓解率，定义为MADRS总分≤10。其他次要终点为第8周SDS总分较基线变化。安全性终点包括TEAE、SAE及导致停药的不良事件发生率，以及C-SSRS自杀意念与行为评价和生命体征、实验室检查、心电图变化；特别关注的不良事件为自杀意念或行为。研究在既有稳定SSRI治疗基础上进行，双盲辅助治疗期为8周，筛选期2周，安全性随访期2周，访视包括筛选、基线及第1、2、4、6、8周访视，第10周安全性随访，MADRS由经培训且尽量保持同一的盲态评估者完成。主要估计目标比较所有随机试验参与者第8周MADRS变化；停用随机治疗或启动禁止的抗抑郁救援治疗按治疗策略处理，使用基于重复测量模型的直接似然估计，并进行跳转参考多重插补敏感性分析。主要分析采用MMRM，固定效应包括治疗组、访视、治疗组×访视、中心及基线MADRS，报告第8周最小二乘均值差、95%置信区间和双侧P值，以优效性为目标；不开展期中分析，安全性集按实际治疗分析。</w:t>
      </w:r>
    </w:p>
    <w:p>
      <w:r>
        <w:t>本研究的主要目的是评价合成试验药C辅助治疗较安慰剂辅助治疗改善抑郁症状的优效性。主要终点为第8周MADRS总分较基线变化，用于比较合成试验药C辅助组与匹配安慰剂辅助组在双盲辅助治疗期内抑郁症状严重程度相对基线的改变。</w:t>
      </w:r>
    </w:p>
    <w:p>
      <w:pPr>
        <w:pStyle w:val="3"/>
      </w:pPr>
      <w:bookmarkStart w:id="338329440" w:name="chap_v2_n_3_2_1"/>
      <w:r>
        <w:t>次要目的</w:t>
      </w:r>
      <w:bookmarkEnd w:id="338329440"/>
    </w:p>
    <w:p>
      <w:r>
        <w:t>本研究的次要目的是评价临床应答、缓解及功能改善。关键次要终点包括第8周MADRS应答率，定义为总分较基线下降≥50%，以及第8周MADRS缓解率，定义为总分≤10。其他次要终点为第8周SDS总分较基线变化。上述终点在主要疗效评价之外进一步描述试验参与者的临床应答、缓解状态与功能结局。</w:t>
      </w:r>
    </w:p>
    <w:p>
      <w:pPr>
        <w:pStyle w:val="2"/>
      </w:pPr>
      <w:bookmarkStart w:id="1331373289" w:name="chap_v2_n_4_1"/>
      <w:r>
        <w:t>总体设计</w:t>
      </w:r>
      <w:bookmarkEnd w:id="1331373289"/>
    </w:p>
    <w:p>
      <w:r>
        <w:t>本研究为多中心、随机、双盲、安慰剂对照、平行组、II期优效研究，在中国开展。计划入组18–65岁重度抑郁障碍成人，其当前发作在足量足疗程且稳定的SSRI治疗下应答不足。试验参与者按1:1随机分配至合成试验药C辅助组或匹配安慰剂辅助组，两组均维持既有稳定SSRI治疗，试验组口服合成试验药C 20 mg，每晚一次，对照组口服匹配安慰剂，每晚一次，双盲治疗8周；匹配安慰剂用于维持盲态。研究设置筛选期2周、双盲辅助治疗期8周和安全性随访期2周，访视安排包括筛选、基线及第1、2、4、6、8周访视，并在第10周进行安全性随访；MADRS由经培训且尽量保持同一的盲态评估者完成。入选标准模块包括符合重度抑郁障碍诊断、当前发作持续至少8周、基线MADRS总分≥26以及筛选前SSRI剂量稳定至少4周；排除标准模块包括双相障碍或精神病性障碍、近期有迫切自杀风险、当前物质使用障碍以及研究者判断不适合参加。疗效评价以主要估计目标比较所有随机试验参与者第8周MADRS变化，停用随机治疗或启动禁止的抗抑郁救援治疗按治疗策略处理，使用基于重复测量模型的直接似然估计，并进行跳转参考多重插补敏感性分析；样本量假设组间MADRS变化差异为3分、标准差8分、双侧α=0.05、把握度90%、1:1随机并考虑15%失访，计划约170例。</w:t>
      </w:r>
    </w:p>
    <w:p>
      <w:r>
        <w:t>本研究为在中国开展的多中心、随机、双盲、安慰剂对照、平行组II期优效性研究，评价合成试验药C辅助治疗当前抗抑郁治疗应答不足的重度抑郁障碍的疗效与安全性。计划入组约170例18–65岁重度抑郁障碍成人试验参与者，其在足量足疗程且稳定的SSRI治疗下当前发作应答不足，按1:1随机分配至合成试验药C辅助组或安慰剂辅助组，对照组接受匹配安慰剂。双盲辅助治疗期为8周，另设2周筛选期与2周安全性随访期。试验药物为口服胶囊，在既有稳定SSRI治疗基础上给药，双盲期内既有SSRI维持稳定剂量。本研究不设自适应设计，不进行样本量再估计，也不开展期中分析。</w:t>
      </w:r>
    </w:p>
    <w:p>
      <w:pPr>
        <w:pStyle w:val="2"/>
      </w:pPr>
      <w:bookmarkStart w:id="966462146" w:name="chap_v2_n_4_3"/>
      <w:r>
        <w:t>剂量选择依据</w:t>
      </w:r>
      <w:bookmarkEnd w:id="966462146"/>
    </w:p>
    <w:p>
      <w:r>
        <w:t>本研究合成试验药C采用固定剂量给药，即20 mg、每晚一次口服，双盲辅助治疗期为8周；对照组给予匹配安慰剂，同样每晚一次口服，双盲治疗期同为8周。试验药物为胶囊剂型，经口服给药后为全身暴露，给药在既有稳定SSRI治疗基础上进行，双盲期内既有SSRI维持稳定剂量。本研究不设置计划性剂量调整。</w:t>
      </w:r>
    </w:p>
    <w:p>
      <w:pPr>
        <w:pStyle w:val="2"/>
      </w:pPr>
      <w:bookmarkStart w:id="297580752" w:name="chap_v2_n_4_4"/>
      <w:r>
        <w:t>研究结束的定义</w:t>
      </w:r>
      <w:bookmarkEnd w:id="297580752"/>
    </w:p>
    <w:p>
      <w:r>
        <w:t>本研究试验参与者个体研究持续时间包括筛选期2周、双盲辅助治疗期8周和安全性随访期2周。筛选期用于完成入选和排除评估；符合条件者进入双盲辅助治疗期，在既有稳定SSRI治疗基础上接受为期8周的随机双盲辅助治疗；双盲治疗结束后进入安全性随访期，并于第10周进行安全性随访访视。试验参与者个体研究持续时间由上述三个研究期组成。</w:t>
      </w:r>
    </w:p>
    <w:p>
      <w:pPr>
        <w:pStyle w:val="2"/>
      </w:pPr>
      <w:bookmarkStart w:id="742900920" w:name="chap_v2_n_4_5"/>
      <w:r>
        <w:t>随机化和盲法</w:t>
      </w:r>
      <w:bookmarkEnd w:id="742900920"/>
    </w:p>
    <w:p>
      <w:r>
        <w:t>本研究采用随机化分配，试验参与者按1:1比例随机进入合成试验药C辅助组或安慰剂辅助组，采用平行组、多中心设计，计划入组约170例。随机分配结果用于确定试验参与者在双盲辅助治疗期内接受合成试验药C 20 mg每晚一次口服或匹配安慰剂每晚一次口服。本研究不设自适应设计，不进行样本量再估计，也不开展期中分析。</w:t>
      </w:r>
    </w:p>
    <w:p>
      <w:r>
        <w:t>本研究采用双盲设计，试验组与对照组按1:1随机分配，试验参与者、研究者及结局评估者均对治疗分配保持盲态。试验组口服合成试验药C，对照组口服与之一致的匹配安慰剂，通过匹配安慰剂维持盲态，盲态在8周双盲辅助治疗期内维持。疗效评估采用MADRS量表，由经培训且尽量保持同一的盲态评估者完成。</w:t>
      </w:r>
    </w:p>
    <w:p>
      <w:pPr>
        <w:pStyle w:val="2"/>
      </w:pPr>
      <w:bookmarkStart w:id="1498365212" w:name="chap_v2_n_5_1"/>
      <w:r>
        <w:t>入选标准</w:t>
      </w:r>
      <w:bookmarkEnd w:id="1498365212"/>
    </w:p>
    <w:p>
      <w:r>
        <w:t>本研究目标人群为18–65岁重度抑郁障碍成人，当前发作在足量足疗程且稳定的SSRI治疗下应答不足。入选标准包括：符合重度抑郁障碍诊断；当前发作持续至少8周；基线MADRS总分≥26；筛选前SSRI剂量稳定至少4周。排除标准包括：双相障碍或精神病性障碍；近期有迫切自杀风险；当前物质使用障碍；研究者判断不适合参加。上述人群界定对应于在稳定SSRI治疗基础上评价合成试验药C辅助治疗疗效与安全性的研究目的。</w:t>
      </w:r>
    </w:p>
    <w:p>
      <w:r>
        <w:t>本研究计划入组约170例试验参与者，按1:1随机分配至合成试验药C辅助组或匹配安慰剂辅助组。样本量估算假设组间MADRS总分较基线变化差异为3分、标准差为8分、双侧α=0.05、把握度为90%，并考虑15%失访。该样本量用于支持评价合成试验药C辅助治疗当前抗抑郁治疗应答不足的重度抑郁障碍的优效性；主要分析针对第8周MADRS总分较基线变化，采用重复测量模型并报告最小二乘均值差、95%置信区间和双侧P值。</w:t>
      </w:r>
    </w:p>
    <w:p>
      <w:r>
        <w:t>本研究选择18–65岁重度抑郁障碍成人作为目标人群，其当前发作需在足量足疗程且稳定的SSRI治疗下应答不足。该人群界定与当前抗抑郁治疗应答不足的重度抑郁障碍适应症一致，也符合在中国开展II期多中心辅助治疗研究的开发定位。以稳定SSRI为必需背景治疗，有助于在辅助治疗期评价合成试验药C在现有治疗基础上的附加疗效与安全性；年龄范围覆盖成年抑郁障碍患者中需要治疗调整的主要人群，同时控制年龄相关混杂和安全性风险。目标人群的具体合格性由诊断、发作持续时间、基线MADRS总分和SSRI稳定用药时长等条件共同界定，以确保入组试验参与者具有稳定的背景治疗和可评价的抑郁症状严重程度。</w:t>
      </w:r>
    </w:p>
    <w:p>
      <w:r>
        <w:t>拟入组试验参与者必须符合重度抑郁障碍诊断，年龄18–65岁，且当前发作持续至少8周。筛选时基线MADRS总分须≥26，以确认抑郁症状严重程度满足本研究评价要求。试验参与者在筛选前应已接受SSRI治疗，且SSRI剂量稳定至少4周，以保证进入双盲辅助治疗期前背景抗抑郁治疗处于稳定状态。只有同时满足上述条件者方可进入后续研究治疗。</w:t>
      </w:r>
    </w:p>
    <w:p>
      <w:pPr>
        <w:pStyle w:val="2"/>
      </w:pPr>
      <w:bookmarkStart w:id="1902341057" w:name="chap_v2_n_5_2"/>
      <w:r>
        <w:t>排除标准</w:t>
      </w:r>
      <w:bookmarkEnd w:id="1902341057"/>
    </w:p>
    <w:p>
      <w:r>
        <w:t>存在双相障碍或精神病性障碍的试验参与者不得入组，以避免混合诊断对疗效与安全性评价的干扰。近期有迫切自杀风险的试验参与者应排除，以控制研究期间自杀相关风险。当前存在物质使用障碍的试验参与者应排除，以减少物质使用对抑郁症状评价、依从性和安全性判断的影响。研究者判断不适合参加本研究的试验参与者也应排除。</w:t>
      </w:r>
    </w:p>
    <w:p>
      <w:pPr>
        <w:pStyle w:val="3"/>
      </w:pPr>
      <w:bookmarkStart w:id="877095545" w:name="chap_v2_n_6_1_1"/>
      <w:r>
        <w:t>研究药物描述</w:t>
      </w:r>
      <w:bookmarkEnd w:id="877095545"/>
    </w:p>
    <w:p>
      <w:r>
        <w:t>本研究在既有稳定SSRI治疗基础上开展辅助治疗。试验组试验参与者口服合成试验药C胶囊，给药剂量为20 mg，每晚一次，双盲治疗8周；对照组试验参与者口服匹配安慰剂，每晚一次，双盲治疗8周。匹配安慰剂用于维持双盲条件。双盲辅助治疗期间，既有SSRI应维持稳定剂量。允许使用方案规定范围内的短期失眠对症用药；双盲期禁止新增其他抗抑郁药、抗精神病药或系统性心理治疗。本研究不设置计划性剂量调整；若因安全性需要暂停或永久停用研究药物，按本研究方案预设的停药标准执行。双盲辅助治疗期结束后进入2周安全性随访期。</w:t>
      </w:r>
    </w:p>
    <w:p>
      <w:r>
        <w:t>本研究的试验用药品为合成试验药C胶囊，活性成分为合成试验药C，给药剂量为20 mg，口服，每晚一次，连续给药8周。对照组使用合成试验药C匹配安慰剂，剂型同为胶囊，口服，每晚一次，连续给药8周，以维持双盲条件。试验药与匹配安慰剂均在既有稳定SSRI治疗基础上辅助给药。研究期间不对研究药物进行计划性剂量调整；因安全性原因需要暂停或永久停用时，按本研究方案预设的停药标准执行。</w:t>
      </w:r>
    </w:p>
    <w:p>
      <w:r>
        <w:t>合成试验药C为小分子药物，剂型为胶囊，经口服途径给药，具有全身暴露特征，其作用机制为中枢机制调节。本研究中的给药方案为合成试验药C 20 mg，每晚一次，连续8周。匹配安慰剂为与合成试验药C匹配的安慰剂制剂，剂型为胶囊，口服，每晚一次，连续8周。试验药和匹配安慰剂均在试验参与者既有稳定SSRI治疗基础上辅助使用。研究药物用于评价合成试验药C辅助治疗当前抗抑郁治疗应答不足的重度抑郁障碍的疗效与安全性。</w:t>
      </w:r>
    </w:p>
    <w:p>
      <w:pPr>
        <w:pStyle w:val="3"/>
      </w:pPr>
      <w:bookmarkStart w:id="2058697268" w:name="chap_v2_n_6_1_2"/>
      <w:r>
        <w:t>研究药物给药方案</w:t>
      </w:r>
      <w:bookmarkEnd w:id="2058697268"/>
    </w:p>
    <w:p>
      <w:r>
        <w:t>合成试验药C为20 mg，每晚一次口服，匹配安慰剂同样每晚一次口服，双盲辅助治疗期为8周。本研究不设置计划性剂量调整；因安全性需要的暂停或永久停药按方案停药标准处理。上述剂量调整原则适用于双盲辅助治疗期。</w:t>
      </w:r>
    </w:p>
    <w:p>
      <w:pPr>
        <w:pStyle w:val="2"/>
      </w:pPr>
      <w:bookmarkStart w:id="305769234" w:name="chap_v2_n_6_3"/>
      <w:r>
        <w:t>研究干预的依从性</w:t>
      </w:r>
      <w:bookmarkEnd w:id="305769234"/>
    </w:p>
    <w:p>
      <w:r>
        <w:t>双盲辅助治疗期为8周。试验组试验参与者在既有稳定SSRI治疗基础上口服合成试验药C 20 mg，每晚一次；对照组口服匹配安慰剂，每晚一次。试验参与者应按随机分配接受研究治疗并持续至双盲治疗期结束。</w:t>
      </w:r>
    </w:p>
    <w:p>
      <w:pPr>
        <w:pStyle w:val="3"/>
      </w:pPr>
      <w:bookmarkStart w:id="1509454342" w:name="chap_v2_n_6_4_1"/>
      <w:r>
        <w:t>禁止使用的食物、药物和治疗</w:t>
      </w:r>
      <w:bookmarkEnd w:id="1509454342"/>
    </w:p>
    <w:p>
      <w:r>
        <w:t>双盲辅助治疗期内，禁止新增其他抗抑郁药、抗精神病药或系统性心理治疗。该禁止范围包括其他抗抑郁药、抗精神病药以及系统性心理治疗三类。试验参与者进入双盲辅助治疗期后，应继续维持既有SSRI背景治疗的稳定剂量。</w:t>
      </w:r>
    </w:p>
    <w:p>
      <w:pPr>
        <w:pStyle w:val="3"/>
      </w:pPr>
      <w:bookmarkStart w:id="1590029093" w:name="chap_v2_n_6_4_2"/>
      <w:r>
        <w:t>允许使用的药物和治疗</w:t>
      </w:r>
      <w:bookmarkEnd w:id="1590029093"/>
    </w:p>
    <w:p>
      <w:r>
        <w:t>在双盲辅助治疗期内，允许使用短期失眠对症用药。该允许用药限于短期失眠的对症处理，属于方案规定范围内的合并用药。双盲期禁止新增其他抗抑郁药、抗精神病药或系统性心理治疗；试验参与者在双盲辅助治疗期内应继续维持既有SSRI背景治疗的稳定剂量，短期失眠对症用药的使用不替代、不改变上述背景治疗的稳定剂量要求。</w:t>
      </w:r>
    </w:p>
    <w:p>
      <w:r>
        <w:t>既有SSRI治疗是双盲辅助治疗期的必需背景治疗，在双盲期应维持稳定剂量。试验参与者在随机进入双盲辅助治疗期后，应继续接受既有的SSRI治疗，并维持筛选前已经稳定的剂量。入选标准要求筛选前SSRI剂量稳定至少4周；双盲辅助治疗期内的背景治疗应延续该稳定剂量。</w:t>
      </w:r>
    </w:p>
    <w:p>
      <w:pPr>
        <w:pStyle w:val="2"/>
      </w:pPr>
      <w:bookmarkStart w:id="826788386" w:name="chap_v2_n_7_1"/>
      <w:r>
        <w:t>筛选期</w:t>
      </w:r>
      <w:bookmarkEnd w:id="826788386"/>
    </w:p>
    <w:p>
      <w:r>
        <w:t>本研究程序包括筛选期、双盲辅助治疗期和安全性随访期。筛选期为2周；双盲辅助治疗期为8周；安全性随访期为2周。访视安排包括筛选、基线及第1、2、4、6、8周访视，以及第10周安全性随访。试验组试验参与者在既有稳定SSRI治疗基础上口服合成试验药C 20 mg，每晚一次，持续8周；对照组口服匹配安慰剂，每晚一次，持续8周。主要疗效评估为第8周MADRS总分较基线变化。关键次要疗效评估包括第8周MADRS应答率（总分较基线下降≥50%）和第8周MADRS缓解率（总分≤10）；其他次要疗效评估为第8周SDS总分较基线变化。MADRS由经培训且尽量保持同一的盲态评估者完成。安全性评估包括TEAE、SAE及导致停药的不良事件发生率，C-SSRS自杀意念与行为评价，以及生命体征、实验室检查和心电图变化。不设置计划性剂量调整；因安全性需要的暂停或永久停药按方案停药标准处理。</w:t>
      </w:r>
    </w:p>
    <w:p>
      <w:r>
        <w:t>本研究程序按筛选期、双盲辅助治疗期和安全性随访期依次实施。筛选期为2周，用于完成入选和排除标准确认及基线评估。双盲辅助治疗期为8周，试验参与者在维持既有稳定SSRI治疗的基础上，按随机分配接受合成试验药C或匹配安慰剂辅助治疗。安全性随访期为2周。访视安排包括筛选、基线及第1、2、4、6、8周访视，并在第10周进行安全性随访。MADRS评估由经培训且尽量保持同一的盲态评估者完成。</w:t>
      </w:r>
    </w:p>
    <w:p>
      <w:r>
        <w:t>筛选期为2周。筛选期需确认试验参与者符合重度抑郁障碍诊断，当前发作持续至少8周，基线MADRS总分≥26，且筛选前SSRI剂量稳定至少4周。排除标准包括双相障碍或精神病性障碍、近期有迫切自杀风险、当前物质使用障碍，以及研究者判断不适合参加。基线访视在筛选期完成后进行，采集MADRS总分，该评估由经培训且尽量保持同一的盲态评估者完成。</w:t>
      </w:r>
    </w:p>
    <w:p>
      <w:pPr>
        <w:pStyle w:val="2"/>
      </w:pPr>
      <w:bookmarkStart w:id="253873361" w:name="chap_v2_n_7_2"/>
      <w:r>
        <w:t>治疗期</w:t>
      </w:r>
      <w:bookmarkEnd w:id="253873361"/>
    </w:p>
    <w:p>
      <w:r>
        <w:t>双盲辅助治疗期为8周。试验参与者在既有稳定SSRI治疗基础上，试验组口服合成试验药C 20 mg，每晚一次，对照组口服匹配安慰剂，每晚一次，双盲治疗8周。双盲期维持既有SSRI稳定剂量，禁止新增其他抗抑郁药、抗精神病药或系统性心理治疗；方案规定范围内的短期失眠对症用药允许使用。不设置计划性剂量调整；因安全性需要的暂停或永久停药按方案停药标准处理。访视安排包括第1、2、4、6、8周访视，并在第10周进行安全性随访，安全性随访期为2周。第8周MADRS总分较基线变化为主要终点，关键次要终点包括第8周MADRS应答率（总分较基线下降≥50%）和第8周MADRS缓解率（总分≤10），其他次要终点包括第8周SDS总分较基线变化。安全性终点包括TEAE、SAE及导致停药的不良事件发生率，以及C-SSRS自杀意念与行为评价及生命体征、实验室检查、心电图变化。特别关注的不良事件为自杀意念或行为。MADRS评估由经培训且尽量保持同一的盲态评估者完成。</w:t>
      </w:r>
    </w:p>
    <w:p>
      <w:pPr>
        <w:pStyle w:val="2"/>
      </w:pPr>
      <w:bookmarkStart w:id="1287916946" w:name="chap_v2_n_9_1"/>
      <w:r>
        <w:t>疗效评估</w:t>
      </w:r>
      <w:bookmarkEnd w:id="1287916946"/>
    </w:p>
    <w:p>
      <w:r>
        <w:t>本研究的主要有效性目的是评价合成试验药C辅助治疗较安慰剂辅助治疗改善抑郁症状的优效性。主要疗效终点为第8周MADRS总分较基线变化。关键次要疗效终点包括第8周MADRS应答率，定义为MADRS总分较基线下降≥50%，以及第8周MADRS缓解率，定义为MADRS总分≤10。其他次要疗效终点为第8周SDS总分较基线变化。MADRS由经培训且尽量保持同一的盲态评估者完成。主要疗效分析采用MMRM，固定效应包括治疗组、访视、治疗组×访视、中心及基线MADRS，报告第8周最小二乘均值差、95%置信区间和双侧P值，以优效性为目标。主要估计目标比较所有随机试验参与者第8周MADRS变化；停用随机治疗或启动禁止的抗抑郁救援治疗按治疗策略处理，使用基于重复测量模型的直接似然估计，并进行跳转参考多重插补敏感性分析。本研究不开展期中分析。</w:t>
      </w:r>
    </w:p>
    <w:p>
      <w:pPr>
        <w:pStyle w:val="2"/>
      </w:pPr>
      <w:bookmarkStart w:id="1017554949" w:name="chap_v2_n_9_2"/>
      <w:r>
        <w:t>安全性和其他评估</w:t>
      </w:r>
      <w:bookmarkEnd w:id="1017554949"/>
    </w:p>
    <w:p>
      <w:r>
        <w:t>本研究的安全性目的是评价合成试验药C辅助治疗的安全性与耐受性。安全性终点包括TEAE、SAE及导致停药的不良事件发生率，以及C-SSRS自杀意念与行为评价及生命体征、实验室检查、心电图变化。特别关注的不良事件为自杀意念或行为。研究时期包括筛选期2周、双盲辅助治疗期8周和安全性随访期2周；访视安排为筛选、基线及第1、2、4、6、8周访视，第10周进行安全性随访。安全性分析按实际接受的治疗进行。双盲辅助治疗期不设置计划性剂量调整；因安全性需要的暂停或永久停药按方案停药标准处理。</w:t>
      </w:r>
    </w:p>
    <w:p>
      <w:r>
        <w:t>心电图检查用于评价合成试验药C辅助治疗期间的心脏安全性。本研究安全性终点包括心电图变化，因此在本研究安全性评价中采集心电图并观察其变化，并将心电图变化纳入安全性汇总分析。心电图结果用于识别可能影响试验参与者安全的心脏信号；异常结果的临床意义判断及后续处理应与整体安全性评价一并考虑。</w:t>
      </w:r>
    </w:p>
    <w:p>
      <w:r>
        <w:t>实验室检查用于评价合成试验药C辅助治疗期间的安全性。本研究安全性终点包括实验室检查变化，因此在本研究安全性评价中采集实验室检查并观察其变化，并将实验室检查变化纳入安全性汇总分析。实验室检查结果用于识别可能影响试验参与者安全的临床异常；异常结果的临床意义判断及后续处理应与整体安全性评价一并考虑。</w:t>
      </w:r>
    </w:p>
    <w:p>
      <w:pPr>
        <w:pStyle w:val="3"/>
      </w:pPr>
      <w:bookmarkStart w:id="2002413879" w:name="chap_v2_n_10_1_1"/>
      <w:r>
        <w:t>不良事件的定义</w:t>
      </w:r>
      <w:bookmarkEnd w:id="2002413879"/>
    </w:p>
    <w:p>
      <w:r>
        <w:t>本研究安全性评价包括治疗期出现的不良事件（TEAE）、严重不良事件（SAE）及导致停药的不良事件发生率，并包括C-SSRS自杀意念与行为评价以及生命体征、实验室检查和心电图变化。自杀意念或行为列为本研究的特别关注不良事件。安全性随访期为2周，计划在第10周进行安全性随访访视。本研究不设置计划性剂量调整；因安全性需要的暂停或永久停药按方案停药标准处理。安全性分析集按实际治疗分析。</w:t>
      </w:r>
    </w:p>
    <w:p>
      <w:r>
        <w:t>本研究安全性评估旨在评价合成试验药C在既有稳定SSRI治疗基础上辅助治疗当前抗抑郁治疗应答不足的重度抑郁障碍成人患者的安全性与耐受性。安全性评价内容包括治疗中出现的不良事件、严重不良事件及导致停药的不良事件发生率，并通过C-SSRS评价自杀意念与行为，同时观察生命体征、实验室检查和心电图变化。特别关注的不良事件为自杀意念或行为。安全性评估涵盖筛选期2周、双盲辅助治疗期8周和安全性随访期2周。计划访视包括筛选、基线及第1、2、4、6、8周访视，第10周进行安全性随访。上述安全性评估框架用于统一本方案中安全性数据的定义、采集和呈现要求。</w:t>
      </w:r>
    </w:p>
    <w:p>
      <w:pPr>
        <w:pStyle w:val="3"/>
      </w:pPr>
      <w:bookmarkStart w:id="92610362" w:name="chap_v2_n_10_1_6"/>
      <w:r>
        <w:t>不良事件的随访</w:t>
      </w:r>
      <w:bookmarkEnd w:id="92610362"/>
    </w:p>
    <w:p>
      <w:r>
        <w:t>本研究双盲辅助治疗期为8周，双盲治疗结束后设置2周安全性随访期，并在第10周安排安全性随访访视。安全性终点包括治疗中出现的不良事件（TEAE）、严重不良事件（SAE）及导致停药的不良事件发生率。双盲辅助治疗期内发生的不良事件，其随访信息应纳入2周安全性随访期，并与第10周安全性随访访视衔接。</w:t>
      </w:r>
    </w:p>
    <w:p>
      <w:pPr>
        <w:pStyle w:val="2"/>
      </w:pPr>
      <w:bookmarkStart w:id="716455865" w:name="chap_v2_n_10_5"/>
      <w:r>
        <w:t>特殊关注不良事件</w:t>
      </w:r>
      <w:bookmarkEnd w:id="716455865"/>
    </w:p>
    <w:p>
      <w:r>
        <w:t>本研究将自杀意念或行为列为特别关注的不良事件。安全性终点包括C-SSRS自杀意念与行为评价，以及生命体征、实验室检查和心电图变化。C-SSRS用于评估自杀意念与自杀行为，相关评估结果纳入安全性分析。研究人群为当前抗抑郁治疗应答不足的重度抑郁障碍成人，排除标准中已排除近期有迫切自杀风险的个体。双盲辅助治疗期为8周，安全性随访期为2周；特别关注的不良事件评价应覆盖双盲辅助治疗期和安全性随访期。</w:t>
      </w:r>
    </w:p>
    <w:p>
      <w:pPr>
        <w:pStyle w:val="2"/>
      </w:pPr>
      <w:bookmarkStart w:id="2117786123" w:name="chap_v2_n_11_1"/>
      <w:r>
        <w:t>样本量估算</w:t>
      </w:r>
      <w:bookmarkEnd w:id="2117786123"/>
    </w:p>
    <w:p>
      <w:r>
        <w:t>本研究统计分析围绕主要估计目标展开，比较所有随机试验参与者第8周MADRS总分较基线的变化。主要终点采用重复测量混合模型，固定效应包括治疗组、访视、治疗组×访视、中心及基线MADRS，报告第8周最小二乘均值差、95%置信区间和双侧P值，以优效性为检验目标。停用随机治疗或启动禁止的抗抑郁救援治疗的参与者按治疗策略处理，使用基于重复测量模型的直接似然估计，并进行跳转参考多重插补敏感性分析。本研究不开展期中分析，安全性集按实际接受的治疗进行分析。关键次要终点包括第8周MADRS应答率（总分较基线下降≥50%）和第8周MADRS缓解率（总分≤10）；其他次要终点包括第8周SDS总分较基线变化。上述终点均以第8周为评价时点，逐项按既定分析集汇总并呈现点估计与区间估计。</w:t>
      </w:r>
    </w:p>
    <w:p>
      <w:r>
        <w:t>本研究计划入组约170例试验参与者，按1:1随机分配至合成试验药C辅助组或匹配安慰剂辅助组。样本量估算基于主要终点，即第8周MADRS总分较基线的变化，假设组间MADRS变化差异为3分、标准差为8分，采用双侧α=0.05、把握度90%，并考虑15%失访。样本量按1:1随机比例计算，研究不计划进行样本量再估计，也不计划期中分析。主要终点以优效性为目标进行评价，最终样本量的确定以经确认的估算参数为准。</w:t>
      </w:r>
    </w:p>
    <w:p>
      <w:pPr>
        <w:pStyle w:val="3"/>
      </w:pPr>
      <w:bookmarkStart w:id="1020385860" w:name="chap_v2_n_11_4_5"/>
      <w:r>
        <w:t>安全性分析</w:t>
      </w:r>
      <w:bookmarkEnd w:id="1020385860"/>
    </w:p>
    <w:p>
      <w:r>
        <w:t>安全性分析在安全性集内开展，安全性集按试验参与者实际接受的治疗进行分析。安全性终点包括治疗期间出现的不良事件、严重不良事件以及导致停药的不良事件发生率，并包括C-SSRS自杀意念与行为评价，以及生命体征、实验室检查和心电图的变化。特别关注的不良事件为自杀意念或行为，该类别事件在安全性分析中单独汇总与呈现。安全性信息的采集覆盖8周双盲辅助治疗期及随后的2周安全性随访期，分析以第8周访视和第10周安全性随访访视的数据为基础，逐项汇总各类安全性终点的发生情况。</w:t>
      </w:r>
    </w:p>
    <w:p>
      <w:pPr>
        <w:pStyle w:val="2"/>
      </w:pPr>
      <w:bookmarkStart w:id="244716216" w:name="chap_v2_n_12_1"/>
      <w:r>
        <w:t>数据收集和管理职责</w:t>
      </w:r>
      <w:bookmarkEnd w:id="244716216"/>
    </w:p>
    <w:p>
      <w:r>
        <w:t>本研究的数据采集覆盖筛选期、基线以及第1、2、4、6、8周访视，并在第10周实施安全性随访。研究时期由2周筛选期、8周双盲辅助治疗期和2周安全性随访期构成，各访视按其所属研究时期采集相应数据。研究期间采集的疗效与安全变量包括MADRS总分、SDS总分、C-SSRS自杀意念与行为评价，以及生命体征、实验室检查和心电图结果，其中MADRS由经培训且尽量保持同一的盲态评估者完成评价，以保证评价的一致性。数据以试验参与者为单位进行记录与汇总，各访视数据按访视时间点归集，用于主要终点、关键次要终点、其他次要终点及安全性终点的分析。数据记录、录入、核查、质疑管理与数据库锁定的具体流程由数据管理计划规定，数据库锁定前最终确定统计分析计划。</w:t>
      </w:r>
    </w:p>
    <w:p>
      <w:r>
        <w:t>源数据指在研究中心产生的、用于填充病例报告表的原始记录。本研究的源数据包括试验参与者医疗记录、MADRS评估记录、SDS评估记录、C-SSRS评估记录、实验室检查报告、心电图报告、生命体征记录以及不良事件和合并用药记录。源文件为承载上述源数据的原始文件或经核证的副本。病例报告表中的数据应可追溯至源数据，源数据与病例报告表数据之间的一致性应在数据核查中得到确认。</w:t>
      </w:r>
    </w:p>
    <w:p>
      <w:pPr>
        <w:pStyle w:val="2"/>
      </w:pPr>
      <w:bookmarkStart w:id="526481026" w:name="chap_v2_n_12_2"/>
      <w:r>
        <w:t>数据采集与方式</w:t>
      </w:r>
      <w:bookmarkEnd w:id="526481026"/>
    </w:p>
    <w:p>
      <w:r>
        <w:t>本研究病例报告表用于记录试验参与者筛选、基线、随机分组、双盲辅助治疗及安全性随访各阶段的研究信息。依据本研究访视安排，病例报告表应采集筛选、基线及第1、2、4、6、8周访视和第10周安全性随访的数据，包括MADRS总分、SDS总分、C-SSRS自杀意念与行为评价、TEAE和SAE、生命体征、实验室检查、心电图以及合并用药等信息。病例报告表中的数据应与源数据保持一致，数据修改应留有稽查轨迹。</w:t>
      </w:r>
    </w:p>
    <w:p>
      <w:pPr>
        <w:pStyle w:val="2"/>
      </w:pPr>
      <w:bookmarkStart w:id="44185353" w:name="chap_v2_n_12_3"/>
      <w:r>
        <w:t>数据清理与质疑解决</w:t>
      </w:r>
      <w:bookmarkEnd w:id="44185353"/>
    </w:p>
    <w:p>
      <w:r>
        <w:t>数据质量保证应贯穿本研究数据采集、录入、核查、转移和分析的全过程。研究中心应按照研究方案和病例报告表的要求记录数据，确保数据的完整性、准确性和可溯源性。数据质量保证的范围包括病例报告表数据、源数据、安全性数据及统计报告相关数据。数据质量保证活动应依据适用法规和申办者质量体系要求开展，并保留相应记录，以保证研究数据符合方案要求并满足监管标准。</w:t>
      </w:r>
    </w:p>
    <w:p>
      <w:pPr>
        <w:pStyle w:val="2"/>
      </w:pPr>
      <w:bookmarkStart w:id="1183216406" w:name="chap_v2_n_12_8"/>
      <w:r>
        <w:t>研究记录的保存</w:t>
      </w:r>
      <w:bookmarkEnd w:id="1183216406"/>
    </w:p>
    <w:p>
      <w:r>
        <w:t>本研究的研究资料和数据应在研究期间及研究结束后按照适用法律法规和申办者要求保存。保存范围包括病例报告表、源数据、研究药物记录、安全性报告、伦理审查文件及监管文件。试验参与者个人健康信息，包括MADRS、SDS、C-SSRS、实验室检查、心电图及不良事件数据，应采取保密措施加以保护。数据保护措施应覆盖纸质和电子资料的访问、传输、存储和销毁环节，并保留相应记录。</w:t>
      </w:r>
    </w:p>
    <w:p>
      <w:pPr>
        <w:pStyle w:val="2"/>
      </w:pPr>
      <w:bookmarkStart w:id="977644278" w:name="chap_v2_n_13_1"/>
      <w:r>
        <w:t>伦理规范</w:t>
      </w:r>
      <w:bookmarkEnd w:id="977644278"/>
    </w:p>
    <w:p>
      <w:r>
        <w:t>本研究以保障试验参与者权益、安全和福祉为首要前提，研究实施应当符合药物临床试验质量管理规范及适用的法律法规要求。研究开始前，研究方案、知情同意书以及其他需要提供给试验参与者的文件应当提交伦理委员会审查，并经伦理委员会批准后方可开展研究；获得批准之前，不得筛选和入组试验参与者。研究实施期间，研究方案、知情同意书等文件的修订，以及可能影响试验参与者权益或研究实施的其他变更，应当按照适用法律法规的要求报请伦理委员会审查，并在获得批准后实施。本研究为多中心临床研究，涉及多个研究中心，各研究中心的伦理审查与沟通过程应当按照适用法规和伦理委员会的要求进行。药品监督管理部门、伦理委员会、研究者和/或申办者在认为研究存在重大安全性风险时，可以停止研究或停止试验参与者参与研究。</w:t>
      </w:r>
    </w:p>
    <w:p>
      <w:pPr>
        <w:pStyle w:val="2"/>
      </w:pPr>
      <w:bookmarkStart w:id="1657116183" w:name="chap_v2_n_13_3"/>
      <w:r>
        <w:t>保密和隐私</w:t>
      </w:r>
      <w:bookmarkEnd w:id="1657116183"/>
    </w:p>
    <w:p>
      <w:r>
        <w:t>本方案及相关研究文件所含信息归申办者所有，属于保密信息，仅提供给研究者、合作研究者、伦理委员会和药品监督管理部门等相关机构审阅。除在与可能参加本研究的试验参与者签署知情同意书时向其作必要的解释之外，未经申办者书面许可，任何个人不得分发、复制、发表或披露本文件的任何内容；接收本文件信息的人员应当被告知其接收的信息属于保密信息，不得进一步对外披露。在试验参与者隐私保护方面，本研究对试验参与者身份信息和研究数据的处理应当符合适用法律法规和药物临床试验质量管理规范的要求，不得泄露可识别试验参与者身份的信息；涉及试验参与者隐私保护的告知内容，应当在知情同意过程中向试验参与者说明，并与伦理审查的要求保持一致。</w:t>
      </w:r>
    </w:p>
    <w:p>
      <w:pPr>
        <w:pStyle w:val="2"/>
      </w:pPr>
      <w:bookmarkStart w:id="1618096229" w:name="chap_v2_n_14_1"/>
      <w:r>
        <w:t>质量源于设计与风险管理</w:t>
      </w:r>
      <w:bookmarkEnd w:id="1618096229"/>
    </w:p>
    <w:p>
      <w:r>
        <w:t>本研究的研究文件及相关资料应当按照适用法律法规和药物临床试验质量管理规范的要求进行管理、保存和归档，保证研究实施过程可被完整追溯，并在药品监督管理部门、伦理委员会及其他有权审阅的机构开展检查、核查或审阅时按要求提供。研究实施期间应当开展监查和质量管理工作，核实研究按照经批准的方案及适用的法规要求实施，并保证研究数据的真实、准确、完整和可溯源，对研究记录的修改应当能够被追溯。本方案及相关研究文件所含信息归申办者所有，仅提供给研究者、合作研究者、伦理委员会和药品监督管理部门等相关机构审阅；除在与可能参加本研究的试验参与者签署知情同意书时向其作必要解释之外，未经申办者书面许可，任何个人不得分发、复制、发表或披露本文件的任何内容。</w:t>
      </w:r>
    </w:p>
    <w:p>
      <w:r>
        <w:t>本研究为多中心、随机、双盲、安慰剂对照、平行组II期临床研究，所有研究实施应遵循经伦理委员会批准的方案版本、中国药物临床试验质量管理规范及适用法规。研究中心应确保研究活动按照已批准方案执行。任何有意或无意偏离经批准方案或GCP要求的行为均应按方案偏离管理要求记录、评估和跟踪，相关记录应真实、完整并可溯源。</w:t>
      </w:r>
    </w:p>
    <w:p>
      <w:pPr>
        <w:pStyle w:val="2"/>
      </w:pPr>
      <w:bookmarkStart w:id="1428680617" w:name="chap_v2_n_14_2"/>
      <w:r>
        <w:t>对申办者的要求</w:t>
      </w:r>
      <w:bookmarkEnd w:id="1428680617"/>
    </w:p>
    <w:p>
      <w:r>
        <w:t>本研究为方案编号WP6-MDD-BLIND-C的多中心、随机、双盲、安慰剂对照、平行组II期优效研究，研究管理以保障双盲实施和盲态评估质量为核心。关键角色涉及试验参与者、研究者及结局评估者，双盲通过匹配安慰剂维持盲态。访视安排覆盖筛选、基线及第1、2、4、6、8周，随后第10周进行安全性随访；MADRS应由经培训且尽量保持同一的盲态评估者完成，以降低评估者间变异对抑郁症状评分的影响。各中心应按照统一访视与评估流程实施，并围绕盲态维持和评估者培训开展研究管理。</w:t>
      </w:r>
    </w:p>
    <w:p>
      <w:pPr>
        <w:pStyle w:val="2"/>
      </w:pPr>
      <w:bookmarkStart w:id="1808324570" w:name="chap_v2_n_14_3"/>
      <w:r>
        <w:t>申办者或其代表委派的监查员职责</w:t>
      </w:r>
      <w:bookmarkEnd w:id="1808324570"/>
    </w:p>
    <w:p>
      <w:r>
        <w:t>本研究为多中心II期临床试验，监查工作应围绕研究中心对经批准方案、中国药物临床试验质量管理规范及适用法规的依从性，以及试验参与者权益保护、数据质量和安全性报告开展。监查过程中应核实研究活动与源文件的真实性和一致性，发现方案偏离或违背时应形成记录并纳入偏离管理；可能严重违背方案的情况应按方案偏离管理流程处理。监查发现的问题应跟踪至解决。</w:t>
      </w:r>
    </w:p>
    <w:p>
      <w:pPr>
        <w:pStyle w:val="2"/>
      </w:pPr>
      <w:bookmarkStart w:id="936725884" w:name="chap_v2_n_14_5"/>
      <w:r>
        <w:t>稽查和视察</w:t>
      </w:r>
      <w:bookmarkEnd w:id="936725884"/>
    </w:p>
    <w:p>
      <w:r>
        <w:t>本研究的稽查和核查适用于研究中心执行经批准方案、保护试验参与者权益、记录源数据和安全性信息的相关活动。稽查和核查应依据中国药物临床试验质量管理规范及适用监管要求开展，覆盖研究实施记录、源文件、病例报告表及试验用药品管理记录。研究中心应配合稽查或核查并提供原始记录和必要说明。</w:t>
      </w:r>
    </w:p>
    <w:p>
      <w:pPr>
        <w:pStyle w:val="2"/>
      </w:pPr>
      <w:bookmarkStart w:id="769450355" w:name="chap_v2_n_14_6"/>
      <w:r>
        <w:t>方案偏离</w:t>
      </w:r>
      <w:bookmarkEnd w:id="769450355"/>
    </w:p>
    <w:p>
      <w:r>
        <w:t>本研究为多中心、随机、双盲、安慰剂对照II期研究，方案偏离管理应遵循经批准的方案、中国药物临床试验质量管理规范及适用法规。方案偏离包括任何有意或无意偏离经批准方案或GCP要求的行为。所有偏离均应被记录、评估和跟踪，可能构成严重违背GCP的情况应按方案偏离管理流程评估。方案偏离的记录、报告和后续处理应与研究质量管理和试验参与者权益保护要求一致。</w:t>
      </w:r>
    </w:p>
    <w:p>
      <w:pPr>
        <w:pStyle w:val="3"/>
      </w:pPr>
      <w:bookmarkStart w:id="1564041734" w:name="chap_v2_n_16"/>
      <w:r>
        <w:t>附录</w:t>
      </w:r>
      <w:bookmarkEnd w:id="1564041734"/>
    </w:p>
    <w:p>
      <w:r>
        <w:t>本附录汇集本方案使用的评估工具与参考材料，包括用于抑郁症状严重度评估的MADRS、用于功能损害评估的SDS以及用于自杀意念与行为评价的C-SSRS。上述量表的评估安排在筛选、基线及第1、2、4、6、8周访视中实施，第10周安全性随访时进行安全性相关评估。上述量表的版本、授权状态、评分规则和培训材料属于附录的配套内容，以支持各中心按照统一标准完成评估。</w:t>
      </w:r>
    </w:p>
    <w:p>
      <w:r>
        <w:t>项目特异附录用于汇集本研究所使用的评估工具与量表。已确认的评估量表包括MADRS、SDS和C-SSRS。MADRS用于主要终点第8周MADRS总分较基线变化，以及关键次要终点中的第8周MADRS应答率和缓解率；SDS用于其他次要终点第8周SDS总分较基线变化；C-SSRS用于安全性终点中的自杀意念与行为评价。MADRS由经培训且尽量保持同一的盲态评估者完成。附录应包含上述量表及其使用说明，以支持各访视点的评估实施。</w:t>
      </w:r>
    </w:p>
    <w:p>
      <w:pPr>
        <w:pStyle w:val="3"/>
      </w:pPr>
      <w:bookmarkStart w:id="445913157" w:name="chap_v2_n_16_x3"/>
      <w:r>
        <w:t>附录 3 中心实验室信息和样本销毁公司信息</w:t>
      </w:r>
      <w:bookmarkEnd w:id="445913157"/>
    </w:p>
    <w:p>
      <w:r>
        <w:t>本研究将实验室检查作为安全性评价的组成部分。已确认的安全性终点包括实验室检查变化，并与生命体征、心电图及C-SSRS自杀意念与行为评价共同构成安全性评估体系。研究在筛选期、双盲辅助治疗期和安全性随访期设置相应访视，包括筛选、基线及第1、2、4、6、8周访视和第10周安全性随访。实验室检查结果将用于支持合成试验药C辅助治疗8周期间的安全性监测。</w:t>
      </w:r>
    </w:p>
    <w:sectPr>
      <w:pgSz w:w="11910" w:h="16840"/>
      <w:pgMar w:top="1440" w:right="1009" w:bottom="1440" w:left="1009" w:header="578" w:footer="57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Yu Mincho">
    <w:altName w:val="Yu Gothic"/>
    <w:panose1 w:val="00000000000000000000"/>
    <w:charset w:val="80"/>
    <w:family w:val="roman"/>
    <w:pitch w:val="default"/>
    <w:sig w:usb0="00000000" w:usb1="00000000" w:usb2="00000012" w:usb3="00000000" w:csb0="0002009F"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8636285"/>
      <w:docPartObj>
        <w:docPartGallery w:val="autotext"/>
      </w:docPartObj>
    </w:sdtPr>
    <w:sdtEndPr>
      <w:rPr>
        <w:sz w:val="20"/>
        <w:szCs w:val="20"/>
      </w:rPr>
    </w:sdtEndPr>
    <w:sdtContent>
      <w:p w14:paraId="30F222D9">
        <w:pPr>
          <w:pStyle w:val="16"/>
          <w:rPr>
            <w:bCs/>
            <w:sz w:val="20"/>
            <w:szCs w:val="20"/>
            <w:lang w:eastAsia="zh-CN"/>
          </w:rPr>
        </w:pPr>
        <w:r>
          <w:rPr>
            <w:rFonts w:cs="Times New Roman"/>
            <w:sz w:val="20"/>
            <w:lang w:eastAsia="zh-CN"/>
          </w:rPr>
          <w:t xml:space="preserve">TP-MA-07                                                      </w:t>
        </w:r>
        <w:r>
          <w:rPr>
            <w:rFonts w:cs="Times New Roman"/>
            <w:sz w:val="20"/>
            <w:szCs w:val="20"/>
            <w:lang w:eastAsia="zh-CN"/>
          </w:rPr>
          <w:t xml:space="preserve">    </w:t>
        </w:r>
        <w:r>
          <w:rPr>
            <w:rFonts w:hint="eastAsia" w:cs="Times New Roman"/>
            <w:sz w:val="20"/>
            <w:szCs w:val="20"/>
            <w:lang w:eastAsia="zh-CN"/>
          </w:rPr>
          <w:t xml:space="preserve">第 </w:t>
        </w:r>
        <w:r>
          <w:rPr>
            <w:sz w:val="20"/>
            <w:szCs w:val="20"/>
          </w:rPr>
          <w:fldChar w:fldCharType="begin"/>
        </w:r>
        <w:r>
          <w:rPr>
            <w:sz w:val="20"/>
            <w:szCs w:val="20"/>
          </w:rPr>
          <w:instrText xml:space="preserve">PAGE  \* Arabic  \* MERGEFORMAT</w:instrText>
        </w:r>
        <w:r>
          <w:rPr>
            <w:sz w:val="20"/>
            <w:szCs w:val="20"/>
          </w:rPr>
          <w:fldChar w:fldCharType="separate"/>
        </w:r>
        <w:r>
          <w:rPr>
            <w:sz w:val="20"/>
            <w:szCs w:val="20"/>
          </w:rPr>
          <w:t>1</w:t>
        </w:r>
        <w:r>
          <w:rPr>
            <w:sz w:val="20"/>
            <w:szCs w:val="20"/>
          </w:rPr>
          <w:fldChar w:fldCharType="end"/>
        </w:r>
        <w:r>
          <w:rPr>
            <w:sz w:val="20"/>
            <w:szCs w:val="20"/>
          </w:rPr>
          <w:t xml:space="preserve"> </w:t>
        </w:r>
        <w:r>
          <w:rPr>
            <w:rFonts w:hint="eastAsia"/>
            <w:sz w:val="20"/>
            <w:szCs w:val="20"/>
            <w:lang w:eastAsia="zh-CN"/>
          </w:rPr>
          <w:t>页</w:t>
        </w:r>
        <w:r>
          <w:rPr>
            <w:sz w:val="20"/>
            <w:szCs w:val="20"/>
            <w:lang w:val="zh-CN"/>
          </w:rPr>
          <w:t xml:space="preserve"> / </w:t>
        </w:r>
        <w:r>
          <w:rPr>
            <w:rFonts w:hint="eastAsia"/>
            <w:sz w:val="20"/>
            <w:szCs w:val="20"/>
            <w:lang w:val="zh-CN" w:eastAsia="zh-CN"/>
          </w:rPr>
          <w:t xml:space="preserve">共 </w:t>
        </w:r>
        <w:r>
          <w:rPr>
            <w:sz w:val="20"/>
            <w:szCs w:val="20"/>
          </w:rPr>
          <w:fldChar w:fldCharType="begin"/>
        </w:r>
        <w:r>
          <w:rPr>
            <w:sz w:val="20"/>
            <w:szCs w:val="20"/>
          </w:rPr>
          <w:instrText xml:space="preserve">NUMPAGES  \* Arabic  \* MERGEFORMAT</w:instrText>
        </w:r>
        <w:r>
          <w:rPr>
            <w:sz w:val="20"/>
            <w:szCs w:val="20"/>
          </w:rPr>
          <w:fldChar w:fldCharType="separate"/>
        </w:r>
        <w:r>
          <w:rPr>
            <w:sz w:val="20"/>
            <w:szCs w:val="20"/>
          </w:rPr>
          <w:t>16</w:t>
        </w:r>
        <w:r>
          <w:rPr>
            <w:sz w:val="20"/>
            <w:szCs w:val="20"/>
          </w:rPr>
          <w:fldChar w:fldCharType="end"/>
        </w:r>
        <w:r>
          <w:rPr>
            <w:sz w:val="20"/>
            <w:szCs w:val="20"/>
          </w:rPr>
          <w:t xml:space="preserve">  </w:t>
        </w:r>
        <w:r>
          <w:rPr>
            <w:rFonts w:hint="eastAsia"/>
            <w:sz w:val="20"/>
            <w:szCs w:val="20"/>
            <w:lang w:eastAsia="zh-CN"/>
          </w:rPr>
          <w:t>页</w:t>
        </w:r>
        <w:r>
          <w:rPr>
            <w:rFonts w:cs="Times New Roman"/>
            <w:sz w:val="20"/>
            <w:szCs w:val="20"/>
            <w:lang w:eastAsia="zh-CN"/>
          </w:rPr>
          <w:t xml:space="preserve">       </w:t>
        </w:r>
        <w:r>
          <w:rPr>
            <w:rFonts w:cs="Times New Roman"/>
            <w:sz w:val="20"/>
            <w:lang w:eastAsia="zh-CN"/>
          </w:rPr>
          <w:t xml:space="preserve">                                    </w:t>
        </w:r>
        <w:bookmarkStart w:id="318" w:name="_GoBack"/>
        <w:bookmarkEnd w:id="318"/>
      </w:p>
    </w:sdtContent>
  </w:sdt>
  <w:p w14:paraId="7592EAFA">
    <w:pPr>
      <w:pStyle w:val="16"/>
      <w:ind w:firstLine="40"/>
      <w:jc w:val="center"/>
      <w:rPr>
        <w:sz w:val="2"/>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AD106">
    <w:pPr>
      <w:pStyle w:val="17"/>
      <w:tabs>
        <w:tab w:pos="4513" w:val="clear"/>
        <w:tab w:pos="9026" w:val="clear"/>
        <w:tab w:pos="9892" w:val="right"/>
      </w:tabs>
      <w:snapToGrid w:val="0"/>
      <w:spacing w:before="0"/>
      <w:jc w:val="left"/>
      <w:rPr>
        <w:rFonts w:cs="Times New Roman"/>
        <w:sz w:val="22"/>
        <w:lang w:val="en-US" w:eastAsia="zh-CN"/>
      </w:rPr>
    </w:pPr>
    <w:bookmarkStart w:id="316" w:name="_Hlk89462645"/>
    <w:r>
      <w:rPr>
        <w:rFonts w:cs="Times New Roman"/>
        <w:sz w:val="22"/>
        <w:lang w:val="en-US" w:eastAsia="zh-CN"/>
      </w:rPr>
      <w:t xml:space="preserve"/>
      <w:tab/>
      <w:t xml:space="preserve"/>
    </w:r>
    <w:r>
      <w:rPr>
        <w:rFonts w:hint="eastAsia" w:cs="Times New Roman"/>
        <w:sz w:val="22"/>
        <w:lang w:val="en-US" w:eastAsia="zh-CN"/>
      </w:rPr>
      <w:t xml:space="preserve"/>
    </w:r>
    <w:r>
      <w:rPr>
        <w:rFonts w:cs="Times New Roman"/>
        <w:sz w:val="22"/>
        <w:lang w:val="en-US" w:eastAsia="zh-CN"/>
      </w:rPr>
      <w:t xml:space="preserve"/>
    </w:r>
    <w:r>
      <w:rPr>
        <w:rFonts w:hint="eastAsia" w:cs="Times New Roman"/>
        <w:sz w:val="22"/>
        <w:lang w:val="en-US" w:eastAsia="zh-CN"/>
      </w:rPr>
      <w:t xml:space="preserve"/>
    </w:r>
    <w:r>
      <w:rPr>
        <w:rFonts w:cs="Times New Roman"/>
        <w:sz w:val="22"/>
        <w:lang w:val="en-US" w:eastAsia="zh-CN"/>
      </w:rPr>
      <w:t xml:space="preserve"/>
    </w:r>
    <w:r>
      <w:rPr>
        <w:rFonts w:hint="eastAsia" w:cs="Times New Roman"/>
        <w:sz w:val="22"/>
        <w:lang w:val="en-US" w:eastAsia="zh-CN"/>
      </w:rPr>
      <w:t xml:space="preserve"/>
    </w:r>
    <w:r>
      <w:rPr>
        <w:rFonts w:cs="Times New Roman"/>
        <w:sz w:val="22"/>
        <w:lang w:val="en-US" w:eastAsia="zh-CN"/>
      </w:rPr>
      <w:t xml:space="preserve"/>
    </w:r>
    <w:r>
      <w:rPr>
        <w:rFonts w:hint="eastAsia" w:cs="Times New Roman"/>
        <w:sz w:val="22"/>
        <w:lang w:val="en-US" w:eastAsia="zh-CN"/>
      </w:rPr>
      <w:t xml:space="preserve"/>
    </w:r>
    <w:r>
      <w:rPr>
        <w:rFonts w:cs="Times New Roman"/>
        <w:sz w:val="22"/>
        <w:lang w:val="en-US" w:eastAsia="zh-CN"/>
      </w:rPr>
      <w:t xml:space="preserve">版本号：</w:t>
    </w:r>
    <w:r>
      <w:rPr>
        <w:rFonts w:hint="eastAsia" w:cs="Times New Roman"/>
        <w:sz w:val="22"/>
        <w:lang w:val="en-US" w:eastAsia="zh-CN"/>
      </w:rPr>
      <w:t xml:space="preserve">V0.1</w:t>
    </w:r>
    <w:r>
      <w:rPr>
        <w:rFonts w:cs="Times New Roman"/>
        <w:sz w:val="22"/>
        <w:lang w:val="en-US" w:eastAsia="zh-CN"/>
      </w:rPr>
      <w:t xml:space="preserve">版</w:t>
    </w:r>
  </w:p>
  <w:p w14:paraId="784056FD">
    <w:pPr>
      <w:pStyle w:val="17"/>
      <w:pBdr>
        <w:bottom w:val="single" w:color="auto" w:sz="4" w:space="1"/>
      </w:pBdr>
      <w:tabs>
        <w:tab w:pos="4513" w:val="clear"/>
        <w:tab w:pos="4946" w:val="center"/>
        <w:tab w:pos="9026" w:val="clear"/>
        <w:tab w:pos="9892" w:val="right"/>
      </w:tabs>
      <w:snapToGrid w:val="0"/>
      <w:spacing w:before="0"/>
      <w:jc w:val="left"/>
      <w:rPr>
        <w:rFonts w:cs="Times New Roman"/>
        <w:sz w:val="22"/>
        <w:lang w:val="en-US" w:eastAsia="zh-CN"/>
      </w:rPr>
    </w:pPr>
    <w:r>
      <w:rPr>
        <w:rFonts w:cs="Times New Roman"/>
        <w:sz w:val="22"/>
        <w:lang w:val="en-US" w:eastAsia="zh-CN"/>
      </w:rPr>
      <w:t xml:space="preserve">方案编号：WP6-MDD-BLIND-C</w:t>
      <w:tab/>
      <w:t xml:space="preserve"/>
    </w:r>
    <w:r>
      <w:rPr>
        <w:rFonts w:hint="eastAsia" w:cs="Times New Roman"/>
        <w:sz w:val="22"/>
        <w:lang w:val="en-US" w:eastAsia="zh-CN"/>
      </w:rPr>
      <w:t xml:space="preserve"/>
    </w:r>
    <w:r>
      <w:rPr>
        <w:rFonts w:cs="Times New Roman"/>
        <w:sz w:val="22"/>
        <w:lang w:val="en-US" w:eastAsia="zh-CN"/>
      </w:rPr>
      <w:t xml:space="preserve">临床试验方案</w:t>
      <w:tab/>
      <w:t xml:space="preserve"/>
    </w:r>
    <w:r>
      <w:rPr>
        <w:rFonts w:hint="eastAsia" w:cs="Times New Roman"/>
        <w:sz w:val="22"/>
        <w:lang w:val="en-US" w:eastAsia="zh-CN"/>
      </w:rPr>
      <w:t xml:space="preserve"/>
    </w:r>
    <w:r>
      <w:rPr>
        <w:rFonts w:cs="Times New Roman"/>
        <w:sz w:val="22"/>
        <w:lang w:val="en-US" w:eastAsia="zh-CN"/>
      </w:rPr>
      <w:t xml:space="preserve">版本日期：</w:t>
    </w:r>
  </w:p>
  <w:bookmarkEnd w:id="316"/>
  <w:p w14:paraId="0CF8CF0E">
    <w:pPr>
      <w:pStyle w:val="11"/>
      <w:spacing w:line="14" w:lineRule="auto"/>
      <w:rPr>
        <w:sz w:val="2"/>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9"/>
    <w:multiLevelType w:val="multilevel"/>
    <w:tmpl w:val="00000029"/>
    <w:lvl w:ilvl="0" w:tentative="0">
      <w:start w:val="1"/>
      <w:numFmt w:val="decimal"/>
      <w:lvlText w:val="%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8F1A37"/>
    <w:multiLevelType w:val="multilevel"/>
    <w:tmpl w:val="008F1A37"/>
    <w:lvl w:ilvl="0" w:tentative="0">
      <w:start w:val="1"/>
      <w:numFmt w:val="decimal"/>
      <w:lvlText w:val="2.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2C1296"/>
    <w:multiLevelType w:val="multilevel"/>
    <w:tmpl w:val="022C1296"/>
    <w:lvl w:ilvl="0" w:tentative="0">
      <w:start w:val="1"/>
      <w:numFmt w:val="decimal"/>
      <w:lvlText w:val="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2813519"/>
    <w:multiLevelType w:val="multilevel"/>
    <w:tmpl w:val="0281351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0545683C"/>
    <w:multiLevelType w:val="multilevel"/>
    <w:tmpl w:val="0545683C"/>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85A2685"/>
    <w:multiLevelType w:val="multilevel"/>
    <w:tmpl w:val="085A2685"/>
    <w:lvl w:ilvl="0" w:tentative="0">
      <w:start w:val="1"/>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8A70E16"/>
    <w:multiLevelType w:val="multilevel"/>
    <w:tmpl w:val="08A70E16"/>
    <w:lvl w:ilvl="0" w:tentative="0">
      <w:start w:val="1"/>
      <w:numFmt w:val="decimal"/>
      <w:lvlText w:val="1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F611BFA"/>
    <w:multiLevelType w:val="multilevel"/>
    <w:tmpl w:val="0F611BFA"/>
    <w:lvl w:ilvl="0" w:tentative="0">
      <w:start w:val="1"/>
      <w:numFmt w:val="bullet"/>
      <w:suff w:val="space"/>
      <w:lvlText w:val=""/>
      <w:lvlJc w:val="left"/>
      <w:pPr>
        <w:ind w:left="57" w:hanging="57"/>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0F666CC3"/>
    <w:multiLevelType w:val="multilevel"/>
    <w:tmpl w:val="0F666CC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11243622"/>
    <w:multiLevelType w:val="multilevel"/>
    <w:tmpl w:val="11243622"/>
    <w:lvl w:ilvl="0" w:tentative="0">
      <w:start w:val="1"/>
      <w:numFmt w:val="bullet"/>
      <w:lvlText w:val="•"/>
      <w:lvlJc w:val="left"/>
      <w:pPr>
        <w:ind w:left="880" w:hanging="420"/>
      </w:pPr>
      <w:rPr>
        <w:rFonts w:hint="eastAsia" w:ascii="宋体" w:hAnsi="宋体" w:eastAsia="宋体"/>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10">
    <w:nsid w:val="131840AE"/>
    <w:multiLevelType w:val="multilevel"/>
    <w:tmpl w:val="131840AE"/>
    <w:lvl w:ilvl="0" w:tentative="0">
      <w:start w:val="1"/>
      <w:numFmt w:val="decimal"/>
      <w:lvlText w:val="6.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3294185"/>
    <w:multiLevelType w:val="multilevel"/>
    <w:tmpl w:val="13294185"/>
    <w:lvl w:ilvl="0" w:tentative="0">
      <w:start w:val="1"/>
      <w:numFmt w:val="decimal"/>
      <w:lvlText w:val="1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4355DFA"/>
    <w:multiLevelType w:val="multilevel"/>
    <w:tmpl w:val="14355D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56F7D57"/>
    <w:multiLevelType w:val="multilevel"/>
    <w:tmpl w:val="156F7D57"/>
    <w:lvl w:ilvl="0" w:tentative="0">
      <w:start w:val="1"/>
      <w:numFmt w:val="decimal"/>
      <w:lvlText w:val="6.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5C31359"/>
    <w:multiLevelType w:val="multilevel"/>
    <w:tmpl w:val="15C31359"/>
    <w:lvl w:ilvl="0" w:tentative="0">
      <w:start w:val="1"/>
      <w:numFmt w:val="decimal"/>
      <w:lvlText w:val="6.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DB0218E"/>
    <w:multiLevelType w:val="multilevel"/>
    <w:tmpl w:val="1DB0218E"/>
    <w:lvl w:ilvl="0" w:tentative="0">
      <w:start w:val="1"/>
      <w:numFmt w:val="bullet"/>
      <w:lvlText w:val="•"/>
      <w:lvlJc w:val="left"/>
      <w:pPr>
        <w:ind w:left="3965" w:hanging="420"/>
      </w:pPr>
      <w:rPr>
        <w:rFonts w:hint="eastAsia" w:ascii="宋体" w:hAnsi="宋体" w:eastAsia="宋体"/>
        <w:color w:val="auto"/>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16">
    <w:nsid w:val="1E097EFE"/>
    <w:multiLevelType w:val="multilevel"/>
    <w:tmpl w:val="1E097EFE"/>
    <w:lvl w:ilvl="0" w:tentative="0">
      <w:start w:val="1"/>
      <w:numFmt w:val="decimal"/>
      <w:suff w:val="space"/>
      <w:lvlText w:val="（%1）"/>
      <w:lvlJc w:val="left"/>
      <w:pPr>
        <w:ind w:left="0" w:firstLine="340"/>
      </w:pPr>
      <w:rPr>
        <w:rFonts w:hint="default"/>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lowerLetter"/>
      <w:lvlText w:val="%4."/>
      <w:lvlJc w:val="left"/>
      <w:pPr>
        <w:ind w:left="2100" w:hanging="360"/>
      </w:pPr>
      <w:rPr>
        <w:rFonts w:hint="default"/>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
    <w:nsid w:val="1FD154A9"/>
    <w:multiLevelType w:val="multilevel"/>
    <w:tmpl w:val="1FD154A9"/>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0DF3261"/>
    <w:multiLevelType w:val="multilevel"/>
    <w:tmpl w:val="20DF3261"/>
    <w:lvl w:ilvl="0" w:tentative="0">
      <w:start w:val="1"/>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5281BA3"/>
    <w:multiLevelType w:val="multilevel"/>
    <w:tmpl w:val="25281BA3"/>
    <w:lvl w:ilvl="0" w:tentative="0">
      <w:start w:val="1"/>
      <w:numFmt w:val="decimal"/>
      <w:pStyle w:val="68"/>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0">
    <w:nsid w:val="257406B2"/>
    <w:multiLevelType w:val="multilevel"/>
    <w:tmpl w:val="257406B2"/>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62A52E6"/>
    <w:multiLevelType w:val="multilevel"/>
    <w:tmpl w:val="262A52E6"/>
    <w:lvl w:ilvl="0" w:tentative="0">
      <w:start w:val="1"/>
      <w:numFmt w:val="decimal"/>
      <w:lvlText w:val="10.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97405FC"/>
    <w:multiLevelType w:val="multilevel"/>
    <w:tmpl w:val="297405F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99B64BD"/>
    <w:multiLevelType w:val="multilevel"/>
    <w:tmpl w:val="299B64BD"/>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DAC6E20"/>
    <w:multiLevelType w:val="multilevel"/>
    <w:tmpl w:val="2DAC6E20"/>
    <w:lvl w:ilvl="0" w:tentative="0">
      <w:start w:val="1"/>
      <w:numFmt w:val="decimal"/>
      <w:lvlText w:val="%1."/>
      <w:lvlJc w:val="left"/>
      <w:pPr>
        <w:ind w:left="425" w:hanging="425"/>
      </w:pPr>
    </w:lvl>
    <w:lvl w:ilvl="1" w:tentative="0">
      <w:start w:val="1"/>
      <w:numFmt w:val="decimal"/>
      <w:lvlText w:val="3.%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5">
    <w:nsid w:val="2F162A4E"/>
    <w:multiLevelType w:val="multilevel"/>
    <w:tmpl w:val="2F162A4E"/>
    <w:lvl w:ilvl="0" w:tentative="0">
      <w:start w:val="1"/>
      <w:numFmt w:val="decimal"/>
      <w:lvlText w:val="3.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1D14953"/>
    <w:multiLevelType w:val="multilevel"/>
    <w:tmpl w:val="31D14953"/>
    <w:lvl w:ilvl="0" w:tentative="0">
      <w:start w:val="1"/>
      <w:numFmt w:val="bullet"/>
      <w:lvlText w:val="•"/>
      <w:lvlJc w:val="left"/>
      <w:pPr>
        <w:ind w:left="420" w:hanging="420"/>
      </w:pPr>
      <w:rPr>
        <w:rFonts w:hint="eastAsia" w:ascii="宋体" w:hAnsi="宋体" w:eastAsia="宋体"/>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color w:val="auto"/>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34E45F07"/>
    <w:multiLevelType w:val="multilevel"/>
    <w:tmpl w:val="34E45F07"/>
    <w:lvl w:ilvl="0" w:tentative="0">
      <w:start w:val="1"/>
      <w:numFmt w:val="bullet"/>
      <w:lvlText w:val="•"/>
      <w:lvlJc w:val="left"/>
      <w:pPr>
        <w:ind w:left="1129" w:hanging="420"/>
      </w:pPr>
      <w:rPr>
        <w:rFonts w:hint="eastAsia" w:ascii="宋体" w:hAnsi="宋体" w:eastAsia="宋体"/>
        <w:color w:val="auto"/>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28">
    <w:nsid w:val="3A3824F2"/>
    <w:multiLevelType w:val="multilevel"/>
    <w:tmpl w:val="3A3824F2"/>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3B3116A8"/>
    <w:multiLevelType w:val="multilevel"/>
    <w:tmpl w:val="3B3116A8"/>
    <w:lvl w:ilvl="0" w:tentative="0">
      <w:start w:val="1"/>
      <w:numFmt w:val="bullet"/>
      <w:lvlText w:val=""/>
      <w:lvlJc w:val="left"/>
      <w:pPr>
        <w:ind w:left="1068" w:hanging="420"/>
      </w:pPr>
      <w:rPr>
        <w:rFonts w:hint="default" w:ascii="Wingdings" w:hAnsi="Wingdings"/>
      </w:rPr>
    </w:lvl>
    <w:lvl w:ilvl="1" w:tentative="0">
      <w:start w:val="1"/>
      <w:numFmt w:val="bullet"/>
      <w:lvlText w:val=""/>
      <w:lvlJc w:val="left"/>
      <w:pPr>
        <w:ind w:left="1488" w:hanging="420"/>
      </w:pPr>
      <w:rPr>
        <w:rFonts w:hint="default" w:ascii="Wingdings" w:hAnsi="Wingdings"/>
      </w:rPr>
    </w:lvl>
    <w:lvl w:ilvl="2" w:tentative="0">
      <w:start w:val="1"/>
      <w:numFmt w:val="bullet"/>
      <w:lvlText w:val=""/>
      <w:lvlJc w:val="left"/>
      <w:pPr>
        <w:ind w:left="1908" w:hanging="420"/>
      </w:pPr>
      <w:rPr>
        <w:rFonts w:hint="default" w:ascii="Wingdings" w:hAnsi="Wingdings"/>
      </w:rPr>
    </w:lvl>
    <w:lvl w:ilvl="3" w:tentative="0">
      <w:start w:val="1"/>
      <w:numFmt w:val="bullet"/>
      <w:lvlText w:val=""/>
      <w:lvlJc w:val="left"/>
      <w:pPr>
        <w:ind w:left="2328" w:hanging="420"/>
      </w:pPr>
      <w:rPr>
        <w:rFonts w:hint="default" w:ascii="Wingdings" w:hAnsi="Wingdings"/>
      </w:rPr>
    </w:lvl>
    <w:lvl w:ilvl="4" w:tentative="0">
      <w:start w:val="1"/>
      <w:numFmt w:val="bullet"/>
      <w:lvlText w:val=""/>
      <w:lvlJc w:val="left"/>
      <w:pPr>
        <w:ind w:left="2748" w:hanging="420"/>
      </w:pPr>
      <w:rPr>
        <w:rFonts w:hint="default" w:ascii="Wingdings" w:hAnsi="Wingdings"/>
      </w:rPr>
    </w:lvl>
    <w:lvl w:ilvl="5" w:tentative="0">
      <w:start w:val="1"/>
      <w:numFmt w:val="bullet"/>
      <w:lvlText w:val=""/>
      <w:lvlJc w:val="left"/>
      <w:pPr>
        <w:ind w:left="3168" w:hanging="420"/>
      </w:pPr>
      <w:rPr>
        <w:rFonts w:hint="default" w:ascii="Wingdings" w:hAnsi="Wingdings"/>
      </w:rPr>
    </w:lvl>
    <w:lvl w:ilvl="6" w:tentative="0">
      <w:start w:val="1"/>
      <w:numFmt w:val="bullet"/>
      <w:lvlText w:val=""/>
      <w:lvlJc w:val="left"/>
      <w:pPr>
        <w:ind w:left="3588" w:hanging="420"/>
      </w:pPr>
      <w:rPr>
        <w:rFonts w:hint="default" w:ascii="Wingdings" w:hAnsi="Wingdings"/>
      </w:rPr>
    </w:lvl>
    <w:lvl w:ilvl="7" w:tentative="0">
      <w:start w:val="1"/>
      <w:numFmt w:val="bullet"/>
      <w:lvlText w:val=""/>
      <w:lvlJc w:val="left"/>
      <w:pPr>
        <w:ind w:left="4008" w:hanging="420"/>
      </w:pPr>
      <w:rPr>
        <w:rFonts w:hint="default" w:ascii="Wingdings" w:hAnsi="Wingdings"/>
      </w:rPr>
    </w:lvl>
    <w:lvl w:ilvl="8" w:tentative="0">
      <w:start w:val="1"/>
      <w:numFmt w:val="bullet"/>
      <w:lvlText w:val=""/>
      <w:lvlJc w:val="left"/>
      <w:pPr>
        <w:ind w:left="4428" w:hanging="420"/>
      </w:pPr>
      <w:rPr>
        <w:rFonts w:hint="default" w:ascii="Wingdings" w:hAnsi="Wingdings"/>
      </w:rPr>
    </w:lvl>
  </w:abstractNum>
  <w:abstractNum w:abstractNumId="30">
    <w:nsid w:val="43DB7579"/>
    <w:multiLevelType w:val="multilevel"/>
    <w:tmpl w:val="43DB7579"/>
    <w:lvl w:ilvl="0" w:tentative="0">
      <w:start w:val="2"/>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7A831E2"/>
    <w:multiLevelType w:val="multilevel"/>
    <w:tmpl w:val="47A831E2"/>
    <w:lvl w:ilvl="0" w:tentative="0">
      <w:start w:val="1"/>
      <w:numFmt w:val="bullet"/>
      <w:lvlText w:val=""/>
      <w:lvlJc w:val="left"/>
      <w:pPr>
        <w:ind w:left="0" w:firstLine="454"/>
      </w:pPr>
      <w:rPr>
        <w:rFonts w:hint="default" w:ascii="Wingdings" w:hAnsi="Wingdings"/>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487D2198"/>
    <w:multiLevelType w:val="multilevel"/>
    <w:tmpl w:val="487D219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3">
    <w:nsid w:val="493F2DC2"/>
    <w:multiLevelType w:val="multilevel"/>
    <w:tmpl w:val="493F2DC2"/>
    <w:lvl w:ilvl="0" w:tentative="0">
      <w:start w:val="1"/>
      <w:numFmt w:val="decimal"/>
      <w:lvlText w:val="11.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C1508B1"/>
    <w:multiLevelType w:val="multilevel"/>
    <w:tmpl w:val="4C1508B1"/>
    <w:lvl w:ilvl="0" w:tentative="0">
      <w:start w:val="1"/>
      <w:numFmt w:val="decimal"/>
      <w:suff w:val="space"/>
      <w:lvlText w:val="（%1）"/>
      <w:lvlJc w:val="left"/>
      <w:pPr>
        <w:ind w:left="0" w:firstLine="340"/>
      </w:pPr>
      <w:rPr>
        <w:rFonts w:hint="default"/>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lowerLetter"/>
      <w:lvlText w:val="%4."/>
      <w:lvlJc w:val="left"/>
      <w:pPr>
        <w:ind w:left="2100" w:hanging="360"/>
      </w:pPr>
      <w:rPr>
        <w:rFonts w:hint="default"/>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5">
    <w:nsid w:val="4C1F7630"/>
    <w:multiLevelType w:val="multilevel"/>
    <w:tmpl w:val="4C1F7630"/>
    <w:lvl w:ilvl="0" w:tentative="0">
      <w:start w:val="1"/>
      <w:numFmt w:val="decimal"/>
      <w:lvlText w:val="%1."/>
      <w:lvlJc w:val="left"/>
      <w:pPr>
        <w:ind w:left="425" w:hanging="425"/>
      </w:pPr>
    </w:lvl>
    <w:lvl w:ilvl="1" w:tentative="0">
      <w:start w:val="1"/>
      <w:numFmt w:val="decimal"/>
      <w:lvlText w:val="4.%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6">
    <w:nsid w:val="4C9D76C1"/>
    <w:multiLevelType w:val="multilevel"/>
    <w:tmpl w:val="4C9D76C1"/>
    <w:lvl w:ilvl="0" w:tentative="0">
      <w:start w:val="1"/>
      <w:numFmt w:val="japaneseCounting"/>
      <w:lvlText w:val="（%1）"/>
      <w:lvlJc w:val="left"/>
      <w:pPr>
        <w:ind w:left="1400" w:hanging="84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7">
    <w:nsid w:val="4CA46DA1"/>
    <w:multiLevelType w:val="multilevel"/>
    <w:tmpl w:val="4CA46DA1"/>
    <w:lvl w:ilvl="0" w:tentative="0">
      <w:start w:val="1"/>
      <w:numFmt w:val="decimal"/>
      <w:lvlText w:val="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FEE1640"/>
    <w:multiLevelType w:val="multilevel"/>
    <w:tmpl w:val="4FEE1640"/>
    <w:lvl w:ilvl="0" w:tentative="0">
      <w:start w:val="1"/>
      <w:numFmt w:val="decimal"/>
      <w:lvlText w:val="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0296EFE"/>
    <w:multiLevelType w:val="multilevel"/>
    <w:tmpl w:val="50296EFE"/>
    <w:lvl w:ilvl="0" w:tentative="0">
      <w:start w:val="1"/>
      <w:numFmt w:val="bullet"/>
      <w:lvlText w:val=""/>
      <w:lvlJc w:val="left"/>
      <w:pPr>
        <w:ind w:left="794" w:hanging="22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0">
    <w:nsid w:val="51C10CE7"/>
    <w:multiLevelType w:val="multilevel"/>
    <w:tmpl w:val="51C10CE7"/>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32213C4"/>
    <w:multiLevelType w:val="multilevel"/>
    <w:tmpl w:val="532213C4"/>
    <w:lvl w:ilvl="0" w:tentative="0">
      <w:start w:val="1"/>
      <w:numFmt w:val="decimal"/>
      <w:lvlText w:val="%1."/>
      <w:lvlJc w:val="left"/>
      <w:pPr>
        <w:ind w:left="425" w:hanging="425"/>
      </w:pPr>
    </w:lvl>
    <w:lvl w:ilvl="1" w:tentative="0">
      <w:start w:val="1"/>
      <w:numFmt w:val="decimal"/>
      <w:lvlText w:val="3.%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2">
    <w:nsid w:val="5682792D"/>
    <w:multiLevelType w:val="multilevel"/>
    <w:tmpl w:val="5682792D"/>
    <w:lvl w:ilvl="0" w:tentative="0">
      <w:start w:val="1"/>
      <w:numFmt w:val="decimal"/>
      <w:suff w:val="space"/>
      <w:lvlText w:val="%1."/>
      <w:lvlJc w:val="left"/>
      <w:pPr>
        <w:ind w:left="0" w:firstLine="0"/>
      </w:pPr>
      <w:rPr>
        <w:rFonts w:hint="eastAsia"/>
        <w:b/>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3">
    <w:nsid w:val="5EF074B3"/>
    <w:multiLevelType w:val="multilevel"/>
    <w:tmpl w:val="5EF074B3"/>
    <w:lvl w:ilvl="0" w:tentative="0">
      <w:start w:val="1"/>
      <w:numFmt w:val="japaneseCounting"/>
      <w:lvlText w:val="（%1）"/>
      <w:lvlJc w:val="left"/>
      <w:pPr>
        <w:ind w:left="840" w:hanging="840"/>
      </w:pPr>
      <w:rPr>
        <w:rFonts w:hint="default"/>
        <w:sz w:val="24"/>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1721E50"/>
    <w:multiLevelType w:val="multilevel"/>
    <w:tmpl w:val="61721E50"/>
    <w:lvl w:ilvl="0" w:tentative="0">
      <w:start w:val="1"/>
      <w:numFmt w:val="decimal"/>
      <w:lvlText w:val="%1)"/>
      <w:lvlJc w:val="left"/>
      <w:pPr>
        <w:ind w:left="1080" w:hanging="420"/>
      </w:p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45">
    <w:nsid w:val="62970A3A"/>
    <w:multiLevelType w:val="multilevel"/>
    <w:tmpl w:val="62970A3A"/>
    <w:lvl w:ilvl="0" w:tentative="0">
      <w:start w:val="1"/>
      <w:numFmt w:val="bullet"/>
      <w:lvlText w:val="•"/>
      <w:lvlJc w:val="left"/>
      <w:pPr>
        <w:ind w:left="880" w:hanging="420"/>
      </w:pPr>
      <w:rPr>
        <w:rFonts w:hint="eastAsia" w:ascii="宋体" w:hAnsi="宋体" w:eastAsia="宋体"/>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46">
    <w:nsid w:val="684972D2"/>
    <w:multiLevelType w:val="multilevel"/>
    <w:tmpl w:val="684972D2"/>
    <w:lvl w:ilvl="0" w:tentative="0">
      <w:start w:val="1"/>
      <w:numFmt w:val="decimal"/>
      <w:lvlText w:val="3.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9E0766D"/>
    <w:multiLevelType w:val="multilevel"/>
    <w:tmpl w:val="69E0766D"/>
    <w:lvl w:ilvl="0" w:tentative="0">
      <w:start w:val="1"/>
      <w:numFmt w:val="decimal"/>
      <w:lvlText w:val="10.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A545F7B"/>
    <w:multiLevelType w:val="multilevel"/>
    <w:tmpl w:val="6A545F7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6B027A4F"/>
    <w:multiLevelType w:val="multilevel"/>
    <w:tmpl w:val="6B027A4F"/>
    <w:lvl w:ilvl="0" w:tentative="0">
      <w:start w:val="1"/>
      <w:numFmt w:val="lowerLetter"/>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lowerLetter"/>
      <w:lvlText w:val="%4."/>
      <w:lvlJc w:val="left"/>
      <w:pPr>
        <w:ind w:left="567" w:hanging="57"/>
      </w:pPr>
      <w:rPr>
        <w:rFonts w:hint="eastAsia"/>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0">
    <w:nsid w:val="6E9F0EA5"/>
    <w:multiLevelType w:val="multilevel"/>
    <w:tmpl w:val="6E9F0EA5"/>
    <w:lvl w:ilvl="0" w:tentative="0">
      <w:start w:val="1"/>
      <w:numFmt w:val="decimal"/>
      <w:lvlText w:val="2.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6ECA0A95"/>
    <w:multiLevelType w:val="multilevel"/>
    <w:tmpl w:val="6ECA0A95"/>
    <w:lvl w:ilvl="0" w:tentative="0">
      <w:start w:val="1"/>
      <w:numFmt w:val="bullet"/>
      <w:lvlText w:val="•"/>
      <w:lvlJc w:val="left"/>
      <w:pPr>
        <w:ind w:left="883" w:hanging="420"/>
      </w:pPr>
      <w:rPr>
        <w:rFonts w:hint="eastAsia" w:ascii="宋体" w:hAnsi="宋体" w:eastAsia="宋体"/>
        <w:color w:val="auto"/>
      </w:rPr>
    </w:lvl>
    <w:lvl w:ilvl="1" w:tentative="0">
      <w:start w:val="1"/>
      <w:numFmt w:val="bullet"/>
      <w:lvlText w:val=""/>
      <w:lvlJc w:val="left"/>
      <w:pPr>
        <w:ind w:left="1303" w:hanging="420"/>
      </w:pPr>
      <w:rPr>
        <w:rFonts w:hint="default" w:ascii="Wingdings" w:hAnsi="Wingdings"/>
      </w:rPr>
    </w:lvl>
    <w:lvl w:ilvl="2" w:tentative="0">
      <w:start w:val="1"/>
      <w:numFmt w:val="bullet"/>
      <w:lvlText w:val=""/>
      <w:lvlJc w:val="left"/>
      <w:pPr>
        <w:ind w:left="1723" w:hanging="420"/>
      </w:pPr>
      <w:rPr>
        <w:rFonts w:hint="default" w:ascii="Wingdings" w:hAnsi="Wingdings"/>
      </w:rPr>
    </w:lvl>
    <w:lvl w:ilvl="3" w:tentative="0">
      <w:start w:val="1"/>
      <w:numFmt w:val="bullet"/>
      <w:lvlText w:val=""/>
      <w:lvlJc w:val="left"/>
      <w:pPr>
        <w:ind w:left="2143" w:hanging="420"/>
      </w:pPr>
      <w:rPr>
        <w:rFonts w:hint="default" w:ascii="Wingdings" w:hAnsi="Wingdings"/>
      </w:rPr>
    </w:lvl>
    <w:lvl w:ilvl="4" w:tentative="0">
      <w:start w:val="1"/>
      <w:numFmt w:val="bullet"/>
      <w:lvlText w:val=""/>
      <w:lvlJc w:val="left"/>
      <w:pPr>
        <w:ind w:left="2563" w:hanging="420"/>
      </w:pPr>
      <w:rPr>
        <w:rFonts w:hint="default" w:ascii="Wingdings" w:hAnsi="Wingdings"/>
      </w:rPr>
    </w:lvl>
    <w:lvl w:ilvl="5" w:tentative="0">
      <w:start w:val="1"/>
      <w:numFmt w:val="bullet"/>
      <w:lvlText w:val=""/>
      <w:lvlJc w:val="left"/>
      <w:pPr>
        <w:ind w:left="2983" w:hanging="420"/>
      </w:pPr>
      <w:rPr>
        <w:rFonts w:hint="default" w:ascii="Wingdings" w:hAnsi="Wingdings"/>
      </w:rPr>
    </w:lvl>
    <w:lvl w:ilvl="6" w:tentative="0">
      <w:start w:val="1"/>
      <w:numFmt w:val="bullet"/>
      <w:lvlText w:val=""/>
      <w:lvlJc w:val="left"/>
      <w:pPr>
        <w:ind w:left="3403" w:hanging="420"/>
      </w:pPr>
      <w:rPr>
        <w:rFonts w:hint="default" w:ascii="Wingdings" w:hAnsi="Wingdings"/>
      </w:rPr>
    </w:lvl>
    <w:lvl w:ilvl="7" w:tentative="0">
      <w:start w:val="1"/>
      <w:numFmt w:val="bullet"/>
      <w:lvlText w:val=""/>
      <w:lvlJc w:val="left"/>
      <w:pPr>
        <w:ind w:left="3823" w:hanging="420"/>
      </w:pPr>
      <w:rPr>
        <w:rFonts w:hint="default" w:ascii="Wingdings" w:hAnsi="Wingdings"/>
      </w:rPr>
    </w:lvl>
    <w:lvl w:ilvl="8" w:tentative="0">
      <w:start w:val="1"/>
      <w:numFmt w:val="bullet"/>
      <w:lvlText w:val=""/>
      <w:lvlJc w:val="left"/>
      <w:pPr>
        <w:ind w:left="4243" w:hanging="420"/>
      </w:pPr>
      <w:rPr>
        <w:rFonts w:hint="default" w:ascii="Wingdings" w:hAnsi="Wingdings"/>
      </w:rPr>
    </w:lvl>
  </w:abstractNum>
  <w:abstractNum w:abstractNumId="52">
    <w:nsid w:val="74C46161"/>
    <w:multiLevelType w:val="multilevel"/>
    <w:tmpl w:val="74C4616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74FF2183"/>
    <w:multiLevelType w:val="multilevel"/>
    <w:tmpl w:val="74FF2183"/>
    <w:lvl w:ilvl="0" w:tentative="0">
      <w:start w:val="1"/>
      <w:numFmt w:val="decimal"/>
      <w:lvlText w:val="1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780075CA"/>
    <w:multiLevelType w:val="multilevel"/>
    <w:tmpl w:val="780075CA"/>
    <w:lvl w:ilvl="0" w:tentative="0">
      <w:start w:val="1"/>
      <w:numFmt w:val="lowerLetter"/>
      <w:lvlText w:val="%1."/>
      <w:lvlJc w:val="left"/>
      <w:pPr>
        <w:ind w:left="0" w:firstLine="28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92011C2"/>
    <w:multiLevelType w:val="multilevel"/>
    <w:tmpl w:val="792011C2"/>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7C244231"/>
    <w:multiLevelType w:val="multilevel"/>
    <w:tmpl w:val="7C244231"/>
    <w:lvl w:ilvl="0" w:tentative="0">
      <w:start w:val="1"/>
      <w:numFmt w:val="decimal"/>
      <w:lvlText w:val="10.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7F1F0E5B"/>
    <w:multiLevelType w:val="multilevel"/>
    <w:tmpl w:val="7F1F0E5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19"/>
  </w:num>
  <w:num w:numId="2">
    <w:abstractNumId w:val="0"/>
  </w:num>
  <w:num w:numId="3">
    <w:abstractNumId w:val="17"/>
  </w:num>
  <w:num w:numId="4">
    <w:abstractNumId w:val="7"/>
  </w:num>
  <w:num w:numId="5">
    <w:abstractNumId w:val="42"/>
  </w:num>
  <w:num w:numId="6">
    <w:abstractNumId w:val="24"/>
  </w:num>
  <w:num w:numId="7">
    <w:abstractNumId w:val="20"/>
  </w:num>
  <w:num w:numId="8">
    <w:abstractNumId w:val="50"/>
  </w:num>
  <w:num w:numId="9">
    <w:abstractNumId w:val="1"/>
  </w:num>
  <w:num w:numId="10">
    <w:abstractNumId w:val="41"/>
  </w:num>
  <w:num w:numId="11">
    <w:abstractNumId w:val="25"/>
  </w:num>
  <w:num w:numId="12">
    <w:abstractNumId w:val="57"/>
  </w:num>
  <w:num w:numId="13">
    <w:abstractNumId w:val="30"/>
  </w:num>
  <w:num w:numId="14">
    <w:abstractNumId w:val="5"/>
  </w:num>
  <w:num w:numId="15">
    <w:abstractNumId w:val="52"/>
  </w:num>
  <w:num w:numId="16">
    <w:abstractNumId w:val="18"/>
  </w:num>
  <w:num w:numId="17">
    <w:abstractNumId w:val="46"/>
  </w:num>
  <w:num w:numId="18">
    <w:abstractNumId w:val="35"/>
  </w:num>
  <w:num w:numId="19">
    <w:abstractNumId w:val="28"/>
  </w:num>
  <w:num w:numId="20">
    <w:abstractNumId w:val="55"/>
  </w:num>
  <w:num w:numId="21">
    <w:abstractNumId w:val="23"/>
  </w:num>
  <w:num w:numId="22">
    <w:abstractNumId w:val="10"/>
  </w:num>
  <w:num w:numId="23">
    <w:abstractNumId w:val="13"/>
  </w:num>
  <w:num w:numId="24">
    <w:abstractNumId w:val="36"/>
  </w:num>
  <w:num w:numId="25">
    <w:abstractNumId w:val="43"/>
  </w:num>
  <w:num w:numId="26">
    <w:abstractNumId w:val="14"/>
  </w:num>
  <w:num w:numId="27">
    <w:abstractNumId w:val="38"/>
  </w:num>
  <w:num w:numId="28">
    <w:abstractNumId w:val="37"/>
  </w:num>
  <w:num w:numId="29">
    <w:abstractNumId w:val="9"/>
  </w:num>
  <w:num w:numId="30">
    <w:abstractNumId w:val="27"/>
  </w:num>
  <w:num w:numId="31">
    <w:abstractNumId w:val="26"/>
  </w:num>
  <w:num w:numId="32">
    <w:abstractNumId w:val="2"/>
  </w:num>
  <w:num w:numId="33">
    <w:abstractNumId w:val="15"/>
  </w:num>
  <w:num w:numId="34">
    <w:abstractNumId w:val="51"/>
  </w:num>
  <w:num w:numId="35">
    <w:abstractNumId w:val="6"/>
  </w:num>
  <w:num w:numId="36">
    <w:abstractNumId w:val="47"/>
  </w:num>
  <w:num w:numId="37">
    <w:abstractNumId w:val="31"/>
  </w:num>
  <w:num w:numId="38">
    <w:abstractNumId w:val="49"/>
  </w:num>
  <w:num w:numId="39">
    <w:abstractNumId w:val="22"/>
  </w:num>
  <w:num w:numId="40">
    <w:abstractNumId w:val="54"/>
  </w:num>
  <w:num w:numId="41">
    <w:abstractNumId w:val="3"/>
  </w:num>
  <w:num w:numId="42">
    <w:abstractNumId w:val="39"/>
  </w:num>
  <w:num w:numId="43">
    <w:abstractNumId w:val="32"/>
  </w:num>
  <w:num w:numId="44">
    <w:abstractNumId w:val="56"/>
  </w:num>
  <w:num w:numId="45">
    <w:abstractNumId w:val="12"/>
  </w:num>
  <w:num w:numId="46">
    <w:abstractNumId w:val="21"/>
  </w:num>
  <w:num w:numId="47">
    <w:abstractNumId w:val="16"/>
  </w:num>
  <w:num w:numId="48">
    <w:abstractNumId w:val="29"/>
  </w:num>
  <w:num w:numId="49">
    <w:abstractNumId w:val="34"/>
  </w:num>
  <w:num w:numId="50">
    <w:abstractNumId w:val="40"/>
  </w:num>
  <w:num w:numId="51">
    <w:abstractNumId w:val="45"/>
  </w:num>
  <w:num w:numId="52">
    <w:abstractNumId w:val="33"/>
  </w:num>
  <w:num w:numId="53">
    <w:abstractNumId w:val="4"/>
  </w:num>
  <w:num w:numId="54">
    <w:abstractNumId w:val="11"/>
  </w:num>
  <w:num w:numId="55">
    <w:abstractNumId w:val="53"/>
  </w:num>
  <w:num w:numId="56">
    <w:abstractNumId w:val="48"/>
  </w:num>
  <w:num w:numId="57">
    <w:abstractNumId w:val="8"/>
  </w:num>
  <w:num w:numId="58">
    <w:abstractNumId w:val="44"/>
  </w:num>
</w:numbering>
</file>

<file path=word/people.xml><?xml version="1.0" encoding="utf-8"?>
<w15:people xmlns:w15="http://schemas.microsoft.com/office/word/2012/wordml">
  <w15:person w15:author="AI修订">
    <w15:presenceInfo w15:providerId="None" w15:userId="AI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updateFields w:val="true"/>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BC1"/>
    <w:rsid w:val="00000879"/>
    <w:rsid w:val="000012B5"/>
    <w:rsid w:val="00002B04"/>
    <w:rsid w:val="000041C6"/>
    <w:rsid w:val="00006828"/>
    <w:rsid w:val="00006D39"/>
    <w:rsid w:val="000171B1"/>
    <w:rsid w:val="000175D3"/>
    <w:rsid w:val="0002002A"/>
    <w:rsid w:val="000219EE"/>
    <w:rsid w:val="0002589E"/>
    <w:rsid w:val="000259B1"/>
    <w:rsid w:val="0003220D"/>
    <w:rsid w:val="000353DC"/>
    <w:rsid w:val="000406D7"/>
    <w:rsid w:val="00043F14"/>
    <w:rsid w:val="00051155"/>
    <w:rsid w:val="000519CD"/>
    <w:rsid w:val="00054D3A"/>
    <w:rsid w:val="00063189"/>
    <w:rsid w:val="000646C1"/>
    <w:rsid w:val="000705F0"/>
    <w:rsid w:val="000807E6"/>
    <w:rsid w:val="0008400F"/>
    <w:rsid w:val="00094E2C"/>
    <w:rsid w:val="000A1BCC"/>
    <w:rsid w:val="000A34C4"/>
    <w:rsid w:val="000B1043"/>
    <w:rsid w:val="000C5274"/>
    <w:rsid w:val="000D5CD7"/>
    <w:rsid w:val="000D63C5"/>
    <w:rsid w:val="000D7154"/>
    <w:rsid w:val="000E1737"/>
    <w:rsid w:val="000E4724"/>
    <w:rsid w:val="000E6842"/>
    <w:rsid w:val="000E6EDD"/>
    <w:rsid w:val="000F3629"/>
    <w:rsid w:val="000F581E"/>
    <w:rsid w:val="000F7A9C"/>
    <w:rsid w:val="000F7C6D"/>
    <w:rsid w:val="00103E27"/>
    <w:rsid w:val="00106929"/>
    <w:rsid w:val="001149C7"/>
    <w:rsid w:val="00115AD3"/>
    <w:rsid w:val="00125BDA"/>
    <w:rsid w:val="001260D2"/>
    <w:rsid w:val="001273AA"/>
    <w:rsid w:val="00134C07"/>
    <w:rsid w:val="001414A3"/>
    <w:rsid w:val="001444A5"/>
    <w:rsid w:val="00146250"/>
    <w:rsid w:val="001502B2"/>
    <w:rsid w:val="00151C76"/>
    <w:rsid w:val="001556C5"/>
    <w:rsid w:val="001576CB"/>
    <w:rsid w:val="00162473"/>
    <w:rsid w:val="00162B92"/>
    <w:rsid w:val="00166E1A"/>
    <w:rsid w:val="001908C9"/>
    <w:rsid w:val="00192575"/>
    <w:rsid w:val="001975D2"/>
    <w:rsid w:val="001A1018"/>
    <w:rsid w:val="001A2576"/>
    <w:rsid w:val="001A318E"/>
    <w:rsid w:val="001A48A7"/>
    <w:rsid w:val="001B1B35"/>
    <w:rsid w:val="001B6E2A"/>
    <w:rsid w:val="001B7C14"/>
    <w:rsid w:val="001B7C3D"/>
    <w:rsid w:val="001C5CD1"/>
    <w:rsid w:val="001D2094"/>
    <w:rsid w:val="001D570A"/>
    <w:rsid w:val="001E20EE"/>
    <w:rsid w:val="001F0082"/>
    <w:rsid w:val="001F6A61"/>
    <w:rsid w:val="001F735E"/>
    <w:rsid w:val="002135AB"/>
    <w:rsid w:val="00213B65"/>
    <w:rsid w:val="00214A1D"/>
    <w:rsid w:val="0022082D"/>
    <w:rsid w:val="00220F15"/>
    <w:rsid w:val="00227588"/>
    <w:rsid w:val="002301F9"/>
    <w:rsid w:val="0023287F"/>
    <w:rsid w:val="002337AD"/>
    <w:rsid w:val="00234D00"/>
    <w:rsid w:val="00237FD6"/>
    <w:rsid w:val="0024086A"/>
    <w:rsid w:val="00242823"/>
    <w:rsid w:val="00245715"/>
    <w:rsid w:val="00250F7B"/>
    <w:rsid w:val="0025578B"/>
    <w:rsid w:val="00260503"/>
    <w:rsid w:val="002634DD"/>
    <w:rsid w:val="00263AF7"/>
    <w:rsid w:val="002708A6"/>
    <w:rsid w:val="00272FDC"/>
    <w:rsid w:val="00275C47"/>
    <w:rsid w:val="00276E7F"/>
    <w:rsid w:val="00277C6F"/>
    <w:rsid w:val="00281E5B"/>
    <w:rsid w:val="00284995"/>
    <w:rsid w:val="00285548"/>
    <w:rsid w:val="0029133B"/>
    <w:rsid w:val="002A2DD7"/>
    <w:rsid w:val="002A4B88"/>
    <w:rsid w:val="002B0BC1"/>
    <w:rsid w:val="002B2C1B"/>
    <w:rsid w:val="002B41A8"/>
    <w:rsid w:val="002B49EB"/>
    <w:rsid w:val="002B515D"/>
    <w:rsid w:val="002B6E32"/>
    <w:rsid w:val="002C7B79"/>
    <w:rsid w:val="002D14C4"/>
    <w:rsid w:val="002D20CE"/>
    <w:rsid w:val="002D532E"/>
    <w:rsid w:val="002E0517"/>
    <w:rsid w:val="002E2237"/>
    <w:rsid w:val="002F269C"/>
    <w:rsid w:val="0030061F"/>
    <w:rsid w:val="003068FA"/>
    <w:rsid w:val="00315572"/>
    <w:rsid w:val="00317009"/>
    <w:rsid w:val="003243D1"/>
    <w:rsid w:val="00326B2F"/>
    <w:rsid w:val="00326FD3"/>
    <w:rsid w:val="00332950"/>
    <w:rsid w:val="0033323B"/>
    <w:rsid w:val="0033422E"/>
    <w:rsid w:val="003353D5"/>
    <w:rsid w:val="0033719E"/>
    <w:rsid w:val="00344494"/>
    <w:rsid w:val="00351BD6"/>
    <w:rsid w:val="003537AC"/>
    <w:rsid w:val="00356184"/>
    <w:rsid w:val="003635BC"/>
    <w:rsid w:val="00364FCB"/>
    <w:rsid w:val="0036543B"/>
    <w:rsid w:val="00367225"/>
    <w:rsid w:val="00383B9F"/>
    <w:rsid w:val="00390F90"/>
    <w:rsid w:val="00395FA6"/>
    <w:rsid w:val="003A0DDC"/>
    <w:rsid w:val="003B5362"/>
    <w:rsid w:val="003C0091"/>
    <w:rsid w:val="003C3DD1"/>
    <w:rsid w:val="003C4333"/>
    <w:rsid w:val="003D1943"/>
    <w:rsid w:val="003E2E70"/>
    <w:rsid w:val="003E4B82"/>
    <w:rsid w:val="003E4E4C"/>
    <w:rsid w:val="003E7E8C"/>
    <w:rsid w:val="003F01BD"/>
    <w:rsid w:val="003F5EE0"/>
    <w:rsid w:val="003F6F38"/>
    <w:rsid w:val="003F736F"/>
    <w:rsid w:val="0040401E"/>
    <w:rsid w:val="00406747"/>
    <w:rsid w:val="00410EE9"/>
    <w:rsid w:val="004111F1"/>
    <w:rsid w:val="00412038"/>
    <w:rsid w:val="00413AAA"/>
    <w:rsid w:val="0041454A"/>
    <w:rsid w:val="00415DA8"/>
    <w:rsid w:val="00422DA1"/>
    <w:rsid w:val="0042385C"/>
    <w:rsid w:val="004302D9"/>
    <w:rsid w:val="00430735"/>
    <w:rsid w:val="00430E90"/>
    <w:rsid w:val="00433250"/>
    <w:rsid w:val="004352F5"/>
    <w:rsid w:val="00441302"/>
    <w:rsid w:val="004422FA"/>
    <w:rsid w:val="00442D6D"/>
    <w:rsid w:val="0044778B"/>
    <w:rsid w:val="00454B4D"/>
    <w:rsid w:val="00457A3C"/>
    <w:rsid w:val="004639FE"/>
    <w:rsid w:val="00465E20"/>
    <w:rsid w:val="0046635A"/>
    <w:rsid w:val="00470559"/>
    <w:rsid w:val="00472F92"/>
    <w:rsid w:val="00475426"/>
    <w:rsid w:val="00475444"/>
    <w:rsid w:val="00481F30"/>
    <w:rsid w:val="00482DA4"/>
    <w:rsid w:val="00483E7E"/>
    <w:rsid w:val="004853DE"/>
    <w:rsid w:val="004978E4"/>
    <w:rsid w:val="004A1AA6"/>
    <w:rsid w:val="004A4B5F"/>
    <w:rsid w:val="004A5145"/>
    <w:rsid w:val="004A620F"/>
    <w:rsid w:val="004A6C13"/>
    <w:rsid w:val="004B040C"/>
    <w:rsid w:val="004B2607"/>
    <w:rsid w:val="004C27D2"/>
    <w:rsid w:val="004C2870"/>
    <w:rsid w:val="004D228E"/>
    <w:rsid w:val="004D37BC"/>
    <w:rsid w:val="004D4CA9"/>
    <w:rsid w:val="004D65E0"/>
    <w:rsid w:val="004E0143"/>
    <w:rsid w:val="004E717A"/>
    <w:rsid w:val="004F0D35"/>
    <w:rsid w:val="005050FA"/>
    <w:rsid w:val="00517EC0"/>
    <w:rsid w:val="00523E40"/>
    <w:rsid w:val="00526DEC"/>
    <w:rsid w:val="00527488"/>
    <w:rsid w:val="00527826"/>
    <w:rsid w:val="00531C8F"/>
    <w:rsid w:val="00532508"/>
    <w:rsid w:val="00533DFD"/>
    <w:rsid w:val="0053772F"/>
    <w:rsid w:val="00541151"/>
    <w:rsid w:val="005416C1"/>
    <w:rsid w:val="005510D2"/>
    <w:rsid w:val="00551447"/>
    <w:rsid w:val="00554FAE"/>
    <w:rsid w:val="00563E7E"/>
    <w:rsid w:val="00567639"/>
    <w:rsid w:val="00567F13"/>
    <w:rsid w:val="00571D51"/>
    <w:rsid w:val="00581C72"/>
    <w:rsid w:val="005852DE"/>
    <w:rsid w:val="00585F92"/>
    <w:rsid w:val="0058617B"/>
    <w:rsid w:val="0058716E"/>
    <w:rsid w:val="00590C8A"/>
    <w:rsid w:val="00594AB6"/>
    <w:rsid w:val="00597083"/>
    <w:rsid w:val="005A3FF4"/>
    <w:rsid w:val="005A58FE"/>
    <w:rsid w:val="005B1FF1"/>
    <w:rsid w:val="005B5F20"/>
    <w:rsid w:val="005C0F4D"/>
    <w:rsid w:val="005C3EA8"/>
    <w:rsid w:val="005C7509"/>
    <w:rsid w:val="005D3F4A"/>
    <w:rsid w:val="005D5F6A"/>
    <w:rsid w:val="005E735A"/>
    <w:rsid w:val="005F169F"/>
    <w:rsid w:val="005F1E7C"/>
    <w:rsid w:val="0060614F"/>
    <w:rsid w:val="00610627"/>
    <w:rsid w:val="00610657"/>
    <w:rsid w:val="006110B1"/>
    <w:rsid w:val="00611667"/>
    <w:rsid w:val="00615629"/>
    <w:rsid w:val="00615D5A"/>
    <w:rsid w:val="006225A6"/>
    <w:rsid w:val="00625541"/>
    <w:rsid w:val="00626B77"/>
    <w:rsid w:val="0062793E"/>
    <w:rsid w:val="00631168"/>
    <w:rsid w:val="00631567"/>
    <w:rsid w:val="0063669C"/>
    <w:rsid w:val="00636D79"/>
    <w:rsid w:val="0065145F"/>
    <w:rsid w:val="006532C6"/>
    <w:rsid w:val="00655D81"/>
    <w:rsid w:val="00666DAD"/>
    <w:rsid w:val="006671CD"/>
    <w:rsid w:val="00667A10"/>
    <w:rsid w:val="00667E52"/>
    <w:rsid w:val="006720F7"/>
    <w:rsid w:val="0067698C"/>
    <w:rsid w:val="00676A86"/>
    <w:rsid w:val="00686042"/>
    <w:rsid w:val="0069212A"/>
    <w:rsid w:val="006969E4"/>
    <w:rsid w:val="006A076C"/>
    <w:rsid w:val="006B356D"/>
    <w:rsid w:val="006B4DBF"/>
    <w:rsid w:val="006B598D"/>
    <w:rsid w:val="006B719A"/>
    <w:rsid w:val="006C2D14"/>
    <w:rsid w:val="006C32DC"/>
    <w:rsid w:val="006C538F"/>
    <w:rsid w:val="006E09CA"/>
    <w:rsid w:val="006E532E"/>
    <w:rsid w:val="006E5466"/>
    <w:rsid w:val="006F0FAC"/>
    <w:rsid w:val="006F43B2"/>
    <w:rsid w:val="007001C0"/>
    <w:rsid w:val="007005F7"/>
    <w:rsid w:val="00701237"/>
    <w:rsid w:val="00702A30"/>
    <w:rsid w:val="0070642C"/>
    <w:rsid w:val="00706691"/>
    <w:rsid w:val="0070699E"/>
    <w:rsid w:val="00707915"/>
    <w:rsid w:val="00714F09"/>
    <w:rsid w:val="007175A6"/>
    <w:rsid w:val="007213C7"/>
    <w:rsid w:val="00722F77"/>
    <w:rsid w:val="007246D7"/>
    <w:rsid w:val="00732409"/>
    <w:rsid w:val="007346D1"/>
    <w:rsid w:val="00734939"/>
    <w:rsid w:val="00737439"/>
    <w:rsid w:val="0074081E"/>
    <w:rsid w:val="00745E27"/>
    <w:rsid w:val="00745F59"/>
    <w:rsid w:val="00747842"/>
    <w:rsid w:val="00747C08"/>
    <w:rsid w:val="00750463"/>
    <w:rsid w:val="0075257B"/>
    <w:rsid w:val="00753EB0"/>
    <w:rsid w:val="007613C0"/>
    <w:rsid w:val="007617D0"/>
    <w:rsid w:val="00762E14"/>
    <w:rsid w:val="0076557A"/>
    <w:rsid w:val="0077059F"/>
    <w:rsid w:val="00770D76"/>
    <w:rsid w:val="00773519"/>
    <w:rsid w:val="00774819"/>
    <w:rsid w:val="00774C48"/>
    <w:rsid w:val="00775422"/>
    <w:rsid w:val="007757DA"/>
    <w:rsid w:val="00781289"/>
    <w:rsid w:val="00781E57"/>
    <w:rsid w:val="00784E6D"/>
    <w:rsid w:val="00785EBD"/>
    <w:rsid w:val="00793A1B"/>
    <w:rsid w:val="007960F6"/>
    <w:rsid w:val="00796542"/>
    <w:rsid w:val="00796F67"/>
    <w:rsid w:val="007976C6"/>
    <w:rsid w:val="00797718"/>
    <w:rsid w:val="007A3C7E"/>
    <w:rsid w:val="007B0F92"/>
    <w:rsid w:val="007B0FC4"/>
    <w:rsid w:val="007B4D41"/>
    <w:rsid w:val="007B5414"/>
    <w:rsid w:val="007B6F84"/>
    <w:rsid w:val="007B75F3"/>
    <w:rsid w:val="007C23AC"/>
    <w:rsid w:val="007C4387"/>
    <w:rsid w:val="007D4260"/>
    <w:rsid w:val="007E1C4D"/>
    <w:rsid w:val="007E22F9"/>
    <w:rsid w:val="007E45C9"/>
    <w:rsid w:val="007E77FA"/>
    <w:rsid w:val="0080000A"/>
    <w:rsid w:val="008004E8"/>
    <w:rsid w:val="008008E8"/>
    <w:rsid w:val="00813445"/>
    <w:rsid w:val="00821B6D"/>
    <w:rsid w:val="008242D8"/>
    <w:rsid w:val="0082596A"/>
    <w:rsid w:val="0083118E"/>
    <w:rsid w:val="0083271A"/>
    <w:rsid w:val="00841E68"/>
    <w:rsid w:val="00842AD6"/>
    <w:rsid w:val="00845808"/>
    <w:rsid w:val="00846B58"/>
    <w:rsid w:val="00846CD0"/>
    <w:rsid w:val="00846E5C"/>
    <w:rsid w:val="00852B29"/>
    <w:rsid w:val="00857F0C"/>
    <w:rsid w:val="00860B90"/>
    <w:rsid w:val="00860E0E"/>
    <w:rsid w:val="00880999"/>
    <w:rsid w:val="00880BC0"/>
    <w:rsid w:val="0088399F"/>
    <w:rsid w:val="00895F7D"/>
    <w:rsid w:val="00897EF2"/>
    <w:rsid w:val="008A12BF"/>
    <w:rsid w:val="008A1463"/>
    <w:rsid w:val="008A21A9"/>
    <w:rsid w:val="008A5607"/>
    <w:rsid w:val="008A58BF"/>
    <w:rsid w:val="008B1550"/>
    <w:rsid w:val="008B3061"/>
    <w:rsid w:val="008C3061"/>
    <w:rsid w:val="008C65E0"/>
    <w:rsid w:val="008D2913"/>
    <w:rsid w:val="008D37F8"/>
    <w:rsid w:val="008D3FC9"/>
    <w:rsid w:val="008E01D1"/>
    <w:rsid w:val="008E1969"/>
    <w:rsid w:val="008F01B3"/>
    <w:rsid w:val="008F1AD6"/>
    <w:rsid w:val="008F27F2"/>
    <w:rsid w:val="00901320"/>
    <w:rsid w:val="009013C0"/>
    <w:rsid w:val="009060A0"/>
    <w:rsid w:val="00907B2E"/>
    <w:rsid w:val="009145F8"/>
    <w:rsid w:val="00917CA9"/>
    <w:rsid w:val="009248EB"/>
    <w:rsid w:val="00930868"/>
    <w:rsid w:val="00935EA9"/>
    <w:rsid w:val="009376A4"/>
    <w:rsid w:val="0094247A"/>
    <w:rsid w:val="00943339"/>
    <w:rsid w:val="00943B6D"/>
    <w:rsid w:val="0094546A"/>
    <w:rsid w:val="00945A95"/>
    <w:rsid w:val="00945B10"/>
    <w:rsid w:val="009475E7"/>
    <w:rsid w:val="009501A3"/>
    <w:rsid w:val="00952F95"/>
    <w:rsid w:val="00954DAF"/>
    <w:rsid w:val="00955306"/>
    <w:rsid w:val="00960230"/>
    <w:rsid w:val="00974AAB"/>
    <w:rsid w:val="009804B1"/>
    <w:rsid w:val="00981475"/>
    <w:rsid w:val="00982173"/>
    <w:rsid w:val="00983084"/>
    <w:rsid w:val="00990FA0"/>
    <w:rsid w:val="00992656"/>
    <w:rsid w:val="009932BC"/>
    <w:rsid w:val="009A12A9"/>
    <w:rsid w:val="009A16C5"/>
    <w:rsid w:val="009A7079"/>
    <w:rsid w:val="009B464F"/>
    <w:rsid w:val="009C15A5"/>
    <w:rsid w:val="009C17FC"/>
    <w:rsid w:val="009C1CC8"/>
    <w:rsid w:val="009C21AF"/>
    <w:rsid w:val="009D4DEF"/>
    <w:rsid w:val="009E2659"/>
    <w:rsid w:val="009E34B1"/>
    <w:rsid w:val="009F4EEC"/>
    <w:rsid w:val="00A005F4"/>
    <w:rsid w:val="00A1206B"/>
    <w:rsid w:val="00A13D9D"/>
    <w:rsid w:val="00A157CC"/>
    <w:rsid w:val="00A176A4"/>
    <w:rsid w:val="00A2211C"/>
    <w:rsid w:val="00A23263"/>
    <w:rsid w:val="00A30FF4"/>
    <w:rsid w:val="00A312F7"/>
    <w:rsid w:val="00A31959"/>
    <w:rsid w:val="00A32376"/>
    <w:rsid w:val="00A33A6C"/>
    <w:rsid w:val="00A40541"/>
    <w:rsid w:val="00A411C0"/>
    <w:rsid w:val="00A431E1"/>
    <w:rsid w:val="00A4352C"/>
    <w:rsid w:val="00A435D6"/>
    <w:rsid w:val="00A45AD6"/>
    <w:rsid w:val="00A46E67"/>
    <w:rsid w:val="00A47FF6"/>
    <w:rsid w:val="00A519A7"/>
    <w:rsid w:val="00A53BD3"/>
    <w:rsid w:val="00A53DE2"/>
    <w:rsid w:val="00A566B9"/>
    <w:rsid w:val="00A6257E"/>
    <w:rsid w:val="00A73030"/>
    <w:rsid w:val="00A7698D"/>
    <w:rsid w:val="00A81455"/>
    <w:rsid w:val="00A9077B"/>
    <w:rsid w:val="00A94900"/>
    <w:rsid w:val="00A96AB5"/>
    <w:rsid w:val="00A9724A"/>
    <w:rsid w:val="00AB1F13"/>
    <w:rsid w:val="00AB5003"/>
    <w:rsid w:val="00AB5183"/>
    <w:rsid w:val="00AC2A41"/>
    <w:rsid w:val="00AC6DC5"/>
    <w:rsid w:val="00AD06BF"/>
    <w:rsid w:val="00AD48C3"/>
    <w:rsid w:val="00AD4A49"/>
    <w:rsid w:val="00AD56FA"/>
    <w:rsid w:val="00AD595B"/>
    <w:rsid w:val="00AE24AD"/>
    <w:rsid w:val="00AE3462"/>
    <w:rsid w:val="00AE3EA7"/>
    <w:rsid w:val="00AE4ACA"/>
    <w:rsid w:val="00AF004B"/>
    <w:rsid w:val="00AF3B30"/>
    <w:rsid w:val="00B01087"/>
    <w:rsid w:val="00B03949"/>
    <w:rsid w:val="00B07676"/>
    <w:rsid w:val="00B11848"/>
    <w:rsid w:val="00B16B02"/>
    <w:rsid w:val="00B24DF9"/>
    <w:rsid w:val="00B265BD"/>
    <w:rsid w:val="00B30660"/>
    <w:rsid w:val="00B30A01"/>
    <w:rsid w:val="00B31DEB"/>
    <w:rsid w:val="00B35E3B"/>
    <w:rsid w:val="00B362D3"/>
    <w:rsid w:val="00B36ED4"/>
    <w:rsid w:val="00B42179"/>
    <w:rsid w:val="00B44411"/>
    <w:rsid w:val="00B44B89"/>
    <w:rsid w:val="00B4600E"/>
    <w:rsid w:val="00B46D4E"/>
    <w:rsid w:val="00B4737A"/>
    <w:rsid w:val="00B52221"/>
    <w:rsid w:val="00B61B55"/>
    <w:rsid w:val="00B6236D"/>
    <w:rsid w:val="00B62D04"/>
    <w:rsid w:val="00B64497"/>
    <w:rsid w:val="00B666D7"/>
    <w:rsid w:val="00B726E1"/>
    <w:rsid w:val="00B7314E"/>
    <w:rsid w:val="00B7401F"/>
    <w:rsid w:val="00B74110"/>
    <w:rsid w:val="00B8574C"/>
    <w:rsid w:val="00BA4344"/>
    <w:rsid w:val="00BA6920"/>
    <w:rsid w:val="00BB0FD4"/>
    <w:rsid w:val="00BB1AC3"/>
    <w:rsid w:val="00BB238E"/>
    <w:rsid w:val="00BC2679"/>
    <w:rsid w:val="00BC3CDE"/>
    <w:rsid w:val="00BE1A8B"/>
    <w:rsid w:val="00BE441B"/>
    <w:rsid w:val="00BE6D5F"/>
    <w:rsid w:val="00BE6EF4"/>
    <w:rsid w:val="00BF2A5E"/>
    <w:rsid w:val="00BF5389"/>
    <w:rsid w:val="00BF58FF"/>
    <w:rsid w:val="00C02393"/>
    <w:rsid w:val="00C04034"/>
    <w:rsid w:val="00C06882"/>
    <w:rsid w:val="00C2186B"/>
    <w:rsid w:val="00C25800"/>
    <w:rsid w:val="00C26D0E"/>
    <w:rsid w:val="00C27F6E"/>
    <w:rsid w:val="00C30048"/>
    <w:rsid w:val="00C301D5"/>
    <w:rsid w:val="00C30AE1"/>
    <w:rsid w:val="00C315E0"/>
    <w:rsid w:val="00C35594"/>
    <w:rsid w:val="00C362BD"/>
    <w:rsid w:val="00C4482F"/>
    <w:rsid w:val="00C4515E"/>
    <w:rsid w:val="00C4596D"/>
    <w:rsid w:val="00C47FA9"/>
    <w:rsid w:val="00C47FB7"/>
    <w:rsid w:val="00C51436"/>
    <w:rsid w:val="00C60AFC"/>
    <w:rsid w:val="00C619C3"/>
    <w:rsid w:val="00C61DF0"/>
    <w:rsid w:val="00C61E25"/>
    <w:rsid w:val="00C852FF"/>
    <w:rsid w:val="00C86B1F"/>
    <w:rsid w:val="00C87370"/>
    <w:rsid w:val="00C87EE9"/>
    <w:rsid w:val="00C923C9"/>
    <w:rsid w:val="00C92D4F"/>
    <w:rsid w:val="00C93CD6"/>
    <w:rsid w:val="00C94641"/>
    <w:rsid w:val="00C95C39"/>
    <w:rsid w:val="00CA1C2C"/>
    <w:rsid w:val="00CA335C"/>
    <w:rsid w:val="00CA755F"/>
    <w:rsid w:val="00CB30EB"/>
    <w:rsid w:val="00CB3FF4"/>
    <w:rsid w:val="00CB6476"/>
    <w:rsid w:val="00CB74E5"/>
    <w:rsid w:val="00CB7C0D"/>
    <w:rsid w:val="00CC681E"/>
    <w:rsid w:val="00CD559D"/>
    <w:rsid w:val="00CD710D"/>
    <w:rsid w:val="00CE082F"/>
    <w:rsid w:val="00CE78C9"/>
    <w:rsid w:val="00CF12B4"/>
    <w:rsid w:val="00D01815"/>
    <w:rsid w:val="00D10957"/>
    <w:rsid w:val="00D177C4"/>
    <w:rsid w:val="00D17C6A"/>
    <w:rsid w:val="00D260FC"/>
    <w:rsid w:val="00D30C6C"/>
    <w:rsid w:val="00D34088"/>
    <w:rsid w:val="00D351E1"/>
    <w:rsid w:val="00D352EC"/>
    <w:rsid w:val="00D3604B"/>
    <w:rsid w:val="00D4507F"/>
    <w:rsid w:val="00D46C10"/>
    <w:rsid w:val="00D5472B"/>
    <w:rsid w:val="00D54B6B"/>
    <w:rsid w:val="00D54C8F"/>
    <w:rsid w:val="00D61972"/>
    <w:rsid w:val="00D72C17"/>
    <w:rsid w:val="00D75082"/>
    <w:rsid w:val="00D85ACA"/>
    <w:rsid w:val="00D860A8"/>
    <w:rsid w:val="00D93958"/>
    <w:rsid w:val="00D97620"/>
    <w:rsid w:val="00DA1E7F"/>
    <w:rsid w:val="00DB03E6"/>
    <w:rsid w:val="00DB39EC"/>
    <w:rsid w:val="00DB4281"/>
    <w:rsid w:val="00DB6B0A"/>
    <w:rsid w:val="00DC0265"/>
    <w:rsid w:val="00DC06D2"/>
    <w:rsid w:val="00DC2D59"/>
    <w:rsid w:val="00DD5AE7"/>
    <w:rsid w:val="00DE042B"/>
    <w:rsid w:val="00DE5DEE"/>
    <w:rsid w:val="00DF42BF"/>
    <w:rsid w:val="00DF551B"/>
    <w:rsid w:val="00DF588B"/>
    <w:rsid w:val="00DF5CEF"/>
    <w:rsid w:val="00DF62AA"/>
    <w:rsid w:val="00DF7995"/>
    <w:rsid w:val="00E0008C"/>
    <w:rsid w:val="00E013EC"/>
    <w:rsid w:val="00E027A3"/>
    <w:rsid w:val="00E045E9"/>
    <w:rsid w:val="00E103E4"/>
    <w:rsid w:val="00E13439"/>
    <w:rsid w:val="00E17C65"/>
    <w:rsid w:val="00E22A3F"/>
    <w:rsid w:val="00E22E4F"/>
    <w:rsid w:val="00E22ED1"/>
    <w:rsid w:val="00E33AED"/>
    <w:rsid w:val="00E346B2"/>
    <w:rsid w:val="00E45166"/>
    <w:rsid w:val="00E521B2"/>
    <w:rsid w:val="00E5778B"/>
    <w:rsid w:val="00E57EB3"/>
    <w:rsid w:val="00E6000E"/>
    <w:rsid w:val="00E668BD"/>
    <w:rsid w:val="00E676D0"/>
    <w:rsid w:val="00E70EC0"/>
    <w:rsid w:val="00E773E2"/>
    <w:rsid w:val="00E77839"/>
    <w:rsid w:val="00E82BF8"/>
    <w:rsid w:val="00E83597"/>
    <w:rsid w:val="00E87688"/>
    <w:rsid w:val="00E930EB"/>
    <w:rsid w:val="00E93D56"/>
    <w:rsid w:val="00E9728D"/>
    <w:rsid w:val="00EA4874"/>
    <w:rsid w:val="00EA48EC"/>
    <w:rsid w:val="00EB3EF3"/>
    <w:rsid w:val="00EC1346"/>
    <w:rsid w:val="00EC3CD6"/>
    <w:rsid w:val="00EC6D00"/>
    <w:rsid w:val="00EC6F1B"/>
    <w:rsid w:val="00ED0408"/>
    <w:rsid w:val="00ED1C9B"/>
    <w:rsid w:val="00EE31E8"/>
    <w:rsid w:val="00EE3E33"/>
    <w:rsid w:val="00EE4079"/>
    <w:rsid w:val="00EE4326"/>
    <w:rsid w:val="00EE67F7"/>
    <w:rsid w:val="00EE6D2D"/>
    <w:rsid w:val="00EF06F0"/>
    <w:rsid w:val="00EF3C2A"/>
    <w:rsid w:val="00EF441F"/>
    <w:rsid w:val="00EF5E36"/>
    <w:rsid w:val="00EF70B4"/>
    <w:rsid w:val="00F01997"/>
    <w:rsid w:val="00F02F2C"/>
    <w:rsid w:val="00F12087"/>
    <w:rsid w:val="00F126DE"/>
    <w:rsid w:val="00F20B11"/>
    <w:rsid w:val="00F224F4"/>
    <w:rsid w:val="00F248BE"/>
    <w:rsid w:val="00F25433"/>
    <w:rsid w:val="00F262D7"/>
    <w:rsid w:val="00F27878"/>
    <w:rsid w:val="00F40B4B"/>
    <w:rsid w:val="00F414A2"/>
    <w:rsid w:val="00F42796"/>
    <w:rsid w:val="00F449C9"/>
    <w:rsid w:val="00F4504D"/>
    <w:rsid w:val="00F4762D"/>
    <w:rsid w:val="00F50994"/>
    <w:rsid w:val="00F53B38"/>
    <w:rsid w:val="00F54E67"/>
    <w:rsid w:val="00F5599A"/>
    <w:rsid w:val="00F60DFA"/>
    <w:rsid w:val="00F60F0B"/>
    <w:rsid w:val="00F64101"/>
    <w:rsid w:val="00F66EAF"/>
    <w:rsid w:val="00F748E4"/>
    <w:rsid w:val="00F8748B"/>
    <w:rsid w:val="00F93199"/>
    <w:rsid w:val="00F9556A"/>
    <w:rsid w:val="00FB043D"/>
    <w:rsid w:val="00FB2893"/>
    <w:rsid w:val="00FB2BE2"/>
    <w:rsid w:val="00FB5A1B"/>
    <w:rsid w:val="00FB625D"/>
    <w:rsid w:val="00FC7E8A"/>
    <w:rsid w:val="00FD186B"/>
    <w:rsid w:val="00FD36FD"/>
    <w:rsid w:val="00FD408F"/>
    <w:rsid w:val="00FE0E32"/>
    <w:rsid w:val="00FE14CE"/>
    <w:rsid w:val="00FF1D98"/>
    <w:rsid w:val="00FF467E"/>
    <w:rsid w:val="00FF5C28"/>
    <w:rsid w:val="00FF6121"/>
    <w:rsid w:val="00FF65E0"/>
    <w:rsid w:val="00FF76AE"/>
    <w:rsid w:val="0152775F"/>
    <w:rsid w:val="040DF350"/>
    <w:rsid w:val="0B616C3D"/>
    <w:rsid w:val="0E1C40A0"/>
    <w:rsid w:val="135451A3"/>
    <w:rsid w:val="1E69383A"/>
    <w:rsid w:val="1FE4D99D"/>
    <w:rsid w:val="24BC78A5"/>
    <w:rsid w:val="28E556B6"/>
    <w:rsid w:val="2B371458"/>
    <w:rsid w:val="30E266C6"/>
    <w:rsid w:val="32F1439D"/>
    <w:rsid w:val="3403550E"/>
    <w:rsid w:val="38222B9C"/>
    <w:rsid w:val="3B622D6A"/>
    <w:rsid w:val="3EA69EA8"/>
    <w:rsid w:val="470A4FA3"/>
    <w:rsid w:val="489148ED"/>
    <w:rsid w:val="4A9D5285"/>
    <w:rsid w:val="57625EF2"/>
    <w:rsid w:val="581F4175"/>
    <w:rsid w:val="5900617A"/>
    <w:rsid w:val="61D16045"/>
    <w:rsid w:val="62088EC0"/>
    <w:rsid w:val="69522E64"/>
    <w:rsid w:val="6E2FC1C1"/>
    <w:rsid w:val="6F267D13"/>
    <w:rsid w:val="6F33909B"/>
    <w:rsid w:val="78E1068F"/>
    <w:rsid w:val="7A260FBC"/>
    <w:rsid w:val="27339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259" w:lineRule="auto"/>
      <w:jc w:val="both"/>
    </w:pPr>
    <w:rPr>
      <w:rFonts w:ascii="Times New Roman" w:hAnsi="Times New Roman" w:eastAsia="宋体" w:cstheme="minorBidi"/>
      <w:sz w:val="24"/>
      <w:szCs w:val="22"/>
      <w:lang w:val="en-IN" w:eastAsia="en-US" w:bidi="ar-SA"/>
    </w:rPr>
  </w:style>
  <w:style w:type="paragraph" w:styleId="2">
    <w:name w:val="heading 1"/>
    <w:basedOn w:val="1"/>
    <w:next w:val="1"/>
    <w:link w:val="35"/>
    <w:qFormat/>
    <w:uiPriority w:val="9"/>
    <w:pPr>
      <w:keepNext/>
      <w:keepLines/>
      <w:spacing w:before="0" w:line="360" w:lineRule="auto"/>
      <w:outlineLvl w:val="0"/>
    </w:pPr>
    <w:rPr>
      <w:rFonts w:cstheme="majorBidi"/>
      <w:b/>
      <w:sz w:val="22"/>
      <w:szCs w:val="32"/>
    </w:rPr>
  </w:style>
  <w:style w:type="paragraph" w:styleId="3">
    <w:name w:val="heading 2"/>
    <w:basedOn w:val="1"/>
    <w:next w:val="1"/>
    <w:link w:val="33"/>
    <w:unhideWhenUsed/>
    <w:qFormat/>
    <w:uiPriority w:val="9"/>
    <w:pPr>
      <w:keepNext/>
      <w:keepLines/>
      <w:spacing w:before="0" w:line="360" w:lineRule="auto"/>
      <w:outlineLvl w:val="1"/>
    </w:pPr>
    <w:rPr>
      <w:rFonts w:cs="Times New Roman"/>
      <w:b/>
      <w:bCs/>
      <w:color w:val="000000" w:themeColor="text1"/>
      <w:szCs w:val="24"/>
      <w:lang w:val="en-US" w:eastAsia="zh-CN"/>
      <w14:textFill>
        <w14:solidFill>
          <w14:schemeClr w14:val="tx1"/>
        </w14:solidFill>
      </w14:textFill>
    </w:rPr>
  </w:style>
  <w:style w:type="paragraph" w:styleId="4">
    <w:name w:val="heading 3"/>
    <w:basedOn w:val="1"/>
    <w:next w:val="1"/>
    <w:link w:val="34"/>
    <w:unhideWhenUsed/>
    <w:qFormat/>
    <w:uiPriority w:val="9"/>
    <w:pPr>
      <w:keepNext/>
      <w:keepLines/>
      <w:spacing w:line="260" w:lineRule="auto"/>
      <w:outlineLvl w:val="2"/>
    </w:pPr>
    <w:rPr>
      <w:b/>
      <w:bCs/>
      <w:szCs w:val="32"/>
      <w:lang w:val="en-US" w:eastAsia="zh-CN"/>
    </w:rPr>
  </w:style>
  <w:style w:type="paragraph" w:styleId="5">
    <w:name w:val="heading 4"/>
    <w:basedOn w:val="1"/>
    <w:next w:val="1"/>
    <w:link w:val="36"/>
    <w:unhideWhenUsed/>
    <w:qFormat/>
    <w:uiPriority w:val="9"/>
    <w:pPr>
      <w:keepNext/>
      <w:keepLines/>
      <w:outlineLvl w:val="3"/>
    </w:pPr>
    <w:rPr>
      <w:rFonts w:cstheme="majorBidi"/>
      <w:bCs/>
      <w:szCs w:val="28"/>
    </w:rPr>
  </w:style>
  <w:style w:type="paragraph" w:styleId="6">
    <w:name w:val="heading 5"/>
    <w:basedOn w:val="1"/>
    <w:next w:val="1"/>
    <w:link w:val="37"/>
    <w:unhideWhenUsed/>
    <w:qFormat/>
    <w:uiPriority w:val="9"/>
    <w:pPr>
      <w:keepNext/>
      <w:keepLines/>
      <w:outlineLvl w:val="4"/>
    </w:pPr>
    <w:rPr>
      <w:bCs/>
      <w:szCs w:val="28"/>
    </w:rPr>
  </w:style>
  <w:style w:type="character" w:default="1" w:styleId="29">
    <w:name w:val="Default Paragraph Font"/>
    <w:semiHidden/>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widowControl w:val="0"/>
      <w:spacing w:before="0" w:line="240" w:lineRule="auto"/>
      <w:ind w:left="2520" w:leftChars="1200"/>
    </w:pPr>
    <w:rPr>
      <w:rFonts w:asciiTheme="minorHAnsi" w:hAnsiTheme="minorHAnsi" w:eastAsiaTheme="minorEastAsia"/>
      <w:kern w:val="2"/>
      <w:sz w:val="21"/>
      <w:lang w:val="en-US" w:eastAsia="zh-CN"/>
    </w:rPr>
  </w:style>
  <w:style w:type="paragraph" w:styleId="8">
    <w:name w:val="caption"/>
    <w:basedOn w:val="1"/>
    <w:next w:val="1"/>
    <w:link w:val="62"/>
    <w:unhideWhenUsed/>
    <w:qFormat/>
    <w:uiPriority w:val="0"/>
    <w:pPr>
      <w:tabs>
        <w:tab w:val="left" w:pos="992"/>
      </w:tabs>
      <w:spacing w:before="0" w:beforeLines="50" w:after="120" w:line="280" w:lineRule="atLeast"/>
      <w:ind w:left="1418" w:hanging="1418" w:firstLineChars="200"/>
    </w:pPr>
    <w:rPr>
      <w:rFonts w:cs="Times New Roman"/>
      <w:b/>
      <w:bCs/>
      <w:szCs w:val="24"/>
      <w:lang w:val="en-US"/>
    </w:rPr>
  </w:style>
  <w:style w:type="paragraph" w:styleId="9">
    <w:name w:val="Document Map"/>
    <w:basedOn w:val="1"/>
    <w:link w:val="56"/>
    <w:semiHidden/>
    <w:unhideWhenUsed/>
    <w:qFormat/>
    <w:uiPriority w:val="99"/>
    <w:rPr>
      <w:rFonts w:ascii="宋体"/>
      <w:sz w:val="18"/>
      <w:szCs w:val="18"/>
    </w:rPr>
  </w:style>
  <w:style w:type="paragraph" w:styleId="10">
    <w:name w:val="annotation text"/>
    <w:basedOn w:val="1"/>
    <w:link w:val="42"/>
    <w:unhideWhenUsed/>
    <w:qFormat/>
    <w:uiPriority w:val="99"/>
    <w:pPr>
      <w:spacing w:line="240" w:lineRule="auto"/>
    </w:pPr>
    <w:rPr>
      <w:sz w:val="20"/>
      <w:szCs w:val="20"/>
    </w:rPr>
  </w:style>
  <w:style w:type="paragraph" w:styleId="11">
    <w:name w:val="Body Text"/>
    <w:basedOn w:val="1"/>
    <w:link w:val="66"/>
    <w:qFormat/>
    <w:uiPriority w:val="99"/>
    <w:rPr>
      <w:szCs w:val="24"/>
    </w:rPr>
  </w:style>
  <w:style w:type="paragraph" w:styleId="12">
    <w:name w:val="toc 5"/>
    <w:basedOn w:val="1"/>
    <w:next w:val="1"/>
    <w:autoRedefine/>
    <w:unhideWhenUsed/>
    <w:qFormat/>
    <w:uiPriority w:val="39"/>
    <w:pPr>
      <w:widowControl w:val="0"/>
      <w:spacing w:before="0" w:line="240" w:lineRule="auto"/>
      <w:ind w:left="1680" w:leftChars="800"/>
    </w:pPr>
    <w:rPr>
      <w:rFonts w:asciiTheme="minorHAnsi" w:hAnsiTheme="minorHAnsi" w:eastAsiaTheme="minorEastAsia"/>
      <w:kern w:val="2"/>
      <w:sz w:val="21"/>
      <w:lang w:val="en-US" w:eastAsia="zh-CN"/>
    </w:r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styleId="14">
    <w:name w:val="toc 8"/>
    <w:basedOn w:val="1"/>
    <w:next w:val="1"/>
    <w:autoRedefine/>
    <w:unhideWhenUsed/>
    <w:qFormat/>
    <w:uiPriority w:val="39"/>
    <w:pPr>
      <w:widowControl w:val="0"/>
      <w:spacing w:before="0" w:line="240" w:lineRule="auto"/>
      <w:ind w:left="2940" w:leftChars="1400"/>
    </w:pPr>
    <w:rPr>
      <w:rFonts w:asciiTheme="minorHAnsi" w:hAnsiTheme="minorHAnsi" w:eastAsiaTheme="minorEastAsia"/>
      <w:kern w:val="2"/>
      <w:sz w:val="21"/>
      <w:lang w:val="en-US" w:eastAsia="zh-CN"/>
    </w:rPr>
  </w:style>
  <w:style w:type="paragraph" w:styleId="15">
    <w:name w:val="Balloon Text"/>
    <w:basedOn w:val="1"/>
    <w:link w:val="44"/>
    <w:semiHidden/>
    <w:unhideWhenUsed/>
    <w:qFormat/>
    <w:uiPriority w:val="99"/>
    <w:pPr>
      <w:spacing w:line="240" w:lineRule="auto"/>
    </w:pPr>
    <w:rPr>
      <w:rFonts w:ascii="Segoe UI" w:hAnsi="Segoe UI" w:cs="Segoe UI"/>
      <w:sz w:val="18"/>
      <w:szCs w:val="18"/>
    </w:rPr>
  </w:style>
  <w:style w:type="paragraph" w:styleId="16">
    <w:name w:val="footer"/>
    <w:basedOn w:val="1"/>
    <w:link w:val="39"/>
    <w:unhideWhenUsed/>
    <w:qFormat/>
    <w:uiPriority w:val="99"/>
    <w:pPr>
      <w:tabs>
        <w:tab w:val="center" w:pos="4513"/>
        <w:tab w:val="right" w:pos="9026"/>
      </w:tabs>
      <w:spacing w:line="240" w:lineRule="auto"/>
    </w:pPr>
  </w:style>
  <w:style w:type="paragraph" w:styleId="17">
    <w:name w:val="header"/>
    <w:basedOn w:val="1"/>
    <w:link w:val="38"/>
    <w:unhideWhenUsed/>
    <w:qFormat/>
    <w:uiPriority w:val="99"/>
    <w:pPr>
      <w:tabs>
        <w:tab w:val="center" w:pos="4513"/>
        <w:tab w:val="right" w:pos="9026"/>
      </w:tabs>
      <w:spacing w:line="240" w:lineRule="auto"/>
    </w:pPr>
  </w:style>
  <w:style w:type="paragraph" w:styleId="18">
    <w:name w:val="toc 1"/>
    <w:basedOn w:val="1"/>
    <w:next w:val="1"/>
    <w:unhideWhenUsed/>
    <w:qFormat/>
    <w:uiPriority w:val="39"/>
    <w:pPr>
      <w:spacing w:after="100"/>
    </w:pPr>
  </w:style>
  <w:style w:type="paragraph" w:styleId="19">
    <w:name w:val="toc 4"/>
    <w:basedOn w:val="1"/>
    <w:next w:val="1"/>
    <w:autoRedefine/>
    <w:unhideWhenUsed/>
    <w:qFormat/>
    <w:uiPriority w:val="39"/>
    <w:pPr>
      <w:widowControl w:val="0"/>
      <w:spacing w:before="0" w:line="240" w:lineRule="auto"/>
      <w:ind w:left="1260" w:leftChars="600"/>
    </w:pPr>
    <w:rPr>
      <w:rFonts w:asciiTheme="minorHAnsi" w:hAnsiTheme="minorHAnsi" w:eastAsiaTheme="minorEastAsia"/>
      <w:kern w:val="2"/>
      <w:sz w:val="21"/>
      <w:lang w:val="en-US" w:eastAsia="zh-CN"/>
    </w:rPr>
  </w:style>
  <w:style w:type="paragraph" w:styleId="20">
    <w:name w:val="toc 6"/>
    <w:basedOn w:val="1"/>
    <w:next w:val="1"/>
    <w:autoRedefine/>
    <w:unhideWhenUsed/>
    <w:qFormat/>
    <w:uiPriority w:val="39"/>
    <w:pPr>
      <w:widowControl w:val="0"/>
      <w:spacing w:before="0" w:line="240" w:lineRule="auto"/>
      <w:ind w:left="2100" w:leftChars="1000"/>
    </w:pPr>
    <w:rPr>
      <w:rFonts w:asciiTheme="minorHAnsi" w:hAnsiTheme="minorHAnsi" w:eastAsiaTheme="minorEastAsia"/>
      <w:kern w:val="2"/>
      <w:sz w:val="21"/>
      <w:lang w:val="en-US" w:eastAsia="zh-CN"/>
    </w:rPr>
  </w:style>
  <w:style w:type="paragraph" w:styleId="21">
    <w:name w:val="table of figures"/>
    <w:basedOn w:val="1"/>
    <w:next w:val="1"/>
    <w:unhideWhenUsed/>
    <w:qFormat/>
    <w:uiPriority w:val="99"/>
    <w:pPr>
      <w:ind w:left="200" w:leftChars="200" w:hanging="200" w:hangingChars="200"/>
    </w:pPr>
  </w:style>
  <w:style w:type="paragraph" w:styleId="22">
    <w:name w:val="toc 2"/>
    <w:basedOn w:val="1"/>
    <w:next w:val="1"/>
    <w:unhideWhenUsed/>
    <w:qFormat/>
    <w:uiPriority w:val="39"/>
    <w:pPr>
      <w:ind w:left="220"/>
    </w:pPr>
    <w:rPr>
      <w:rFonts w:asciiTheme="minorHAnsi" w:hAnsiTheme="minorHAnsi" w:cstheme="minorHAnsi"/>
      <w:b/>
      <w:bCs/>
    </w:rPr>
  </w:style>
  <w:style w:type="paragraph" w:styleId="23">
    <w:name w:val="toc 9"/>
    <w:basedOn w:val="1"/>
    <w:next w:val="1"/>
    <w:autoRedefine/>
    <w:unhideWhenUsed/>
    <w:qFormat/>
    <w:uiPriority w:val="39"/>
    <w:pPr>
      <w:widowControl w:val="0"/>
      <w:spacing w:before="0" w:line="240" w:lineRule="auto"/>
      <w:ind w:left="3360" w:leftChars="1600"/>
    </w:pPr>
    <w:rPr>
      <w:rFonts w:asciiTheme="minorHAnsi" w:hAnsiTheme="minorHAnsi" w:eastAsiaTheme="minorEastAsia"/>
      <w:kern w:val="2"/>
      <w:sz w:val="21"/>
      <w:lang w:val="en-US" w:eastAsia="zh-CN"/>
    </w:r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Cs w:val="24"/>
      <w:lang w:eastAsia="en-IN"/>
    </w:rPr>
  </w:style>
  <w:style w:type="paragraph" w:styleId="25">
    <w:name w:val="Title"/>
    <w:basedOn w:val="1"/>
    <w:next w:val="1"/>
    <w:link w:val="47"/>
    <w:qFormat/>
    <w:uiPriority w:val="10"/>
    <w:pPr>
      <w:spacing w:before="240" w:after="60"/>
      <w:jc w:val="center"/>
      <w:outlineLvl w:val="0"/>
    </w:pPr>
    <w:rPr>
      <w:rFonts w:cstheme="majorBidi"/>
      <w:bCs/>
      <w:szCs w:val="32"/>
    </w:rPr>
  </w:style>
  <w:style w:type="paragraph" w:styleId="26">
    <w:name w:val="annotation subject"/>
    <w:basedOn w:val="10"/>
    <w:next w:val="10"/>
    <w:link w:val="43"/>
    <w:semiHidden/>
    <w:unhideWhenUsed/>
    <w:qFormat/>
    <w:uiPriority w:val="99"/>
    <w:rPr>
      <w:b/>
      <w:bCs/>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basedOn w:val="29"/>
    <w:unhideWhenUsed/>
    <w:qFormat/>
    <w:uiPriority w:val="0"/>
    <w:rPr>
      <w:sz w:val="16"/>
      <w:szCs w:val="16"/>
    </w:rPr>
  </w:style>
  <w:style w:type="character" w:customStyle="1" w:styleId="33">
    <w:name w:val="标题 2 字符"/>
    <w:basedOn w:val="29"/>
    <w:link w:val="3"/>
    <w:qFormat/>
    <w:uiPriority w:val="9"/>
    <w:rPr>
      <w:rFonts w:ascii="Times New Roman" w:hAnsi="Times New Roman" w:eastAsia="宋体" w:cs="Times New Roman"/>
      <w:b/>
      <w:bCs/>
      <w:color w:val="000000" w:themeColor="text1"/>
      <w:sz w:val="24"/>
      <w:szCs w:val="24"/>
      <w14:textFill>
        <w14:solidFill>
          <w14:schemeClr w14:val="tx1"/>
        </w14:solidFill>
      </w14:textFill>
    </w:rPr>
  </w:style>
  <w:style w:type="character" w:customStyle="1" w:styleId="34">
    <w:name w:val="标题 3 字符"/>
    <w:basedOn w:val="29"/>
    <w:link w:val="4"/>
    <w:qFormat/>
    <w:uiPriority w:val="9"/>
    <w:rPr>
      <w:rFonts w:ascii="Times New Roman" w:hAnsi="Times New Roman" w:eastAsia="宋体"/>
      <w:b/>
      <w:bCs/>
      <w:sz w:val="24"/>
      <w:szCs w:val="32"/>
    </w:rPr>
  </w:style>
  <w:style w:type="character" w:customStyle="1" w:styleId="35">
    <w:name w:val="标题 1 字符"/>
    <w:basedOn w:val="29"/>
    <w:link w:val="2"/>
    <w:qFormat/>
    <w:uiPriority w:val="9"/>
    <w:rPr>
      <w:rFonts w:ascii="Times New Roman" w:hAnsi="Times New Roman" w:eastAsia="宋体" w:cstheme="majorBidi"/>
      <w:b/>
      <w:sz w:val="22"/>
      <w:szCs w:val="32"/>
      <w:lang w:val="en-IN" w:eastAsia="en-US"/>
    </w:rPr>
  </w:style>
  <w:style w:type="character" w:customStyle="1" w:styleId="36">
    <w:name w:val="标题 4 字符"/>
    <w:basedOn w:val="29"/>
    <w:link w:val="5"/>
    <w:qFormat/>
    <w:uiPriority w:val="9"/>
    <w:rPr>
      <w:rFonts w:ascii="Times New Roman" w:hAnsi="Times New Roman" w:eastAsia="宋体" w:cstheme="majorBidi"/>
      <w:bCs/>
      <w:sz w:val="24"/>
      <w:szCs w:val="28"/>
      <w:lang w:val="en-IN" w:eastAsia="en-US"/>
    </w:rPr>
  </w:style>
  <w:style w:type="character" w:customStyle="1" w:styleId="37">
    <w:name w:val="标题 5 字符"/>
    <w:basedOn w:val="29"/>
    <w:link w:val="6"/>
    <w:qFormat/>
    <w:uiPriority w:val="9"/>
    <w:rPr>
      <w:rFonts w:ascii="Times New Roman" w:hAnsi="Times New Roman" w:eastAsia="宋体"/>
      <w:bCs/>
      <w:sz w:val="24"/>
      <w:szCs w:val="28"/>
      <w:lang w:val="en-IN" w:eastAsia="en-US"/>
    </w:rPr>
  </w:style>
  <w:style w:type="character" w:customStyle="1" w:styleId="38">
    <w:name w:val="页眉 字符"/>
    <w:basedOn w:val="29"/>
    <w:link w:val="17"/>
    <w:qFormat/>
    <w:uiPriority w:val="99"/>
  </w:style>
  <w:style w:type="character" w:customStyle="1" w:styleId="39">
    <w:name w:val="页脚 字符"/>
    <w:basedOn w:val="29"/>
    <w:link w:val="16"/>
    <w:qFormat/>
    <w:uiPriority w:val="99"/>
  </w:style>
  <w:style w:type="paragraph" w:customStyle="1" w:styleId="40">
    <w:name w:val="TOC 标题1"/>
    <w:basedOn w:val="2"/>
    <w:next w:val="1"/>
    <w:unhideWhenUsed/>
    <w:qFormat/>
    <w:uiPriority w:val="39"/>
    <w:pPr>
      <w:outlineLvl w:val="9"/>
    </w:pPr>
    <w:rPr>
      <w:lang w:val="en-US"/>
    </w:rPr>
  </w:style>
  <w:style w:type="paragraph" w:styleId="41">
    <w:name w:val="List Paragraph"/>
    <w:basedOn w:val="1"/>
    <w:link w:val="59"/>
    <w:qFormat/>
    <w:uiPriority w:val="34"/>
    <w:pPr>
      <w:ind w:left="720"/>
      <w:contextualSpacing/>
    </w:pPr>
  </w:style>
  <w:style w:type="character" w:customStyle="1" w:styleId="42">
    <w:name w:val="批注文字 字符"/>
    <w:basedOn w:val="29"/>
    <w:link w:val="10"/>
    <w:qFormat/>
    <w:uiPriority w:val="99"/>
    <w:rPr>
      <w:sz w:val="20"/>
      <w:szCs w:val="20"/>
    </w:rPr>
  </w:style>
  <w:style w:type="character" w:customStyle="1" w:styleId="43">
    <w:name w:val="批注主题 字符"/>
    <w:basedOn w:val="42"/>
    <w:link w:val="26"/>
    <w:semiHidden/>
    <w:qFormat/>
    <w:uiPriority w:val="99"/>
    <w:rPr>
      <w:b/>
      <w:bCs/>
      <w:sz w:val="20"/>
      <w:szCs w:val="20"/>
    </w:rPr>
  </w:style>
  <w:style w:type="character" w:customStyle="1" w:styleId="44">
    <w:name w:val="批注框文本 字符"/>
    <w:basedOn w:val="29"/>
    <w:link w:val="15"/>
    <w:semiHidden/>
    <w:qFormat/>
    <w:uiPriority w:val="99"/>
    <w:rPr>
      <w:rFonts w:ascii="Segoe UI" w:hAnsi="Segoe UI" w:cs="Segoe UI"/>
      <w:sz w:val="18"/>
      <w:szCs w:val="18"/>
    </w:rPr>
  </w:style>
  <w:style w:type="paragraph" w:customStyle="1" w:styleId="45">
    <w:name w:val="修订1"/>
    <w:hidden/>
    <w:semiHidden/>
    <w:qFormat/>
    <w:uiPriority w:val="99"/>
    <w:rPr>
      <w:rFonts w:asciiTheme="minorHAnsi" w:hAnsiTheme="minorHAnsi" w:eastAsiaTheme="minorEastAsia" w:cstheme="minorBidi"/>
      <w:sz w:val="22"/>
      <w:szCs w:val="22"/>
      <w:lang w:val="en-IN" w:eastAsia="en-US" w:bidi="ar-SA"/>
    </w:rPr>
  </w:style>
  <w:style w:type="paragraph" w:styleId="46">
    <w:name w:val="No Spacing"/>
    <w:qFormat/>
    <w:uiPriority w:val="1"/>
    <w:rPr>
      <w:rFonts w:asciiTheme="minorHAnsi" w:hAnsiTheme="minorHAnsi" w:eastAsiaTheme="minorEastAsia" w:cstheme="minorBidi"/>
      <w:sz w:val="22"/>
      <w:szCs w:val="22"/>
      <w:lang w:val="en-IN" w:eastAsia="en-US" w:bidi="ar-SA"/>
    </w:rPr>
  </w:style>
  <w:style w:type="character" w:customStyle="1" w:styleId="47">
    <w:name w:val="标题 字符"/>
    <w:basedOn w:val="29"/>
    <w:link w:val="25"/>
    <w:qFormat/>
    <w:uiPriority w:val="10"/>
    <w:rPr>
      <w:rFonts w:ascii="Times New Roman" w:hAnsi="Times New Roman" w:eastAsia="宋体" w:cstheme="majorBidi"/>
      <w:bCs/>
      <w:sz w:val="24"/>
      <w:szCs w:val="32"/>
    </w:rPr>
  </w:style>
  <w:style w:type="paragraph" w:customStyle="1" w:styleId="4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9">
    <w:name w:val="正文2"/>
    <w:qFormat/>
    <w:uiPriority w:val="0"/>
    <w:pPr>
      <w:jc w:val="both"/>
    </w:pPr>
    <w:rPr>
      <w:rFonts w:ascii="Calibri" w:hAnsi="Calibri" w:eastAsia="宋体" w:cs="Calibri"/>
      <w:kern w:val="2"/>
      <w:sz w:val="21"/>
      <w:szCs w:val="21"/>
      <w:lang w:val="en-US" w:eastAsia="zh-CN" w:bidi="ar-SA"/>
    </w:rPr>
  </w:style>
  <w:style w:type="paragraph" w:customStyle="1" w:styleId="50">
    <w:name w:val="Text"/>
    <w:basedOn w:val="1"/>
    <w:link w:val="63"/>
    <w:qFormat/>
    <w:uiPriority w:val="99"/>
    <w:rPr>
      <w:rFonts w:eastAsia="Times New Roman" w:cs="Times New Roman"/>
      <w:szCs w:val="20"/>
      <w:lang w:val="en-US" w:eastAsia="en-GB"/>
    </w:rPr>
  </w:style>
  <w:style w:type="paragraph" w:customStyle="1" w:styleId="51">
    <w:name w:val="！正文段落"/>
    <w:basedOn w:val="1"/>
    <w:qFormat/>
    <w:uiPriority w:val="0"/>
    <w:pPr>
      <w:snapToGrid w:val="0"/>
      <w:spacing w:line="360" w:lineRule="auto"/>
      <w:ind w:firstLine="480" w:firstLineChars="200"/>
    </w:pPr>
    <w:rPr>
      <w:rFonts w:cs="Times New Roman"/>
      <w:iCs/>
      <w:szCs w:val="24"/>
      <w:lang w:val="en-US"/>
    </w:rPr>
  </w:style>
  <w:style w:type="character" w:customStyle="1" w:styleId="52">
    <w:name w:val="Bayer Body text Full Zchn"/>
    <w:qFormat/>
    <w:locked/>
    <w:uiPriority w:val="0"/>
    <w:rPr>
      <w:rFonts w:ascii="Times New Roman" w:hAnsi="Times New Roman"/>
      <w:sz w:val="20"/>
      <w:lang w:val="zh-CN"/>
    </w:rPr>
  </w:style>
  <w:style w:type="paragraph" w:customStyle="1" w:styleId="53">
    <w:name w:val="Report Text"/>
    <w:basedOn w:val="1"/>
    <w:qFormat/>
    <w:uiPriority w:val="0"/>
    <w:pPr>
      <w:spacing w:after="180"/>
      <w:ind w:left="720"/>
    </w:pPr>
    <w:rPr>
      <w:rFonts w:ascii="Arial" w:hAnsi="Arial" w:cs="Times New Roman"/>
      <w:szCs w:val="20"/>
      <w:lang w:val="en-US"/>
    </w:rPr>
  </w:style>
  <w:style w:type="paragraph" w:customStyle="1" w:styleId="54">
    <w:name w:val="报告正文"/>
    <w:basedOn w:val="1"/>
    <w:qFormat/>
    <w:uiPriority w:val="0"/>
    <w:pPr>
      <w:spacing w:beforeLines="50" w:afterLines="50" w:line="300" w:lineRule="auto"/>
      <w:ind w:firstLine="200" w:firstLineChars="200"/>
    </w:pPr>
    <w:rPr>
      <w:rFonts w:asciiTheme="minorHAnsi" w:hAnsiTheme="minorHAnsi" w:eastAsiaTheme="minorEastAsia"/>
      <w:kern w:val="2"/>
      <w:szCs w:val="24"/>
      <w:lang w:val="en-US"/>
    </w:rPr>
  </w:style>
  <w:style w:type="paragraph" w:customStyle="1" w:styleId="55">
    <w:name w:val="Document Text"/>
    <w:basedOn w:val="1"/>
    <w:qFormat/>
    <w:uiPriority w:val="0"/>
    <w:pPr>
      <w:spacing w:after="240" w:line="300" w:lineRule="auto"/>
    </w:pPr>
    <w:rPr>
      <w:rFonts w:eastAsia="Times New Roman" w:cs="Times New Roman"/>
      <w:kern w:val="24"/>
      <w:szCs w:val="24"/>
      <w:lang w:val="en-US" w:eastAsia="ja-JP"/>
    </w:rPr>
  </w:style>
  <w:style w:type="character" w:customStyle="1" w:styleId="56">
    <w:name w:val="文档结构图 字符"/>
    <w:basedOn w:val="29"/>
    <w:link w:val="9"/>
    <w:semiHidden/>
    <w:qFormat/>
    <w:uiPriority w:val="99"/>
    <w:rPr>
      <w:rFonts w:ascii="宋体" w:hAnsi="Times New Roman" w:eastAsia="宋体"/>
      <w:sz w:val="18"/>
      <w:szCs w:val="18"/>
      <w:lang w:val="en-IN" w:eastAsia="en-US"/>
    </w:rPr>
  </w:style>
  <w:style w:type="paragraph" w:customStyle="1" w:styleId="57">
    <w:name w:val="！正文"/>
    <w:link w:val="58"/>
    <w:qFormat/>
    <w:uiPriority w:val="0"/>
    <w:pPr>
      <w:widowControl w:val="0"/>
      <w:topLinePunct/>
      <w:adjustRightInd w:val="0"/>
      <w:snapToGrid w:val="0"/>
      <w:spacing w:line="360" w:lineRule="auto"/>
      <w:ind w:firstLine="200" w:firstLineChars="200"/>
      <w:jc w:val="both"/>
    </w:pPr>
    <w:rPr>
      <w:rFonts w:ascii="Times New Roman" w:hAnsi="Times New Roman" w:eastAsia="宋体" w:cs="Times New Roman"/>
      <w:sz w:val="24"/>
      <w:szCs w:val="24"/>
      <w:lang w:val="en-US" w:eastAsia="zh-CN" w:bidi="ar-SA"/>
    </w:rPr>
  </w:style>
  <w:style w:type="character" w:customStyle="1" w:styleId="58">
    <w:name w:val="！正文 Char"/>
    <w:link w:val="57"/>
    <w:qFormat/>
    <w:uiPriority w:val="0"/>
    <w:rPr>
      <w:rFonts w:ascii="Times New Roman" w:hAnsi="Times New Roman" w:eastAsia="宋体" w:cs="Times New Roman"/>
      <w:sz w:val="24"/>
      <w:szCs w:val="24"/>
    </w:rPr>
  </w:style>
  <w:style w:type="character" w:customStyle="1" w:styleId="59">
    <w:name w:val="列表段落 字符"/>
    <w:link w:val="41"/>
    <w:qFormat/>
    <w:uiPriority w:val="34"/>
    <w:rPr>
      <w:rFonts w:ascii="Times New Roman" w:hAnsi="Times New Roman" w:eastAsia="宋体"/>
      <w:sz w:val="24"/>
      <w:szCs w:val="22"/>
      <w:lang w:val="en-IN" w:eastAsia="en-US"/>
    </w:rPr>
  </w:style>
  <w:style w:type="paragraph" w:customStyle="1" w:styleId="60">
    <w:name w:val="列出段落1"/>
    <w:basedOn w:val="1"/>
    <w:link w:val="61"/>
    <w:qFormat/>
    <w:uiPriority w:val="34"/>
    <w:pPr>
      <w:widowControl w:val="0"/>
      <w:spacing w:before="0" w:line="240" w:lineRule="auto"/>
      <w:ind w:firstLine="420" w:firstLineChars="200"/>
    </w:pPr>
    <w:rPr>
      <w:rFonts w:asciiTheme="minorHAnsi" w:hAnsiTheme="minorHAnsi" w:eastAsiaTheme="minorEastAsia"/>
      <w:kern w:val="2"/>
      <w:sz w:val="21"/>
      <w:lang w:val="en-US" w:eastAsia="zh-CN"/>
    </w:rPr>
  </w:style>
  <w:style w:type="character" w:customStyle="1" w:styleId="61">
    <w:name w:val="列出段落 Char"/>
    <w:basedOn w:val="29"/>
    <w:link w:val="60"/>
    <w:qFormat/>
    <w:uiPriority w:val="34"/>
    <w:rPr>
      <w:kern w:val="2"/>
      <w:sz w:val="21"/>
      <w:szCs w:val="22"/>
    </w:rPr>
  </w:style>
  <w:style w:type="character" w:customStyle="1" w:styleId="62">
    <w:name w:val="题注 字符"/>
    <w:link w:val="8"/>
    <w:qFormat/>
    <w:locked/>
    <w:uiPriority w:val="0"/>
    <w:rPr>
      <w:rFonts w:ascii="Times New Roman" w:hAnsi="Times New Roman" w:eastAsia="宋体" w:cs="Times New Roman"/>
      <w:b/>
      <w:bCs/>
      <w:sz w:val="24"/>
      <w:szCs w:val="24"/>
      <w:lang w:eastAsia="en-US"/>
    </w:rPr>
  </w:style>
  <w:style w:type="character" w:customStyle="1" w:styleId="63">
    <w:name w:val="Text Char1"/>
    <w:link w:val="50"/>
    <w:qFormat/>
    <w:locked/>
    <w:uiPriority w:val="99"/>
    <w:rPr>
      <w:rFonts w:ascii="Times New Roman" w:hAnsi="Times New Roman" w:eastAsia="Times New Roman" w:cs="Times New Roman"/>
      <w:sz w:val="24"/>
      <w:lang w:eastAsia="en-GB"/>
    </w:rPr>
  </w:style>
  <w:style w:type="character" w:customStyle="1" w:styleId="64">
    <w:name w:val="Unresolved Mention"/>
    <w:basedOn w:val="29"/>
    <w:semiHidden/>
    <w:unhideWhenUsed/>
    <w:qFormat/>
    <w:uiPriority w:val="99"/>
    <w:rPr>
      <w:color w:val="605E5C"/>
      <w:shd w:val="clear" w:color="auto" w:fill="E1DFDD"/>
    </w:rPr>
  </w:style>
  <w:style w:type="paragraph" w:customStyle="1" w:styleId="65">
    <w:name w:val="Revision"/>
    <w:hidden/>
    <w:semiHidden/>
    <w:uiPriority w:val="99"/>
    <w:rPr>
      <w:rFonts w:ascii="Times New Roman" w:hAnsi="Times New Roman" w:eastAsia="宋体" w:cstheme="minorBidi"/>
      <w:sz w:val="24"/>
      <w:szCs w:val="22"/>
      <w:lang w:val="en-IN" w:eastAsia="en-US" w:bidi="ar-SA"/>
    </w:rPr>
  </w:style>
  <w:style w:type="character" w:customStyle="1" w:styleId="66">
    <w:name w:val="正文文本 字符"/>
    <w:basedOn w:val="29"/>
    <w:link w:val="11"/>
    <w:qFormat/>
    <w:uiPriority w:val="99"/>
    <w:rPr>
      <w:rFonts w:ascii="Times New Roman" w:hAnsi="Times New Roman" w:eastAsia="宋体"/>
      <w:sz w:val="24"/>
      <w:szCs w:val="24"/>
      <w:lang w:val="en-IN" w:eastAsia="en-US"/>
    </w:rPr>
  </w:style>
  <w:style w:type="paragraph" w:customStyle="1" w:styleId="67">
    <w:name w:val="标题 2 1.1"/>
    <w:basedOn w:val="3"/>
    <w:qFormat/>
    <w:uiPriority w:val="0"/>
  </w:style>
  <w:style w:type="paragraph" w:customStyle="1" w:styleId="68">
    <w:name w:val="标题 1 1."/>
    <w:basedOn w:val="2"/>
    <w:qFormat/>
    <w:uiPriority w:val="0"/>
    <w:pPr>
      <w:numPr>
        <w:ilvl w:val="0"/>
        <w:numId w:val="1"/>
      </w:numPr>
      <w:spacing w:before="120" w:beforeLines="50"/>
    </w:pPr>
    <w:rPr>
      <w:sz w:val="24"/>
    </w:rPr>
  </w:style>
  <w:style w:type="paragraph" w:customStyle="1" w:styleId="69">
    <w:name w:val="标题 2 2.1"/>
    <w:basedOn w:val="67"/>
    <w:qFormat/>
    <w:uiPriority w:val="0"/>
  </w:style>
  <w:style w:type="table" w:customStyle="1" w:styleId="70">
    <w:name w:val="网格型1"/>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38FBB9B38BCB47AF46D494241F123F" ma:contentTypeVersion="17" ma:contentTypeDescription="Create a new document." ma:contentTypeScope="" ma:versionID="97fb39fb008f29ca0b06ef0108e6a749">
  <xsd:schema xmlns:xsd="http://www.w3.org/2001/XMLSchema" xmlns:xs="http://www.w3.org/2001/XMLSchema" xmlns:p="http://schemas.microsoft.com/office/2006/metadata/properties" xmlns:ns2="a68fe43b-4f92-446d-947a-4942a6cb3c41" xmlns:ns3="2f9b7d55-d186-44b3-a046-f18cc2d3a9c2" targetNamespace="http://schemas.microsoft.com/office/2006/metadata/properties" ma:root="true" ma:fieldsID="573ce0b88938fed39f3fbcdf60451916" ns2:_="" ns3:_="">
    <xsd:import namespace="a68fe43b-4f92-446d-947a-4942a6cb3c41"/>
    <xsd:import namespace="2f9b7d55-d186-44b3-a046-f18cc2d3a9c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e43b-4f92-446d-947a-4942a6cb3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0f29cc-c4a0-4a85-9d47-27baeea99c8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9b7d55-d186-44b3-a046-f18cc2d3a9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25b9460-6b34-41c1-9b97-e06768e67ed9}" ma:internalName="TaxCatchAll" ma:showField="CatchAllData" ma:web="2f9b7d55-d186-44b3-a046-f18cc2d3a9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2f9b7d55-d186-44b3-a046-f18cc2d3a9c2" xsi:nil="true"/>
    <lcf76f155ced4ddcb4097134ff3c332f xmlns="a68fe43b-4f92-446d-947a-4942a6cb3c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A8B534-1225-4321-A98B-BEABCF885A3C}">
  <ds:schemaRefs/>
</ds:datastoreItem>
</file>

<file path=customXml/itemProps3.xml><?xml version="1.0" encoding="utf-8"?>
<ds:datastoreItem xmlns:ds="http://schemas.openxmlformats.org/officeDocument/2006/customXml" ds:itemID="{7CD56BE8-ADFD-4BE7-9FF3-7300F1C3E5F7}">
  <ds:schemaRefs/>
</ds:datastoreItem>
</file>

<file path=customXml/itemProps4.xml><?xml version="1.0" encoding="utf-8"?>
<ds:datastoreItem xmlns:ds="http://schemas.openxmlformats.org/officeDocument/2006/customXml" ds:itemID="{6C9BF4AF-6C6D-448F-8385-DE4ABB130CC1}">
  <ds:schemaRefs/>
</ds:datastoreItem>
</file>

<file path=customXml/itemProps5.xml><?xml version="1.0" encoding="utf-8"?>
<ds:datastoreItem xmlns:ds="http://schemas.openxmlformats.org/officeDocument/2006/customXml" ds:itemID="{67984A34-573E-40D3-9A4A-2A57C1DCA2C8}">
  <ds:schemaRefs/>
</ds:datastoreItem>
</file>

<file path=docProps/app.xml><?xml version="1.0" encoding="utf-8"?>
<Properties xmlns="http://schemas.openxmlformats.org/officeDocument/2006/extended-properties" xmlns:vt="http://schemas.openxmlformats.org/officeDocument/2006/docPropsVTypes">
  <Template>Normal.dotm</Template>
  <Pages>61</Pages>
  <Words>5019</Words>
  <Characters>6422</Characters>
  <Lines>357</Lines>
  <Paragraphs>100</Paragraphs>
  <TotalTime>19</TotalTime>
  <ScaleCrop>false</ScaleCrop>
  <LinksUpToDate>false</LinksUpToDate>
  <CharactersWithSpaces>6818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2022-07-29T04:20:00Z</dcterms:created>
  <dc:creator>GGF</dc:creator>
  <cp:lastModifiedBy>GGF</cp:lastModifiedBy>
  <cp:lastPrinted>2023-11-17T05:55:00Z</cp:lastPrinted>
  <dcterms:modified xsi:type="dcterms:W3CDTF">2025-03-17T07:26:42Z</dcterms:modified>
  <dc:title>Template for Preparation of Procedures and Manuals</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0x010100F838FBB9B38BCB47AF46D494241F123F</vt:lpwstr>
  </property>
  <property fmtid="{D5CDD505-2E9C-101B-9397-08002B2CF9AE}" pid="3" name="_dlc_DocIdItemGuid">
    <vt:lpwstr>5c7e1d99-946a-4e9d-a9d6-9d99e146c923</vt:lpwstr>
  </property>
  <property fmtid="{D5CDD505-2E9C-101B-9397-08002B2CF9AE}" pid="4" name="Order">
    <vt:r8>14524200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KSOProductBuildVer">
    <vt:lpwstr>2052-12.1.0.20305</vt:lpwstr>
  </property>
  <property fmtid="{D5CDD505-2E9C-101B-9397-08002B2CF9AE}" pid="12" name="ICV">
    <vt:lpwstr>4095AD2863444EDC910802C1C8EC5E64</vt:lpwstr>
  </property>
  <property fmtid="{D5CDD505-2E9C-101B-9397-08002B2CF9AE}" pid="13" name="MediaServiceImageTags">
    <vt:lpwstr/>
  </property>
  <property fmtid="{D5CDD505-2E9C-101B-9397-08002B2CF9AE}" pid="14" name="KSOTemplateDocerSaveRecord">
    <vt:lpwstr>eyJoZGlkIjoiYTcwZjRkNDM4ZjE5MzNlOWM4OTM1OTVlZmM3NjliZGIiLCJ1c2VySWQiOiIyNzE4MDY3MzAifQ==</vt:lpwstr>
  </property>
</Properties>
</file>