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w16du="http://schemas.microsoft.com/office/word/2023/wordml/word16du" mc:Ignorable="w14 w15 wp14">
  <w:body>
    <w:p w14:paraId="2535EDE4">
      <w:pPr>
        <w:spacing w:before="0" w:line="360" w:lineRule="auto"/>
        <w:ind w:firstLine="480" w:firstLineChars="200"/>
        <w:rPr>
          <w:lang w:eastAsia="zh-CN"/>
        </w:rPr>
      </w:pPr>
    </w:p>
    <w:p w14:paraId="20F41B6C">
      <w:pPr>
        <w:spacing w:before="0" w:line="360" w:lineRule="auto"/>
        <w:ind w:firstLine="480" w:firstLineChars="200"/>
        <w:rPr>
          <w:lang w:eastAsia="zh-CN"/>
        </w:rPr>
      </w:pPr>
    </w:p>
    <w:p w14:paraId="4FCCBEAC">
      <w:pPr>
        <w:spacing w:before="0" w:line="360" w:lineRule="auto"/>
        <w:ind w:firstLine="480" w:firstLineChars="200"/>
        <w:rPr>
          <w:lang w:eastAsia="zh-CN"/>
        </w:rPr>
      </w:pPr>
    </w:p>
    <w:p w14:paraId="7CBBAE6A">
      <w:pPr>
        <w:spacing w:before="0" w:line="360" w:lineRule="auto"/>
        <w:ind w:firstLine="480" w:firstLineChars="200"/>
        <w:rPr>
          <w:lang w:eastAsia="zh-CN"/>
        </w:rPr>
      </w:pPr>
    </w:p>
    <w:p w14:paraId="471F01DB">
      <w:pPr>
        <w:spacing w:before="0" w:line="360" w:lineRule="auto"/>
        <w:ind w:firstLine="480" w:firstLineChars="200"/>
        <w:rPr>
          <w:lang w:eastAsia="zh-CN"/>
        </w:rPr>
      </w:pPr>
    </w:p>
    <w:p w14:paraId="0B971763">
      <w:pPr>
        <w:spacing w:before="0" w:line="360" w:lineRule="auto"/>
        <w:jc w:val="left"/>
        <w:rPr>
          <w:lang w:eastAsia="zh-CN"/>
        </w:rPr>
      </w:pPr>
      <w:r>
        <w:rPr>
          <w:lang w:eastAsia="zh-CN"/>
        </w:rPr>
        <w:br w:type="page"/>
      </w:r>
    </w:p>
    <w:p w14:paraId="3E190770">
      <w:pPr>
        <w:rPr>
          <w:lang w:eastAsia="zh-CN"/>
        </w:rPr>
      </w:pPr>
    </w:p>
    <w:p w14:paraId="3E68E8DD">
      <w:pPr>
        <w:spacing w:before="0" w:line="360" w:lineRule="auto"/>
        <w:ind w:firstLine="480" w:firstLineChars="200"/>
        <w:rPr>
          <w:lang w:eastAsia="zh-CN"/>
        </w:rPr>
      </w:pPr>
    </w:p>
    <w:p w14:paraId="59BA2D17">
      <w:pPr>
        <w:pStyle w:val="16"/>
        <w:tabs>
          <w:tab w:val="center" w:pos="4153"/>
          <w:tab w:val="right" w:pos="8306"/>
          <w:tab w:val="clear" w:pos="4513"/>
          <w:tab w:val="clear" w:pos="9026"/>
        </w:tabs>
        <w:spacing w:before="0" w:line="360" w:lineRule="auto"/>
        <w:ind w:firstLine="480" w:firstLineChars="200"/>
        <w:jc w:val="center"/>
        <w:rPr>
          <w:lang w:eastAsia="zh-CN"/>
        </w:rPr>
      </w:pPr>
    </w:p>
    <w:p w14:paraId="5660BE25">
      <w:pPr>
        <w:spacing w:before="0" w:line="360" w:lineRule="auto"/>
        <w:ind w:firstLine="602" w:firstLineChars="200"/>
        <w:jc w:val="center"/>
        <w:rPr>
          <w:rFonts w:cs="Times New Roman"/>
          <w:b/>
          <w:sz w:val="30"/>
          <w:szCs w:val="30"/>
          <w:lang w:eastAsia="zh-CN"/>
        </w:rPr>
      </w:pPr>
      <w:r>
        <w:rPr>
          <w:rFonts w:hint="eastAsia" w:cs="Times New Roman"/>
          <w:b/>
          <w:sz w:val="30"/>
          <w:szCs w:val="30"/>
          <w:lang w:eastAsia="zh-CN"/>
        </w:rPr>
        <w:t xml:space="preserve">可行性验证：本段由GenOffice引擎按协议v3工作稿补丁保存路径改写（T07 spike）。</w:t>
      </w:r>
    </w:p>
    <w:p w14:paraId="1E0A1104">
      <w:pPr>
        <w:spacing w:before="0" w:line="360" w:lineRule="auto"/>
        <w:ind w:firstLine="602" w:firstLineChars="200"/>
        <w:jc w:val="center"/>
        <w:rPr>
          <w:rFonts w:cs="Times New Roman"/>
          <w:b/>
          <w:sz w:val="30"/>
          <w:szCs w:val="30"/>
          <w:lang w:eastAsia="zh-CN"/>
        </w:rPr>
      </w:pPr>
    </w:p>
    <w:p w14:paraId="586B75C5">
      <w:pPr>
        <w:spacing w:before="0" w:line="360" w:lineRule="auto"/>
        <w:ind w:firstLine="602" w:firstLineChars="200"/>
        <w:jc w:val="center"/>
        <w:rPr>
          <w:rFonts w:cs="Times New Roman"/>
          <w:b/>
          <w:sz w:val="30"/>
          <w:szCs w:val="30"/>
          <w:lang w:val="en-US" w:eastAsia="zh-CN"/>
        </w:rPr>
      </w:pPr>
      <w:r>
        <w:rPr>
          <w:rFonts w:hint="eastAsia" w:cs="Times New Roman"/>
          <w:b/>
          <w:sz w:val="30"/>
          <w:szCs w:val="30"/>
          <w:lang w:val="en-US" w:eastAsia="zh-CN"/>
        </w:rPr>
        <w:t>临床试验方案</w:t>
      </w:r>
    </w:p>
    <w:p w14:paraId="2D91E8B9">
      <w:pPr>
        <w:spacing w:before="0" w:line="360" w:lineRule="auto"/>
        <w:ind w:firstLine="480" w:firstLineChars="200"/>
        <w:jc w:val="center"/>
        <w:rPr>
          <w:rFonts w:cs="Times New Roman"/>
          <w:lang w:val="en-US" w:eastAsia="zh-CN"/>
        </w:rPr>
      </w:pPr>
    </w:p>
    <w:p w14:paraId="5199D919">
      <w:pPr>
        <w:widowControl w:val="0"/>
        <w:spacing w:before="0" w:line="360" w:lineRule="auto"/>
        <w:ind w:firstLine="480"/>
        <w:jc w:val="center"/>
        <w:rPr>
          <w:rFonts w:cs="Times New Roman"/>
          <w:kern w:val="2"/>
          <w:lang w:eastAsia="zh-CN"/>
        </w:rPr>
      </w:pPr>
      <w:bookmarkStart w:id="0" w:name="_Hlk89519442"/>
    </w:p>
    <w:p w14:paraId="162A7066">
      <w:pPr>
        <w:widowControl w:val="0"/>
        <w:spacing w:before="0" w:line="360" w:lineRule="auto"/>
        <w:ind w:firstLine="480"/>
        <w:jc w:val="center"/>
        <w:rPr>
          <w:rFonts w:cs="Times New Roman"/>
          <w:kern w:val="2"/>
          <w:lang w:eastAsia="zh-CN"/>
        </w:rPr>
      </w:pPr>
      <w:r>
        <w:rPr>
          <w:rFonts w:hint="eastAsia" w:cs="Times New Roman"/>
          <w:kern w:val="2"/>
          <w:lang w:eastAsia="zh-CN"/>
        </w:rPr>
        <w:t>方案编号：PV3-69F53457</w:t>
      </w:r>
      <w:r>
        <w:rPr>
          <w:rFonts w:cs="Times New Roman"/>
          <w:kern w:val="2"/>
          <w:lang w:eastAsia="zh-CN"/>
        </w:rPr>
      </w:r>
      <w:r>
        <w:rPr>
          <w:rFonts w:hint="eastAsia" w:cs="Times New Roman"/>
          <w:kern w:val="2"/>
          <w:lang w:eastAsia="zh-CN"/>
        </w:rPr>
      </w:r>
      <w:r>
        <w:rPr>
          <w:rFonts w:cs="Times New Roman"/>
          <w:kern w:val="2"/>
          <w:lang w:eastAsia="zh-CN"/>
        </w:rPr>
      </w:r>
    </w:p>
    <w:p w14:paraId="7526A423">
      <w:pPr>
        <w:widowControl w:val="0"/>
        <w:spacing w:before="0" w:line="360" w:lineRule="auto"/>
        <w:ind w:firstLine="480"/>
        <w:jc w:val="center"/>
        <w:rPr>
          <w:rFonts w:cs="Times New Roman"/>
          <w:kern w:val="2"/>
          <w:lang w:eastAsia="zh-CN"/>
        </w:rPr>
      </w:pPr>
      <w:r>
        <w:rPr>
          <w:rFonts w:hint="eastAsia" w:cs="Times New Roman"/>
          <w:kern w:val="2"/>
          <w:lang w:eastAsia="zh-CN"/>
        </w:rPr>
        <w:t xml:space="preserve">版本号：v1.0 </w:t>
      </w:r>
      <w:r>
        <w:rPr>
          <w:rFonts w:cs="Times New Roman"/>
          <w:kern w:val="2"/>
          <w:lang w:eastAsia="zh-CN"/>
        </w:rPr>
      </w:r>
    </w:p>
    <w:p w14:paraId="6673BD90">
      <w:pPr>
        <w:widowControl w:val="0"/>
        <w:spacing w:before="0" w:line="360" w:lineRule="auto"/>
        <w:ind w:firstLine="480"/>
        <w:jc w:val="center"/>
        <w:rPr>
          <w:rFonts w:cs="Times New Roman"/>
          <w:kern w:val="2"/>
          <w:lang w:eastAsia="zh-CN"/>
        </w:rPr>
      </w:pPr>
      <w:r>
        <w:rPr>
          <w:rFonts w:hint="eastAsia" w:cs="Times New Roman"/>
          <w:kern w:val="2"/>
          <w:lang w:val="en-US" w:eastAsia="zh-CN"/>
        </w:rPr>
        <w:t xml:space="preserve">版本日期：2026-09-19 </w:t>
      </w:r>
      <w:r>
        <w:rPr>
          <w:rFonts w:cs="Times New Roman"/>
          <w:kern w:val="2"/>
          <w:lang w:eastAsia="zh-CN"/>
        </w:rPr>
      </w:r>
      <w:r>
        <w:rPr>
          <w:rFonts w:hint="eastAsia" w:cs="Times New Roman"/>
          <w:kern w:val="2"/>
          <w:lang w:val="en-US" w:eastAsia="zh-CN"/>
        </w:rPr>
      </w:r>
      <w:r>
        <w:rPr>
          <w:rFonts w:cs="Times New Roman"/>
          <w:kern w:val="2"/>
          <w:lang w:eastAsia="zh-CN"/>
        </w:rPr>
      </w:r>
    </w:p>
    <w:p w14:paraId="013C180E">
      <w:pPr>
        <w:widowControl w:val="0"/>
        <w:spacing w:before="0" w:line="360" w:lineRule="auto"/>
        <w:ind w:firstLine="480"/>
        <w:jc w:val="center"/>
        <w:rPr>
          <w:rFonts w:cs="Times New Roman"/>
          <w:kern w:val="2"/>
        </w:rPr>
      </w:pPr>
      <w:r>
        <w:rPr>
          <w:rFonts w:hint="eastAsia" w:cs="Times New Roman"/>
          <w:kern w:val="2"/>
          <w:lang w:val="en-US"/>
        </w:rPr>
        <w:t>主要研究者：＿＿＿＿＿＿</w:t>
      </w:r>
      <w:r>
        <w:rPr>
          <w:rFonts w:cs="Times New Roman"/>
          <w:kern w:val="2"/>
        </w:rPr>
      </w:r>
      <w:r>
        <w:rPr>
          <w:rFonts w:hint="eastAsia" w:cs="Times New Roman"/>
          <w:kern w:val="2"/>
          <w:lang w:val="en-US"/>
        </w:rPr>
      </w:r>
      <w:r>
        <w:rPr>
          <w:rFonts w:cs="Times New Roman"/>
          <w:kern w:val="2"/>
        </w:rPr>
      </w:r>
    </w:p>
    <w:p w14:paraId="79738349">
      <w:pPr>
        <w:widowControl w:val="0"/>
        <w:spacing w:before="0" w:line="360" w:lineRule="auto"/>
        <w:ind w:firstLine="480"/>
        <w:jc w:val="center"/>
        <w:rPr>
          <w:rFonts w:cs="Times New Roman"/>
          <w:kern w:val="2"/>
          <w:lang w:eastAsia="zh-CN"/>
        </w:rPr>
      </w:pPr>
      <w:bookmarkStart w:id="1" w:name="_Hlk11942058"/>
      <w:r>
        <w:rPr>
          <w:rFonts w:hint="eastAsia" w:cs="Times New Roman"/>
          <w:kern w:val="2"/>
          <w:lang w:eastAsia="zh-CN"/>
        </w:rPr>
        <w:t>组长单位：＿＿＿＿＿＿＿＿</w:t>
      </w:r>
      <w:r>
        <w:rPr>
          <w:rFonts w:cs="Times New Roman"/>
          <w:kern w:val="2"/>
          <w:lang w:eastAsia="zh-CN"/>
        </w:rPr>
      </w:r>
      <w:r>
        <w:rPr>
          <w:rFonts w:hint="eastAsia" w:cs="Times New Roman"/>
          <w:kern w:val="2"/>
          <w:lang w:eastAsia="zh-CN"/>
        </w:rPr>
      </w:r>
      <w:r>
        <w:rPr>
          <w:rFonts w:cs="Times New Roman"/>
          <w:kern w:val="2"/>
          <w:lang w:eastAsia="zh-CN"/>
        </w:rPr>
      </w:r>
    </w:p>
    <w:bookmarkEnd w:id="1"/>
    <w:p w14:paraId="5F807C2F">
      <w:pPr>
        <w:widowControl w:val="0"/>
        <w:spacing w:before="0" w:line="360" w:lineRule="auto"/>
        <w:ind w:firstLine="480"/>
        <w:jc w:val="center"/>
        <w:rPr>
          <w:rFonts w:cs="Times New Roman"/>
          <w:kern w:val="2"/>
          <w:lang w:eastAsia="zh-CN"/>
        </w:rPr>
      </w:pPr>
      <w:r>
        <w:rPr>
          <w:rFonts w:hint="eastAsia" w:cs="Times New Roman"/>
          <w:kern w:val="2"/>
          <w:lang w:eastAsia="zh-CN"/>
        </w:rPr>
        <w:t>申办者：康哲</w:t>
      </w:r>
      <w:r>
        <w:rPr>
          <w:rFonts w:cs="Times New Roman"/>
          <w:kern w:val="2"/>
          <w:lang w:eastAsia="zh-CN"/>
        </w:rPr>
      </w:r>
      <w:r>
        <w:rPr>
          <w:rFonts w:hint="eastAsia" w:cs="Times New Roman"/>
          <w:kern w:val="2"/>
          <w:lang w:eastAsia="zh-CN"/>
        </w:rPr>
      </w:r>
      <w:r>
        <w:rPr>
          <w:rFonts w:cs="Times New Roman"/>
          <w:kern w:val="2"/>
          <w:lang w:eastAsia="zh-CN"/>
        </w:rPr>
      </w:r>
    </w:p>
    <w:p w14:paraId="5F28F568">
      <w:pPr>
        <w:widowControl w:val="0"/>
        <w:spacing w:before="0" w:line="360" w:lineRule="auto"/>
        <w:ind w:firstLine="480"/>
        <w:jc w:val="center"/>
        <w:rPr>
          <w:rFonts w:cs="Times New Roman"/>
          <w:kern w:val="2"/>
          <w:lang w:eastAsia="zh-CN"/>
        </w:rPr>
      </w:pPr>
      <w:r>
        <w:rPr>
          <w:rFonts w:hint="eastAsia" w:cs="Times New Roman"/>
          <w:kern w:val="2"/>
          <w:lang w:eastAsia="zh-CN"/>
        </w:rPr>
        <w:t>统计分析单位:</w:t>
        <w:tab/>
        <w:t>＿＿＿＿＿＿</w:t>
      </w:r>
      <w:r>
        <w:rPr>
          <w:rFonts w:cs="Times New Roman"/>
          <w:kern w:val="2"/>
          <w:lang w:eastAsia="zh-CN"/>
        </w:rPr>
      </w:r>
      <w:r>
        <w:rPr>
          <w:rFonts w:cs="Times New Roman"/>
          <w:kern w:val="2"/>
          <w:lang w:eastAsia="zh-CN"/>
        </w:rPr>
      </w:r>
      <w:r>
        <w:rPr>
          <w:rFonts w:cs="Times New Roman"/>
          <w:kern w:val="2"/>
          <w:lang w:eastAsia="zh-CN"/>
        </w:rPr>
      </w:r>
      <w:r>
        <w:rPr>
          <w:rFonts w:hint="eastAsia" w:cs="Times New Roman"/>
          <w:kern w:val="2"/>
          <w:lang w:eastAsia="zh-CN"/>
        </w:rPr>
      </w:r>
      <w:r>
        <w:rPr>
          <w:rFonts w:cs="Times New Roman"/>
          <w:kern w:val="2"/>
          <w:lang w:eastAsia="zh-CN"/>
        </w:rPr>
      </w:r>
    </w:p>
    <w:p w14:paraId="415B8AEC">
      <w:pPr>
        <w:widowControl w:val="0"/>
        <w:spacing w:before="0" w:line="360" w:lineRule="auto"/>
        <w:ind w:firstLine="480"/>
        <w:jc w:val="center"/>
        <w:rPr>
          <w:rFonts w:cs="Times New Roman"/>
          <w:kern w:val="2"/>
          <w:lang w:eastAsia="zh-CN"/>
        </w:rPr>
      </w:pPr>
      <w:r>
        <w:rPr>
          <w:rFonts w:hint="eastAsia" w:cs="Times New Roman"/>
          <w:kern w:val="2"/>
          <w:lang w:eastAsia="zh-CN"/>
        </w:rPr>
        <w:t>合同研究组织：＿＿＿＿＿＿</w:t>
      </w:r>
      <w:r>
        <w:rPr>
          <w:rFonts w:cs="Times New Roman"/>
          <w:kern w:val="2"/>
          <w:lang w:eastAsia="zh-CN"/>
        </w:rPr>
      </w:r>
      <w:r>
        <w:rPr>
          <w:rFonts w:hint="eastAsia" w:cs="Times New Roman"/>
          <w:kern w:val="2"/>
          <w:lang w:eastAsia="zh-CN"/>
        </w:rPr>
      </w:r>
      <w:r>
        <w:rPr>
          <w:rFonts w:cs="Times New Roman"/>
          <w:kern w:val="2"/>
          <w:lang w:eastAsia="zh-CN"/>
        </w:rPr>
      </w:r>
      <w:bookmarkEnd w:id="0"/>
    </w:p>
    <w:p w14:paraId="6FED480A">
      <w:pPr>
        <w:pStyle w:val="16"/>
        <w:tabs>
          <w:tab w:val="center" w:pos="4153"/>
          <w:tab w:val="right" w:pos="8306"/>
          <w:tab w:val="clear" w:pos="4513"/>
          <w:tab w:val="clear" w:pos="9026"/>
        </w:tabs>
        <w:spacing w:before="0" w:line="360" w:lineRule="auto"/>
        <w:ind w:firstLine="480" w:firstLineChars="200"/>
        <w:rPr>
          <w:lang w:eastAsia="zh-CN"/>
        </w:rPr>
      </w:pPr>
    </w:p>
    <w:p w14:paraId="7CF18C55">
      <w:pPr>
        <w:pStyle w:val="16"/>
        <w:tabs>
          <w:tab w:val="center" w:pos="4153"/>
          <w:tab w:val="right" w:pos="8306"/>
          <w:tab w:val="clear" w:pos="4513"/>
          <w:tab w:val="clear" w:pos="9026"/>
        </w:tabs>
        <w:spacing w:before="0" w:line="360" w:lineRule="auto"/>
        <w:ind w:firstLine="480" w:firstLineChars="200"/>
        <w:rPr>
          <w:color w:val="00B0F0"/>
          <w:lang w:eastAsia="zh-CN"/>
        </w:rPr>
      </w:pPr>
    </w:p>
    <w:p w14:paraId="59A19DE0">
      <w:pPr>
        <w:pStyle w:val="16"/>
        <w:tabs>
          <w:tab w:val="center" w:pos="4153"/>
          <w:tab w:val="right" w:pos="8306"/>
          <w:tab w:val="clear" w:pos="4513"/>
          <w:tab w:val="clear" w:pos="9026"/>
        </w:tabs>
        <w:spacing w:before="0" w:line="360" w:lineRule="auto"/>
        <w:ind w:firstLine="480" w:firstLineChars="200"/>
        <w:rPr>
          <w:color w:val="00B0F0"/>
          <w:lang w:eastAsia="zh-CN"/>
        </w:rPr>
      </w:pPr>
    </w:p>
    <w:p w14:paraId="2832841A">
      <w:pPr>
        <w:pStyle w:val="16"/>
        <w:tabs>
          <w:tab w:val="center" w:pos="4153"/>
          <w:tab w:val="right" w:pos="8306"/>
          <w:tab w:val="clear" w:pos="4513"/>
          <w:tab w:val="clear" w:pos="9026"/>
        </w:tabs>
        <w:spacing w:before="0" w:line="360" w:lineRule="auto"/>
        <w:ind w:firstLine="480" w:firstLineChars="200"/>
        <w:rPr>
          <w:color w:val="00B0F0"/>
          <w:lang w:eastAsia="zh-CN"/>
        </w:rPr>
      </w:pPr>
      <w:r>
        <w:rPr>
          <w:color w:val="00B0F0"/>
          <w:lang w:eastAsia="zh-CN"/>
        </w:rPr>
        <w:t>所有版本都应当具有版本号和日期。</w:t>
      </w:r>
    </w:p>
    <w:p w14:paraId="3502983C">
      <w:pPr>
        <w:pStyle w:val="16"/>
        <w:tabs>
          <w:tab w:val="center" w:pos="4153"/>
          <w:tab w:val="right" w:pos="8306"/>
          <w:tab w:val="clear" w:pos="4513"/>
          <w:tab w:val="clear" w:pos="9026"/>
        </w:tabs>
        <w:spacing w:before="0" w:line="360" w:lineRule="auto"/>
        <w:ind w:firstLine="480" w:firstLineChars="200"/>
        <w:rPr>
          <w:color w:val="00B0F0"/>
          <w:lang w:eastAsia="zh-CN"/>
        </w:rPr>
      </w:pPr>
      <w:r>
        <w:rPr>
          <w:rFonts w:hint="eastAsia"/>
          <w:color w:val="00B0F0"/>
          <w:lang w:eastAsia="zh-CN"/>
        </w:rPr>
        <w:t>保密声明。示例如下：</w:t>
      </w:r>
    </w:p>
    <w:p w14:paraId="3F9717E1">
      <w:pPr>
        <w:spacing w:before="0" w:line="360" w:lineRule="auto"/>
        <w:rPr>
          <w:lang w:eastAsia="zh-CN"/>
        </w:rPr>
      </w:pPr>
      <w:r>
        <w:rPr>
          <w:lang w:val="en-US"/>
        </w:rPr>
        <mc:AlternateContent>
          <mc:Choice Requires="wps">
            <w:drawing>
              <wp:anchor distT="45720" distB="45720" distL="114300" distR="114300" simplePos="0" relativeHeight="251662336" behindDoc="0" locked="0" layoutInCell="1" allowOverlap="1">
                <wp:simplePos x="0" y="0"/>
                <wp:positionH relativeFrom="column">
                  <wp:posOffset>5080</wp:posOffset>
                </wp:positionH>
                <wp:positionV relativeFrom="paragraph">
                  <wp:posOffset>635635</wp:posOffset>
                </wp:positionV>
                <wp:extent cx="6321425" cy="1205865"/>
                <wp:effectExtent l="0" t="0" r="22225" b="13335"/>
                <wp:wrapSquare wrapText="bothSides"/>
                <wp:docPr id="217" name="文本框 2"/>
                <wp:cNvGraphicFramePr/>
                <a:graphic xmlns:a="http://schemas.openxmlformats.org/drawingml/2006/main">
                  <a:graphicData uri="http://schemas.microsoft.com/office/word/2010/wordprocessingShape">
                    <wps:wsp>
                      <wps:cNvSpPr txBox="1"/>
                      <wps:spPr bwMode="auto">
                        <a:xfrm>
                          <a:off x="0" y="0"/>
                          <a:ext cx="6321425" cy="1205865"/>
                        </a:xfrm>
                        <a:prstGeom prst="rect">
                          <a:avLst/>
                        </a:prstGeom>
                        <a:solidFill>
                          <a:srgbClr val="FFFFFF"/>
                        </a:solidFill>
                        <a:ln w="9525">
                          <a:solidFill>
                            <a:srgbClr val="000000"/>
                          </a:solidFill>
                          <a:miter lim="800000"/>
                        </a:ln>
                      </wps:spPr>
                      <wps:txbx>
                        <w:txbxContent>
                          <w:p w14:paraId="4B6BE29D">
                            <w:pPr>
                              <w:pStyle w:val="16"/>
                              <w:tabs>
                                <w:tab w:val="center" w:pos="4153"/>
                                <w:tab w:val="right" w:pos="8306"/>
                                <w:tab w:val="clear" w:pos="4513"/>
                                <w:tab w:val="clear" w:pos="9026"/>
                              </w:tabs>
                              <w:spacing w:before="0" w:line="360" w:lineRule="auto"/>
                              <w:ind w:firstLine="480" w:firstLineChars="200"/>
                              <w:jc w:val="center"/>
                              <w:rPr>
                                <w:rFonts w:ascii="宋体" w:hAnsi="宋体"/>
                                <w:szCs w:val="24"/>
                                <w:lang w:eastAsia="zh-CN"/>
                              </w:rPr>
                            </w:pPr>
                            <w:r>
                              <w:rPr>
                                <w:rFonts w:ascii="宋体" w:hAnsi="宋体"/>
                                <w:szCs w:val="24"/>
                                <w:lang w:eastAsia="zh-CN"/>
                              </w:rPr>
                              <w:t>保密声明本文件包含重要的保密性商业信息，此信息属康哲所有，不得公开，除非现行法律或法规要求。必须将此保密要求告知所有收到本文件的人员，此要求同样适用于所有将来提供给您的著有注有保密性质的文件。保密声明本文件包含重要的保密性商业信息，此信息属康哲所有，不得公开，除非现行法律或法规要求。必须将此保密要求告知所有收到本文件的人员，此要求同样适用于所有将来提供给您的著有注有保密性质的文件。</w:t>
                            </w:r>
                          </w:p>
                          <w:p w14:paraId="04E19028">
                            <w:pPr>
                              <w:spacing w:before="0" w:line="360" w:lineRule="auto"/>
                              <w:ind w:firstLine="480" w:firstLineChars="200"/>
                              <w:rPr>
                                <w:rFonts w:ascii="宋体" w:hAnsi="宋体"/>
                                <w:szCs w:val="24"/>
                                <w:lang w:eastAsia="zh-CN"/>
                              </w:rPr>
                            </w:pPr>
                            <w:r>
                              <w:rPr>
                                <w:rFonts w:ascii="宋体" w:hAnsi="宋体"/>
                                <w:szCs w:val="24"/>
                                <w:lang w:eastAsia="zh-CN"/>
                              </w:rPr>
                              <w:t/>
                            </w:r>
                            <w:r>
                              <w:rPr>
                                <w:rFonts w:ascii="宋体" w:hAnsi="宋体"/>
                                <w:b/>
                                <w:bCs/>
                                <w:szCs w:val="24"/>
                                <w:lang w:eastAsia="zh-CN"/>
                              </w:rPr>
                              <w:t/>
                            </w:r>
                            <w:r>
                              <w:rPr>
                                <w:rFonts w:hint="eastAsia" w:ascii="宋体" w:hAnsi="宋体"/>
                                <w:b/>
                                <w:bCs/>
                                <w:szCs w:val="24"/>
                                <w:lang w:eastAsia="zh-CN"/>
                              </w:rPr>
                              <w:t/>
                            </w:r>
                            <w:r>
                              <w:rPr>
                                <w:rFonts w:ascii="宋体" w:hAnsi="宋体"/>
                                <w:b/>
                                <w:bCs/>
                                <w:szCs w:val="24"/>
                                <w:lang w:eastAsia="zh-CN"/>
                              </w:rPr>
                              <w:t/>
                            </w:r>
                            <w:r>
                              <w:rPr>
                                <w:rFonts w:ascii="宋体" w:hAnsi="宋体"/>
                                <w:szCs w:val="24"/>
                                <w:lang w:eastAsia="zh-CN"/>
                              </w:rPr>
                              <w:t/>
                            </w:r>
                            <w:r>
                              <w:rPr>
                                <w:rFonts w:hint="eastAsia" w:ascii="宋体" w:hAnsi="宋体"/>
                                <w:szCs w:val="24"/>
                                <w:lang w:eastAsia="zh-CN"/>
                              </w:rPr>
                              <w:t/>
                            </w:r>
                            <w:r>
                              <w:rPr>
                                <w:rFonts w:ascii="宋体" w:hAnsi="宋体"/>
                                <w:szCs w:val="24"/>
                                <w:lang w:eastAsia="zh-CN"/>
                              </w:rPr>
                              <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4pt;margin-top:50.05pt;height:94.95pt;width:497.75pt;mso-wrap-distance-bottom:3.6pt;mso-wrap-distance-left:9pt;mso-wrap-distance-right:9pt;mso-wrap-distance-top:3.6pt;z-index:251662336;mso-width-relative:page;mso-height-relative:page;" fillcolor="#FFFFFF" filled="t" stroked="t" coordsize="21600,21600" o:gfxdata="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7cNp21wAA&#10;AAgBAAAPAAAAAAAAAAEAIAAAACIAAABkcnMvZG93bnJldi54bWxQSwECFAAUAAAACACHTuJAGKjl&#10;QB8CAABOBAAADgAAAAAAAAABACAAAAAmAQAAZHJzL2Uyb0RvYy54bWxQSwUGAAAAAAYABgBZAQAA&#10;twUAAAAA&#10;">
                <v:fill on="t" focussize="0,0"/>
                <v:stroke color="#000000" miterlimit="8" joinstyle="miter"/>
                <v:imagedata o:title=""/>
                <o:lock v:ext="edit" aspectratio="f"/>
                <v:textbox>
                  <w:txbxContent>
                    <w:p w14:paraId="4B6BE29D">
                      <w:pPr>
                        <w:pStyle w:val="16"/>
                        <w:tabs>
                          <w:tab w:val="center" w:pos="4153"/>
                          <w:tab w:val="right" w:pos="8306"/>
                          <w:tab w:val="clear" w:pos="4513"/>
                          <w:tab w:val="clear" w:pos="9026"/>
                        </w:tabs>
                        <w:spacing w:before="0" w:line="360" w:lineRule="auto"/>
                        <w:ind w:firstLine="480" w:firstLineChars="200"/>
                        <w:jc w:val="center"/>
                        <w:rPr>
                          <w:rFonts w:ascii="宋体" w:hAnsi="宋体"/>
                          <w:szCs w:val="24"/>
                          <w:lang w:eastAsia="zh-CN"/>
                        </w:rPr>
                      </w:pPr>
                      <w:r>
                        <w:rPr>
                          <w:rFonts w:ascii="宋体" w:hAnsi="宋体"/>
                          <w:szCs w:val="24"/>
                          <w:lang w:eastAsia="zh-CN"/>
                        </w:rPr>
                        <w:t/>
                      </w:r>
                    </w:p>
                    <w:p w14:paraId="04E19028">
                      <w:pPr>
                        <w:spacing w:before="0" w:line="360" w:lineRule="auto"/>
                        <w:ind w:firstLine="480" w:firstLineChars="200"/>
                        <w:rPr>
                          <w:rFonts w:ascii="宋体" w:hAnsi="宋体"/>
                          <w:szCs w:val="24"/>
                          <w:lang w:eastAsia="zh-CN"/>
                        </w:rPr>
                      </w:pPr>
                      <w:r>
                        <w:rPr>
                          <w:rFonts w:ascii="宋体" w:hAnsi="宋体"/>
                          <w:szCs w:val="24"/>
                          <w:lang w:eastAsia="zh-CN"/>
                        </w:rPr>
                        <w:t/>
                      </w:r>
                      <w:r>
                        <w:rPr>
                          <w:rFonts w:ascii="宋体" w:hAnsi="宋体"/>
                          <w:b/>
                          <w:bCs/>
                          <w:szCs w:val="24"/>
                          <w:lang w:eastAsia="zh-CN"/>
                        </w:rPr>
                        <w:t/>
                      </w:r>
                      <w:r>
                        <w:rPr>
                          <w:rFonts w:hint="eastAsia" w:ascii="宋体" w:hAnsi="宋体"/>
                          <w:b/>
                          <w:bCs/>
                          <w:szCs w:val="24"/>
                          <w:lang w:eastAsia="zh-CN"/>
                        </w:rPr>
                        <w:t/>
                      </w:r>
                      <w:r>
                        <w:rPr>
                          <w:rFonts w:ascii="宋体" w:hAnsi="宋体"/>
                          <w:b/>
                          <w:bCs/>
                          <w:szCs w:val="24"/>
                          <w:lang w:eastAsia="zh-CN"/>
                        </w:rPr>
                        <w:t/>
                      </w:r>
                      <w:r>
                        <w:rPr>
                          <w:rFonts w:ascii="宋体" w:hAnsi="宋体"/>
                          <w:szCs w:val="24"/>
                          <w:lang w:eastAsia="zh-CN"/>
                        </w:rPr>
                        <w:t/>
                      </w:r>
                      <w:r>
                        <w:rPr>
                          <w:rFonts w:hint="eastAsia" w:ascii="宋体" w:hAnsi="宋体"/>
                          <w:szCs w:val="24"/>
                          <w:lang w:eastAsia="zh-CN"/>
                        </w:rPr>
                        <w:t/>
                      </w:r>
                      <w:r>
                        <w:rPr>
                          <w:rFonts w:ascii="宋体" w:hAnsi="宋体"/>
                          <w:szCs w:val="24"/>
                          <w:lang w:eastAsia="zh-CN"/>
                        </w:rPr>
                        <w:t/>
                      </w:r>
                    </w:p>
                  </w:txbxContent>
                </v:textbox>
                <w10:wrap type="square"/>
              </v:shape>
            </w:pict>
          </mc:Fallback>
        </mc:AlternateContent>
      </w:r>
    </w:p>
    <w:p w14:paraId="77FDFA9D">
      <w:pPr>
        <w:spacing w:before="0" w:line="360" w:lineRule="auto"/>
        <w:rPr>
          <w:lang w:eastAsia="zh-CN"/>
        </w:rPr>
        <w:sectPr>
          <w:headerReference r:id="rId5" w:type="default"/>
          <w:footerReference r:id="rId6" w:type="default"/>
          <w:headerReference w:type="first" r:id="rId17"/>
          <w:footerReference w:type="first" r:id="rId18"/>
          <w:headerReference w:type="even" r:id="rId19"/>
          <w:footerReference w:type="even" r:id="rId20"/>
          <w:pgSz w:w="11910" w:h="16840"/>
          <w:pgMar w:top="1440" w:right="1009" w:bottom="1440" w:left="1009" w:header="578" w:footer="578" w:gutter="0"/>
          <w:cols w:space="720" w:num="1"/>
        </w:sectPr>
      </w:pPr>
    </w:p>
    <w:p w14:paraId="2FE4B48D">
      <w:pPr>
        <w:pStyle w:val="2"/>
        <w:rPr>
          <w:rFonts w:cs="Times New Roman"/>
          <w:sz w:val="24"/>
          <w:lang w:eastAsia="zh-CN"/>
        </w:rPr>
      </w:pPr>
      <w:bookmarkStart w:id="2" w:name="_Toc132623298"/>
      <w:bookmarkStart w:id="3" w:name="_Toc104637453"/>
      <w:bookmarkStart w:id="4" w:name="_Hlk104637238"/>
      <w:bookmarkStart w:id="5" w:name="_Toc13665728"/>
      <w:bookmarkStart w:id="6" w:name="_Toc89520927"/>
      <w:bookmarkStart w:id="7" w:name="_Toc13665884"/>
      <w:bookmarkStart w:id="8" w:name="_Toc13554191"/>
      <w:bookmarkStart w:id="9" w:name="_Hlk89462804"/>
      <w:bookmarkStart w:id="10" w:name="_Toc12416123"/>
      <w:r>
        <w:rPr>
          <w:rFonts w:hint="eastAsia" w:cs="Times New Roman"/>
          <w:sz w:val="24"/>
          <w:lang w:eastAsia="zh-CN"/>
        </w:rPr>
        <w:t>方案修订历史记录</w:t>
      </w:r>
      <w:bookmarkEnd w:id="2"/>
      <w:bookmarkEnd w:id="3"/>
    </w:p>
    <w:p w14:paraId="73EF4163">
      <w:pPr>
        <w:widowControl w:val="0"/>
        <w:autoSpaceDE w:val="0"/>
        <w:autoSpaceDN w:val="0"/>
        <w:adjustRightInd w:val="0"/>
        <w:spacing w:before="0" w:line="360" w:lineRule="auto"/>
        <w:ind w:firstLine="480"/>
        <w:rPr>
          <w:rFonts w:cs="Times New Roman"/>
          <w:color w:val="00B0F0"/>
          <w:lang w:eastAsia="zh-CN"/>
        </w:rPr>
      </w:pPr>
      <w:r>
        <w:rPr>
          <w:rFonts w:hint="eastAsia" w:cs="Times New Roman"/>
          <w:color w:val="00B0F0"/>
          <w:lang w:eastAsia="zh-CN"/>
        </w:rPr>
        <w:t>以下表格旨在体现</w:t>
      </w:r>
      <w:r>
        <w:rPr>
          <w:rFonts w:hint="eastAsia" w:cs="Times New Roman"/>
          <w:b/>
          <w:color w:val="00B0F0"/>
          <w:lang w:eastAsia="zh-CN"/>
        </w:rPr>
        <w:t>历次</w:t>
      </w:r>
      <w:r>
        <w:rPr>
          <w:rFonts w:cs="Times New Roman"/>
          <w:b/>
          <w:color w:val="00B0F0"/>
          <w:lang w:eastAsia="zh-CN"/>
        </w:rPr>
        <w:t>EC</w:t>
      </w:r>
      <w:r>
        <w:rPr>
          <w:rFonts w:hint="eastAsia" w:cs="Times New Roman"/>
          <w:b/>
          <w:color w:val="00B0F0"/>
          <w:lang w:eastAsia="zh-CN"/>
        </w:rPr>
        <w:t>/IRB批准的方案版本变更情况</w:t>
      </w:r>
      <w:r>
        <w:rPr>
          <w:rFonts w:hint="eastAsia" w:cs="Times New Roman"/>
          <w:color w:val="00B0F0"/>
          <w:lang w:eastAsia="zh-CN"/>
        </w:rPr>
        <w:t>，包括修订内容描述及依据。当前修订案的变更汇总表应位于方案标题页。</w:t>
      </w:r>
      <w:r>
        <w:rPr>
          <w:rFonts w:cs="Times New Roman"/>
          <w:color w:val="00B0F0"/>
          <w:lang w:eastAsia="zh-CN"/>
        </w:rPr>
        <w:t xml:space="preserve"> </w:t>
      </w:r>
      <w:r>
        <w:rPr>
          <w:rFonts w:hint="eastAsia" w:cs="Times New Roman"/>
          <w:color w:val="00B0F0"/>
          <w:lang w:eastAsia="zh-CN"/>
        </w:rPr>
        <w:t>如不需要，可删除本页</w:t>
      </w:r>
    </w:p>
    <w:tbl>
      <w:tblPr>
        <w:tblStyle w:val="27"/>
        <w:tblW w:w="9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134"/>
        <w:gridCol w:w="5244"/>
        <w:gridCol w:w="2030"/>
      </w:tblGrid>
      <w:tr w14:paraId="310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555" w:type="dxa"/>
            <w:tcBorders>
              <w:top w:val="single" w:color="auto" w:sz="4" w:space="0"/>
              <w:left w:val="single" w:color="auto" w:sz="4" w:space="0"/>
              <w:bottom w:val="single" w:color="auto" w:sz="4" w:space="0"/>
              <w:right w:val="single" w:color="auto" w:sz="4" w:space="0"/>
            </w:tcBorders>
          </w:tcPr>
          <w:p w14:paraId="3CAC6DB3">
            <w:pPr>
              <w:autoSpaceDE w:val="0"/>
              <w:autoSpaceDN w:val="0"/>
              <w:adjustRightInd w:val="0"/>
              <w:spacing w:before="0" w:line="360" w:lineRule="auto"/>
              <w:jc w:val="center"/>
              <w:rPr>
                <w:rFonts w:cs="Times New Roman"/>
                <w:sz w:val="21"/>
                <w:szCs w:val="21"/>
              </w:rPr>
            </w:pPr>
            <w:r>
              <w:rPr>
                <w:rFonts w:hint="eastAsia" w:cs="Times New Roman"/>
                <w:sz w:val="21"/>
                <w:szCs w:val="21"/>
              </w:rPr>
              <w:t>版本</w:t>
            </w:r>
          </w:p>
        </w:tc>
        <w:tc>
          <w:tcPr>
            <w:tcW w:w="1134" w:type="dxa"/>
            <w:tcBorders>
              <w:top w:val="single" w:color="auto" w:sz="4" w:space="0"/>
              <w:left w:val="single" w:color="auto" w:sz="4" w:space="0"/>
              <w:bottom w:val="single" w:color="auto" w:sz="4" w:space="0"/>
              <w:right w:val="single" w:color="auto" w:sz="4" w:space="0"/>
            </w:tcBorders>
          </w:tcPr>
          <w:p w14:paraId="3DF933E2">
            <w:pPr>
              <w:autoSpaceDE w:val="0"/>
              <w:autoSpaceDN w:val="0"/>
              <w:adjustRightInd w:val="0"/>
              <w:spacing w:before="0" w:line="360" w:lineRule="auto"/>
              <w:jc w:val="center"/>
              <w:rPr>
                <w:rFonts w:cs="Times New Roman"/>
                <w:sz w:val="21"/>
                <w:szCs w:val="21"/>
              </w:rPr>
            </w:pPr>
            <w:r>
              <w:rPr>
                <w:rFonts w:hint="eastAsia" w:cs="Times New Roman"/>
                <w:sz w:val="21"/>
                <w:szCs w:val="21"/>
              </w:rPr>
              <w:t>日期</w:t>
            </w:r>
          </w:p>
        </w:tc>
        <w:tc>
          <w:tcPr>
            <w:tcW w:w="5244" w:type="dxa"/>
            <w:tcBorders>
              <w:top w:val="single" w:color="auto" w:sz="4" w:space="0"/>
              <w:left w:val="single" w:color="auto" w:sz="4" w:space="0"/>
              <w:bottom w:val="single" w:color="auto" w:sz="4" w:space="0"/>
              <w:right w:val="single" w:color="auto" w:sz="4" w:space="0"/>
            </w:tcBorders>
          </w:tcPr>
          <w:p w14:paraId="1C48465C">
            <w:pPr>
              <w:autoSpaceDE w:val="0"/>
              <w:autoSpaceDN w:val="0"/>
              <w:adjustRightInd w:val="0"/>
              <w:spacing w:before="0" w:line="360" w:lineRule="auto"/>
              <w:jc w:val="center"/>
              <w:rPr>
                <w:rFonts w:cs="Times New Roman"/>
                <w:sz w:val="21"/>
                <w:szCs w:val="21"/>
              </w:rPr>
            </w:pPr>
            <w:r>
              <w:rPr>
                <w:rFonts w:hint="eastAsia" w:cs="Times New Roman"/>
                <w:sz w:val="21"/>
                <w:szCs w:val="21"/>
              </w:rPr>
              <w:t>变更描述</w:t>
            </w:r>
          </w:p>
        </w:tc>
        <w:tc>
          <w:tcPr>
            <w:tcW w:w="2030" w:type="dxa"/>
            <w:tcBorders>
              <w:top w:val="single" w:color="auto" w:sz="4" w:space="0"/>
              <w:left w:val="single" w:color="auto" w:sz="4" w:space="0"/>
              <w:bottom w:val="single" w:color="auto" w:sz="4" w:space="0"/>
              <w:right w:val="single" w:color="auto" w:sz="4" w:space="0"/>
            </w:tcBorders>
          </w:tcPr>
          <w:p w14:paraId="1BC0086C">
            <w:pPr>
              <w:autoSpaceDE w:val="0"/>
              <w:autoSpaceDN w:val="0"/>
              <w:adjustRightInd w:val="0"/>
              <w:spacing w:before="0" w:line="360" w:lineRule="auto"/>
              <w:jc w:val="center"/>
              <w:rPr>
                <w:rFonts w:cs="Times New Roman"/>
                <w:sz w:val="21"/>
                <w:szCs w:val="21"/>
              </w:rPr>
            </w:pPr>
            <w:r>
              <w:rPr>
                <w:rFonts w:hint="eastAsia" w:cs="Times New Roman"/>
                <w:sz w:val="21"/>
                <w:szCs w:val="21"/>
              </w:rPr>
              <w:t>简要依据</w:t>
            </w:r>
          </w:p>
        </w:tc>
      </w:tr>
      <w:tr w14:paraId="0FD9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47E8C262">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4775F1FB">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12D115DC">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7A404D12">
            <w:pPr>
              <w:autoSpaceDE w:val="0"/>
              <w:autoSpaceDN w:val="0"/>
              <w:adjustRightInd w:val="0"/>
              <w:spacing w:before="0" w:line="360" w:lineRule="auto"/>
              <w:ind w:firstLine="420" w:firstLineChars="200"/>
              <w:jc w:val="left"/>
              <w:rPr>
                <w:rFonts w:cs="Times New Roman"/>
                <w:sz w:val="21"/>
                <w:szCs w:val="21"/>
              </w:rPr>
            </w:pPr>
          </w:p>
        </w:tc>
      </w:tr>
      <w:tr w14:paraId="2D86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294B900D">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52E21B49">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473DB42F">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253641CC">
            <w:pPr>
              <w:autoSpaceDE w:val="0"/>
              <w:autoSpaceDN w:val="0"/>
              <w:adjustRightInd w:val="0"/>
              <w:spacing w:before="0" w:line="360" w:lineRule="auto"/>
              <w:ind w:firstLine="420" w:firstLineChars="200"/>
              <w:jc w:val="left"/>
              <w:rPr>
                <w:rFonts w:cs="Times New Roman"/>
                <w:sz w:val="21"/>
                <w:szCs w:val="21"/>
              </w:rPr>
            </w:pPr>
          </w:p>
        </w:tc>
      </w:tr>
      <w:tr w14:paraId="163C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2DBD42FD">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50BFB4E8">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658C0FAE">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49427986">
            <w:pPr>
              <w:autoSpaceDE w:val="0"/>
              <w:autoSpaceDN w:val="0"/>
              <w:adjustRightInd w:val="0"/>
              <w:spacing w:before="0" w:line="360" w:lineRule="auto"/>
              <w:ind w:firstLine="420" w:firstLineChars="200"/>
              <w:jc w:val="left"/>
              <w:rPr>
                <w:rFonts w:cs="Times New Roman"/>
                <w:sz w:val="21"/>
                <w:szCs w:val="21"/>
              </w:rPr>
            </w:pPr>
          </w:p>
        </w:tc>
      </w:tr>
      <w:tr w14:paraId="7BA9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Borders>
              <w:top w:val="single" w:color="auto" w:sz="4" w:space="0"/>
              <w:left w:val="single" w:color="auto" w:sz="4" w:space="0"/>
              <w:bottom w:val="single" w:color="auto" w:sz="4" w:space="0"/>
              <w:right w:val="single" w:color="auto" w:sz="4" w:space="0"/>
            </w:tcBorders>
          </w:tcPr>
          <w:p w14:paraId="3C1332E8">
            <w:pPr>
              <w:autoSpaceDE w:val="0"/>
              <w:autoSpaceDN w:val="0"/>
              <w:adjustRightInd w:val="0"/>
              <w:spacing w:before="0" w:line="360" w:lineRule="auto"/>
              <w:ind w:firstLine="420" w:firstLineChars="200"/>
              <w:jc w:val="left"/>
              <w:rPr>
                <w:rFonts w:cs="Times New Roman"/>
                <w:sz w:val="21"/>
                <w:szCs w:val="21"/>
              </w:rPr>
            </w:pPr>
          </w:p>
        </w:tc>
        <w:tc>
          <w:tcPr>
            <w:tcW w:w="1134" w:type="dxa"/>
            <w:tcBorders>
              <w:top w:val="single" w:color="auto" w:sz="4" w:space="0"/>
              <w:left w:val="single" w:color="auto" w:sz="4" w:space="0"/>
              <w:bottom w:val="single" w:color="auto" w:sz="4" w:space="0"/>
              <w:right w:val="single" w:color="auto" w:sz="4" w:space="0"/>
            </w:tcBorders>
          </w:tcPr>
          <w:p w14:paraId="4794C8CB">
            <w:pPr>
              <w:autoSpaceDE w:val="0"/>
              <w:autoSpaceDN w:val="0"/>
              <w:adjustRightInd w:val="0"/>
              <w:spacing w:before="0" w:line="360" w:lineRule="auto"/>
              <w:ind w:firstLine="420" w:firstLineChars="200"/>
              <w:jc w:val="left"/>
              <w:rPr>
                <w:rFonts w:cs="Times New Roman"/>
                <w:sz w:val="21"/>
                <w:szCs w:val="21"/>
              </w:rPr>
            </w:pPr>
          </w:p>
        </w:tc>
        <w:tc>
          <w:tcPr>
            <w:tcW w:w="5244" w:type="dxa"/>
            <w:tcBorders>
              <w:top w:val="single" w:color="auto" w:sz="4" w:space="0"/>
              <w:left w:val="single" w:color="auto" w:sz="4" w:space="0"/>
              <w:bottom w:val="single" w:color="auto" w:sz="4" w:space="0"/>
              <w:right w:val="single" w:color="auto" w:sz="4" w:space="0"/>
            </w:tcBorders>
          </w:tcPr>
          <w:p w14:paraId="31E7FDC5">
            <w:pPr>
              <w:autoSpaceDE w:val="0"/>
              <w:autoSpaceDN w:val="0"/>
              <w:adjustRightInd w:val="0"/>
              <w:spacing w:before="0" w:line="360" w:lineRule="auto"/>
              <w:ind w:firstLine="420" w:firstLineChars="200"/>
              <w:jc w:val="left"/>
              <w:rPr>
                <w:rFonts w:cs="Times New Roman"/>
                <w:sz w:val="21"/>
                <w:szCs w:val="21"/>
              </w:rPr>
            </w:pPr>
          </w:p>
        </w:tc>
        <w:tc>
          <w:tcPr>
            <w:tcW w:w="2030" w:type="dxa"/>
            <w:tcBorders>
              <w:top w:val="single" w:color="auto" w:sz="4" w:space="0"/>
              <w:left w:val="single" w:color="auto" w:sz="4" w:space="0"/>
              <w:bottom w:val="single" w:color="auto" w:sz="4" w:space="0"/>
              <w:right w:val="single" w:color="auto" w:sz="4" w:space="0"/>
            </w:tcBorders>
          </w:tcPr>
          <w:p w14:paraId="2BFF493B">
            <w:pPr>
              <w:autoSpaceDE w:val="0"/>
              <w:autoSpaceDN w:val="0"/>
              <w:adjustRightInd w:val="0"/>
              <w:spacing w:before="0" w:line="360" w:lineRule="auto"/>
              <w:ind w:firstLine="420" w:firstLineChars="200"/>
              <w:jc w:val="left"/>
              <w:rPr>
                <w:rFonts w:cs="Times New Roman"/>
                <w:sz w:val="21"/>
                <w:szCs w:val="21"/>
              </w:rPr>
            </w:pPr>
          </w:p>
        </w:tc>
      </w:tr>
      <w:bookmarkEnd w:id="4"/>
    </w:tbl>
    <w:p w14:paraId="772A6153">
      <w:pPr>
        <w:spacing w:before="0" w:line="240" w:lineRule="auto"/>
        <w:jc w:val="left"/>
        <w:rPr>
          <w:rFonts w:cstheme="majorBidi"/>
          <w:b/>
          <w:sz w:val="28"/>
          <w:szCs w:val="28"/>
          <w:lang w:eastAsia="zh-CN"/>
        </w:rPr>
      </w:pPr>
    </w:p>
    <w:p w14:paraId="2A81DC1A">
      <w:pPr>
        <w:spacing w:before="0" w:line="240" w:lineRule="auto"/>
        <w:jc w:val="left"/>
        <w:rPr>
          <w:rFonts w:cstheme="majorBidi"/>
          <w:b/>
          <w:sz w:val="28"/>
          <w:szCs w:val="28"/>
          <w:lang w:eastAsia="zh-CN"/>
        </w:rPr>
      </w:pPr>
      <w:r>
        <w:rPr>
          <w:rFonts w:cstheme="majorBidi"/>
          <w:b/>
          <w:sz w:val="28"/>
          <w:szCs w:val="28"/>
          <w:lang w:eastAsia="zh-CN"/>
        </w:rPr>
        <w:br w:type="page"/>
      </w:r>
    </w:p>
    <w:p w14:paraId="65844D79">
      <w:pPr>
        <w:pStyle w:val="2"/>
        <w:jc w:val="center"/>
        <w:rPr>
          <w:rFonts w:cs="Times New Roman"/>
          <w:sz w:val="24"/>
          <w:szCs w:val="24"/>
          <w:lang w:eastAsia="zh-CN"/>
        </w:rPr>
      </w:pPr>
      <w:bookmarkStart w:id="11" w:name="_Toc132623299"/>
      <w:r>
        <w:rPr>
          <w:rFonts w:hint="eastAsia" w:cs="Times New Roman"/>
          <w:sz w:val="24"/>
          <w:szCs w:val="24"/>
          <w:lang w:eastAsia="zh-CN"/>
        </w:rPr>
        <w:t>主要</w:t>
      </w:r>
      <w:r>
        <w:rPr>
          <w:rFonts w:cs="Times New Roman"/>
          <w:sz w:val="24"/>
          <w:szCs w:val="24"/>
          <w:lang w:eastAsia="zh-CN"/>
        </w:rPr>
        <w:t>研究者签字页</w:t>
      </w:r>
      <w:bookmarkEnd w:id="5"/>
      <w:bookmarkEnd w:id="6"/>
      <w:bookmarkEnd w:id="7"/>
      <w:bookmarkEnd w:id="8"/>
      <w:bookmarkEnd w:id="11"/>
    </w:p>
    <w:p w14:paraId="1F9CFF4A">
      <w:pPr>
        <w:spacing w:before="0" w:line="360" w:lineRule="auto"/>
        <w:ind w:firstLine="480"/>
        <w:rPr>
          <w:lang w:eastAsia="zh-CN"/>
        </w:rPr>
      </w:pPr>
    </w:p>
    <w:p w14:paraId="64FA75AC">
      <w:pPr>
        <w:spacing w:before="0" w:line="360" w:lineRule="auto"/>
        <w:ind w:firstLine="482"/>
        <w:rPr>
          <w:lang w:eastAsia="zh-CN"/>
        </w:rPr>
      </w:pPr>
      <w:r>
        <w:rPr>
          <w:lang w:eastAsia="zh-CN"/>
        </w:rPr>
        <w:t>[我已阅读此临床试验方案（方案编号：PV3-69F53457，版本号：v1.0，版本日期：2026-09-19），同意依照此方案的所有条款、现行法规和赫尔辛基宣言中的伦理原则进行临床试验。</w:t>
      </w:r>
      <w:r>
        <w:rPr>
          <w:rFonts w:hint="eastAsia"/>
          <w:lang w:eastAsia="zh-CN"/>
        </w:rPr>
      </w:r>
      <w:r>
        <w:rPr>
          <w:lang w:eastAsia="zh-CN"/>
        </w:rPr>
      </w:r>
    </w:p>
    <w:p w14:paraId="778145BC">
      <w:pPr>
        <w:spacing w:before="0" w:line="360" w:lineRule="auto"/>
        <w:ind w:firstLine="480"/>
        <w:rPr>
          <w:lang w:eastAsia="zh-CN"/>
        </w:rPr>
      </w:pPr>
    </w:p>
    <w:p w14:paraId="355D3FF9">
      <w:pPr>
        <w:spacing w:before="0" w:line="360" w:lineRule="auto"/>
        <w:ind w:firstLine="480"/>
        <w:rPr>
          <w:lang w:eastAsia="zh-CN"/>
        </w:rPr>
      </w:pPr>
    </w:p>
    <w:p w14:paraId="556C04E7">
      <w:pPr>
        <w:spacing w:before="0" w:line="360" w:lineRule="auto"/>
        <w:ind w:firstLine="480"/>
        <w:rPr>
          <w:lang w:eastAsia="zh-CN"/>
        </w:rPr>
      </w:pPr>
      <w:r>
        <w:rPr>
          <w:lang w:eastAsia="zh-CN"/>
        </w:rPr>
        <w:t>临床研究单位：＿＿＿＿＿＿＿＿</w:t>
      </w:r>
    </w:p>
    <w:p w14:paraId="2C04FCC4">
      <w:pPr>
        <w:spacing w:before="0" w:line="360" w:lineRule="auto"/>
        <w:ind w:firstLine="480"/>
        <w:rPr>
          <w:lang w:eastAsia="zh-CN"/>
        </w:rPr>
      </w:pPr>
    </w:p>
    <w:p w14:paraId="5661C5CA">
      <w:pPr>
        <w:adjustRightInd w:val="0"/>
        <w:snapToGrid w:val="0"/>
        <w:spacing w:before="0" w:line="360" w:lineRule="auto"/>
        <w:ind w:firstLine="480"/>
        <w:rPr>
          <w:lang w:eastAsia="zh-CN"/>
        </w:rPr>
      </w:pPr>
      <w:r>
        <w:rPr>
          <w:lang w:eastAsia="zh-CN"/>
        </w:rPr>
        <w:t>主要研究者签名／日期</w:t>
      </w:r>
      <w:r>
        <w:rPr>
          <w:rFonts w:hint="eastAsia"/>
          <w:lang w:eastAsia="zh-CN"/>
        </w:rPr>
        <w:t>：</w:t>
      </w:r>
    </w:p>
    <w:p w14:paraId="7FEDC75F">
      <w:pPr>
        <w:adjustRightInd w:val="0"/>
        <w:snapToGrid w:val="0"/>
        <w:spacing w:before="0" w:line="360" w:lineRule="auto"/>
        <w:ind w:firstLine="480"/>
        <w:rPr>
          <w:lang w:eastAsia="zh-CN"/>
        </w:rPr>
      </w:pPr>
      <w:r>
        <w:rPr>
          <w:rFonts w:hint="eastAsia"/>
          <w:lang w:eastAsia="zh-CN"/>
        </w:rPr>
        <w:t xml:space="preserve"> </w:t>
      </w:r>
      <w:r>
        <w:rPr>
          <w:lang w:eastAsia="zh-CN"/>
        </w:rPr>
        <w:t xml:space="preserve">                       </w:t>
      </w:r>
    </w:p>
    <w:p w14:paraId="6006846A">
      <w:pPr>
        <w:adjustRightInd w:val="0"/>
        <w:snapToGrid w:val="0"/>
        <w:spacing w:before="0" w:line="360" w:lineRule="auto"/>
        <w:ind w:firstLine="3600" w:firstLineChars="1500"/>
        <w:rPr>
          <w:lang w:val="zh-CN" w:eastAsia="zh-CN"/>
        </w:rPr>
      </w:pPr>
      <w: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315595</wp:posOffset>
                </wp:positionV>
                <wp:extent cx="3619500" cy="0"/>
                <wp:effectExtent l="0" t="0" r="0" b="0"/>
                <wp:wrapNone/>
                <wp:docPr id="27" name="直接连接符 27"/>
                <wp:cNvGraphicFramePr/>
                <a:graphic xmlns:a="http://schemas.openxmlformats.org/drawingml/2006/main">
                  <a:graphicData uri="http://schemas.microsoft.com/office/word/2010/wordprocessingShape">
                    <wps:wsp>
                      <wps:cNvCnPr/>
                      <wps:spPr bwMode="auto">
                        <a:xfrm>
                          <a:off x="0" y="0"/>
                          <a:ext cx="36195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24.85pt;height:0pt;width:285pt;z-index:251663360;mso-width-relative:page;mso-height-relative:page;" filled="f" stroked="t" coordsize="21600,21600" o:gfxdata="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MNGi+rUAAAABgEAAA8AAAAAAAAAAQAgAAAAIgAAAGRy&#10;cy9kb3ducmV2LnhtbFBLAQIUABQAAAAIAIdO4kCPPHZZ0AEAAIgDAAAOAAAAAAAAAAEAIAAAACMB&#10;AABkcnMvZTJvRG9jLnhtbFBLBQYAAAAABgAGAFkBAABlBQAAAAA=&#10;">
                <v:fill on="f" focussize="0,0"/>
                <v:stroke color="#000000" joinstyle="round"/>
                <v:imagedata o:title=""/>
                <o:lock v:ext="edit" aspectratio="f"/>
              </v:line>
            </w:pict>
          </mc:Fallback>
        </mc:AlternateContent>
      </w:r>
      <w:r>
        <w:rPr>
          <w:lang w:eastAsia="zh-CN"/>
        </w:rPr>
        <w:t>年     月     日]</w:t>
      </w:r>
    </w:p>
    <w:bookmarkEnd w:id="9"/>
    <w:p w14:paraId="4AE500BC">
      <w:pPr>
        <w:rPr>
          <w:lang w:eastAsia="zh-CN"/>
        </w:rPr>
      </w:pPr>
    </w:p>
    <w:p w14:paraId="1776759E">
      <w:pPr>
        <w:rPr>
          <w:lang w:eastAsia="zh-CN"/>
        </w:rPr>
      </w:pPr>
    </w:p>
    <w:p w14:paraId="0D023C7B">
      <w:pPr>
        <w:rPr>
          <w:lang w:eastAsia="zh-CN"/>
        </w:rPr>
      </w:pPr>
    </w:p>
    <w:p w14:paraId="36D73CEB">
      <w:pPr>
        <w:rPr>
          <w:lang w:eastAsia="zh-CN"/>
        </w:rPr>
      </w:pPr>
    </w:p>
    <w:p w14:paraId="584CD2EF">
      <w:pPr>
        <w:rPr>
          <w:lang w:eastAsia="zh-CN"/>
        </w:rPr>
      </w:pPr>
    </w:p>
    <w:p w14:paraId="71730C82">
      <w:pPr>
        <w:spacing w:before="0" w:line="240" w:lineRule="auto"/>
        <w:jc w:val="left"/>
        <w:rPr>
          <w:lang w:eastAsia="zh-CN"/>
        </w:rPr>
      </w:pPr>
      <w:r>
        <w:rPr>
          <w:lang w:eastAsia="zh-CN"/>
        </w:rPr>
        <w:br w:type="page"/>
      </w:r>
    </w:p>
    <w:p w14:paraId="1D527B4C">
      <w:pPr>
        <w:pStyle w:val="2"/>
        <w:jc w:val="center"/>
        <w:rPr>
          <w:rFonts w:cs="Times New Roman"/>
          <w:sz w:val="24"/>
          <w:szCs w:val="24"/>
          <w:lang w:eastAsia="zh-CN"/>
        </w:rPr>
      </w:pPr>
      <w:bookmarkStart w:id="12" w:name="_Toc13665885"/>
      <w:bookmarkStart w:id="13" w:name="_Toc13665729"/>
      <w:bookmarkStart w:id="14" w:name="_Toc13554192"/>
      <w:bookmarkStart w:id="15" w:name="_Toc132623300"/>
      <w:bookmarkStart w:id="16" w:name="_Toc89520928"/>
      <w:bookmarkStart w:id="17" w:name="_Hlk89462853"/>
      <w:r>
        <w:rPr>
          <w:rFonts w:cs="Times New Roman"/>
          <w:sz w:val="24"/>
          <w:szCs w:val="24"/>
          <w:lang w:eastAsia="zh-CN"/>
        </w:rPr>
        <w:t>申办者签字页</w:t>
      </w:r>
      <w:bookmarkEnd w:id="12"/>
      <w:bookmarkEnd w:id="13"/>
      <w:bookmarkEnd w:id="14"/>
      <w:bookmarkEnd w:id="15"/>
      <w:bookmarkEnd w:id="16"/>
    </w:p>
    <w:p w14:paraId="36110890">
      <w:pPr>
        <w:spacing w:before="0" w:line="360" w:lineRule="auto"/>
        <w:ind w:firstLine="482"/>
        <w:rPr>
          <w:lang w:eastAsia="zh-CN"/>
        </w:rPr>
      </w:pPr>
      <w:r>
        <w:rPr>
          <w:lang w:eastAsia="zh-CN"/>
        </w:rPr>
        <w:t>[我已阅读此临床试验方案（方案编号：PV3-69F53457，版本号：v1.0，版本日期：2026-09-19），同意依照此方案的所有条款、现行法规和赫尔辛基宣言中的伦理原则进行临床试验。</w:t>
      </w:r>
      <w:r>
        <w:rPr>
          <w:rFonts w:hint="eastAsia"/>
          <w:lang w:eastAsia="zh-CN"/>
        </w:rPr>
      </w:r>
      <w:r>
        <w:rPr>
          <w:lang w:eastAsia="zh-CN"/>
        </w:rPr>
      </w:r>
    </w:p>
    <w:p w14:paraId="46823F86">
      <w:pPr>
        <w:spacing w:before="0" w:line="360" w:lineRule="auto"/>
        <w:ind w:firstLine="480"/>
        <w:rPr>
          <w:lang w:eastAsia="zh-CN"/>
        </w:rPr>
      </w:pPr>
    </w:p>
    <w:p w14:paraId="0DCBDD49">
      <w:pPr>
        <w:spacing w:before="0" w:line="360" w:lineRule="auto"/>
        <w:ind w:firstLine="480"/>
        <w:rPr>
          <w:lang w:eastAsia="zh-CN"/>
        </w:rPr>
      </w:pPr>
    </w:p>
    <w:p w14:paraId="60F4F8AF">
      <w:pPr>
        <w:spacing w:before="0" w:line="360" w:lineRule="auto"/>
        <w:ind w:firstLine="480"/>
        <w:rPr>
          <w:lang w:eastAsia="zh-CN"/>
        </w:rPr>
      </w:pPr>
      <w:r>
        <w:rPr>
          <w:lang w:eastAsia="zh-CN"/>
        </w:rPr>
        <w:t>申办者：康哲</w:t>
      </w:r>
    </w:p>
    <w:p w14:paraId="30F53023">
      <w:pPr>
        <w:spacing w:before="0" w:line="360" w:lineRule="auto"/>
        <w:ind w:firstLine="480"/>
        <w:rPr>
          <w:lang w:eastAsia="zh-CN"/>
        </w:rPr>
      </w:pPr>
    </w:p>
    <w:p w14:paraId="49446B08">
      <w:pPr>
        <w:spacing w:before="0" w:line="360" w:lineRule="auto"/>
        <w:ind w:firstLine="480"/>
        <w:rPr>
          <w:lang w:eastAsia="zh-CN"/>
        </w:rPr>
      </w:pPr>
      <w:r>
        <w:rPr>
          <w:lang w:eastAsia="zh-CN"/>
        </w:rPr>
        <w:t>申办者代表签名／日期</w:t>
      </w:r>
      <w:r>
        <w:rPr>
          <w:rFonts w:hint="eastAsia"/>
          <w:lang w:eastAsia="zh-CN"/>
        </w:rPr>
        <w:t>：</w:t>
      </w:r>
    </w:p>
    <w:p w14:paraId="60CAF436">
      <w:pPr>
        <w:spacing w:before="0" w:line="360" w:lineRule="auto"/>
        <w:ind w:firstLine="480"/>
        <w:rPr>
          <w:lang w:eastAsia="zh-CN"/>
        </w:rPr>
      </w:pPr>
    </w:p>
    <w:p w14:paraId="6507A171">
      <w:pPr>
        <w:adjustRightInd w:val="0"/>
        <w:snapToGrid w:val="0"/>
        <w:spacing w:before="0" w:line="360" w:lineRule="auto"/>
        <w:ind w:firstLine="3600" w:firstLineChars="1500"/>
        <w:rPr>
          <w:lang w:eastAsia="zh-CN"/>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315595</wp:posOffset>
                </wp:positionV>
                <wp:extent cx="3619500" cy="0"/>
                <wp:effectExtent l="0" t="0" r="0" b="0"/>
                <wp:wrapNone/>
                <wp:docPr id="28" name="直接连接符 28"/>
                <wp:cNvGraphicFramePr/>
                <a:graphic xmlns:a="http://schemas.openxmlformats.org/drawingml/2006/main">
                  <a:graphicData uri="http://schemas.microsoft.com/office/word/2010/wordprocessingShape">
                    <wps:wsp>
                      <wps:cNvCnPr/>
                      <wps:spPr bwMode="auto">
                        <a:xfrm>
                          <a:off x="0" y="0"/>
                          <a:ext cx="36195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0pt;margin-top:24.85pt;height:0pt;width:285pt;z-index:251664384;mso-width-relative:page;mso-height-relative:page;" filled="f" stroked="t" coordsize="21600,21600" o:gfxdata="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w0aL6tQAAAAGAQAADwAAAAAAAAABACAAAAAiAAAAZHJz&#10;L2Rvd25yZXYueG1sUEsBAhQAFAAAAAgAh07iQMd3MNLPAQAAiAMAAA4AAAAAAAAAAQAgAAAAIwEA&#10;AGRycy9lMm9Eb2MueG1sUEsFBgAAAAAGAAYAWQEAAGQFAAAAAA==&#10;">
                <v:fill on="f" focussize="0,0"/>
                <v:stroke color="#000000" joinstyle="round"/>
                <v:imagedata o:title=""/>
                <o:lock v:ext="edit" aspectratio="f"/>
              </v:line>
            </w:pict>
          </mc:Fallback>
        </mc:AlternateContent>
      </w:r>
      <w:r>
        <w:rPr>
          <w:lang w:eastAsia="zh-CN"/>
        </w:rPr>
        <w:t>年     月     日</w:t>
      </w:r>
      <w:bookmarkEnd w:id="17"/>
      <w:r>
        <w:rPr>
          <w:lang w:eastAsia="zh-CN"/>
        </w:rPr>
        <w:t>]</w:t>
      </w:r>
    </w:p>
    <w:p w14:paraId="7737AF66">
      <w:pPr>
        <w:spacing w:before="0" w:line="360" w:lineRule="auto"/>
        <w:rPr>
          <w:lang w:eastAsia="zh-CN"/>
        </w:rPr>
      </w:pPr>
    </w:p>
    <w:p w14:paraId="1D527B4C">
      <w:pPr>
        <w:pStyle w:val="2"/>
        <w:jc w:val="center"/>
        <w:rPr>
          <w:rFonts w:cs="Times New Roman"/>
          <w:sz w:val="24"/>
          <w:szCs w:val="24"/>
          <w:lang w:eastAsia="zh-CN"/>
        </w:rPr>
      </w:pPr>
      <w:r>
        <w:rPr>
          <w:rFonts w:cs="Times New Roman"/>
          <w:sz w:val="24"/>
          <w:szCs w:val="24"/>
          <w:lang w:eastAsia="zh-CN"/>
        </w:rPr>
        <w:t>合同研究组织签字页</w:t>
      </w:r>
    </w:p>
    <w:p w14:paraId="36110890">
      <w:pPr>
        <w:spacing w:before="0" w:line="360" w:lineRule="auto"/>
        <w:ind w:firstLine="482"/>
        <w:rPr>
          <w:lang w:eastAsia="zh-CN"/>
        </w:rPr>
      </w:pPr>
      <w:r>
        <w:rPr>
          <w:lang w:eastAsia="zh-CN"/>
        </w:rPr>
        <w:t>[我已阅读此临床试验方案（方案编号：PV3-69F53457，版本号：v1.0，版本日期：2026-09-19），同意依照此方案的所有条款、现行法规和赫尔辛基宣言中的伦理原则进行临床试验。</w:t>
      </w:r>
      <w:r>
        <w:rPr>
          <w:rFonts w:hint="eastAsia"/>
          <w:lang w:eastAsia="zh-CN"/>
        </w:rPr>
      </w:r>
      <w:r>
        <w:rPr>
          <w:lang w:eastAsia="zh-CN"/>
        </w:rPr>
      </w:r>
    </w:p>
    <w:p w14:paraId="46823F86">
      <w:pPr>
        <w:spacing w:before="0" w:line="360" w:lineRule="auto"/>
        <w:ind w:firstLine="480"/>
        <w:rPr>
          <w:lang w:eastAsia="zh-CN"/>
        </w:rPr>
      </w:pPr>
    </w:p>
    <w:p w14:paraId="0DCBDD49">
      <w:pPr>
        <w:spacing w:before="0" w:line="360" w:lineRule="auto"/>
        <w:ind w:firstLine="480"/>
        <w:rPr>
          <w:lang w:eastAsia="zh-CN"/>
        </w:rPr>
      </w:pPr>
    </w:p>
    <w:p w14:paraId="60F4F8AF">
      <w:pPr>
        <w:spacing w:before="0" w:line="360" w:lineRule="auto"/>
        <w:ind w:firstLine="480"/>
        <w:rPr>
          <w:lang w:eastAsia="zh-CN"/>
        </w:rPr>
      </w:pPr>
      <w:r>
        <w:rPr>
          <w:lang w:eastAsia="zh-CN"/>
        </w:rPr>
        <w:t>合同研究组织：康哲</w:t>
      </w:r>
    </w:p>
    <w:p w14:paraId="30F53023">
      <w:pPr>
        <w:spacing w:before="0" w:line="360" w:lineRule="auto"/>
        <w:ind w:firstLine="480"/>
        <w:rPr>
          <w:lang w:eastAsia="zh-CN"/>
        </w:rPr>
      </w:pPr>
    </w:p>
    <w:p w14:paraId="49446B08">
      <w:pPr>
        <w:spacing w:before="0" w:line="360" w:lineRule="auto"/>
        <w:ind w:firstLine="480"/>
        <w:rPr>
          <w:lang w:eastAsia="zh-CN"/>
        </w:rPr>
      </w:pPr>
      <w:r>
        <w:rPr>
          <w:lang w:eastAsia="zh-CN"/>
        </w:rPr>
        <w:t>合同研究组织代表签名／日期：</w:t>
      </w:r>
      <w:r>
        <w:rPr>
          <w:rFonts w:hint="eastAsia"/>
          <w:lang w:eastAsia="zh-CN"/>
        </w:rPr>
      </w:r>
    </w:p>
    <w:p w14:paraId="60CAF436">
      <w:pPr>
        <w:spacing w:before="0" w:line="360" w:lineRule="auto"/>
        <w:ind w:firstLine="480"/>
        <w:rPr>
          <w:lang w:eastAsia="zh-CN"/>
        </w:rPr>
      </w:pPr>
    </w:p>
    <w:p w14:paraId="6507A171">
      <w:pPr>
        <w:adjustRightInd w:val="0"/>
        <w:snapToGrid w:val="0"/>
        <w:spacing w:before="0" w:line="360" w:lineRule="auto"/>
        <w:ind w:firstLine="3600" w:firstLineChars="1500"/>
        <w:rPr>
          <w:lang w:eastAsia="zh-CN"/>
        </w:rPr>
      </w:pPr>
      <w:r>
        <w:t>年     月     日]</w:t>
      </w:r>
      <w:r>
        <w:rPr>
          <w:lang w:eastAsia="zh-CN"/>
        </w:rPr>
      </w:r>
      <w:r>
        <w:rPr>
          <w:lang w:eastAsia="zh-CN"/>
        </w:rPr>
      </w:r>
    </w:p>
    <w:p w14:paraId="7737AF66">
      <w:pPr>
        <w:spacing w:before="0" w:line="360" w:lineRule="auto"/>
        <w:rPr>
          <w:lang w:eastAsia="zh-CN"/>
        </w:rPr>
      </w:pPr>
    </w:p>
    <w:p w14:paraId="1D527B4C">
      <w:pPr>
        <w:pStyle w:val="2"/>
        <w:jc w:val="center"/>
        <w:rPr>
          <w:rFonts w:cs="Times New Roman"/>
          <w:sz w:val="24"/>
          <w:szCs w:val="24"/>
          <w:lang w:eastAsia="zh-CN"/>
        </w:rPr>
      </w:pPr>
      <w:r>
        <w:rPr>
          <w:rFonts w:cs="Times New Roman"/>
          <w:sz w:val="24"/>
          <w:szCs w:val="24"/>
          <w:lang w:eastAsia="zh-CN"/>
        </w:rPr>
        <w:t>统计单位签字页</w:t>
      </w:r>
    </w:p>
    <w:p w14:paraId="36110890">
      <w:pPr>
        <w:spacing w:before="0" w:line="360" w:lineRule="auto"/>
        <w:ind w:firstLine="482"/>
        <w:rPr>
          <w:lang w:eastAsia="zh-CN"/>
        </w:rPr>
      </w:pPr>
      <w:r>
        <w:rPr>
          <w:lang w:eastAsia="zh-CN"/>
        </w:rPr>
        <w:t>[我已阅读此临床试验方案（方案编号：PV3-69F53457，版本号：v1.0，版本日期：2026-09-19），同意依照此方案的所有条款、现行法规和赫尔辛基宣言中的伦理原则进行临床试验。</w:t>
      </w:r>
      <w:r>
        <w:rPr>
          <w:rFonts w:hint="eastAsia"/>
          <w:lang w:eastAsia="zh-CN"/>
        </w:rPr>
      </w:r>
      <w:r>
        <w:rPr>
          <w:lang w:eastAsia="zh-CN"/>
        </w:rPr>
      </w:r>
    </w:p>
    <w:p w14:paraId="46823F86">
      <w:pPr>
        <w:spacing w:before="0" w:line="360" w:lineRule="auto"/>
        <w:ind w:firstLine="480"/>
        <w:rPr>
          <w:lang w:eastAsia="zh-CN"/>
        </w:rPr>
      </w:pPr>
    </w:p>
    <w:p w14:paraId="0DCBDD49">
      <w:pPr>
        <w:spacing w:before="0" w:line="360" w:lineRule="auto"/>
        <w:ind w:firstLine="480"/>
        <w:rPr>
          <w:lang w:eastAsia="zh-CN"/>
        </w:rPr>
      </w:pPr>
    </w:p>
    <w:p w14:paraId="60F4F8AF">
      <w:pPr>
        <w:spacing w:before="0" w:line="360" w:lineRule="auto"/>
        <w:ind w:firstLine="480"/>
        <w:rPr>
          <w:lang w:eastAsia="zh-CN"/>
        </w:rPr>
      </w:pPr>
      <w:r>
        <w:rPr>
          <w:lang w:eastAsia="zh-CN"/>
        </w:rPr>
        <w:t>统计单位：康哲</w:t>
      </w:r>
    </w:p>
    <w:p w14:paraId="30F53023">
      <w:pPr>
        <w:spacing w:before="0" w:line="360" w:lineRule="auto"/>
        <w:ind w:firstLine="480"/>
        <w:rPr>
          <w:lang w:eastAsia="zh-CN"/>
        </w:rPr>
      </w:pPr>
    </w:p>
    <w:p w14:paraId="49446B08">
      <w:pPr>
        <w:spacing w:before="0" w:line="360" w:lineRule="auto"/>
        <w:ind w:firstLine="480"/>
        <w:rPr>
          <w:lang w:eastAsia="zh-CN"/>
        </w:rPr>
      </w:pPr>
      <w:r>
        <w:rPr>
          <w:lang w:eastAsia="zh-CN"/>
        </w:rPr>
        <w:t>统计单位代表签名／日期：</w:t>
      </w:r>
      <w:r>
        <w:rPr>
          <w:rFonts w:hint="eastAsia"/>
          <w:lang w:eastAsia="zh-CN"/>
        </w:rPr>
      </w:r>
    </w:p>
    <w:p w14:paraId="60CAF436">
      <w:pPr>
        <w:spacing w:before="0" w:line="360" w:lineRule="auto"/>
        <w:ind w:firstLine="480"/>
        <w:rPr>
          <w:lang w:eastAsia="zh-CN"/>
        </w:rPr>
      </w:pPr>
    </w:p>
    <w:p w14:paraId="6507A171">
      <w:pPr>
        <w:adjustRightInd w:val="0"/>
        <w:snapToGrid w:val="0"/>
        <w:spacing w:before="0" w:line="360" w:lineRule="auto"/>
        <w:ind w:firstLine="3600" w:firstLineChars="1500"/>
        <w:rPr>
          <w:lang w:eastAsia="zh-CN"/>
        </w:rPr>
      </w:pPr>
      <w:r>
        <w:t>年     月     日]</w:t>
      </w:r>
      <w:r>
        <w:rPr>
          <w:lang w:eastAsia="zh-CN"/>
        </w:rPr>
      </w:r>
      <w:r>
        <w:rPr>
          <w:lang w:eastAsia="zh-CN"/>
        </w:rPr>
      </w:r>
    </w:p>
    <w:p w14:paraId="7737AF66">
      <w:pPr>
        <w:spacing w:before="0" w:line="360" w:lineRule="auto"/>
        <w:rPr>
          <w:lang w:eastAsia="zh-CN"/>
        </w:rPr>
      </w:pPr>
    </w:p>
    <w:p w14:paraId="01FC4423">
      <w:pPr>
        <w:pStyle w:val="2"/>
        <w:jc w:val="center"/>
        <w:rPr>
          <w:b w:val="0"/>
          <w:sz w:val="24"/>
          <w:szCs w:val="22"/>
          <w:lang w:eastAsia="zh-CN"/>
        </w:rPr>
      </w:pPr>
    </w:p>
    <w:p w14:paraId="4CD13DBA">
      <w:pPr>
        <w:spacing w:before="0" w:line="360" w:lineRule="auto"/>
        <w:rPr>
          <w:rFonts w:cs="Times New Roman"/>
          <w:color w:val="4472C4" w:themeColor="accent1"/>
          <w:lang w:eastAsia="zh-CN"/>
          <w14:textFill>
            <w14:solidFill>
              <w14:schemeClr w14:val="accent1"/>
            </w14:solidFill>
          </w14:textFill>
        </w:rPr>
      </w:pPr>
      <w:r>
        <w:rPr>
          <w:rFonts w:hint="eastAsia" w:cs="Times New Roman"/>
          <w:color w:val="4472C4" w:themeColor="accent1"/>
          <w:lang w:eastAsia="zh-CN"/>
          <w14:textFill>
            <w14:solidFill>
              <w14:schemeClr w14:val="accent1"/>
            </w14:solidFill>
          </w14:textFill>
        </w:rPr>
        <w:t>[以下签字页如有需要可进行添加，以下签字页为示例]</w:t>
      </w:r>
    </w:p>
    <w:bookmarkEnd w:id="18"/>
    <w:bookmarkEnd w:id="19"/>
    <w:bookmarkEnd w:id="20"/>
    <w:bookmarkEnd w:id="21"/>
    <w:bookmarkEnd w:id="22"/>
    <w:bookmarkEnd w:id="23"/>
    <w:p w14:paraId="66F25D3F">
      <w:pPr>
        <w:pStyle w:val="2"/>
        <w:jc w:val="center"/>
        <w:rPr>
          <w:rFonts w:cs="Times New Roman"/>
          <w:color w:val="000000" w:themeColor="text1"/>
          <w:sz w:val="24"/>
          <w:lang w:eastAsia="zh-CN"/>
          <w14:textFill>
            <w14:solidFill>
              <w14:schemeClr w14:val="tx1"/>
            </w14:solidFill>
          </w14:textFill>
        </w:rPr>
      </w:pPr>
      <w:bookmarkStart w:id="24" w:name="_Toc132623301"/>
      <w:bookmarkStart w:id="25" w:name="_Toc89520932"/>
      <w:bookmarkStart w:id="26" w:name="_Toc12416126"/>
      <w:bookmarkStart w:id="27" w:name="_Toc13554197"/>
      <w:bookmarkStart w:id="28" w:name="_Hlk89463072"/>
      <w:r>
        <w:rPr>
          <w:rFonts w:hint="eastAsia" w:cs="Times New Roman"/>
          <w:color w:val="000000" w:themeColor="text1"/>
          <w:sz w:val="24"/>
          <w:lang w:eastAsia="zh-CN"/>
          <w14:textFill>
            <w14:solidFill>
              <w14:schemeClr w14:val="tx1"/>
            </w14:solidFill>
          </w14:textFill>
        </w:rPr>
        <w:t>临床试验相关单位联系方式</w:t>
      </w:r>
      <w:bookmarkEnd w:id="24"/>
      <w:bookmarkEnd w:id="25"/>
    </w:p>
    <w:bookmarkEnd w:id="26"/>
    <w:bookmarkEnd w:id="27"/>
    <w:p w14:paraId="7AF0397C">
      <w:pPr>
        <w:spacing w:before="0" w:line="360" w:lineRule="auto"/>
        <w:ind w:firstLine="480"/>
        <w:rPr>
          <w:color w:val="00B0F0"/>
        </w:rPr>
      </w:pPr>
      <w:r>
        <w:rPr>
          <w:rFonts w:hint="eastAsia"/>
          <w:color w:val="00B0F0"/>
        </w:rPr>
        <w:t>如适用，示例</w:t>
      </w:r>
      <w:r>
        <w:rPr>
          <w:color w:val="00B0F0"/>
        </w:rPr>
        <w:t>#1</w:t>
      </w:r>
    </w:p>
    <w:p w14:paraId="6CDA570F">
      <w:pPr>
        <w:numPr>
          <w:ilvl w:val="0"/>
          <w:numId w:val="2"/>
        </w:numPr>
        <w:spacing w:before="0" w:line="240" w:lineRule="auto"/>
        <w:ind w:left="0" w:firstLine="561"/>
        <w:rPr>
          <w:rFonts w:cs="Times New Roman"/>
          <w:lang w:val="zh-TW"/>
        </w:rPr>
      </w:pPr>
      <w:r>
        <w:rPr>
          <w:rFonts w:cs="Times New Roman"/>
          <w:lang w:val="zh-TW" w:eastAsia="zh-TW"/>
        </w:rPr>
        <w:t>申办者</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7"/>
        <w:gridCol w:w="4757"/>
      </w:tblGrid>
      <w:tr w14:paraId="43BB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shd w:val="clear" w:color="auto" w:fill="auto"/>
            <w:vAlign w:val="center"/>
          </w:tcPr>
          <w:p w14:paraId="0F4AD4F6">
            <w:pPr>
              <w:spacing w:before="0" w:line="360" w:lineRule="auto"/>
              <w:ind w:firstLine="440"/>
              <w:rPr>
                <w:rFonts w:cs="Times New Roman"/>
                <w:sz w:val="21"/>
                <w:szCs w:val="21"/>
                <w:lang w:val="zh-TW"/>
              </w:rPr>
            </w:pPr>
            <w:r>
              <w:rPr>
                <w:rFonts w:hint="eastAsia" w:cs="Times New Roman"/>
                <w:sz w:val="21"/>
                <w:szCs w:val="21"/>
                <w:lang w:val="zh-TW" w:eastAsia="zh-TW"/>
              </w:rPr>
              <w:t>项目</w:t>
            </w:r>
          </w:p>
        </w:tc>
        <w:tc>
          <w:tcPr>
            <w:tcW w:w="4757" w:type="dxa"/>
            <w:shd w:val="clear" w:color="auto" w:fill="auto"/>
            <w:vAlign w:val="center"/>
          </w:tcPr>
          <w:p w14:paraId="44D8943E">
            <w:pPr>
              <w:spacing w:before="0" w:line="360" w:lineRule="auto"/>
              <w:ind w:firstLine="440"/>
              <w:rPr>
                <w:rFonts w:cs="Times New Roman"/>
                <w:sz w:val="21"/>
                <w:szCs w:val="21"/>
                <w:lang w:val="zh-TW"/>
              </w:rPr>
            </w:pPr>
            <w:r>
              <w:rPr>
                <w:rFonts w:hint="eastAsia" w:cs="Times New Roman"/>
                <w:sz w:val="21"/>
                <w:szCs w:val="21"/>
                <w:lang w:val="zh-TW" w:eastAsia="zh-TW"/>
              </w:rPr>
              <w:t>具体内容</w:t>
            </w:r>
          </w:p>
        </w:tc>
      </w:tr>
      <w:tr w14:paraId="0B02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shd w:val="clear" w:color="auto" w:fill="auto"/>
            <w:vAlign w:val="center"/>
          </w:tcPr>
          <w:p w14:paraId="1CB99358">
            <w:pPr>
              <w:spacing w:before="0" w:line="360" w:lineRule="auto"/>
              <w:ind w:firstLine="440"/>
              <w:rPr>
                <w:rFonts w:cs="Times New Roman"/>
                <w:sz w:val="21"/>
                <w:szCs w:val="21"/>
                <w:lang w:val="zh-TW"/>
              </w:rPr>
            </w:pPr>
            <w:r>
              <w:rPr>
                <w:rFonts w:hint="eastAsia" w:cs="Times New Roman"/>
                <w:bCs/>
                <w:sz w:val="21"/>
                <w:szCs w:val="21"/>
                <w:lang w:val="zh-TW" w:eastAsia="zh-TW"/>
              </w:rPr>
              <w:t>申办者：</w:t>
            </w:r>
          </w:p>
        </w:tc>
        <w:tc>
          <w:tcPr>
            <w:tcW w:w="4757" w:type="dxa"/>
            <w:shd w:val="clear" w:color="auto" w:fill="auto"/>
            <w:vAlign w:val="center"/>
          </w:tcPr>
          <w:p w14:paraId="16566233">
            <w:pPr>
              <w:spacing w:before="0" w:line="360" w:lineRule="auto"/>
              <w:ind w:firstLine="440"/>
              <w:rPr>
                <w:rFonts w:cs="Times New Roman"/>
                <w:sz w:val="21"/>
                <w:szCs w:val="21"/>
                <w:lang w:val="zh-TW"/>
              </w:rPr>
            </w:pPr>
          </w:p>
        </w:tc>
      </w:tr>
      <w:tr w14:paraId="0125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7" w:type="dxa"/>
            <w:shd w:val="clear" w:color="auto" w:fill="auto"/>
            <w:vAlign w:val="center"/>
          </w:tcPr>
          <w:p w14:paraId="66CA49B8">
            <w:pPr>
              <w:spacing w:before="0" w:line="360" w:lineRule="auto"/>
              <w:ind w:firstLine="440"/>
              <w:rPr>
                <w:rFonts w:cs="Times New Roman"/>
                <w:sz w:val="21"/>
                <w:szCs w:val="21"/>
                <w:lang w:val="zh-TW"/>
              </w:rPr>
            </w:pPr>
            <w:r>
              <w:rPr>
                <w:rFonts w:hint="eastAsia" w:cs="Times New Roman"/>
                <w:bCs/>
                <w:sz w:val="21"/>
                <w:szCs w:val="21"/>
                <w:lang w:val="zh-TW" w:eastAsia="zh-TW"/>
              </w:rPr>
              <w:t>申办者地址：</w:t>
            </w:r>
          </w:p>
        </w:tc>
        <w:tc>
          <w:tcPr>
            <w:tcW w:w="4757" w:type="dxa"/>
            <w:shd w:val="clear" w:color="auto" w:fill="auto"/>
            <w:vAlign w:val="center"/>
          </w:tcPr>
          <w:p w14:paraId="797B101A">
            <w:pPr>
              <w:spacing w:before="0" w:line="360" w:lineRule="auto"/>
              <w:ind w:firstLine="440"/>
              <w:rPr>
                <w:rFonts w:cs="Times New Roman"/>
                <w:sz w:val="21"/>
                <w:szCs w:val="21"/>
                <w:lang w:val="zh-TW"/>
              </w:rPr>
            </w:pPr>
          </w:p>
        </w:tc>
      </w:tr>
    </w:tbl>
    <w:p w14:paraId="26E13C0A">
      <w:pPr>
        <w:numPr>
          <w:ilvl w:val="0"/>
          <w:numId w:val="2"/>
        </w:numPr>
        <w:spacing w:beforeLines="50" w:line="240" w:lineRule="auto"/>
        <w:ind w:left="0" w:firstLine="561"/>
        <w:rPr>
          <w:rFonts w:cs="Times New Roman"/>
          <w:lang w:val="zh-TW" w:eastAsia="zh-TW"/>
        </w:rPr>
      </w:pPr>
      <w:r>
        <w:rPr>
          <w:rFonts w:cs="Times New Roman"/>
          <w:lang w:val="zh-TW" w:eastAsia="zh-TW"/>
        </w:rPr>
        <w:t>研究者</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2378"/>
        <w:gridCol w:w="2379"/>
        <w:gridCol w:w="2379"/>
      </w:tblGrid>
      <w:tr w14:paraId="60F8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29C9057B">
            <w:pPr>
              <w:spacing w:before="0" w:line="360" w:lineRule="auto"/>
              <w:ind w:firstLine="440"/>
              <w:rPr>
                <w:rFonts w:cs="Times New Roman"/>
                <w:sz w:val="21"/>
                <w:szCs w:val="21"/>
                <w:lang w:val="zh-TW" w:eastAsia="zh-TW"/>
              </w:rPr>
            </w:pPr>
            <w:r>
              <w:rPr>
                <w:rFonts w:hint="eastAsia" w:cs="Times New Roman"/>
                <w:sz w:val="21"/>
                <w:szCs w:val="21"/>
                <w:lang w:val="zh-TW" w:eastAsia="zh-TW"/>
              </w:rPr>
              <w:t>姓名</w:t>
            </w:r>
          </w:p>
        </w:tc>
        <w:tc>
          <w:tcPr>
            <w:tcW w:w="2378" w:type="dxa"/>
            <w:shd w:val="clear" w:color="auto" w:fill="auto"/>
            <w:vAlign w:val="center"/>
          </w:tcPr>
          <w:p w14:paraId="1FE3FBDA">
            <w:pPr>
              <w:spacing w:before="0" w:line="360" w:lineRule="auto"/>
              <w:ind w:firstLine="440"/>
              <w:rPr>
                <w:rFonts w:cs="Times New Roman"/>
                <w:sz w:val="21"/>
                <w:szCs w:val="21"/>
                <w:lang w:val="zh-TW" w:eastAsia="zh-TW"/>
              </w:rPr>
            </w:pPr>
            <w:r>
              <w:rPr>
                <w:rFonts w:hint="eastAsia" w:cs="Times New Roman"/>
                <w:sz w:val="21"/>
                <w:szCs w:val="21"/>
                <w:lang w:val="zh-TW" w:eastAsia="zh-TW"/>
              </w:rPr>
              <w:t>职称</w:t>
            </w:r>
          </w:p>
        </w:tc>
        <w:tc>
          <w:tcPr>
            <w:tcW w:w="2379" w:type="dxa"/>
            <w:shd w:val="clear" w:color="auto" w:fill="auto"/>
            <w:vAlign w:val="center"/>
          </w:tcPr>
          <w:p w14:paraId="0841AE91">
            <w:pPr>
              <w:spacing w:before="0" w:line="360" w:lineRule="auto"/>
              <w:ind w:firstLine="440"/>
              <w:rPr>
                <w:rFonts w:cs="Times New Roman"/>
                <w:sz w:val="21"/>
                <w:szCs w:val="21"/>
                <w:lang w:val="zh-TW" w:eastAsia="zh-TW"/>
              </w:rPr>
            </w:pPr>
            <w:r>
              <w:rPr>
                <w:rFonts w:hint="eastAsia" w:cs="Times New Roman"/>
                <w:sz w:val="21"/>
                <w:szCs w:val="21"/>
                <w:lang w:val="zh-TW" w:eastAsia="zh-TW"/>
              </w:rPr>
              <w:t>职务</w:t>
            </w:r>
          </w:p>
        </w:tc>
        <w:tc>
          <w:tcPr>
            <w:tcW w:w="2379" w:type="dxa"/>
            <w:shd w:val="clear" w:color="auto" w:fill="auto"/>
            <w:vAlign w:val="center"/>
          </w:tcPr>
          <w:p w14:paraId="5AD2B861">
            <w:pPr>
              <w:spacing w:before="0" w:line="360" w:lineRule="auto"/>
              <w:ind w:firstLine="440"/>
              <w:rPr>
                <w:rFonts w:cs="Times New Roman"/>
                <w:sz w:val="21"/>
                <w:szCs w:val="21"/>
                <w:lang w:val="zh-TW" w:eastAsia="zh-TW"/>
              </w:rPr>
            </w:pPr>
            <w:r>
              <w:rPr>
                <w:rFonts w:hint="eastAsia" w:cs="Times New Roman"/>
                <w:sz w:val="21"/>
                <w:szCs w:val="21"/>
                <w:lang w:val="zh-TW" w:eastAsia="zh-TW"/>
              </w:rPr>
              <w:t>临床试验机构名称</w:t>
            </w:r>
          </w:p>
        </w:tc>
      </w:tr>
      <w:tr w14:paraId="5BEA6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32C4E8FA">
            <w:pPr>
              <w:spacing w:before="0" w:line="360" w:lineRule="auto"/>
              <w:ind w:firstLine="440"/>
              <w:rPr>
                <w:rFonts w:cs="Times New Roman"/>
                <w:sz w:val="21"/>
                <w:szCs w:val="21"/>
                <w:lang w:val="zh-TW" w:eastAsia="zh-TW"/>
              </w:rPr>
            </w:pPr>
            <w:r>
              <w:rPr>
                <w:rFonts w:cs="Times New Roman"/>
                <w:sz w:val="21"/>
                <w:szCs w:val="21"/>
                <w:lang w:val="zh-TW" w:eastAsia="zh-TW"/>
              </w:rPr>
            </w:r>
          </w:p>
        </w:tc>
        <w:tc>
          <w:tcPr>
            <w:tcW w:w="2378" w:type="dxa"/>
            <w:shd w:val="clear" w:color="auto" w:fill="auto"/>
            <w:vAlign w:val="center"/>
          </w:tcPr>
          <w:p w14:paraId="472A7F1C">
            <w:pPr>
              <w:spacing w:before="0" w:line="360" w:lineRule="auto"/>
              <w:ind w:firstLine="440"/>
              <w:rPr>
                <w:rFonts w:cs="Times New Roman"/>
                <w:sz w:val="21"/>
                <w:szCs w:val="21"/>
                <w:lang w:val="zh-TW" w:eastAsia="zh-TW"/>
              </w:rPr>
            </w:pPr>
            <w:r>
              <w:rPr>
                <w:rFonts w:hint="eastAsia" w:cs="Times New Roman"/>
                <w:sz w:val="21"/>
                <w:szCs w:val="21"/>
                <w:lang w:val="zh-TW" w:eastAsia="zh-TW"/>
              </w:rPr>
              <w:t>主任医师</w:t>
            </w:r>
          </w:p>
        </w:tc>
        <w:tc>
          <w:tcPr>
            <w:tcW w:w="2379" w:type="dxa"/>
            <w:shd w:val="clear" w:color="auto" w:fill="auto"/>
            <w:vAlign w:val="center"/>
          </w:tcPr>
          <w:p w14:paraId="445B292B">
            <w:pPr>
              <w:spacing w:before="0" w:line="360" w:lineRule="auto"/>
              <w:ind w:firstLine="440"/>
              <w:rPr>
                <w:rFonts w:cs="Times New Roman"/>
                <w:sz w:val="21"/>
                <w:szCs w:val="21"/>
                <w:lang w:val="zh-TW" w:eastAsia="zh-TW"/>
              </w:rPr>
            </w:pPr>
            <w:r>
              <w:rPr>
                <w:rFonts w:hint="eastAsia" w:cs="Times New Roman"/>
                <w:sz w:val="21"/>
                <w:szCs w:val="21"/>
                <w:lang w:val="zh-TW" w:eastAsia="zh-TW"/>
              </w:rPr>
              <w:t>研究者</w:t>
            </w:r>
          </w:p>
        </w:tc>
        <w:tc>
          <w:tcPr>
            <w:tcW w:w="2379" w:type="dxa"/>
            <w:shd w:val="clear" w:color="auto" w:fill="auto"/>
            <w:vAlign w:val="center"/>
          </w:tcPr>
          <w:p w14:paraId="784721D9">
            <w:pPr>
              <w:spacing w:before="0" w:line="360" w:lineRule="auto"/>
              <w:ind w:firstLine="440"/>
              <w:rPr>
                <w:rFonts w:cs="Times New Roman"/>
                <w:sz w:val="21"/>
                <w:szCs w:val="21"/>
                <w:lang w:val="zh-TW" w:eastAsia="zh-TW"/>
              </w:rPr>
            </w:pPr>
            <w:r>
              <w:rPr>
                <w:rFonts w:cs="Times New Roman"/>
                <w:sz w:val="21"/>
                <w:szCs w:val="21"/>
                <w:lang w:val="zh-TW" w:eastAsia="zh-TW"/>
              </w:rPr>
            </w:r>
          </w:p>
        </w:tc>
      </w:tr>
      <w:tr w14:paraId="3D47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4AE80EEB">
            <w:pPr>
              <w:spacing w:before="0" w:line="360" w:lineRule="auto"/>
              <w:ind w:firstLine="440"/>
              <w:rPr>
                <w:rFonts w:cs="Times New Roman"/>
                <w:sz w:val="21"/>
                <w:szCs w:val="21"/>
                <w:lang w:val="zh-TW" w:eastAsia="zh-TW"/>
              </w:rPr>
            </w:pPr>
          </w:p>
        </w:tc>
        <w:tc>
          <w:tcPr>
            <w:tcW w:w="2378" w:type="dxa"/>
            <w:shd w:val="clear" w:color="auto" w:fill="auto"/>
            <w:vAlign w:val="center"/>
          </w:tcPr>
          <w:p w14:paraId="4391263C">
            <w:pPr>
              <w:spacing w:before="0" w:line="360" w:lineRule="auto"/>
              <w:ind w:firstLine="440"/>
              <w:rPr>
                <w:rFonts w:cs="Times New Roman"/>
                <w:sz w:val="21"/>
                <w:szCs w:val="21"/>
                <w:lang w:val="zh-TW" w:eastAsia="zh-TW"/>
              </w:rPr>
            </w:pPr>
          </w:p>
        </w:tc>
        <w:tc>
          <w:tcPr>
            <w:tcW w:w="2379" w:type="dxa"/>
            <w:shd w:val="clear" w:color="auto" w:fill="auto"/>
            <w:vAlign w:val="center"/>
          </w:tcPr>
          <w:p w14:paraId="3274B5F9">
            <w:pPr>
              <w:spacing w:before="0" w:line="360" w:lineRule="auto"/>
              <w:ind w:firstLine="440"/>
              <w:rPr>
                <w:rFonts w:cs="Times New Roman"/>
                <w:sz w:val="21"/>
                <w:szCs w:val="21"/>
                <w:lang w:val="zh-TW" w:eastAsia="zh-TW"/>
              </w:rPr>
            </w:pPr>
          </w:p>
        </w:tc>
        <w:tc>
          <w:tcPr>
            <w:tcW w:w="2379" w:type="dxa"/>
            <w:shd w:val="clear" w:color="auto" w:fill="auto"/>
            <w:vAlign w:val="center"/>
          </w:tcPr>
          <w:p w14:paraId="4275D3B2">
            <w:pPr>
              <w:spacing w:before="0" w:line="360" w:lineRule="auto"/>
              <w:ind w:firstLine="440"/>
              <w:rPr>
                <w:rFonts w:cs="Times New Roman"/>
                <w:sz w:val="21"/>
                <w:szCs w:val="21"/>
                <w:lang w:val="zh-TW" w:eastAsia="zh-TW"/>
              </w:rPr>
            </w:pPr>
          </w:p>
        </w:tc>
      </w:tr>
      <w:tr w14:paraId="42BE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6C311BFC">
            <w:pPr>
              <w:spacing w:before="0" w:line="360" w:lineRule="auto"/>
              <w:ind w:firstLine="440"/>
              <w:rPr>
                <w:rFonts w:cs="Times New Roman"/>
                <w:sz w:val="21"/>
                <w:szCs w:val="21"/>
                <w:lang w:val="zh-TW" w:eastAsia="zh-TW"/>
              </w:rPr>
            </w:pPr>
          </w:p>
        </w:tc>
        <w:tc>
          <w:tcPr>
            <w:tcW w:w="2378" w:type="dxa"/>
            <w:shd w:val="clear" w:color="auto" w:fill="auto"/>
            <w:vAlign w:val="center"/>
          </w:tcPr>
          <w:p w14:paraId="330B8437">
            <w:pPr>
              <w:spacing w:before="0" w:line="360" w:lineRule="auto"/>
              <w:ind w:firstLine="440"/>
              <w:rPr>
                <w:rFonts w:cs="Times New Roman"/>
                <w:sz w:val="21"/>
                <w:szCs w:val="21"/>
                <w:lang w:val="zh-TW" w:eastAsia="zh-TW"/>
              </w:rPr>
            </w:pPr>
          </w:p>
        </w:tc>
        <w:tc>
          <w:tcPr>
            <w:tcW w:w="2379" w:type="dxa"/>
            <w:shd w:val="clear" w:color="auto" w:fill="auto"/>
            <w:vAlign w:val="center"/>
          </w:tcPr>
          <w:p w14:paraId="5BDBFA96">
            <w:pPr>
              <w:spacing w:before="0" w:line="360" w:lineRule="auto"/>
              <w:ind w:firstLine="440"/>
              <w:rPr>
                <w:rFonts w:cs="Times New Roman"/>
                <w:sz w:val="21"/>
                <w:szCs w:val="21"/>
                <w:lang w:val="zh-TW" w:eastAsia="zh-TW"/>
              </w:rPr>
            </w:pPr>
          </w:p>
        </w:tc>
        <w:tc>
          <w:tcPr>
            <w:tcW w:w="2379" w:type="dxa"/>
            <w:shd w:val="clear" w:color="auto" w:fill="auto"/>
            <w:vAlign w:val="center"/>
          </w:tcPr>
          <w:p w14:paraId="212926B5">
            <w:pPr>
              <w:spacing w:before="0" w:line="360" w:lineRule="auto"/>
              <w:ind w:firstLine="440"/>
              <w:rPr>
                <w:rFonts w:cs="Times New Roman"/>
                <w:sz w:val="21"/>
                <w:szCs w:val="21"/>
                <w:lang w:val="zh-TW" w:eastAsia="zh-TW"/>
              </w:rPr>
            </w:pPr>
          </w:p>
        </w:tc>
      </w:tr>
      <w:tr w14:paraId="658D9751">
        <w:tblPrEx>
          <w:tblCellMar>
            <w:top w:w="0" w:type="dxa"/>
            <w:left w:w="108" w:type="dxa"/>
            <w:bottom w:w="0" w:type="dxa"/>
            <w:right w:w="108" w:type="dxa"/>
          </w:tblCellMar>
        </w:tblPrEx>
        <w:tc>
          <w:tcPr>
            <w:tcW w:w="2378" w:type="dxa"/>
            <w:shd w:val="clear" w:color="auto" w:fill="auto"/>
            <w:vAlign w:val="center"/>
          </w:tcPr>
          <w:p w14:paraId="2A3B7811">
            <w:pPr>
              <w:spacing w:before="0" w:line="360" w:lineRule="auto"/>
              <w:ind w:firstLine="440"/>
              <w:rPr>
                <w:rFonts w:cs="Times New Roman"/>
                <w:sz w:val="21"/>
                <w:szCs w:val="21"/>
                <w:lang w:val="zh-TW" w:eastAsia="zh-TW"/>
              </w:rPr>
            </w:pPr>
          </w:p>
        </w:tc>
        <w:tc>
          <w:tcPr>
            <w:tcW w:w="2378" w:type="dxa"/>
            <w:shd w:val="clear" w:color="auto" w:fill="auto"/>
            <w:vAlign w:val="center"/>
          </w:tcPr>
          <w:p w14:paraId="4679F446">
            <w:pPr>
              <w:spacing w:before="0" w:line="360" w:lineRule="auto"/>
              <w:ind w:firstLine="440"/>
              <w:rPr>
                <w:rFonts w:cs="Times New Roman"/>
                <w:sz w:val="21"/>
                <w:szCs w:val="21"/>
                <w:lang w:val="zh-TW" w:eastAsia="zh-TW"/>
              </w:rPr>
            </w:pPr>
          </w:p>
        </w:tc>
        <w:tc>
          <w:tcPr>
            <w:tcW w:w="2379" w:type="dxa"/>
            <w:shd w:val="clear" w:color="auto" w:fill="auto"/>
            <w:vAlign w:val="center"/>
          </w:tcPr>
          <w:p w14:paraId="4F9D01F0">
            <w:pPr>
              <w:spacing w:before="0" w:line="360" w:lineRule="auto"/>
              <w:ind w:firstLine="440"/>
              <w:rPr>
                <w:rFonts w:cs="Times New Roman"/>
                <w:sz w:val="21"/>
                <w:szCs w:val="21"/>
                <w:lang w:val="zh-TW" w:eastAsia="zh-TW"/>
              </w:rPr>
            </w:pPr>
          </w:p>
        </w:tc>
        <w:tc>
          <w:tcPr>
            <w:tcW w:w="2379" w:type="dxa"/>
            <w:shd w:val="clear" w:color="auto" w:fill="auto"/>
            <w:vAlign w:val="center"/>
          </w:tcPr>
          <w:p w14:paraId="55602C3A">
            <w:pPr>
              <w:spacing w:before="0" w:line="360" w:lineRule="auto"/>
              <w:ind w:firstLine="440"/>
              <w:rPr>
                <w:rFonts w:cs="Times New Roman"/>
                <w:sz w:val="21"/>
                <w:szCs w:val="21"/>
                <w:lang w:val="zh-TW" w:eastAsia="zh-TW"/>
              </w:rPr>
            </w:pPr>
          </w:p>
        </w:tc>
      </w:tr>
      <w:tr w14:paraId="1B4E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8" w:type="dxa"/>
            <w:shd w:val="clear" w:color="auto" w:fill="auto"/>
            <w:vAlign w:val="center"/>
          </w:tcPr>
          <w:p w14:paraId="03F2EDFF">
            <w:pPr>
              <w:spacing w:before="0" w:line="360" w:lineRule="auto"/>
              <w:ind w:firstLine="440"/>
              <w:rPr>
                <w:rFonts w:cs="Times New Roman"/>
                <w:sz w:val="21"/>
                <w:szCs w:val="21"/>
                <w:lang w:val="zh-TW" w:eastAsia="zh-TW"/>
              </w:rPr>
            </w:pPr>
          </w:p>
        </w:tc>
        <w:tc>
          <w:tcPr>
            <w:tcW w:w="2378" w:type="dxa"/>
            <w:shd w:val="clear" w:color="auto" w:fill="auto"/>
            <w:vAlign w:val="center"/>
          </w:tcPr>
          <w:p w14:paraId="19A114E0">
            <w:pPr>
              <w:spacing w:before="0" w:line="360" w:lineRule="auto"/>
              <w:ind w:firstLine="440"/>
              <w:rPr>
                <w:rFonts w:cs="Times New Roman"/>
                <w:sz w:val="21"/>
                <w:szCs w:val="21"/>
                <w:lang w:val="zh-TW" w:eastAsia="zh-TW"/>
              </w:rPr>
            </w:pPr>
          </w:p>
        </w:tc>
        <w:tc>
          <w:tcPr>
            <w:tcW w:w="2379" w:type="dxa"/>
            <w:shd w:val="clear" w:color="auto" w:fill="auto"/>
            <w:vAlign w:val="center"/>
          </w:tcPr>
          <w:p w14:paraId="53AA828E">
            <w:pPr>
              <w:spacing w:before="0" w:line="360" w:lineRule="auto"/>
              <w:ind w:firstLine="440"/>
              <w:rPr>
                <w:rFonts w:cs="Times New Roman"/>
                <w:sz w:val="21"/>
                <w:szCs w:val="21"/>
                <w:lang w:val="zh-TW" w:eastAsia="zh-TW"/>
              </w:rPr>
            </w:pPr>
          </w:p>
        </w:tc>
        <w:tc>
          <w:tcPr>
            <w:tcW w:w="2379" w:type="dxa"/>
            <w:shd w:val="clear" w:color="auto" w:fill="auto"/>
            <w:vAlign w:val="center"/>
          </w:tcPr>
          <w:p w14:paraId="4F5F6FBB">
            <w:pPr>
              <w:spacing w:before="0" w:line="360" w:lineRule="auto"/>
              <w:ind w:firstLine="440"/>
              <w:rPr>
                <w:rFonts w:cs="Times New Roman"/>
                <w:sz w:val="21"/>
                <w:szCs w:val="21"/>
                <w:lang w:val="zh-TW" w:eastAsia="zh-TW"/>
              </w:rPr>
            </w:pPr>
          </w:p>
        </w:tc>
      </w:tr>
    </w:tbl>
    <w:p w14:paraId="220FE6D4">
      <w:pPr>
        <w:numPr>
          <w:ilvl w:val="0"/>
          <w:numId w:val="2"/>
        </w:numPr>
        <w:spacing w:beforeLines="50" w:line="240" w:lineRule="auto"/>
        <w:ind w:left="0" w:firstLine="561"/>
        <w:rPr>
          <w:rFonts w:cs="Times New Roman"/>
          <w:lang w:val="zh-TW" w:eastAsia="zh-TW"/>
        </w:rPr>
      </w:pPr>
      <w:r>
        <w:rPr>
          <w:rFonts w:cs="Times New Roman"/>
          <w:lang w:val="zh-TW" w:eastAsia="zh-TW"/>
        </w:rPr>
        <w:t>参与临床试验单位及相关部门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3171"/>
        <w:gridCol w:w="3172"/>
      </w:tblGrid>
      <w:tr w14:paraId="0D03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571713AD">
            <w:pPr>
              <w:spacing w:before="0" w:line="360" w:lineRule="auto"/>
              <w:ind w:firstLine="440"/>
              <w:rPr>
                <w:rFonts w:cs="Times New Roman"/>
                <w:sz w:val="21"/>
                <w:szCs w:val="21"/>
                <w:lang w:val="zh-TW" w:eastAsia="zh-TW"/>
              </w:rPr>
            </w:pPr>
            <w:r>
              <w:rPr>
                <w:rFonts w:hint="eastAsia" w:cs="Times New Roman"/>
                <w:sz w:val="21"/>
                <w:szCs w:val="21"/>
                <w:lang w:val="zh-TW" w:eastAsia="zh-TW"/>
              </w:rPr>
              <w:t>参与临床试验单位</w:t>
            </w:r>
          </w:p>
        </w:tc>
        <w:tc>
          <w:tcPr>
            <w:tcW w:w="3171" w:type="dxa"/>
            <w:shd w:val="clear" w:color="auto" w:fill="auto"/>
            <w:vAlign w:val="center"/>
          </w:tcPr>
          <w:p w14:paraId="2B5ACAAF">
            <w:pPr>
              <w:spacing w:before="0" w:line="360" w:lineRule="auto"/>
              <w:ind w:firstLine="440"/>
              <w:rPr>
                <w:rFonts w:cs="Times New Roman"/>
                <w:sz w:val="21"/>
                <w:szCs w:val="21"/>
                <w:lang w:val="zh-TW" w:eastAsia="zh-TW"/>
              </w:rPr>
            </w:pPr>
            <w:r>
              <w:rPr>
                <w:rFonts w:hint="eastAsia" w:cs="Times New Roman"/>
                <w:sz w:val="21"/>
                <w:szCs w:val="21"/>
                <w:lang w:val="zh-TW" w:eastAsia="zh-TW"/>
              </w:rPr>
              <w:t>部门</w:t>
            </w:r>
          </w:p>
        </w:tc>
        <w:tc>
          <w:tcPr>
            <w:tcW w:w="3172" w:type="dxa"/>
            <w:shd w:val="clear" w:color="auto" w:fill="auto"/>
            <w:vAlign w:val="center"/>
          </w:tcPr>
          <w:p w14:paraId="551E788F">
            <w:pPr>
              <w:spacing w:before="0" w:line="360" w:lineRule="auto"/>
              <w:ind w:firstLine="440"/>
              <w:rPr>
                <w:rFonts w:cs="Times New Roman"/>
                <w:sz w:val="21"/>
                <w:szCs w:val="21"/>
                <w:lang w:val="zh-TW" w:eastAsia="zh-TW"/>
              </w:rPr>
            </w:pPr>
            <w:r>
              <w:rPr>
                <w:rFonts w:hint="eastAsia" w:cs="Times New Roman"/>
                <w:sz w:val="21"/>
                <w:szCs w:val="21"/>
                <w:lang w:val="zh-TW" w:eastAsia="zh-TW"/>
              </w:rPr>
              <w:t>地址</w:t>
            </w:r>
          </w:p>
        </w:tc>
      </w:tr>
      <w:tr w14:paraId="21A1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6B115E82">
            <w:pPr>
              <w:spacing w:before="0" w:line="360" w:lineRule="auto"/>
              <w:ind w:firstLine="440"/>
              <w:rPr>
                <w:rFonts w:cs="Times New Roman"/>
                <w:sz w:val="21"/>
                <w:szCs w:val="21"/>
                <w:lang w:val="zh-TW" w:eastAsia="zh-TW"/>
              </w:rPr>
            </w:pPr>
          </w:p>
        </w:tc>
        <w:tc>
          <w:tcPr>
            <w:tcW w:w="3171" w:type="dxa"/>
            <w:shd w:val="clear" w:color="auto" w:fill="auto"/>
            <w:vAlign w:val="center"/>
          </w:tcPr>
          <w:p w14:paraId="14637F31">
            <w:pPr>
              <w:spacing w:before="0" w:line="360" w:lineRule="auto"/>
              <w:ind w:firstLine="440"/>
              <w:rPr>
                <w:rFonts w:cs="Times New Roman"/>
                <w:sz w:val="21"/>
                <w:szCs w:val="21"/>
                <w:lang w:val="zh-TW" w:eastAsia="zh-TW"/>
              </w:rPr>
            </w:pPr>
            <w:r>
              <w:rPr>
                <w:rFonts w:hint="eastAsia" w:cs="Times New Roman"/>
                <w:bCs/>
                <w:sz w:val="21"/>
                <w:szCs w:val="21"/>
                <w:lang w:val="zh-TW" w:eastAsia="zh-TW"/>
              </w:rPr>
              <w:t>合同研究组织</w:t>
            </w:r>
          </w:p>
        </w:tc>
        <w:tc>
          <w:tcPr>
            <w:tcW w:w="3172" w:type="dxa"/>
            <w:shd w:val="clear" w:color="auto" w:fill="auto"/>
            <w:vAlign w:val="center"/>
          </w:tcPr>
          <w:p w14:paraId="481325E2">
            <w:pPr>
              <w:spacing w:before="0" w:line="360" w:lineRule="auto"/>
              <w:ind w:firstLine="440"/>
              <w:rPr>
                <w:rFonts w:cs="Times New Roman"/>
                <w:sz w:val="21"/>
                <w:szCs w:val="21"/>
                <w:lang w:val="zh-TW" w:eastAsia="zh-TW"/>
              </w:rPr>
            </w:pPr>
          </w:p>
        </w:tc>
      </w:tr>
      <w:tr w14:paraId="7B9E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4138F9DE">
            <w:pPr>
              <w:spacing w:before="0" w:line="360" w:lineRule="auto"/>
              <w:ind w:firstLine="440"/>
              <w:rPr>
                <w:rFonts w:cs="Times New Roman"/>
                <w:sz w:val="21"/>
                <w:szCs w:val="21"/>
                <w:lang w:val="zh-TW" w:eastAsia="zh-TW"/>
              </w:rPr>
            </w:pPr>
          </w:p>
        </w:tc>
        <w:tc>
          <w:tcPr>
            <w:tcW w:w="3171" w:type="dxa"/>
            <w:shd w:val="clear" w:color="auto" w:fill="auto"/>
            <w:vAlign w:val="center"/>
          </w:tcPr>
          <w:p w14:paraId="41D68447">
            <w:pPr>
              <w:spacing w:before="0" w:line="360" w:lineRule="auto"/>
              <w:ind w:firstLine="440"/>
              <w:rPr>
                <w:rFonts w:cs="Times New Roman"/>
                <w:sz w:val="21"/>
                <w:szCs w:val="21"/>
                <w:lang w:val="zh-TW" w:eastAsia="zh-TW"/>
              </w:rPr>
            </w:pPr>
            <w:r>
              <w:rPr>
                <w:rFonts w:hint="eastAsia" w:cs="Times New Roman"/>
                <w:bCs/>
                <w:sz w:val="21"/>
                <w:szCs w:val="21"/>
                <w:lang w:val="zh-TW" w:eastAsia="zh-TW"/>
              </w:rPr>
              <w:t>统计分析</w:t>
            </w:r>
          </w:p>
        </w:tc>
        <w:tc>
          <w:tcPr>
            <w:tcW w:w="3172" w:type="dxa"/>
            <w:shd w:val="clear" w:color="auto" w:fill="auto"/>
            <w:vAlign w:val="center"/>
          </w:tcPr>
          <w:p w14:paraId="5D9D6E55">
            <w:pPr>
              <w:spacing w:before="0" w:line="360" w:lineRule="auto"/>
              <w:ind w:firstLine="440"/>
              <w:rPr>
                <w:rFonts w:cs="Times New Roman"/>
                <w:sz w:val="21"/>
                <w:szCs w:val="21"/>
                <w:lang w:val="zh-TW" w:eastAsia="zh-TW"/>
              </w:rPr>
            </w:pPr>
          </w:p>
        </w:tc>
      </w:tr>
      <w:tr w14:paraId="0260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111B2BE2">
            <w:pPr>
              <w:spacing w:before="0" w:line="360" w:lineRule="auto"/>
              <w:ind w:firstLine="440"/>
              <w:rPr>
                <w:rFonts w:cs="Times New Roman"/>
                <w:sz w:val="21"/>
                <w:szCs w:val="21"/>
                <w:lang w:val="zh-TW" w:eastAsia="zh-TW"/>
              </w:rPr>
            </w:pPr>
          </w:p>
        </w:tc>
        <w:tc>
          <w:tcPr>
            <w:tcW w:w="3171" w:type="dxa"/>
            <w:shd w:val="clear" w:color="auto" w:fill="auto"/>
            <w:vAlign w:val="center"/>
          </w:tcPr>
          <w:p w14:paraId="5A6F3AEB">
            <w:pPr>
              <w:spacing w:before="0" w:line="360" w:lineRule="auto"/>
              <w:ind w:firstLine="440"/>
              <w:rPr>
                <w:rFonts w:cs="Times New Roman"/>
                <w:sz w:val="21"/>
                <w:szCs w:val="21"/>
                <w:lang w:val="zh-TW" w:eastAsia="zh-TW"/>
              </w:rPr>
            </w:pPr>
            <w:r>
              <w:rPr>
                <w:rFonts w:hint="eastAsia" w:cs="Times New Roman"/>
                <w:bCs/>
                <w:sz w:val="21"/>
                <w:szCs w:val="21"/>
                <w:lang w:val="zh-TW" w:eastAsia="zh-TW"/>
              </w:rPr>
              <w:t>数据管理</w:t>
            </w:r>
          </w:p>
        </w:tc>
        <w:tc>
          <w:tcPr>
            <w:tcW w:w="3172" w:type="dxa"/>
            <w:shd w:val="clear" w:color="auto" w:fill="auto"/>
            <w:vAlign w:val="center"/>
          </w:tcPr>
          <w:p w14:paraId="78341D96">
            <w:pPr>
              <w:spacing w:before="0" w:line="360" w:lineRule="auto"/>
              <w:ind w:firstLine="440"/>
              <w:rPr>
                <w:rFonts w:cs="Times New Roman"/>
                <w:sz w:val="21"/>
                <w:szCs w:val="21"/>
                <w:lang w:val="zh-TW" w:eastAsia="zh-TW"/>
              </w:rPr>
            </w:pPr>
          </w:p>
        </w:tc>
      </w:tr>
      <w:tr w14:paraId="64F9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auto"/>
            <w:vAlign w:val="center"/>
          </w:tcPr>
          <w:p w14:paraId="396C0A8C">
            <w:pPr>
              <w:spacing w:before="0" w:line="360" w:lineRule="auto"/>
              <w:ind w:firstLine="440"/>
              <w:rPr>
                <w:rFonts w:cs="Times New Roman"/>
                <w:lang w:val="zh-TW" w:eastAsia="zh-TW"/>
              </w:rPr>
            </w:pPr>
          </w:p>
        </w:tc>
        <w:tc>
          <w:tcPr>
            <w:tcW w:w="3171" w:type="dxa"/>
            <w:shd w:val="clear" w:color="auto" w:fill="auto"/>
            <w:vAlign w:val="center"/>
          </w:tcPr>
          <w:p w14:paraId="00DD7C53">
            <w:pPr>
              <w:spacing w:before="0" w:line="360" w:lineRule="auto"/>
              <w:ind w:firstLine="440"/>
              <w:rPr>
                <w:rFonts w:cs="Times New Roman"/>
                <w:lang w:val="zh-TW" w:eastAsia="zh-TW"/>
              </w:rPr>
            </w:pPr>
            <w:r>
              <w:rPr>
                <w:rFonts w:cs="Times New Roman"/>
                <w:bCs/>
                <w:lang w:val="zh-TW" w:eastAsia="zh-TW"/>
              </w:rPr>
              <w:t>中心实验室检查</w:t>
            </w:r>
          </w:p>
        </w:tc>
        <w:tc>
          <w:tcPr>
            <w:tcW w:w="3172" w:type="dxa"/>
            <w:shd w:val="clear" w:color="auto" w:fill="auto"/>
            <w:vAlign w:val="center"/>
          </w:tcPr>
          <w:p w14:paraId="4BF73001">
            <w:pPr>
              <w:spacing w:before="0" w:line="360" w:lineRule="auto"/>
              <w:ind w:firstLine="440"/>
              <w:rPr>
                <w:rFonts w:cs="Times New Roman"/>
                <w:lang w:val="zh-TW" w:eastAsia="zh-TW"/>
              </w:rPr>
            </w:pPr>
          </w:p>
        </w:tc>
      </w:tr>
      <w:bookmarkEnd w:id="10"/>
      <w:bookmarkEnd w:id="28"/>
    </w:tbl>
    <w:p w14:paraId="5B36869C">
      <w:pPr>
        <w:spacing w:before="0" w:line="360" w:lineRule="auto"/>
        <w:ind w:firstLine="482" w:firstLineChars="200"/>
        <w:jc w:val="center"/>
        <w:outlineLvl w:val="0"/>
        <w:rPr>
          <w:rFonts w:cs="Times New Roman"/>
          <w:b/>
          <w:bCs/>
          <w:szCs w:val="24"/>
          <w:lang w:eastAsia="zh-CN"/>
        </w:rPr>
      </w:pPr>
      <w:bookmarkStart w:id="29" w:name="_Toc132623302"/>
      <w:r>
        <w:rPr>
          <w:rFonts w:hint="eastAsia" w:cs="Times New Roman"/>
          <w:b/>
          <w:bCs/>
          <w:szCs w:val="24"/>
          <w:lang w:eastAsia="zh-CN"/>
        </w:rPr>
        <w:t>缩略语表</w:t>
      </w:r>
      <w:bookmarkEnd w:id="29"/>
    </w:p>
    <w:p w14:paraId="55D6F732">
      <w:pPr>
        <w:pStyle w:val="48"/>
        <w:spacing w:line="360" w:lineRule="auto"/>
        <w:ind w:firstLine="420"/>
        <w:rPr>
          <w:color w:val="00B0F0"/>
          <w:szCs w:val="22"/>
        </w:rPr>
      </w:pPr>
      <w:r w:rsidR="273394C3">
        <w:rPr>
          <w:color w:val="00B0F0"/>
          <w:szCs w:val="22"/>
        </w:rPr>
        <w:t xml:space="preserve">下表包含了本</w:t>
      </w:r>
      <w:r w:rsidR="273394C3">
        <w:rPr>
          <w:color w:val="00B0F0"/>
          <w:szCs w:val="22"/>
        </w:rPr>
        <w:t xml:space="preserve">模板</w:t>
      </w:r>
      <w:r w:rsidR="273394C3">
        <w:rPr>
          <w:color w:val="00B0F0"/>
          <w:szCs w:val="22"/>
        </w:rPr>
        <w:t xml:space="preserve">中出现的</w:t>
      </w:r>
      <w:r w:rsidR="273394C3">
        <w:rPr>
          <w:color w:val="00B0F0"/>
          <w:szCs w:val="22"/>
        </w:rPr>
        <w:t xml:space="preserve">缩略语</w:t>
      </w:r>
      <w:r w:rsidR="273394C3">
        <w:rPr>
          <w:color w:val="00B0F0"/>
          <w:szCs w:val="22"/>
        </w:rPr>
        <w:t xml:space="preserve">，该列表应根据实际方案制定（如从本表中删除未涉及的</w:t>
      </w:r>
      <w:r w:rsidR="273394C3">
        <w:rPr>
          <w:color w:val="00B0F0"/>
          <w:szCs w:val="22"/>
        </w:rPr>
        <w:t xml:space="preserve">缩略语</w:t>
      </w:r>
      <w:r w:rsidR="273394C3">
        <w:rPr>
          <w:color w:val="00B0F0"/>
          <w:szCs w:val="22"/>
        </w:rPr>
        <w:t xml:space="preserve">，增添新</w:t>
      </w:r>
      <w:r w:rsidR="273394C3">
        <w:rPr>
          <w:color w:val="00B0F0"/>
          <w:szCs w:val="22"/>
        </w:rPr>
        <w:t xml:space="preserve">缩略语</w:t>
      </w:r>
      <w:r w:rsidR="273394C3">
        <w:rPr>
          <w:color w:val="00B0F0"/>
          <w:szCs w:val="22"/>
        </w:rPr>
        <w:t xml:space="preserve">）。</w:t>
      </w:r>
    </w:p>
    <w:tbl>
      <w:tblPr>
        <w:tblStyle w:val="27"/>
        <w:tblW w:w="8500" w:type="dxa"/>
        <w:jc w:val="center"/>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1831"/>
        <w:gridCol w:w="3841"/>
        <w:gridCol w:w="2828"/>
      </w:tblGrid>
      <w:tr w14:paraId="5959BAF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32D621EA">
            <w:pPr>
              <w:spacing w:before="0" w:line="360" w:lineRule="auto"/>
              <w:rPr>
                <w:sz w:val="21"/>
                <w:szCs w:val="21"/>
              </w:rPr>
            </w:pPr>
            <w:r>
              <w:rPr>
                <w:sz w:val="21"/>
                <w:szCs w:val="21"/>
              </w:rPr>
              <w:t>缩写和术语</w:t>
            </w:r>
          </w:p>
        </w:tc>
        <w:tc>
          <w:tcPr>
            <w:tcW w:w="3841" w:type="dxa"/>
          </w:tcPr>
          <w:p w14:paraId="5BDFE54C">
            <w:pPr>
              <w:spacing w:before="0" w:line="360" w:lineRule="auto"/>
              <w:rPr>
                <w:sz w:val="21"/>
                <w:szCs w:val="21"/>
              </w:rPr>
            </w:pPr>
            <w:r>
              <w:rPr>
                <w:color w:val="000000"/>
                <w:sz w:val="21"/>
                <w:szCs w:val="21"/>
              </w:rPr>
              <w:t>英文全称</w:t>
            </w:r>
          </w:p>
        </w:tc>
        <w:tc>
          <w:tcPr>
            <w:tcW w:w="2828" w:type="dxa"/>
          </w:tcPr>
          <w:p w14:paraId="376C85E7">
            <w:pPr>
              <w:spacing w:before="0" w:line="360" w:lineRule="auto"/>
              <w:rPr>
                <w:sz w:val="21"/>
                <w:szCs w:val="21"/>
              </w:rPr>
            </w:pPr>
            <w:r>
              <w:rPr>
                <w:sz w:val="21"/>
                <w:szCs w:val="21"/>
              </w:rPr>
              <w:t>中文释义</w:t>
            </w:r>
          </w:p>
        </w:tc>
      </w:tr>
      <w:tr w14:paraId="180C7730">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266A3F1">
            <w:pPr>
              <w:spacing w:before="0" w:line="360" w:lineRule="auto"/>
              <w:rPr>
                <w:sz w:val="21"/>
                <w:szCs w:val="21"/>
              </w:rPr>
            </w:pPr>
            <w:bookmarkStart w:id="30" w:name="OLE_LINK16"/>
            <w:bookmarkStart w:id="31" w:name="OLE_LINK15"/>
            <w:r>
              <w:rPr>
                <w:sz w:val="21"/>
                <w:szCs w:val="21"/>
              </w:rPr>
              <w:t>AE</w:t>
            </w:r>
          </w:p>
        </w:tc>
        <w:tc>
          <w:tcPr>
            <w:tcW w:w="3841" w:type="dxa"/>
          </w:tcPr>
          <w:p w14:paraId="16AC4B51">
            <w:pPr>
              <w:spacing w:before="0" w:line="360" w:lineRule="auto"/>
              <w:rPr>
                <w:sz w:val="21"/>
                <w:szCs w:val="21"/>
              </w:rPr>
            </w:pPr>
            <w:r>
              <w:rPr>
                <w:color w:val="000000"/>
                <w:sz w:val="21"/>
                <w:szCs w:val="21"/>
              </w:rPr>
              <w:t>Adverse event</w:t>
            </w:r>
          </w:p>
        </w:tc>
        <w:tc>
          <w:tcPr>
            <w:tcW w:w="2828" w:type="dxa"/>
          </w:tcPr>
          <w:p w14:paraId="6AD21214">
            <w:pPr>
              <w:spacing w:before="0" w:line="360" w:lineRule="auto"/>
              <w:rPr>
                <w:sz w:val="21"/>
                <w:szCs w:val="21"/>
              </w:rPr>
            </w:pPr>
            <w:r>
              <w:rPr>
                <w:sz w:val="21"/>
                <w:szCs w:val="21"/>
              </w:rPr>
              <w:t>不良事件</w:t>
            </w:r>
          </w:p>
        </w:tc>
      </w:tr>
      <w:tr w14:paraId="2ADEDBD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314531E6">
            <w:pPr>
              <w:spacing w:before="0" w:line="360" w:lineRule="auto"/>
              <w:rPr>
                <w:sz w:val="21"/>
                <w:szCs w:val="21"/>
              </w:rPr>
            </w:pPr>
            <w:r>
              <w:rPr>
                <w:sz w:val="21"/>
                <w:szCs w:val="21"/>
              </w:rPr>
              <w:t>ALB</w:t>
            </w:r>
          </w:p>
        </w:tc>
        <w:tc>
          <w:tcPr>
            <w:tcW w:w="3841" w:type="dxa"/>
          </w:tcPr>
          <w:p w14:paraId="469806A4">
            <w:pPr>
              <w:spacing w:before="0" w:line="360" w:lineRule="auto"/>
              <w:rPr>
                <w:sz w:val="21"/>
                <w:szCs w:val="21"/>
              </w:rPr>
            </w:pPr>
            <w:r>
              <w:rPr>
                <w:sz w:val="21"/>
                <w:szCs w:val="21"/>
              </w:rPr>
              <w:t>Albumin</w:t>
            </w:r>
          </w:p>
        </w:tc>
        <w:tc>
          <w:tcPr>
            <w:tcW w:w="2828" w:type="dxa"/>
          </w:tcPr>
          <w:p w14:paraId="5143A35C">
            <w:pPr>
              <w:spacing w:before="0" w:line="360" w:lineRule="auto"/>
              <w:rPr>
                <w:sz w:val="21"/>
                <w:szCs w:val="21"/>
              </w:rPr>
            </w:pPr>
            <w:r>
              <w:rPr>
                <w:sz w:val="21"/>
                <w:szCs w:val="21"/>
              </w:rPr>
              <w:t>白蛋白</w:t>
            </w:r>
          </w:p>
        </w:tc>
      </w:tr>
      <w:tr w14:paraId="07271F2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2A46B4C">
            <w:pPr>
              <w:spacing w:before="0" w:line="360" w:lineRule="auto"/>
              <w:rPr>
                <w:sz w:val="21"/>
                <w:szCs w:val="21"/>
              </w:rPr>
            </w:pPr>
            <w:r>
              <w:rPr>
                <w:sz w:val="21"/>
                <w:szCs w:val="21"/>
              </w:rPr>
              <w:t>ALT</w:t>
            </w:r>
          </w:p>
        </w:tc>
        <w:tc>
          <w:tcPr>
            <w:tcW w:w="3841" w:type="dxa"/>
          </w:tcPr>
          <w:p w14:paraId="38B5122F">
            <w:pPr>
              <w:spacing w:before="0" w:line="360" w:lineRule="auto"/>
              <w:rPr>
                <w:sz w:val="21"/>
                <w:szCs w:val="21"/>
              </w:rPr>
            </w:pPr>
            <w:r>
              <w:rPr>
                <w:sz w:val="21"/>
                <w:szCs w:val="21"/>
              </w:rPr>
              <w:t>Alanine aminotransferase</w:t>
            </w:r>
          </w:p>
        </w:tc>
        <w:tc>
          <w:tcPr>
            <w:tcW w:w="2828" w:type="dxa"/>
          </w:tcPr>
          <w:p w14:paraId="15876B2B">
            <w:pPr>
              <w:spacing w:before="0" w:line="360" w:lineRule="auto"/>
              <w:rPr>
                <w:sz w:val="21"/>
                <w:szCs w:val="21"/>
              </w:rPr>
            </w:pPr>
            <w:r>
              <w:rPr>
                <w:sz w:val="21"/>
                <w:szCs w:val="21"/>
              </w:rPr>
              <w:t>丙氨酸氨基转移酶</w:t>
            </w:r>
          </w:p>
        </w:tc>
      </w:tr>
      <w:tr w14:paraId="6A448151">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2E2B612">
            <w:pPr>
              <w:spacing w:before="0" w:line="360" w:lineRule="auto"/>
              <w:rPr>
                <w:sz w:val="21"/>
                <w:szCs w:val="21"/>
              </w:rPr>
            </w:pPr>
            <w:r>
              <w:rPr>
                <w:sz w:val="21"/>
                <w:szCs w:val="21"/>
              </w:rPr>
              <w:t>ALP</w:t>
            </w:r>
          </w:p>
        </w:tc>
        <w:tc>
          <w:tcPr>
            <w:tcW w:w="3841" w:type="dxa"/>
          </w:tcPr>
          <w:p w14:paraId="4E6F8C08">
            <w:pPr>
              <w:spacing w:before="0" w:line="360" w:lineRule="auto"/>
              <w:rPr>
                <w:sz w:val="21"/>
                <w:szCs w:val="21"/>
              </w:rPr>
            </w:pPr>
            <w:r>
              <w:rPr>
                <w:sz w:val="21"/>
                <w:szCs w:val="21"/>
              </w:rPr>
              <w:t>Alkaline phosphatase</w:t>
            </w:r>
          </w:p>
        </w:tc>
        <w:tc>
          <w:tcPr>
            <w:tcW w:w="2828" w:type="dxa"/>
          </w:tcPr>
          <w:p w14:paraId="285BF14B">
            <w:pPr>
              <w:spacing w:before="0" w:line="360" w:lineRule="auto"/>
              <w:rPr>
                <w:sz w:val="21"/>
                <w:szCs w:val="21"/>
              </w:rPr>
            </w:pPr>
            <w:r>
              <w:rPr>
                <w:sz w:val="21"/>
                <w:szCs w:val="21"/>
              </w:rPr>
              <w:t>碱性磷酸酶</w:t>
            </w:r>
          </w:p>
        </w:tc>
      </w:tr>
      <w:tr w14:paraId="1A9CC373">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121EDAB">
            <w:pPr>
              <w:spacing w:before="0" w:line="360" w:lineRule="auto"/>
              <w:rPr>
                <w:sz w:val="21"/>
                <w:szCs w:val="21"/>
              </w:rPr>
            </w:pPr>
            <w:r>
              <w:rPr>
                <w:sz w:val="21"/>
                <w:szCs w:val="21"/>
              </w:rPr>
              <w:t>ANC</w:t>
            </w:r>
          </w:p>
        </w:tc>
        <w:tc>
          <w:tcPr>
            <w:tcW w:w="3841" w:type="dxa"/>
          </w:tcPr>
          <w:p w14:paraId="6DA7B2E1">
            <w:pPr>
              <w:spacing w:before="0" w:line="360" w:lineRule="auto"/>
              <w:rPr>
                <w:sz w:val="21"/>
                <w:szCs w:val="21"/>
              </w:rPr>
            </w:pPr>
            <w:r>
              <w:rPr>
                <w:color w:val="000000"/>
                <w:sz w:val="21"/>
                <w:szCs w:val="21"/>
              </w:rPr>
              <w:t>Absolute neutrophil count</w:t>
            </w:r>
          </w:p>
        </w:tc>
        <w:tc>
          <w:tcPr>
            <w:tcW w:w="2828" w:type="dxa"/>
          </w:tcPr>
          <w:p w14:paraId="558641F2">
            <w:pPr>
              <w:spacing w:before="0" w:line="360" w:lineRule="auto"/>
              <w:rPr>
                <w:sz w:val="21"/>
                <w:szCs w:val="21"/>
              </w:rPr>
            </w:pPr>
            <w:r>
              <w:rPr>
                <w:sz w:val="21"/>
                <w:szCs w:val="21"/>
              </w:rPr>
              <w:t>中性粒细胞计数</w:t>
            </w:r>
          </w:p>
        </w:tc>
      </w:tr>
      <w:tr w14:paraId="3AEE0411">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B02C0C9">
            <w:pPr>
              <w:spacing w:before="0" w:line="360" w:lineRule="auto"/>
              <w:rPr>
                <w:sz w:val="21"/>
                <w:szCs w:val="21"/>
              </w:rPr>
            </w:pPr>
            <w:r>
              <w:rPr>
                <w:sz w:val="21"/>
                <w:szCs w:val="21"/>
              </w:rPr>
              <w:t>APTT</w:t>
            </w:r>
          </w:p>
        </w:tc>
        <w:tc>
          <w:tcPr>
            <w:tcW w:w="3841" w:type="dxa"/>
            <w:vAlign w:val="center"/>
          </w:tcPr>
          <w:p w14:paraId="03AAA6BB">
            <w:pPr>
              <w:spacing w:before="0" w:line="360" w:lineRule="auto"/>
              <w:rPr>
                <w:sz w:val="21"/>
                <w:szCs w:val="21"/>
              </w:rPr>
            </w:pPr>
            <w:r>
              <w:rPr>
                <w:color w:val="000000"/>
                <w:sz w:val="21"/>
                <w:szCs w:val="21"/>
              </w:rPr>
              <w:t>Activeated partial thromboplastin time</w:t>
            </w:r>
          </w:p>
        </w:tc>
        <w:tc>
          <w:tcPr>
            <w:tcW w:w="2828" w:type="dxa"/>
          </w:tcPr>
          <w:p w14:paraId="44CB00E4">
            <w:pPr>
              <w:spacing w:before="0" w:line="360" w:lineRule="auto"/>
              <w:rPr>
                <w:sz w:val="21"/>
                <w:szCs w:val="21"/>
              </w:rPr>
            </w:pPr>
            <w:r>
              <w:rPr>
                <w:sz w:val="21"/>
                <w:szCs w:val="21"/>
              </w:rPr>
              <w:t>部分凝血活酶时间</w:t>
            </w:r>
          </w:p>
        </w:tc>
      </w:tr>
      <w:tr w14:paraId="3E60305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81EE6D4">
            <w:pPr>
              <w:spacing w:before="0" w:line="360" w:lineRule="auto"/>
              <w:rPr>
                <w:sz w:val="21"/>
                <w:szCs w:val="21"/>
              </w:rPr>
            </w:pPr>
            <w:r>
              <w:rPr>
                <w:sz w:val="21"/>
                <w:szCs w:val="21"/>
              </w:rPr>
              <w:t>AST</w:t>
            </w:r>
          </w:p>
        </w:tc>
        <w:tc>
          <w:tcPr>
            <w:tcW w:w="3841" w:type="dxa"/>
            <w:vAlign w:val="center"/>
          </w:tcPr>
          <w:p w14:paraId="348A2703">
            <w:pPr>
              <w:spacing w:before="0" w:line="360" w:lineRule="auto"/>
              <w:rPr>
                <w:sz w:val="21"/>
                <w:szCs w:val="21"/>
              </w:rPr>
            </w:pPr>
            <w:r>
              <w:rPr>
                <w:color w:val="000000"/>
                <w:sz w:val="21"/>
                <w:szCs w:val="21"/>
              </w:rPr>
              <w:t>Aspartate aminotransferase</w:t>
            </w:r>
          </w:p>
        </w:tc>
        <w:tc>
          <w:tcPr>
            <w:tcW w:w="2828" w:type="dxa"/>
          </w:tcPr>
          <w:p w14:paraId="33076952">
            <w:pPr>
              <w:spacing w:before="0" w:line="360" w:lineRule="auto"/>
              <w:rPr>
                <w:sz w:val="21"/>
                <w:szCs w:val="21"/>
                <w:lang w:eastAsia="zh-CN"/>
              </w:rPr>
            </w:pPr>
            <w:r>
              <w:rPr>
                <w:sz w:val="21"/>
                <w:szCs w:val="21"/>
                <w:lang w:eastAsia="zh-CN"/>
              </w:rPr>
              <w:t>天门冬氨酸氨基转移酶</w:t>
            </w:r>
          </w:p>
        </w:tc>
      </w:tr>
      <w:tr w14:paraId="6337CD95">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B2BC411">
            <w:pPr>
              <w:spacing w:before="0" w:line="360" w:lineRule="auto"/>
              <w:rPr>
                <w:sz w:val="21"/>
                <w:szCs w:val="21"/>
              </w:rPr>
            </w:pPr>
            <w:r>
              <w:rPr>
                <w:sz w:val="21"/>
                <w:szCs w:val="21"/>
              </w:rPr>
              <w:t>AUC</w:t>
            </w:r>
          </w:p>
        </w:tc>
        <w:tc>
          <w:tcPr>
            <w:tcW w:w="3841" w:type="dxa"/>
            <w:vAlign w:val="center"/>
          </w:tcPr>
          <w:p w14:paraId="290D6BB6">
            <w:pPr>
              <w:spacing w:before="0" w:line="360" w:lineRule="auto"/>
              <w:rPr>
                <w:sz w:val="21"/>
                <w:szCs w:val="21"/>
              </w:rPr>
            </w:pPr>
            <w:r>
              <w:rPr>
                <w:color w:val="000000"/>
                <w:sz w:val="21"/>
                <w:szCs w:val="21"/>
              </w:rPr>
              <w:t>Area under curve</w:t>
            </w:r>
          </w:p>
        </w:tc>
        <w:tc>
          <w:tcPr>
            <w:tcW w:w="2828" w:type="dxa"/>
          </w:tcPr>
          <w:p w14:paraId="02E9ED0D">
            <w:pPr>
              <w:spacing w:before="0" w:line="360" w:lineRule="auto"/>
              <w:rPr>
                <w:sz w:val="21"/>
                <w:szCs w:val="21"/>
              </w:rPr>
            </w:pPr>
            <w:r>
              <w:rPr>
                <w:sz w:val="21"/>
                <w:szCs w:val="21"/>
              </w:rPr>
              <w:t>药时曲线下面积</w:t>
            </w:r>
          </w:p>
        </w:tc>
      </w:tr>
      <w:tr w14:paraId="0DB76F9E">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ED6C05E">
            <w:pPr>
              <w:spacing w:before="0" w:line="360" w:lineRule="auto"/>
              <w:rPr>
                <w:sz w:val="21"/>
                <w:szCs w:val="21"/>
              </w:rPr>
            </w:pPr>
            <w:r>
              <w:rPr>
                <w:sz w:val="21"/>
                <w:szCs w:val="21"/>
              </w:rPr>
              <w:t>BUN</w:t>
            </w:r>
          </w:p>
        </w:tc>
        <w:tc>
          <w:tcPr>
            <w:tcW w:w="3841" w:type="dxa"/>
          </w:tcPr>
          <w:p w14:paraId="3F9ED4ED">
            <w:pPr>
              <w:spacing w:before="0" w:line="360" w:lineRule="auto"/>
              <w:rPr>
                <w:sz w:val="21"/>
                <w:szCs w:val="21"/>
              </w:rPr>
            </w:pPr>
            <w:r>
              <w:rPr>
                <w:color w:val="000000"/>
                <w:sz w:val="21"/>
                <w:szCs w:val="21"/>
              </w:rPr>
              <w:t>Blood urea nitrogen</w:t>
            </w:r>
          </w:p>
        </w:tc>
        <w:tc>
          <w:tcPr>
            <w:tcW w:w="2828" w:type="dxa"/>
          </w:tcPr>
          <w:p w14:paraId="4B5B6ED3">
            <w:pPr>
              <w:spacing w:before="0" w:line="360" w:lineRule="auto"/>
              <w:rPr>
                <w:sz w:val="21"/>
                <w:szCs w:val="21"/>
              </w:rPr>
            </w:pPr>
            <w:r>
              <w:rPr>
                <w:sz w:val="21"/>
                <w:szCs w:val="21"/>
              </w:rPr>
              <w:t>尿素氮</w:t>
            </w:r>
          </w:p>
        </w:tc>
      </w:tr>
      <w:tr w14:paraId="62B6D419">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141C781">
            <w:pPr>
              <w:spacing w:before="0" w:line="360" w:lineRule="auto"/>
              <w:rPr>
                <w:sz w:val="21"/>
                <w:szCs w:val="21"/>
              </w:rPr>
            </w:pPr>
            <w:r>
              <w:rPr>
                <w:sz w:val="21"/>
                <w:szCs w:val="21"/>
              </w:rPr>
              <w:t>CL</w:t>
            </w:r>
          </w:p>
        </w:tc>
        <w:tc>
          <w:tcPr>
            <w:tcW w:w="3841" w:type="dxa"/>
          </w:tcPr>
          <w:p w14:paraId="638F8829">
            <w:pPr>
              <w:spacing w:before="0" w:line="360" w:lineRule="auto"/>
              <w:rPr>
                <w:sz w:val="21"/>
                <w:szCs w:val="21"/>
              </w:rPr>
            </w:pPr>
            <w:r>
              <w:rPr>
                <w:sz w:val="21"/>
                <w:szCs w:val="21"/>
              </w:rPr>
              <w:t>Plasma clearance</w:t>
            </w:r>
          </w:p>
        </w:tc>
        <w:tc>
          <w:tcPr>
            <w:tcW w:w="2828" w:type="dxa"/>
          </w:tcPr>
          <w:p w14:paraId="1467871B">
            <w:pPr>
              <w:spacing w:before="0" w:line="360" w:lineRule="auto"/>
              <w:rPr>
                <w:sz w:val="21"/>
                <w:szCs w:val="21"/>
              </w:rPr>
            </w:pPr>
            <w:r>
              <w:rPr>
                <w:sz w:val="21"/>
                <w:szCs w:val="21"/>
              </w:rPr>
              <w:t>血浆清除率</w:t>
            </w:r>
          </w:p>
        </w:tc>
      </w:tr>
      <w:tr w14:paraId="6CE108A2">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AF3B341">
            <w:pPr>
              <w:spacing w:before="0" w:line="360" w:lineRule="auto"/>
              <w:rPr>
                <w:sz w:val="21"/>
                <w:szCs w:val="21"/>
              </w:rPr>
            </w:pPr>
            <w:r>
              <w:rPr>
                <w:sz w:val="21"/>
                <w:szCs w:val="21"/>
              </w:rPr>
              <w:t>Cr</w:t>
            </w:r>
          </w:p>
        </w:tc>
        <w:tc>
          <w:tcPr>
            <w:tcW w:w="3841" w:type="dxa"/>
          </w:tcPr>
          <w:p w14:paraId="123074DF">
            <w:pPr>
              <w:spacing w:before="0" w:line="360" w:lineRule="auto"/>
              <w:rPr>
                <w:sz w:val="21"/>
                <w:szCs w:val="21"/>
              </w:rPr>
            </w:pPr>
            <w:r>
              <w:rPr>
                <w:color w:val="000000"/>
                <w:sz w:val="21"/>
                <w:szCs w:val="21"/>
              </w:rPr>
              <w:t>Creatinine</w:t>
            </w:r>
          </w:p>
        </w:tc>
        <w:tc>
          <w:tcPr>
            <w:tcW w:w="2828" w:type="dxa"/>
          </w:tcPr>
          <w:p w14:paraId="68004196">
            <w:pPr>
              <w:spacing w:before="0" w:line="360" w:lineRule="auto"/>
              <w:rPr>
                <w:sz w:val="21"/>
                <w:szCs w:val="21"/>
              </w:rPr>
            </w:pPr>
            <w:r>
              <w:rPr>
                <w:sz w:val="21"/>
                <w:szCs w:val="21"/>
              </w:rPr>
              <w:t>肌酐</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CRF</w:t>
            </w:r>
          </w:p>
        </w:tc>
        <w:tc>
          <w:tcPr>
            <w:tcW w:w="3841" w:type="dxa"/>
          </w:tcPr>
          <w:p w14:paraId="13936DB0">
            <w:pPr>
              <w:spacing w:before="0" w:line="360" w:lineRule="auto"/>
              <w:rPr>
                <w:sz w:val="21"/>
                <w:szCs w:val="21"/>
              </w:rPr>
            </w:pPr>
            <w:r>
              <w:rPr>
                <w:color w:val="000000"/>
                <w:sz w:val="21"/>
                <w:szCs w:val="21"/>
              </w:rPr>
              <w:t>Case report form</w:t>
            </w:r>
          </w:p>
        </w:tc>
        <w:tc>
          <w:tcPr>
            <w:tcW w:w="2828" w:type="dxa"/>
          </w:tcPr>
          <w:p w14:paraId="19E3A932">
            <w:pPr>
              <w:spacing w:before="0" w:line="360" w:lineRule="auto"/>
              <w:rPr>
                <w:sz w:val="21"/>
                <w:szCs w:val="21"/>
              </w:rPr>
            </w:pPr>
            <w:r>
              <w:rPr>
                <w:sz w:val="21"/>
                <w:szCs w:val="21"/>
              </w:rPr>
              <w:t>病例报告表</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CRO</w:t>
            </w:r>
          </w:p>
        </w:tc>
        <w:tc>
          <w:tcPr>
            <w:tcW w:w="3841" w:type="dxa"/>
          </w:tcPr>
          <w:p w14:paraId="13936DB0">
            <w:pPr>
              <w:spacing w:before="0" w:line="360" w:lineRule="auto"/>
              <w:rPr>
                <w:sz w:val="21"/>
                <w:szCs w:val="21"/>
              </w:rPr>
            </w:pPr>
            <w:r>
              <w:rPr>
                <w:color w:val="000000"/>
                <w:sz w:val="21"/>
                <w:szCs w:val="21"/>
              </w:rPr>
              <w:t xml:space="preserve">Contract Research Organization</w:t>
            </w:r>
          </w:p>
        </w:tc>
        <w:tc>
          <w:tcPr>
            <w:tcW w:w="2828" w:type="dxa"/>
          </w:tcPr>
          <w:p w14:paraId="19E3A932">
            <w:pPr>
              <w:spacing w:before="0" w:line="360" w:lineRule="auto"/>
              <w:rPr>
                <w:sz w:val="21"/>
                <w:szCs w:val="21"/>
              </w:rPr>
            </w:pPr>
            <w:r>
              <w:rPr>
                <w:sz w:val="21"/>
                <w:szCs w:val="21"/>
              </w:rPr>
              <w:t xml:space="preserve">合同研究组织</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CTCAE</w:t>
            </w:r>
          </w:p>
        </w:tc>
        <w:tc>
          <w:tcPr>
            <w:tcW w:w="3841" w:type="dxa"/>
          </w:tcPr>
          <w:p w14:paraId="13936DB0">
            <w:pPr>
              <w:spacing w:before="0" w:line="360" w:lineRule="auto"/>
              <w:rPr>
                <w:sz w:val="21"/>
                <w:szCs w:val="21"/>
              </w:rPr>
            </w:pPr>
            <w:r>
              <w:rPr>
                <w:color w:val="000000"/>
                <w:sz w:val="21"/>
                <w:szCs w:val="21"/>
              </w:rPr>
              <w:t xml:space="preserve">Common Terminology Criteria for Adverse Events</w:t>
            </w:r>
          </w:p>
        </w:tc>
        <w:tc>
          <w:tcPr>
            <w:tcW w:w="2828" w:type="dxa"/>
          </w:tcPr>
          <w:p w14:paraId="19E3A932">
            <w:pPr>
              <w:spacing w:before="0" w:line="360" w:lineRule="auto"/>
              <w:rPr>
                <w:sz w:val="21"/>
                <w:szCs w:val="21"/>
              </w:rPr>
            </w:pPr>
            <w:r>
              <w:rPr>
                <w:sz w:val="21"/>
                <w:szCs w:val="21"/>
              </w:rPr>
              <w:t xml:space="preserve">不良事件通用术语标准</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DMP</w:t>
            </w:r>
          </w:p>
        </w:tc>
        <w:tc>
          <w:tcPr>
            <w:tcW w:w="3841" w:type="dxa"/>
          </w:tcPr>
          <w:p w14:paraId="13936DB0">
            <w:pPr>
              <w:spacing w:before="0" w:line="360" w:lineRule="auto"/>
              <w:rPr>
                <w:sz w:val="21"/>
                <w:szCs w:val="21"/>
              </w:rPr>
            </w:pPr>
            <w:r>
              <w:rPr>
                <w:color w:val="000000"/>
                <w:sz w:val="21"/>
                <w:szCs w:val="21"/>
              </w:rPr>
              <w:t xml:space="preserve">Data Management Plan</w:t>
            </w:r>
          </w:p>
        </w:tc>
        <w:tc>
          <w:tcPr>
            <w:tcW w:w="2828" w:type="dxa"/>
          </w:tcPr>
          <w:p w14:paraId="19E3A932">
            <w:pPr>
              <w:spacing w:before="0" w:line="360" w:lineRule="auto"/>
              <w:rPr>
                <w:sz w:val="21"/>
                <w:szCs w:val="21"/>
              </w:rPr>
            </w:pPr>
            <w:r>
              <w:rPr>
                <w:sz w:val="21"/>
                <w:szCs w:val="21"/>
              </w:rPr>
              <w:t xml:space="preserve">数据管理计划</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DSUR</w:t>
            </w:r>
          </w:p>
        </w:tc>
        <w:tc>
          <w:tcPr>
            <w:tcW w:w="3841" w:type="dxa"/>
          </w:tcPr>
          <w:p w14:paraId="13936DB0">
            <w:pPr>
              <w:spacing w:before="0" w:line="360" w:lineRule="auto"/>
              <w:rPr>
                <w:sz w:val="21"/>
                <w:szCs w:val="21"/>
              </w:rPr>
            </w:pPr>
            <w:r>
              <w:rPr>
                <w:color w:val="000000"/>
                <w:sz w:val="21"/>
                <w:szCs w:val="21"/>
              </w:rPr>
              <w:t xml:space="preserve">Development Safety Update Report</w:t>
            </w:r>
          </w:p>
        </w:tc>
        <w:tc>
          <w:tcPr>
            <w:tcW w:w="2828" w:type="dxa"/>
          </w:tcPr>
          <w:p w14:paraId="19E3A932">
            <w:pPr>
              <w:spacing w:before="0" w:line="360" w:lineRule="auto"/>
              <w:rPr>
                <w:sz w:val="21"/>
                <w:szCs w:val="21"/>
              </w:rPr>
            </w:pPr>
            <w:r>
              <w:rPr>
                <w:sz w:val="21"/>
                <w:szCs w:val="21"/>
              </w:rPr>
              <w:t xml:space="preserve">药物研发期间安全性更新报告</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EDC</w:t>
            </w:r>
          </w:p>
        </w:tc>
        <w:tc>
          <w:tcPr>
            <w:tcW w:w="3841" w:type="dxa"/>
          </w:tcPr>
          <w:p w14:paraId="13936DB0">
            <w:pPr>
              <w:spacing w:before="0" w:line="360" w:lineRule="auto"/>
              <w:rPr>
                <w:sz w:val="21"/>
                <w:szCs w:val="21"/>
              </w:rPr>
            </w:pPr>
            <w:r>
              <w:rPr>
                <w:color w:val="000000"/>
                <w:sz w:val="21"/>
                <w:szCs w:val="21"/>
              </w:rPr>
              <w:t xml:space="preserve">Electronic Data Capture</w:t>
            </w:r>
          </w:p>
        </w:tc>
        <w:tc>
          <w:tcPr>
            <w:tcW w:w="2828" w:type="dxa"/>
          </w:tcPr>
          <w:p w14:paraId="19E3A932">
            <w:pPr>
              <w:spacing w:before="0" w:line="360" w:lineRule="auto"/>
              <w:rPr>
                <w:sz w:val="21"/>
                <w:szCs w:val="21"/>
              </w:rPr>
            </w:pPr>
            <w:r>
              <w:rPr>
                <w:sz w:val="21"/>
                <w:szCs w:val="21"/>
              </w:rPr>
              <w:t xml:space="preserve">电子数据采集系统</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eCRF</w:t>
            </w:r>
          </w:p>
        </w:tc>
        <w:tc>
          <w:tcPr>
            <w:tcW w:w="3841" w:type="dxa"/>
          </w:tcPr>
          <w:p w14:paraId="13936DB0">
            <w:pPr>
              <w:spacing w:before="0" w:line="360" w:lineRule="auto"/>
              <w:rPr>
                <w:sz w:val="21"/>
                <w:szCs w:val="21"/>
              </w:rPr>
            </w:pPr>
            <w:r>
              <w:rPr>
                <w:color w:val="000000"/>
                <w:sz w:val="21"/>
                <w:szCs w:val="21"/>
              </w:rPr>
              <w:t xml:space="preserve">electronic Case Report Form</w:t>
            </w:r>
          </w:p>
        </w:tc>
        <w:tc>
          <w:tcPr>
            <w:tcW w:w="2828" w:type="dxa"/>
          </w:tcPr>
          <w:p w14:paraId="19E3A932">
            <w:pPr>
              <w:spacing w:before="0" w:line="360" w:lineRule="auto"/>
              <w:rPr>
                <w:sz w:val="21"/>
                <w:szCs w:val="21"/>
              </w:rPr>
            </w:pPr>
            <w:r>
              <w:rPr>
                <w:sz w:val="21"/>
                <w:szCs w:val="21"/>
              </w:rPr>
              <w:t xml:space="preserve">电子病例报告表</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ICF</w:t>
            </w:r>
          </w:p>
        </w:tc>
        <w:tc>
          <w:tcPr>
            <w:tcW w:w="3841" w:type="dxa"/>
          </w:tcPr>
          <w:p w14:paraId="13936DB0">
            <w:pPr>
              <w:spacing w:before="0" w:line="360" w:lineRule="auto"/>
              <w:rPr>
                <w:sz w:val="21"/>
                <w:szCs w:val="21"/>
              </w:rPr>
            </w:pPr>
            <w:r>
              <w:rPr>
                <w:color w:val="000000"/>
                <w:sz w:val="21"/>
                <w:szCs w:val="21"/>
              </w:rPr>
              <w:t xml:space="preserve">Informed Consent Form</w:t>
            </w:r>
          </w:p>
        </w:tc>
        <w:tc>
          <w:tcPr>
            <w:tcW w:w="2828" w:type="dxa"/>
          </w:tcPr>
          <w:p w14:paraId="19E3A932">
            <w:pPr>
              <w:spacing w:before="0" w:line="360" w:lineRule="auto"/>
              <w:rPr>
                <w:sz w:val="21"/>
                <w:szCs w:val="21"/>
              </w:rPr>
            </w:pPr>
            <w:r>
              <w:rPr>
                <w:sz w:val="21"/>
                <w:szCs w:val="21"/>
              </w:rPr>
              <w:t xml:space="preserve">知情同意书</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IWRS</w:t>
            </w:r>
          </w:p>
        </w:tc>
        <w:tc>
          <w:tcPr>
            <w:tcW w:w="3841" w:type="dxa"/>
          </w:tcPr>
          <w:p w14:paraId="13936DB0">
            <w:pPr>
              <w:spacing w:before="0" w:line="360" w:lineRule="auto"/>
              <w:rPr>
                <w:sz w:val="21"/>
                <w:szCs w:val="21"/>
              </w:rPr>
            </w:pPr>
            <w:r>
              <w:rPr>
                <w:color w:val="000000"/>
                <w:sz w:val="21"/>
                <w:szCs w:val="21"/>
              </w:rPr>
              <w:t xml:space="preserve">Interactive Web Response System</w:t>
            </w:r>
          </w:p>
        </w:tc>
        <w:tc>
          <w:tcPr>
            <w:tcW w:w="2828" w:type="dxa"/>
          </w:tcPr>
          <w:p w14:paraId="19E3A932">
            <w:pPr>
              <w:spacing w:before="0" w:line="360" w:lineRule="auto"/>
              <w:rPr>
                <w:sz w:val="21"/>
                <w:szCs w:val="21"/>
              </w:rPr>
            </w:pPr>
            <w:r>
              <w:rPr>
                <w:sz w:val="21"/>
                <w:szCs w:val="21"/>
              </w:rPr>
              <w:t xml:space="preserve">交互式网络应答系统</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MedDRA</w:t>
            </w:r>
          </w:p>
        </w:tc>
        <w:tc>
          <w:tcPr>
            <w:tcW w:w="3841" w:type="dxa"/>
          </w:tcPr>
          <w:p w14:paraId="13936DB0">
            <w:pPr>
              <w:spacing w:before="0" w:line="360" w:lineRule="auto"/>
              <w:rPr>
                <w:sz w:val="21"/>
                <w:szCs w:val="21"/>
              </w:rPr>
            </w:pPr>
            <w:r>
              <w:rPr>
                <w:color w:val="000000"/>
                <w:sz w:val="21"/>
                <w:szCs w:val="21"/>
              </w:rPr>
              <w:t xml:space="preserve">Medical Dictionary for Regulatory Activities</w:t>
            </w:r>
          </w:p>
        </w:tc>
        <w:tc>
          <w:tcPr>
            <w:tcW w:w="2828" w:type="dxa"/>
          </w:tcPr>
          <w:p w14:paraId="19E3A932">
            <w:pPr>
              <w:spacing w:before="0" w:line="360" w:lineRule="auto"/>
              <w:rPr>
                <w:sz w:val="21"/>
                <w:szCs w:val="21"/>
              </w:rPr>
            </w:pPr>
            <w:r>
              <w:rPr>
                <w:sz w:val="21"/>
                <w:szCs w:val="21"/>
              </w:rPr>
              <w:t xml:space="preserve">监管活动医学词典</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SAP</w:t>
            </w:r>
          </w:p>
        </w:tc>
        <w:tc>
          <w:tcPr>
            <w:tcW w:w="3841" w:type="dxa"/>
          </w:tcPr>
          <w:p w14:paraId="13936DB0">
            <w:pPr>
              <w:spacing w:before="0" w:line="360" w:lineRule="auto"/>
              <w:rPr>
                <w:sz w:val="21"/>
                <w:szCs w:val="21"/>
              </w:rPr>
            </w:pPr>
            <w:r>
              <w:rPr>
                <w:color w:val="000000"/>
                <w:sz w:val="21"/>
                <w:szCs w:val="21"/>
              </w:rPr>
              <w:t xml:space="preserve">Statistical Analysis Plan</w:t>
            </w:r>
          </w:p>
        </w:tc>
        <w:tc>
          <w:tcPr>
            <w:tcW w:w="2828" w:type="dxa"/>
          </w:tcPr>
          <w:p w14:paraId="19E3A932">
            <w:pPr>
              <w:spacing w:before="0" w:line="360" w:lineRule="auto"/>
              <w:rPr>
                <w:sz w:val="21"/>
                <w:szCs w:val="21"/>
              </w:rPr>
            </w:pPr>
            <w:r>
              <w:rPr>
                <w:sz w:val="21"/>
                <w:szCs w:val="21"/>
              </w:rPr>
              <w:t xml:space="preserve">统计分析计划</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SoA</w:t>
            </w:r>
          </w:p>
        </w:tc>
        <w:tc>
          <w:tcPr>
            <w:tcW w:w="3841" w:type="dxa"/>
          </w:tcPr>
          <w:p w14:paraId="13936DB0">
            <w:pPr>
              <w:spacing w:before="0" w:line="360" w:lineRule="auto"/>
              <w:rPr>
                <w:sz w:val="21"/>
                <w:szCs w:val="21"/>
              </w:rPr>
            </w:pPr>
            <w:r>
              <w:rPr>
                <w:color w:val="000000"/>
                <w:sz w:val="21"/>
                <w:szCs w:val="21"/>
              </w:rPr>
              <w:t xml:space="preserve">Schedule of Activities</w:t>
            </w:r>
          </w:p>
        </w:tc>
        <w:tc>
          <w:tcPr>
            <w:tcW w:w="2828" w:type="dxa"/>
          </w:tcPr>
          <w:p w14:paraId="19E3A932">
            <w:pPr>
              <w:spacing w:before="0" w:line="360" w:lineRule="auto"/>
              <w:rPr>
                <w:sz w:val="21"/>
                <w:szCs w:val="21"/>
              </w:rPr>
            </w:pPr>
            <w:r>
              <w:rPr>
                <w:sz w:val="21"/>
                <w:szCs w:val="21"/>
              </w:rPr>
              <w:t xml:space="preserve">研究流程表/活动时间表</w:t>
            </w:r>
          </w:p>
        </w:tc>
      </w:tr>
      <w:tr w14:paraId="4DDE95BD">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0151355">
            <w:pPr>
              <w:spacing w:before="0" w:line="360" w:lineRule="auto"/>
              <w:rPr>
                <w:sz w:val="21"/>
                <w:szCs w:val="21"/>
              </w:rPr>
            </w:pPr>
            <w:r>
              <w:rPr>
                <w:sz w:val="21"/>
                <w:szCs w:val="21"/>
              </w:rPr>
              <w:t xml:space="preserve">SUSAR</w:t>
            </w:r>
          </w:p>
        </w:tc>
        <w:tc>
          <w:tcPr>
            <w:tcW w:w="3841" w:type="dxa"/>
          </w:tcPr>
          <w:p w14:paraId="13936DB0">
            <w:pPr>
              <w:spacing w:before="0" w:line="360" w:lineRule="auto"/>
              <w:rPr>
                <w:sz w:val="21"/>
                <w:szCs w:val="21"/>
              </w:rPr>
            </w:pPr>
            <w:r>
              <w:rPr>
                <w:color w:val="000000"/>
                <w:sz w:val="21"/>
                <w:szCs w:val="21"/>
              </w:rPr>
              <w:t xml:space="preserve">Suspected Unexpected Serious Adverse Reaction</w:t>
            </w:r>
          </w:p>
        </w:tc>
        <w:tc>
          <w:tcPr>
            <w:tcW w:w="2828" w:type="dxa"/>
          </w:tcPr>
          <w:p w14:paraId="19E3A932">
            <w:pPr>
              <w:spacing w:before="0" w:line="360" w:lineRule="auto"/>
              <w:rPr>
                <w:sz w:val="21"/>
                <w:szCs w:val="21"/>
              </w:rPr>
            </w:pPr>
            <w:r>
              <w:rPr>
                <w:sz w:val="21"/>
                <w:szCs w:val="21"/>
              </w:rPr>
              <w:t xml:space="preserve">可疑且非预期严重不良反应</w:t>
            </w:r>
          </w:p>
        </w:tc>
      </w:tr>
      <w:tr w14:paraId="78A20E0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F2364CD">
            <w:pPr>
              <w:spacing w:before="0" w:line="360" w:lineRule="auto"/>
              <w:rPr>
                <w:sz w:val="21"/>
                <w:szCs w:val="21"/>
              </w:rPr>
            </w:pPr>
            <w:r>
              <w:rPr>
                <w:sz w:val="21"/>
                <w:szCs w:val="21"/>
              </w:rPr>
              <w:t>DBil</w:t>
            </w:r>
          </w:p>
        </w:tc>
        <w:tc>
          <w:tcPr>
            <w:tcW w:w="3841" w:type="dxa"/>
          </w:tcPr>
          <w:p w14:paraId="3BDEF0F4">
            <w:pPr>
              <w:spacing w:before="0" w:line="360" w:lineRule="auto"/>
              <w:rPr>
                <w:sz w:val="21"/>
                <w:szCs w:val="21"/>
              </w:rPr>
            </w:pPr>
            <w:r>
              <w:rPr>
                <w:color w:val="000000"/>
                <w:sz w:val="21"/>
                <w:szCs w:val="21"/>
              </w:rPr>
              <w:t>Direct bilirubin</w:t>
            </w:r>
          </w:p>
        </w:tc>
        <w:tc>
          <w:tcPr>
            <w:tcW w:w="2828" w:type="dxa"/>
          </w:tcPr>
          <w:p w14:paraId="72CE8A71">
            <w:pPr>
              <w:spacing w:before="0" w:line="360" w:lineRule="auto"/>
              <w:rPr>
                <w:sz w:val="21"/>
                <w:szCs w:val="21"/>
              </w:rPr>
            </w:pPr>
            <w:r>
              <w:rPr>
                <w:sz w:val="21"/>
                <w:szCs w:val="21"/>
              </w:rPr>
              <w:t>直接胆红素</w:t>
            </w:r>
          </w:p>
        </w:tc>
      </w:tr>
      <w:tr w14:paraId="037AA8A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7C0121D8">
            <w:pPr>
              <w:spacing w:before="0" w:line="360" w:lineRule="auto"/>
              <w:rPr>
                <w:sz w:val="21"/>
                <w:szCs w:val="21"/>
              </w:rPr>
            </w:pPr>
            <w:r>
              <w:rPr>
                <w:sz w:val="21"/>
                <w:szCs w:val="21"/>
              </w:rPr>
              <w:t>DNA</w:t>
            </w:r>
          </w:p>
        </w:tc>
        <w:tc>
          <w:tcPr>
            <w:tcW w:w="3841" w:type="dxa"/>
          </w:tcPr>
          <w:p w14:paraId="527C4CAF">
            <w:pPr>
              <w:spacing w:before="0" w:line="360" w:lineRule="auto"/>
              <w:rPr>
                <w:sz w:val="21"/>
                <w:szCs w:val="21"/>
              </w:rPr>
            </w:pPr>
            <w:r>
              <w:rPr>
                <w:sz w:val="21"/>
                <w:szCs w:val="21"/>
              </w:rPr>
              <w:t>Deoxyribonucleic acid</w:t>
            </w:r>
          </w:p>
        </w:tc>
        <w:tc>
          <w:tcPr>
            <w:tcW w:w="2828" w:type="dxa"/>
          </w:tcPr>
          <w:p w14:paraId="0596C11A">
            <w:pPr>
              <w:spacing w:before="0" w:line="360" w:lineRule="auto"/>
              <w:rPr>
                <w:sz w:val="21"/>
                <w:szCs w:val="21"/>
              </w:rPr>
            </w:pPr>
            <w:r>
              <w:rPr>
                <w:sz w:val="21"/>
                <w:szCs w:val="21"/>
              </w:rPr>
              <w:t>脱氧核糖核酸</w:t>
            </w:r>
          </w:p>
        </w:tc>
      </w:tr>
      <w:tr w14:paraId="14FFE00F">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3A5274D">
            <w:pPr>
              <w:spacing w:before="0" w:line="360" w:lineRule="auto"/>
              <w:rPr>
                <w:sz w:val="21"/>
                <w:szCs w:val="21"/>
              </w:rPr>
            </w:pPr>
            <w:r>
              <w:rPr>
                <w:rFonts w:hint="eastAsia"/>
                <w:sz w:val="21"/>
                <w:szCs w:val="21"/>
              </w:rPr>
              <w:t>E</w:t>
            </w:r>
            <w:r>
              <w:rPr>
                <w:sz w:val="21"/>
                <w:szCs w:val="21"/>
              </w:rPr>
              <w:t>C</w:t>
            </w:r>
          </w:p>
        </w:tc>
        <w:tc>
          <w:tcPr>
            <w:tcW w:w="3841" w:type="dxa"/>
          </w:tcPr>
          <w:p w14:paraId="41E16886">
            <w:pPr>
              <w:spacing w:before="0" w:line="360" w:lineRule="auto"/>
              <w:rPr>
                <w:rFonts w:cs="Times New Roman"/>
                <w:sz w:val="21"/>
                <w:szCs w:val="21"/>
              </w:rPr>
            </w:pPr>
            <w:r>
              <w:rPr>
                <w:rFonts w:cs="Times New Roman"/>
                <w:color w:val="333333"/>
                <w:sz w:val="21"/>
                <w:szCs w:val="21"/>
              </w:rPr>
              <w:t>Ethics Committee</w:t>
            </w:r>
          </w:p>
        </w:tc>
        <w:tc>
          <w:tcPr>
            <w:tcW w:w="2828" w:type="dxa"/>
          </w:tcPr>
          <w:p w14:paraId="7F73B551">
            <w:pPr>
              <w:spacing w:before="0" w:line="360" w:lineRule="auto"/>
              <w:rPr>
                <w:sz w:val="21"/>
                <w:szCs w:val="21"/>
              </w:rPr>
            </w:pPr>
            <w:r w:rsidR="273394C3">
              <w:rPr>
                <w:sz w:val="21"/>
                <w:szCs w:val="21"/>
              </w:rPr>
              <w:t xml:space="preserve">伦理审查委员会</w:t>
            </w:r>
          </w:p>
        </w:tc>
      </w:tr>
      <w:tr w14:paraId="29200C0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37436E33">
            <w:pPr>
              <w:spacing w:before="0" w:line="360" w:lineRule="auto"/>
              <w:rPr>
                <w:sz w:val="21"/>
                <w:szCs w:val="21"/>
              </w:rPr>
            </w:pPr>
            <w:r>
              <w:rPr>
                <w:sz w:val="21"/>
                <w:szCs w:val="21"/>
              </w:rPr>
              <w:t>FAS</w:t>
            </w:r>
          </w:p>
        </w:tc>
        <w:tc>
          <w:tcPr>
            <w:tcW w:w="3841" w:type="dxa"/>
          </w:tcPr>
          <w:p w14:paraId="30E770B2">
            <w:pPr>
              <w:spacing w:before="0" w:line="360" w:lineRule="auto"/>
              <w:rPr>
                <w:sz w:val="21"/>
                <w:szCs w:val="21"/>
              </w:rPr>
            </w:pPr>
            <w:r>
              <w:rPr>
                <w:color w:val="000000"/>
                <w:sz w:val="21"/>
                <w:szCs w:val="21"/>
              </w:rPr>
              <w:t>Full analyse set</w:t>
            </w:r>
          </w:p>
        </w:tc>
        <w:tc>
          <w:tcPr>
            <w:tcW w:w="2828" w:type="dxa"/>
          </w:tcPr>
          <w:p w14:paraId="39DB3228">
            <w:pPr>
              <w:spacing w:before="0" w:line="360" w:lineRule="auto"/>
              <w:rPr>
                <w:sz w:val="21"/>
                <w:szCs w:val="21"/>
              </w:rPr>
            </w:pPr>
            <w:r>
              <w:rPr>
                <w:sz w:val="21"/>
                <w:szCs w:val="21"/>
              </w:rPr>
              <w:t>全分析集</w:t>
            </w:r>
          </w:p>
        </w:tc>
      </w:tr>
      <w:tr w14:paraId="4ED6FDEE">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D7A9780">
            <w:pPr>
              <w:spacing w:before="0" w:line="360" w:lineRule="auto"/>
              <w:rPr>
                <w:sz w:val="21"/>
                <w:szCs w:val="21"/>
              </w:rPr>
            </w:pPr>
            <w:r>
              <w:rPr>
                <w:sz w:val="21"/>
                <w:szCs w:val="21"/>
              </w:rPr>
              <w:t>GCP</w:t>
            </w:r>
          </w:p>
        </w:tc>
        <w:tc>
          <w:tcPr>
            <w:tcW w:w="3841" w:type="dxa"/>
          </w:tcPr>
          <w:p w14:paraId="7312E85B">
            <w:pPr>
              <w:spacing w:before="0" w:line="360" w:lineRule="auto"/>
              <w:rPr>
                <w:sz w:val="21"/>
                <w:szCs w:val="21"/>
              </w:rPr>
            </w:pPr>
            <w:r>
              <w:rPr>
                <w:color w:val="000000"/>
                <w:sz w:val="21"/>
                <w:szCs w:val="21"/>
              </w:rPr>
              <w:t>Good Clinical Practice</w:t>
            </w:r>
          </w:p>
        </w:tc>
        <w:tc>
          <w:tcPr>
            <w:tcW w:w="2828" w:type="dxa"/>
          </w:tcPr>
          <w:p w14:paraId="3768E99D">
            <w:pPr>
              <w:spacing w:before="0" w:line="360" w:lineRule="auto"/>
              <w:rPr>
                <w:sz w:val="21"/>
                <w:szCs w:val="21"/>
              </w:rPr>
            </w:pPr>
            <w:r>
              <w:rPr>
                <w:sz w:val="21"/>
                <w:szCs w:val="21"/>
              </w:rPr>
              <w:t>临床试验管理规范</w:t>
            </w:r>
          </w:p>
        </w:tc>
      </w:tr>
      <w:tr w14:paraId="6EA40D75">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8D881C2">
            <w:pPr>
              <w:spacing w:before="0" w:line="360" w:lineRule="auto"/>
              <w:rPr>
                <w:sz w:val="21"/>
                <w:szCs w:val="21"/>
              </w:rPr>
            </w:pPr>
            <w:r>
              <w:rPr>
                <w:sz w:val="21"/>
                <w:szCs w:val="21"/>
              </w:rPr>
              <w:t>GGT</w:t>
            </w:r>
          </w:p>
        </w:tc>
        <w:tc>
          <w:tcPr>
            <w:tcW w:w="3841" w:type="dxa"/>
          </w:tcPr>
          <w:p w14:paraId="14F6B157">
            <w:pPr>
              <w:spacing w:before="0" w:line="360" w:lineRule="auto"/>
              <w:rPr>
                <w:sz w:val="21"/>
                <w:szCs w:val="21"/>
              </w:rPr>
            </w:pPr>
            <w:r>
              <w:rPr>
                <w:sz w:val="21"/>
                <w:szCs w:val="21"/>
              </w:rPr>
              <w:t>Glutamyltransferase</w:t>
            </w:r>
          </w:p>
        </w:tc>
        <w:tc>
          <w:tcPr>
            <w:tcW w:w="2828" w:type="dxa"/>
          </w:tcPr>
          <w:p w14:paraId="56FE237B">
            <w:pPr>
              <w:spacing w:before="0" w:line="360" w:lineRule="auto"/>
              <w:rPr>
                <w:sz w:val="21"/>
                <w:szCs w:val="21"/>
              </w:rPr>
            </w:pPr>
            <w:r>
              <w:rPr>
                <w:sz w:val="21"/>
                <w:szCs w:val="21"/>
              </w:rPr>
              <w:t>γ-谷氨酰转肽酶</w:t>
            </w:r>
          </w:p>
        </w:tc>
      </w:tr>
      <w:tr w14:paraId="04A34FBC">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6A5314C">
            <w:pPr>
              <w:spacing w:before="0" w:line="360" w:lineRule="auto"/>
              <w:rPr>
                <w:sz w:val="21"/>
                <w:szCs w:val="21"/>
              </w:rPr>
            </w:pPr>
            <w:r>
              <w:rPr>
                <w:sz w:val="21"/>
                <w:szCs w:val="21"/>
              </w:rPr>
              <w:t>Hb</w:t>
            </w:r>
          </w:p>
        </w:tc>
        <w:tc>
          <w:tcPr>
            <w:tcW w:w="3841" w:type="dxa"/>
          </w:tcPr>
          <w:p w14:paraId="2A610AC0">
            <w:pPr>
              <w:spacing w:before="0" w:line="360" w:lineRule="auto"/>
              <w:rPr>
                <w:sz w:val="21"/>
                <w:szCs w:val="21"/>
              </w:rPr>
            </w:pPr>
            <w:r>
              <w:rPr>
                <w:color w:val="000000"/>
                <w:sz w:val="21"/>
                <w:szCs w:val="21"/>
              </w:rPr>
              <w:t>Hemoglobin</w:t>
            </w:r>
          </w:p>
        </w:tc>
        <w:tc>
          <w:tcPr>
            <w:tcW w:w="2828" w:type="dxa"/>
          </w:tcPr>
          <w:p w14:paraId="67E62EEE">
            <w:pPr>
              <w:spacing w:before="0" w:line="360" w:lineRule="auto"/>
              <w:rPr>
                <w:sz w:val="21"/>
                <w:szCs w:val="21"/>
              </w:rPr>
            </w:pPr>
            <w:r>
              <w:rPr>
                <w:sz w:val="21"/>
                <w:szCs w:val="21"/>
              </w:rPr>
              <w:t>血红蛋白</w:t>
            </w:r>
          </w:p>
        </w:tc>
      </w:tr>
      <w:tr w14:paraId="25DC7E19">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83688A9">
            <w:pPr>
              <w:spacing w:before="0" w:line="360" w:lineRule="auto"/>
              <w:rPr>
                <w:sz w:val="21"/>
                <w:szCs w:val="21"/>
              </w:rPr>
            </w:pPr>
            <w:r>
              <w:rPr>
                <w:sz w:val="21"/>
                <w:szCs w:val="21"/>
              </w:rPr>
              <w:t>HIV</w:t>
            </w:r>
          </w:p>
        </w:tc>
        <w:tc>
          <w:tcPr>
            <w:tcW w:w="3841" w:type="dxa"/>
            <w:vAlign w:val="center"/>
          </w:tcPr>
          <w:p w14:paraId="2F257910">
            <w:pPr>
              <w:spacing w:before="0" w:line="360" w:lineRule="auto"/>
              <w:rPr>
                <w:sz w:val="21"/>
                <w:szCs w:val="21"/>
              </w:rPr>
            </w:pPr>
            <w:r>
              <w:rPr>
                <w:color w:val="000000"/>
                <w:sz w:val="21"/>
                <w:szCs w:val="21"/>
              </w:rPr>
              <w:t>Human immunodeficiency virus</w:t>
            </w:r>
          </w:p>
        </w:tc>
        <w:tc>
          <w:tcPr>
            <w:tcW w:w="2828" w:type="dxa"/>
          </w:tcPr>
          <w:p w14:paraId="4BA22118">
            <w:pPr>
              <w:spacing w:before="0" w:line="360" w:lineRule="auto"/>
              <w:rPr>
                <w:sz w:val="21"/>
                <w:szCs w:val="21"/>
              </w:rPr>
            </w:pPr>
            <w:r>
              <w:rPr>
                <w:sz w:val="21"/>
                <w:szCs w:val="21"/>
              </w:rPr>
              <w:t>人类免疫缺陷病毒</w:t>
            </w:r>
          </w:p>
        </w:tc>
      </w:tr>
      <w:tr w14:paraId="6171210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6DE3989">
            <w:pPr>
              <w:spacing w:before="0" w:line="360" w:lineRule="auto"/>
              <w:rPr>
                <w:sz w:val="21"/>
                <w:szCs w:val="21"/>
              </w:rPr>
            </w:pPr>
            <w:r>
              <w:rPr>
                <w:sz w:val="21"/>
                <w:szCs w:val="21"/>
              </w:rPr>
              <w:t>ITT</w:t>
            </w:r>
          </w:p>
        </w:tc>
        <w:tc>
          <w:tcPr>
            <w:tcW w:w="3841" w:type="dxa"/>
            <w:vAlign w:val="center"/>
          </w:tcPr>
          <w:p w14:paraId="6651F5F0">
            <w:pPr>
              <w:spacing w:before="0" w:line="360" w:lineRule="auto"/>
              <w:rPr>
                <w:sz w:val="21"/>
                <w:szCs w:val="21"/>
              </w:rPr>
            </w:pPr>
            <w:r>
              <w:rPr>
                <w:color w:val="000000"/>
                <w:sz w:val="21"/>
                <w:szCs w:val="21"/>
              </w:rPr>
              <w:t>Intend to treat</w:t>
            </w:r>
          </w:p>
        </w:tc>
        <w:tc>
          <w:tcPr>
            <w:tcW w:w="2828" w:type="dxa"/>
          </w:tcPr>
          <w:p w14:paraId="7154E8BA">
            <w:pPr>
              <w:spacing w:before="0" w:line="360" w:lineRule="auto"/>
              <w:rPr>
                <w:sz w:val="21"/>
                <w:szCs w:val="21"/>
              </w:rPr>
            </w:pPr>
            <w:r>
              <w:rPr>
                <w:sz w:val="21"/>
                <w:szCs w:val="21"/>
              </w:rPr>
              <w:t>意向性治疗</w:t>
            </w:r>
          </w:p>
        </w:tc>
      </w:tr>
      <w:tr w14:paraId="4F370A5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C0CF451">
            <w:pPr>
              <w:spacing w:before="0" w:line="360" w:lineRule="auto"/>
              <w:rPr>
                <w:sz w:val="21"/>
                <w:szCs w:val="21"/>
              </w:rPr>
            </w:pPr>
            <w:r>
              <w:rPr>
                <w:sz w:val="21"/>
                <w:szCs w:val="21"/>
              </w:rPr>
              <w:t>LVEF</w:t>
            </w:r>
          </w:p>
        </w:tc>
        <w:tc>
          <w:tcPr>
            <w:tcW w:w="3841" w:type="dxa"/>
            <w:vAlign w:val="center"/>
          </w:tcPr>
          <w:p w14:paraId="28059B0C">
            <w:pPr>
              <w:spacing w:before="0" w:line="360" w:lineRule="auto"/>
              <w:rPr>
                <w:sz w:val="21"/>
                <w:szCs w:val="21"/>
              </w:rPr>
            </w:pPr>
            <w:r>
              <w:rPr>
                <w:color w:val="000000"/>
                <w:sz w:val="21"/>
                <w:szCs w:val="21"/>
              </w:rPr>
              <w:t>Left ventricular ejection fraction</w:t>
            </w:r>
          </w:p>
        </w:tc>
        <w:tc>
          <w:tcPr>
            <w:tcW w:w="2828" w:type="dxa"/>
          </w:tcPr>
          <w:p w14:paraId="7A19EA1B">
            <w:pPr>
              <w:spacing w:before="0" w:line="360" w:lineRule="auto"/>
              <w:rPr>
                <w:sz w:val="21"/>
                <w:szCs w:val="21"/>
              </w:rPr>
            </w:pPr>
            <w:r>
              <w:rPr>
                <w:sz w:val="21"/>
                <w:szCs w:val="21"/>
              </w:rPr>
              <w:t>左室射血分数</w:t>
            </w:r>
          </w:p>
        </w:tc>
      </w:tr>
      <w:tr w14:paraId="3E995B79">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D948140">
            <w:pPr>
              <w:spacing w:before="0" w:line="360" w:lineRule="auto"/>
              <w:rPr>
                <w:sz w:val="21"/>
                <w:szCs w:val="21"/>
              </w:rPr>
            </w:pPr>
            <w:r>
              <w:rPr>
                <w:sz w:val="21"/>
                <w:szCs w:val="21"/>
              </w:rPr>
              <w:t>NYHA</w:t>
            </w:r>
          </w:p>
        </w:tc>
        <w:tc>
          <w:tcPr>
            <w:tcW w:w="3841" w:type="dxa"/>
          </w:tcPr>
          <w:p w14:paraId="152F3F55">
            <w:pPr>
              <w:spacing w:before="0" w:line="360" w:lineRule="auto"/>
              <w:rPr>
                <w:sz w:val="21"/>
                <w:szCs w:val="21"/>
              </w:rPr>
            </w:pPr>
            <w:r>
              <w:rPr>
                <w:color w:val="000000"/>
                <w:sz w:val="21"/>
                <w:szCs w:val="21"/>
              </w:rPr>
              <w:t>New York Heart Association</w:t>
            </w:r>
          </w:p>
        </w:tc>
        <w:tc>
          <w:tcPr>
            <w:tcW w:w="2828" w:type="dxa"/>
          </w:tcPr>
          <w:p w14:paraId="509D5381">
            <w:pPr>
              <w:spacing w:before="0" w:line="360" w:lineRule="auto"/>
              <w:rPr>
                <w:sz w:val="21"/>
                <w:szCs w:val="21"/>
              </w:rPr>
            </w:pPr>
            <w:r>
              <w:rPr>
                <w:sz w:val="21"/>
                <w:szCs w:val="21"/>
              </w:rPr>
              <w:t>美国纽约心脏病协会</w:t>
            </w:r>
          </w:p>
        </w:tc>
      </w:tr>
      <w:tr w14:paraId="5BDF7A10">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C57021B">
            <w:pPr>
              <w:spacing w:before="0" w:line="360" w:lineRule="auto"/>
              <w:rPr>
                <w:sz w:val="21"/>
                <w:szCs w:val="21"/>
              </w:rPr>
            </w:pPr>
            <w:r>
              <w:rPr>
                <w:sz w:val="21"/>
                <w:szCs w:val="21"/>
              </w:rPr>
              <w:t>ORR</w:t>
            </w:r>
          </w:p>
        </w:tc>
        <w:tc>
          <w:tcPr>
            <w:tcW w:w="3841" w:type="dxa"/>
          </w:tcPr>
          <w:p w14:paraId="50F894C8">
            <w:pPr>
              <w:spacing w:before="0" w:line="360" w:lineRule="auto"/>
              <w:rPr>
                <w:sz w:val="21"/>
                <w:szCs w:val="21"/>
              </w:rPr>
            </w:pPr>
            <w:r>
              <w:rPr>
                <w:color w:val="000000"/>
                <w:sz w:val="21"/>
                <w:szCs w:val="21"/>
              </w:rPr>
              <w:t>Objective response rate</w:t>
            </w:r>
          </w:p>
        </w:tc>
        <w:tc>
          <w:tcPr>
            <w:tcW w:w="2828" w:type="dxa"/>
          </w:tcPr>
          <w:p w14:paraId="6B70A7BA">
            <w:pPr>
              <w:spacing w:before="0" w:line="360" w:lineRule="auto"/>
              <w:rPr>
                <w:sz w:val="21"/>
                <w:szCs w:val="21"/>
              </w:rPr>
            </w:pPr>
            <w:r>
              <w:rPr>
                <w:sz w:val="21"/>
                <w:szCs w:val="21"/>
              </w:rPr>
              <w:t>客观缓解率</w:t>
            </w:r>
          </w:p>
        </w:tc>
      </w:tr>
      <w:tr w14:paraId="184EA910">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75A9C71">
            <w:pPr>
              <w:spacing w:before="0" w:line="360" w:lineRule="auto"/>
              <w:rPr>
                <w:sz w:val="21"/>
                <w:szCs w:val="21"/>
              </w:rPr>
            </w:pPr>
            <w:r>
              <w:rPr>
                <w:sz w:val="21"/>
                <w:szCs w:val="21"/>
              </w:rPr>
              <w:t>PLT</w:t>
            </w:r>
          </w:p>
        </w:tc>
        <w:tc>
          <w:tcPr>
            <w:tcW w:w="3841" w:type="dxa"/>
          </w:tcPr>
          <w:p w14:paraId="5A3072B7">
            <w:pPr>
              <w:spacing w:before="0" w:line="360" w:lineRule="auto"/>
              <w:rPr>
                <w:sz w:val="21"/>
                <w:szCs w:val="21"/>
              </w:rPr>
            </w:pPr>
            <w:r>
              <w:rPr>
                <w:color w:val="000000"/>
                <w:sz w:val="21"/>
                <w:szCs w:val="21"/>
              </w:rPr>
              <w:t>Platelet</w:t>
            </w:r>
          </w:p>
        </w:tc>
        <w:tc>
          <w:tcPr>
            <w:tcW w:w="2828" w:type="dxa"/>
          </w:tcPr>
          <w:p w14:paraId="0FADC441">
            <w:pPr>
              <w:spacing w:before="0" w:line="360" w:lineRule="auto"/>
              <w:rPr>
                <w:sz w:val="21"/>
                <w:szCs w:val="21"/>
              </w:rPr>
            </w:pPr>
            <w:r>
              <w:rPr>
                <w:sz w:val="21"/>
                <w:szCs w:val="21"/>
              </w:rPr>
              <w:t>血小板</w:t>
            </w:r>
          </w:p>
        </w:tc>
      </w:tr>
      <w:tr w14:paraId="52A1EE1B">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CB88E2D">
            <w:pPr>
              <w:spacing w:before="0" w:line="360" w:lineRule="auto"/>
              <w:rPr>
                <w:sz w:val="21"/>
                <w:szCs w:val="21"/>
              </w:rPr>
            </w:pPr>
            <w:r>
              <w:rPr>
                <w:sz w:val="21"/>
                <w:szCs w:val="21"/>
              </w:rPr>
              <w:t>PK</w:t>
            </w:r>
          </w:p>
        </w:tc>
        <w:tc>
          <w:tcPr>
            <w:tcW w:w="3841" w:type="dxa"/>
          </w:tcPr>
          <w:p w14:paraId="6F331323">
            <w:pPr>
              <w:spacing w:before="0" w:line="360" w:lineRule="auto"/>
              <w:rPr>
                <w:sz w:val="21"/>
                <w:szCs w:val="21"/>
              </w:rPr>
            </w:pPr>
            <w:r>
              <w:rPr>
                <w:color w:val="000000"/>
                <w:sz w:val="21"/>
                <w:szCs w:val="21"/>
              </w:rPr>
              <w:t>Pharmacokinetics</w:t>
            </w:r>
          </w:p>
        </w:tc>
        <w:tc>
          <w:tcPr>
            <w:tcW w:w="2828" w:type="dxa"/>
          </w:tcPr>
          <w:p w14:paraId="157207CD">
            <w:pPr>
              <w:spacing w:before="0" w:line="360" w:lineRule="auto"/>
              <w:rPr>
                <w:sz w:val="21"/>
                <w:szCs w:val="21"/>
              </w:rPr>
            </w:pPr>
            <w:r>
              <w:rPr>
                <w:sz w:val="21"/>
                <w:szCs w:val="21"/>
              </w:rPr>
              <w:t>药代动力学</w:t>
            </w:r>
          </w:p>
        </w:tc>
      </w:tr>
      <w:tr w14:paraId="52A76AB1">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29386936">
            <w:pPr>
              <w:spacing w:before="0" w:line="360" w:lineRule="auto"/>
              <w:rPr>
                <w:sz w:val="21"/>
                <w:szCs w:val="21"/>
              </w:rPr>
            </w:pPr>
            <w:r>
              <w:rPr>
                <w:sz w:val="21"/>
                <w:szCs w:val="21"/>
              </w:rPr>
              <w:t>PT</w:t>
            </w:r>
          </w:p>
        </w:tc>
        <w:tc>
          <w:tcPr>
            <w:tcW w:w="3841" w:type="dxa"/>
          </w:tcPr>
          <w:p w14:paraId="74290991">
            <w:pPr>
              <w:spacing w:before="0" w:line="360" w:lineRule="auto"/>
              <w:rPr>
                <w:sz w:val="21"/>
                <w:szCs w:val="21"/>
              </w:rPr>
            </w:pPr>
            <w:r>
              <w:rPr>
                <w:color w:val="000000"/>
                <w:sz w:val="21"/>
                <w:szCs w:val="21"/>
              </w:rPr>
              <w:t>Prothrombin time</w:t>
            </w:r>
          </w:p>
        </w:tc>
        <w:tc>
          <w:tcPr>
            <w:tcW w:w="2828" w:type="dxa"/>
          </w:tcPr>
          <w:p w14:paraId="6560EE6B">
            <w:pPr>
              <w:spacing w:before="0" w:line="360" w:lineRule="auto"/>
              <w:rPr>
                <w:sz w:val="21"/>
                <w:szCs w:val="21"/>
              </w:rPr>
            </w:pPr>
            <w:r>
              <w:rPr>
                <w:sz w:val="21"/>
                <w:szCs w:val="21"/>
              </w:rPr>
              <w:t>凝血酶原时间</w:t>
            </w:r>
          </w:p>
        </w:tc>
      </w:tr>
      <w:tr w14:paraId="2831BDB7">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7BB4F0BF">
            <w:pPr>
              <w:spacing w:before="0" w:line="360" w:lineRule="auto"/>
              <w:rPr>
                <w:sz w:val="21"/>
                <w:szCs w:val="21"/>
              </w:rPr>
            </w:pPr>
            <w:r>
              <w:rPr>
                <w:sz w:val="21"/>
                <w:szCs w:val="21"/>
              </w:rPr>
              <w:t>RBC</w:t>
            </w:r>
          </w:p>
        </w:tc>
        <w:tc>
          <w:tcPr>
            <w:tcW w:w="3841" w:type="dxa"/>
          </w:tcPr>
          <w:p w14:paraId="6784D788">
            <w:pPr>
              <w:spacing w:before="0" w:line="360" w:lineRule="auto"/>
              <w:rPr>
                <w:sz w:val="21"/>
                <w:szCs w:val="21"/>
              </w:rPr>
            </w:pPr>
            <w:r>
              <w:rPr>
                <w:color w:val="000000"/>
                <w:sz w:val="21"/>
                <w:szCs w:val="21"/>
              </w:rPr>
              <w:t>Red blood cell</w:t>
            </w:r>
          </w:p>
        </w:tc>
        <w:tc>
          <w:tcPr>
            <w:tcW w:w="2828" w:type="dxa"/>
          </w:tcPr>
          <w:p w14:paraId="6E4D57E4">
            <w:pPr>
              <w:spacing w:before="0" w:line="360" w:lineRule="auto"/>
              <w:rPr>
                <w:sz w:val="21"/>
                <w:szCs w:val="21"/>
              </w:rPr>
            </w:pPr>
            <w:r>
              <w:rPr>
                <w:sz w:val="21"/>
                <w:szCs w:val="21"/>
              </w:rPr>
              <w:t>红细胞计数</w:t>
            </w:r>
          </w:p>
        </w:tc>
      </w:tr>
      <w:tr w14:paraId="1CE6D14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747E0F0">
            <w:pPr>
              <w:spacing w:before="0" w:line="360" w:lineRule="auto"/>
              <w:rPr>
                <w:sz w:val="21"/>
                <w:szCs w:val="21"/>
              </w:rPr>
            </w:pPr>
            <w:r>
              <w:rPr>
                <w:sz w:val="21"/>
                <w:szCs w:val="21"/>
              </w:rPr>
              <w:t>RNA</w:t>
            </w:r>
          </w:p>
        </w:tc>
        <w:tc>
          <w:tcPr>
            <w:tcW w:w="3841" w:type="dxa"/>
          </w:tcPr>
          <w:p w14:paraId="3B8D074B">
            <w:pPr>
              <w:spacing w:before="0" w:line="360" w:lineRule="auto"/>
              <w:rPr>
                <w:sz w:val="21"/>
                <w:szCs w:val="21"/>
              </w:rPr>
            </w:pPr>
            <w:r>
              <w:rPr>
                <w:sz w:val="21"/>
                <w:szCs w:val="21"/>
              </w:rPr>
              <w:t>Ribonucleic acid</w:t>
            </w:r>
          </w:p>
        </w:tc>
        <w:tc>
          <w:tcPr>
            <w:tcW w:w="2828" w:type="dxa"/>
          </w:tcPr>
          <w:p w14:paraId="2C5D9340">
            <w:pPr>
              <w:spacing w:before="0" w:line="360" w:lineRule="auto"/>
              <w:rPr>
                <w:sz w:val="21"/>
                <w:szCs w:val="21"/>
              </w:rPr>
            </w:pPr>
            <w:r>
              <w:rPr>
                <w:sz w:val="21"/>
                <w:szCs w:val="21"/>
              </w:rPr>
              <w:t>核糖核酸</w:t>
            </w:r>
          </w:p>
        </w:tc>
      </w:tr>
      <w:tr w14:paraId="74EF6BF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DF727CB">
            <w:pPr>
              <w:spacing w:before="0" w:line="360" w:lineRule="auto"/>
              <w:rPr>
                <w:sz w:val="21"/>
                <w:szCs w:val="21"/>
              </w:rPr>
            </w:pPr>
            <w:r>
              <w:rPr>
                <w:sz w:val="21"/>
                <w:szCs w:val="21"/>
              </w:rPr>
              <w:t>RP2D</w:t>
            </w:r>
          </w:p>
        </w:tc>
        <w:tc>
          <w:tcPr>
            <w:tcW w:w="3841" w:type="dxa"/>
          </w:tcPr>
          <w:p w14:paraId="6DBE8DE1">
            <w:pPr>
              <w:spacing w:before="0" w:line="360" w:lineRule="auto"/>
              <w:rPr>
                <w:sz w:val="21"/>
                <w:szCs w:val="21"/>
              </w:rPr>
            </w:pPr>
            <w:r>
              <w:rPr>
                <w:color w:val="000000"/>
                <w:sz w:val="21"/>
                <w:szCs w:val="21"/>
              </w:rPr>
              <w:t>Recommended phase 2 dose</w:t>
            </w:r>
            <w:r>
              <w:rPr>
                <w:sz w:val="21"/>
                <w:szCs w:val="21"/>
              </w:rPr>
              <w:t xml:space="preserve"> </w:t>
            </w:r>
          </w:p>
        </w:tc>
        <w:tc>
          <w:tcPr>
            <w:tcW w:w="2828" w:type="dxa"/>
          </w:tcPr>
          <w:p w14:paraId="4255E999">
            <w:pPr>
              <w:spacing w:before="0" w:line="360" w:lineRule="auto"/>
              <w:rPr>
                <w:sz w:val="21"/>
                <w:szCs w:val="21"/>
              </w:rPr>
            </w:pPr>
            <w:r>
              <w:rPr>
                <w:sz w:val="21"/>
                <w:szCs w:val="21"/>
              </w:rPr>
              <w:t>2期临床试验推荐剂量</w:t>
            </w:r>
          </w:p>
        </w:tc>
      </w:tr>
      <w:tr w14:paraId="28263AA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vAlign w:val="center"/>
          </w:tcPr>
          <w:p w14:paraId="200DFDAF">
            <w:pPr>
              <w:spacing w:before="0" w:line="360" w:lineRule="auto"/>
              <w:rPr>
                <w:sz w:val="21"/>
                <w:szCs w:val="21"/>
              </w:rPr>
            </w:pPr>
            <w:r>
              <w:rPr>
                <w:sz w:val="21"/>
                <w:szCs w:val="21"/>
              </w:rPr>
              <w:t>SAE</w:t>
            </w:r>
          </w:p>
        </w:tc>
        <w:tc>
          <w:tcPr>
            <w:tcW w:w="3841" w:type="dxa"/>
            <w:vAlign w:val="center"/>
          </w:tcPr>
          <w:p w14:paraId="53C9EE53">
            <w:pPr>
              <w:spacing w:before="0" w:line="360" w:lineRule="auto"/>
              <w:rPr>
                <w:sz w:val="21"/>
                <w:szCs w:val="21"/>
              </w:rPr>
            </w:pPr>
            <w:r>
              <w:rPr>
                <w:color w:val="000000"/>
                <w:sz w:val="21"/>
                <w:szCs w:val="21"/>
              </w:rPr>
              <w:t>Serious adverse event</w:t>
            </w:r>
          </w:p>
        </w:tc>
        <w:tc>
          <w:tcPr>
            <w:tcW w:w="2828" w:type="dxa"/>
            <w:vAlign w:val="center"/>
          </w:tcPr>
          <w:p w14:paraId="04C8D87F">
            <w:pPr>
              <w:spacing w:before="0" w:line="360" w:lineRule="auto"/>
              <w:rPr>
                <w:sz w:val="21"/>
                <w:szCs w:val="21"/>
              </w:rPr>
            </w:pPr>
            <w:r>
              <w:rPr>
                <w:sz w:val="21"/>
                <w:szCs w:val="21"/>
              </w:rPr>
              <w:t>严重不良事件</w:t>
            </w:r>
          </w:p>
        </w:tc>
      </w:tr>
      <w:tr w14:paraId="2F77B18F">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5DA5138D">
            <w:pPr>
              <w:spacing w:before="0" w:line="360" w:lineRule="auto"/>
              <w:rPr>
                <w:sz w:val="21"/>
                <w:szCs w:val="21"/>
              </w:rPr>
            </w:pPr>
            <w:r>
              <w:rPr>
                <w:sz w:val="21"/>
                <w:szCs w:val="21"/>
              </w:rPr>
              <w:t>SOP</w:t>
            </w:r>
          </w:p>
        </w:tc>
        <w:tc>
          <w:tcPr>
            <w:tcW w:w="3841" w:type="dxa"/>
          </w:tcPr>
          <w:p w14:paraId="20EBDDDE">
            <w:pPr>
              <w:spacing w:before="0" w:line="360" w:lineRule="auto"/>
              <w:rPr>
                <w:sz w:val="21"/>
                <w:szCs w:val="21"/>
              </w:rPr>
            </w:pPr>
            <w:r>
              <w:rPr>
                <w:color w:val="000000"/>
                <w:sz w:val="21"/>
                <w:szCs w:val="21"/>
              </w:rPr>
              <w:t>Standard Operation Procedure</w:t>
            </w:r>
          </w:p>
        </w:tc>
        <w:tc>
          <w:tcPr>
            <w:tcW w:w="2828" w:type="dxa"/>
          </w:tcPr>
          <w:p w14:paraId="13AB58BB">
            <w:pPr>
              <w:spacing w:before="0" w:line="360" w:lineRule="auto"/>
              <w:rPr>
                <w:sz w:val="21"/>
                <w:szCs w:val="21"/>
              </w:rPr>
            </w:pPr>
            <w:r>
              <w:rPr>
                <w:sz w:val="21"/>
                <w:szCs w:val="21"/>
              </w:rPr>
              <w:t>标准操作规程</w:t>
            </w:r>
          </w:p>
        </w:tc>
      </w:tr>
      <w:tr w14:paraId="504F1328">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1DE39A8F">
            <w:pPr>
              <w:spacing w:before="0" w:line="360" w:lineRule="auto"/>
              <w:rPr>
                <w:sz w:val="21"/>
                <w:szCs w:val="21"/>
              </w:rPr>
            </w:pPr>
            <w:r>
              <w:rPr>
                <w:sz w:val="21"/>
                <w:szCs w:val="21"/>
              </w:rPr>
              <w:t>SS</w:t>
            </w:r>
          </w:p>
        </w:tc>
        <w:tc>
          <w:tcPr>
            <w:tcW w:w="3841" w:type="dxa"/>
          </w:tcPr>
          <w:p w14:paraId="3FAD3119">
            <w:pPr>
              <w:spacing w:before="0" w:line="360" w:lineRule="auto"/>
              <w:rPr>
                <w:sz w:val="21"/>
                <w:szCs w:val="21"/>
              </w:rPr>
            </w:pPr>
            <w:r>
              <w:rPr>
                <w:color w:val="000000"/>
                <w:sz w:val="21"/>
                <w:szCs w:val="21"/>
              </w:rPr>
              <w:t>Safety Analysis set</w:t>
            </w:r>
          </w:p>
        </w:tc>
        <w:tc>
          <w:tcPr>
            <w:tcW w:w="2828" w:type="dxa"/>
          </w:tcPr>
          <w:p w14:paraId="72415B0E">
            <w:pPr>
              <w:spacing w:before="0" w:line="360" w:lineRule="auto"/>
              <w:rPr>
                <w:sz w:val="21"/>
                <w:szCs w:val="21"/>
              </w:rPr>
            </w:pPr>
            <w:r>
              <w:rPr>
                <w:sz w:val="21"/>
                <w:szCs w:val="21"/>
              </w:rPr>
              <w:t>安全性分析集</w:t>
            </w:r>
          </w:p>
        </w:tc>
      </w:tr>
      <w:tr w14:paraId="5E890B42">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vAlign w:val="center"/>
          </w:tcPr>
          <w:p w14:paraId="049ED51A">
            <w:pPr>
              <w:spacing w:before="0" w:line="360" w:lineRule="auto"/>
              <w:rPr>
                <w:sz w:val="21"/>
                <w:szCs w:val="21"/>
              </w:rPr>
            </w:pPr>
            <w:r>
              <w:rPr>
                <w:sz w:val="21"/>
                <w:szCs w:val="21"/>
              </w:rPr>
              <w:t>TBil</w:t>
            </w:r>
          </w:p>
        </w:tc>
        <w:tc>
          <w:tcPr>
            <w:tcW w:w="3841" w:type="dxa"/>
            <w:vAlign w:val="center"/>
          </w:tcPr>
          <w:p w14:paraId="5C620BAD">
            <w:pPr>
              <w:spacing w:before="0" w:line="360" w:lineRule="auto"/>
              <w:rPr>
                <w:sz w:val="21"/>
                <w:szCs w:val="21"/>
              </w:rPr>
            </w:pPr>
            <w:r>
              <w:rPr>
                <w:color w:val="000000"/>
                <w:sz w:val="21"/>
                <w:szCs w:val="21"/>
              </w:rPr>
              <w:t>Total bilirubin</w:t>
            </w:r>
          </w:p>
        </w:tc>
        <w:tc>
          <w:tcPr>
            <w:tcW w:w="2828" w:type="dxa"/>
            <w:vAlign w:val="center"/>
          </w:tcPr>
          <w:p w14:paraId="3866E5C2">
            <w:pPr>
              <w:spacing w:before="0" w:line="360" w:lineRule="auto"/>
              <w:rPr>
                <w:sz w:val="21"/>
                <w:szCs w:val="21"/>
              </w:rPr>
            </w:pPr>
            <w:r>
              <w:rPr>
                <w:sz w:val="21"/>
                <w:szCs w:val="21"/>
              </w:rPr>
              <w:t>总胆红素</w:t>
            </w:r>
          </w:p>
        </w:tc>
      </w:tr>
      <w:tr w14:paraId="264614FA">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4A81BD44">
            <w:pPr>
              <w:spacing w:before="0" w:line="360" w:lineRule="auto"/>
              <w:rPr>
                <w:sz w:val="21"/>
                <w:szCs w:val="21"/>
              </w:rPr>
            </w:pPr>
            <w:r>
              <w:rPr>
                <w:sz w:val="21"/>
                <w:szCs w:val="21"/>
              </w:rPr>
              <w:t>ULN</w:t>
            </w:r>
          </w:p>
        </w:tc>
        <w:tc>
          <w:tcPr>
            <w:tcW w:w="3841" w:type="dxa"/>
          </w:tcPr>
          <w:p w14:paraId="6E46AED2">
            <w:pPr>
              <w:spacing w:before="0" w:line="360" w:lineRule="auto"/>
              <w:rPr>
                <w:sz w:val="21"/>
                <w:szCs w:val="21"/>
              </w:rPr>
            </w:pPr>
            <w:r>
              <w:rPr>
                <w:color w:val="000000"/>
                <w:sz w:val="21"/>
                <w:szCs w:val="21"/>
              </w:rPr>
              <w:t>Upper limit of normal</w:t>
            </w:r>
          </w:p>
        </w:tc>
        <w:tc>
          <w:tcPr>
            <w:tcW w:w="2828" w:type="dxa"/>
          </w:tcPr>
          <w:p w14:paraId="28AD9551">
            <w:pPr>
              <w:spacing w:before="0" w:line="360" w:lineRule="auto"/>
              <w:rPr>
                <w:sz w:val="21"/>
                <w:szCs w:val="21"/>
              </w:rPr>
            </w:pPr>
            <w:r>
              <w:rPr>
                <w:sz w:val="21"/>
                <w:szCs w:val="21"/>
              </w:rPr>
              <w:t>正常值上限</w:t>
            </w:r>
          </w:p>
        </w:tc>
      </w:tr>
      <w:tr w14:paraId="2A580E76">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699F7869">
            <w:pPr>
              <w:spacing w:before="0" w:line="360" w:lineRule="auto"/>
              <w:rPr>
                <w:sz w:val="21"/>
                <w:szCs w:val="21"/>
              </w:rPr>
            </w:pPr>
            <w:r>
              <w:rPr>
                <w:sz w:val="21"/>
                <w:szCs w:val="21"/>
              </w:rPr>
              <w:t>UREA</w:t>
            </w:r>
          </w:p>
        </w:tc>
        <w:tc>
          <w:tcPr>
            <w:tcW w:w="3841" w:type="dxa"/>
          </w:tcPr>
          <w:p w14:paraId="25DB39D3">
            <w:pPr>
              <w:spacing w:before="0" w:line="360" w:lineRule="auto"/>
              <w:rPr>
                <w:sz w:val="21"/>
                <w:szCs w:val="21"/>
              </w:rPr>
            </w:pPr>
            <w:r>
              <w:rPr>
                <w:sz w:val="21"/>
                <w:szCs w:val="21"/>
              </w:rPr>
              <w:t>——</w:t>
            </w:r>
          </w:p>
        </w:tc>
        <w:tc>
          <w:tcPr>
            <w:tcW w:w="2828" w:type="dxa"/>
          </w:tcPr>
          <w:p w14:paraId="664619C9">
            <w:pPr>
              <w:spacing w:before="0" w:line="360" w:lineRule="auto"/>
              <w:rPr>
                <w:sz w:val="21"/>
                <w:szCs w:val="21"/>
              </w:rPr>
            </w:pPr>
            <w:r>
              <w:rPr>
                <w:sz w:val="21"/>
                <w:szCs w:val="21"/>
              </w:rPr>
              <w:t>尿素</w:t>
            </w:r>
          </w:p>
        </w:tc>
      </w:tr>
      <w:tr w14:paraId="1E51DE43">
        <w:tblPrEx>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CellMar>
            <w:top w:w="0" w:type="dxa"/>
            <w:left w:w="108" w:type="dxa"/>
            <w:bottom w:w="0" w:type="dxa"/>
            <w:right w:w="108" w:type="dxa"/>
          </w:tblCellMar>
        </w:tblPrEx>
        <w:trPr>
          <w:trHeight w:val="269" w:hRule="atLeast"/>
          <w:jc w:val="center"/>
        </w:trPr>
        <w:tc>
          <w:tcPr>
            <w:tcW w:w="1831" w:type="dxa"/>
          </w:tcPr>
          <w:p w14:paraId="0F2F8190">
            <w:pPr>
              <w:spacing w:before="0" w:line="360" w:lineRule="auto"/>
              <w:rPr>
                <w:sz w:val="21"/>
                <w:szCs w:val="21"/>
              </w:rPr>
            </w:pPr>
            <w:r>
              <w:rPr>
                <w:sz w:val="21"/>
                <w:szCs w:val="21"/>
              </w:rPr>
              <w:t>WBC</w:t>
            </w:r>
          </w:p>
        </w:tc>
        <w:tc>
          <w:tcPr>
            <w:tcW w:w="3841" w:type="dxa"/>
            <w:vAlign w:val="center"/>
          </w:tcPr>
          <w:p w14:paraId="2C8A29BC">
            <w:pPr>
              <w:spacing w:before="0" w:line="360" w:lineRule="auto"/>
              <w:rPr>
                <w:sz w:val="21"/>
                <w:szCs w:val="21"/>
              </w:rPr>
            </w:pPr>
            <w:r>
              <w:rPr>
                <w:color w:val="000000"/>
                <w:sz w:val="21"/>
                <w:szCs w:val="21"/>
              </w:rPr>
              <w:t>White blood cell</w:t>
            </w:r>
          </w:p>
        </w:tc>
        <w:tc>
          <w:tcPr>
            <w:tcW w:w="2828" w:type="dxa"/>
          </w:tcPr>
          <w:p w14:paraId="4B6FE285">
            <w:pPr>
              <w:spacing w:before="0" w:line="360" w:lineRule="auto"/>
              <w:rPr>
                <w:sz w:val="21"/>
                <w:szCs w:val="21"/>
              </w:rPr>
            </w:pPr>
            <w:r>
              <w:rPr>
                <w:sz w:val="21"/>
                <w:szCs w:val="21"/>
              </w:rPr>
              <w:t>白细胞计数</w:t>
            </w:r>
          </w:p>
        </w:tc>
      </w:tr>
      <w:bookmarkEnd w:id="30"/>
      <w:bookmarkEnd w:id="31"/>
    </w:tbl>
    <w:p w14:paraId="45C870EE">
      <w:pPr>
        <w:spacing w:before="0" w:line="360" w:lineRule="auto"/>
        <w:jc w:val="center"/>
        <w:rPr>
          <w:lang w:val="en-US"/>
        </w:rPr>
      </w:pPr>
    </w:p>
    <w:p w14:paraId="482644AA">
      <w:pPr>
        <w:spacing w:before="0" w:line="240" w:lineRule="auto"/>
        <w:jc w:val="left"/>
        <w:rPr>
          <w:lang w:val="en-US"/>
        </w:rPr>
      </w:pPr>
      <w:r>
        <w:rPr>
          <w:lang w:val="en-US"/>
        </w:rPr>
        <w:br w:type="page"/>
      </w:r>
    </w:p>
    <w:p w14:paraId="7C67B2E8">
      <w:pPr>
        <w:pStyle w:val="2"/>
        <w:jc w:val="center"/>
        <w:rPr>
          <w:sz w:val="28"/>
          <w:szCs w:val="28"/>
          <w:lang w:eastAsia="zh-CN"/>
        </w:rPr>
      </w:pPr>
      <w:bookmarkStart w:id="32" w:name="_Toc132623303"/>
      <w:r>
        <w:rPr>
          <w:sz w:val="28"/>
          <w:szCs w:val="28"/>
          <w:lang w:eastAsia="zh-CN"/>
        </w:rPr>
        <w:t>目 录</w:t>
      </w:r>
      <w:bookmarkEnd w:id="32"/>
    </w:p>
    <w:p>
      <w:r>
        <w:br w:type="page"/>
      </w:r>
    </w:p>
    <w:p>
      <w:bookmarkStart w:id="41980" w:name="chap_v2_front_block"/>
      <w:pPr>
        <w:pStyle w:val="3"/>
      </w:pPr>
      <w:r>
        <w:t>v2_front_block</w:t>
      </w:r>
      <w:bookmarkEnd w:id="41980"/>
    </w:p>
    <w:p>
      <w:r>
        <w:t>合成药X治疗慢性鼻窦炎伴鼻息肉的Ⅱ期临床研究方案</w:t>
      </w:r>
    </w:p>
    <w:p>
      <w:r>
        <w:t>方案编号：PV3-69F53457</w:t>
      </w:r>
    </w:p>
    <w:p>
      <w:r>
        <w:t>方案版本：1.0</w:t>
      </w:r>
    </w:p>
    <w:p>
      <w:r>
        <w:t>版本日期：无修订日期；初始版本日期以方案定稿签署或批准日期记录。</w:t>
      </w:r>
    </w:p>
    <w:p>
      <w:r>
        <w:t>适用方：本方案适用于申办者、研究者、研究机构、伦理委员会、药品监督管理部门及经授权的临床研究相关人员。</w:t>
      </w:r>
    </w:p>
    <w:p>
      <w:r>
        <w:t>保密声明：本方案及研究相关数据属于申办者保密信息，仅限研究授权人员、伦理委员会和监管机构审阅使用；未经申办者书面许可，不得向无关第三方披露。</w:t>
      </w:r>
    </w:p>
    <w:p>
      <w:r>
        <w:t>页眉：合成药X治疗慢性鼻窦炎伴鼻息肉的Ⅱ期临床研究方案</w:t>
      </w:r>
    </w:p>
    <w:p>
      <w:r>
        <w:t>页脚：保密信息 | 页码</w:t>
      </w:r>
    </w:p>
    <w:p>
      <w:r>
        <w:t>模板版本：v2.0</w:t>
      </w:r>
    </w:p>
    <w:p>
      <w:bookmarkStart w:id="35436" w:name="chap_v2_n_front_1"/>
      <w:pPr>
        <w:pStyle w:val="3"/>
      </w:pPr>
      <w:r>
        <w:t>方案修订历史记录</w:t>
      </w:r>
      <w:bookmarkEnd w:id="35436"/>
    </w:p>
    <w:p>
      <w:r>
        <w:t>本节不适用于本研究。</w:t>
      </w:r>
    </w:p>
    <w:p>
      <w:bookmarkStart w:id="31652" w:name="tbl_1"/>
      <w:r>
        <w:t>表1 方案修订历史记录</w:t>
      </w:r>
      <w:bookmarkEnd w:id="31652"/>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版本号</w:t>
            </w:r>
          </w:p>
        </w:tc>
        <w:tc>
          <w:tcPr>
            <w:tcW w:type="dxa" w:w="2473"/>
          </w:tcPr>
          <w:p>
            <w:r>
              <w:rPr>
                <w:b/>
              </w:rPr>
              <w:t>版本日期</w:t>
            </w:r>
          </w:p>
        </w:tc>
        <w:tc>
          <w:tcPr>
            <w:tcW w:type="dxa" w:w="2473"/>
          </w:tcPr>
          <w:p>
            <w:r>
              <w:rPr>
                <w:b/>
              </w:rPr>
              <w:t>变更摘要</w:t>
            </w:r>
          </w:p>
        </w:tc>
        <w:tc>
          <w:tcPr>
            <w:tcW w:type="dxa" w:w="2473"/>
          </w:tcPr>
          <w:p>
            <w:r>
              <w:rPr>
                <w:b/>
              </w:rPr>
              <w:t>变更依据</w:t>
            </w:r>
          </w:p>
        </w:tc>
      </w:tr>
      <w:tr>
        <w:tc>
          <w:tcPr>
            <w:tcW w:type="dxa" w:w="2473"/>
          </w:tcPr>
          <w:p>
            <w:r>
              <w:t>初始版本</w:t>
            </w:r>
          </w:p>
        </w:tc>
        <w:tc>
          <w:tcPr>
            <w:tcW w:type="dxa" w:w="2473"/>
          </w:tcPr>
          <w:p>
            <w:r>
              <w:t>无修订日期；初始版本日期以方案定稿签署或批准日期记录。</w:t>
            </w:r>
          </w:p>
        </w:tc>
        <w:tc>
          <w:tcPr>
            <w:tcW w:type="dxa" w:w="2473"/>
          </w:tcPr>
          <w:p>
            <w:r>
              <w:t>版本历史仅包含初始版本，无既往版本修订记录。</w:t>
            </w:r>
          </w:p>
        </w:tc>
        <w:tc>
          <w:tcPr>
            <w:tcW w:type="dxa" w:w="2473"/>
          </w:tcPr>
          <w:p>
            <w:r>
              <w:t>初始版本作为当前执行版本，后续如有修订需更新版本号和修订历史。</w:t>
            </w:r>
          </w:p>
        </w:tc>
      </w:tr>
    </w:tbl>
    <w:p>
      <w:bookmarkStart w:id="84536" w:name="chap_v2_n_front_2"/>
      <w:pPr>
        <w:pStyle w:val="3"/>
      </w:pPr>
      <w:r>
        <w:t>主要研究者签字页</w:t>
      </w:r>
      <w:bookmarkEnd w:id="84536"/>
    </w:p>
    <w:p>
      <w:r>
        <w:t>研究者承诺：本人已阅读并理解现行方案《合成药X的Ⅱ期概念验证研究：随机双盲、安慰剂对照，慢性鼻窦炎伴鼻息肉成人患者》，并同意按照该方案、相关法律法规及伦理要求开展本研究。</w:t>
      </w:r>
    </w:p>
    <w:p>
      <w:r>
        <w:t>承诺绑定方案身份：研究阶段为Ⅱ期；研究设计为随机双盲、安慰剂对照；研究产品为合成药X；适应症为慢性鼻窦炎伴鼻息肉；靶点机制为IL-4Rα、IL-4Rα拮抗。本承诺页绑定于上述现行方案身份；方案编号、版本及日期以现行方案元数据为准。</w:t>
      </w:r>
    </w:p>
    <w:p>
      <w:r>
        <w:t>研究机构：由研究中心及研究者在签署页填写；本承诺页的研究机构信息应与实际研究机构保持一致。</w:t>
      </w:r>
    </w:p>
    <w:p>
      <w:r>
        <w:t>研究者签名控件：保持未签署状态。日期控件：保持未签署状态。</w:t>
      </w:r>
    </w:p>
    <w:p>
      <w:bookmarkStart w:id="4756" w:name="chap_v2_n_front_3"/>
      <w:pPr>
        <w:pStyle w:val="3"/>
      </w:pPr>
      <w:r>
        <w:t>申办者签字页</w:t>
      </w:r>
      <w:bookmarkEnd w:id="4756"/>
    </w:p>
    <w:p>
      <w:r>
        <w:t>申办方承诺：申办方承诺遵守并支持现行方案《合成药X的Ⅱ期概念验证研究：随机双盲、安慰剂对照，慢性鼻窦炎伴鼻息肉成人患者》。该现行方案为Ⅱ期、随机双盲、安慰剂对照研究，研究药物为合成药X，适应症为慢性鼻窦炎伴鼻息肉，靶向机制涉及IL-4Rα及IL-4Rα拮抗。本承诺与本章节代表签署控件均绑定于同一现行方案元数据。申办方将按照本现行方案及其经批准的修订开展或支持本研究，并承担相应申办方职责。</w:t>
      </w:r>
    </w:p>
    <w:p>
      <w:r>
        <w:t>申办方代表签署控件：申办方代表（姓名）：________________（由申办方代表在签署页填写）。签署日期：________________（由申办方代表签署时填写）。上述代表签署控件与申办方承诺绑定于同一现行方案元数据。</w:t>
      </w:r>
    </w:p>
    <w:p>
      <w:bookmarkStart w:id="16053" w:name="chap_v2_n_front_4"/>
      <w:pPr>
        <w:pStyle w:val="3"/>
      </w:pPr>
      <w:r>
        <w:t>临床试验相关单位联系方式</w:t>
      </w:r>
      <w:bookmarkEnd w:id="16053"/>
    </w:p>
    <w:p>
      <w:r>
        <w:t>本节汇总本试验申办方、主要研究者及适用服务方的联系信息。具体人员姓名、地址和联系方式以中心启动资料、签署页、临床试验协议及获批文件为准。</w:t>
      </w:r>
    </w:p>
    <w:p>
      <w:bookmarkStart w:id="32647" w:name="tbl_2"/>
      <w:r>
        <w:t>表2 临床试验相关单位联系方式</w:t>
      </w:r>
      <w:bookmarkEnd w:id="32647"/>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角色</w:t>
            </w:r>
          </w:p>
        </w:tc>
        <w:tc>
          <w:tcPr>
            <w:tcW w:type="dxa" w:w="4946"/>
          </w:tcPr>
          <w:p>
            <w:r>
              <w:rPr>
                <w:b/>
              </w:rPr>
              <w:t>地址/联系方式</w:t>
            </w:r>
          </w:p>
        </w:tc>
      </w:tr>
      <w:tr>
        <w:tc>
          <w:tcPr>
            <w:tcW w:type="dxa" w:w="4946"/>
          </w:tcPr>
          <w:p>
            <w:r>
              <w:t>申办方代表</w:t>
            </w:r>
          </w:p>
        </w:tc>
        <w:tc>
          <w:tcPr>
            <w:tcW w:type="dxa" w:w="4946"/>
          </w:tcPr>
          <w:p>
            <w:r>
              <w:t>由申办方指定并签署确认；具体联系方式见中心启动资料及签署页。</w:t>
            </w:r>
          </w:p>
        </w:tc>
      </w:tr>
    </w:tbl>
    <w:p>
      <w:bookmarkStart w:id="51742" w:name="tbl_3"/>
      <w:r>
        <w:t>表3 临床试验相关单位联系方式</w:t>
      </w:r>
      <w:bookmarkEnd w:id="51742"/>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角色</w:t>
            </w:r>
          </w:p>
        </w:tc>
        <w:tc>
          <w:tcPr>
            <w:tcW w:type="dxa" w:w="4946"/>
          </w:tcPr>
          <w:p>
            <w:r>
              <w:rPr>
                <w:b/>
              </w:rPr>
              <w:t>地址/联系方式</w:t>
            </w:r>
          </w:p>
        </w:tc>
      </w:tr>
      <w:tr>
        <w:tc>
          <w:tcPr>
            <w:tcW w:type="dxa" w:w="4946"/>
          </w:tcPr>
          <w:p>
            <w:r>
              <w:t>主要研究者</w:t>
            </w:r>
          </w:p>
        </w:tc>
        <w:tc>
          <w:tcPr>
            <w:tcW w:type="dxa" w:w="4946"/>
          </w:tcPr>
          <w:p>
            <w:r>
              <w:t>姓名与联系方式由研究中心确认后填写；以研究中心确认的签署页和获批文件为准；试验机构以获批研究中心列表为准。</w:t>
            </w:r>
          </w:p>
        </w:tc>
      </w:tr>
    </w:tbl>
    <w:p>
      <w:bookmarkStart w:id="13307" w:name="tbl_4"/>
      <w:r>
        <w:t>表4 临床试验相关单位联系方式</w:t>
      </w:r>
      <w:bookmarkEnd w:id="13307"/>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角色</w:t>
            </w:r>
          </w:p>
        </w:tc>
        <w:tc>
          <w:tcPr>
            <w:tcW w:type="dxa" w:w="4946"/>
          </w:tcPr>
          <w:p>
            <w:r>
              <w:rPr>
                <w:b/>
              </w:rPr>
              <w:t>地址/联系方式</w:t>
            </w:r>
          </w:p>
        </w:tc>
      </w:tr>
      <w:tr>
        <w:tc>
          <w:tcPr>
            <w:tcW w:type="dxa" w:w="4946"/>
          </w:tcPr>
          <w:p>
            <w:r>
              <w:t>申办方医学监察员</w:t>
            </w:r>
          </w:p>
        </w:tc>
        <w:tc>
          <w:tcPr>
            <w:tcW w:type="dxa" w:w="4946"/>
          </w:tcPr>
          <w:p>
            <w:r>
              <w:t>联系方式见中心启动资料。</w:t>
            </w:r>
          </w:p>
        </w:tc>
      </w:tr>
      <w:tr>
        <w:tc>
          <w:tcPr>
            <w:tcW w:type="dxa" w:w="4946"/>
          </w:tcPr>
          <w:p>
            <w:r>
              <w:t>药物安全负责人</w:t>
            </w:r>
          </w:p>
        </w:tc>
        <w:tc>
          <w:tcPr>
            <w:tcW w:type="dxa" w:w="4946"/>
          </w:tcPr>
          <w:p>
            <w:r>
              <w:t>联系方式见中心启动资料。</w:t>
            </w:r>
          </w:p>
        </w:tc>
      </w:tr>
    </w:tbl>
    <w:p>
      <w:pPr/>
      <w:r>
        <w:t xml:space="preserve"> 本研究未设置中心实验室；安全性实验室检查按当地实验室和方案要求执行。</w:t>
      </w:r>
    </w:p>
    <w:p>
      <w:pPr/>
      <w:r>
        <w:t xml:space="preserve"> 本方案未指定样本销毁公司；本方案未计划采集或保存用于未来研究的额外储备样本或数据。</w:t>
      </w:r>
    </w:p>
    <w:p>
      <w:bookmarkStart w:id="55356" w:name="chap_v2_n_front_5"/>
      <w:pPr>
        <w:pStyle w:val="3"/>
      </w:pPr>
      <w:r>
        <w:t>缩略语表</w:t>
      </w:r>
      <w:bookmarkEnd w:id="55356"/>
    </w:p>
    <w:p>
      <w:r>
        <w:t>缩略语表</w:t>
      </w:r>
    </w:p>
    <w:p>
      <w:bookmarkStart w:id="50527" w:name="tbl_5"/>
      <w:r>
        <w:t>表5 缩略语表</w:t>
      </w:r>
      <w:bookmarkEnd w:id="50527"/>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缩写</w:t>
            </w:r>
          </w:p>
        </w:tc>
        <w:tc>
          <w:tcPr>
            <w:tcW w:type="dxa" w:w="3297"/>
          </w:tcPr>
          <w:p>
            <w:r>
              <w:rPr>
                <w:b/>
              </w:rPr>
              <w:t>来源全称</w:t>
            </w:r>
          </w:p>
        </w:tc>
        <w:tc>
          <w:tcPr>
            <w:tcW w:type="dxa" w:w="3297"/>
          </w:tcPr>
          <w:p>
            <w:r>
              <w:rPr>
                <w:b/>
              </w:rPr>
              <w:t>中文含义</w:t>
            </w:r>
          </w:p>
        </w:tc>
      </w:tr>
      <w:tr>
        <w:tc>
          <w:tcPr>
            <w:tcW w:type="dxa" w:w="3297"/>
          </w:tcPr>
          <w:p>
            <w:r>
              <w:t>IL-4Rα</w:t>
            </w:r>
          </w:p>
        </w:tc>
        <w:tc>
          <w:tcPr>
            <w:tcW w:type="dxa" w:w="3297"/>
          </w:tcPr>
          <w:p>
            <w:r>
              <w:t>Interleukin-4 receptor alpha</w:t>
            </w:r>
          </w:p>
        </w:tc>
        <w:tc>
          <w:tcPr>
            <w:tcW w:type="dxa" w:w="3297"/>
          </w:tcPr>
          <w:p>
            <w:r>
              <w:t>白细胞介素-4受体α</w:t>
            </w:r>
          </w:p>
        </w:tc>
      </w:tr>
      <w:tr>
        <w:tc>
          <w:tcPr>
            <w:tcW w:type="dxa" w:w="3297"/>
          </w:tcPr>
          <w:p>
            <w:r>
              <w:t>NPS</w:t>
            </w:r>
          </w:p>
        </w:tc>
        <w:tc>
          <w:tcPr>
            <w:tcW w:type="dxa" w:w="3297"/>
          </w:tcPr>
          <w:p>
            <w:r>
              <w:t>Nasal Polyp Score</w:t>
            </w:r>
          </w:p>
        </w:tc>
        <w:tc>
          <w:tcPr>
            <w:tcW w:type="dxa" w:w="3297"/>
          </w:tcPr>
          <w:p>
            <w:r>
              <w:t>鼻息肉评分</w:t>
            </w:r>
          </w:p>
        </w:tc>
      </w:tr>
      <w:tr>
        <w:tc>
          <w:tcPr>
            <w:tcW w:type="dxa" w:w="3297"/>
          </w:tcPr>
          <w:p>
            <w:r>
              <w:t>VAS</w:t>
            </w:r>
          </w:p>
        </w:tc>
        <w:tc>
          <w:tcPr>
            <w:tcW w:type="dxa" w:w="3297"/>
          </w:tcPr>
          <w:p>
            <w:r>
              <w:t>Visual Analogue Scale</w:t>
            </w:r>
          </w:p>
        </w:tc>
        <w:tc>
          <w:tcPr>
            <w:tcW w:type="dxa" w:w="3297"/>
          </w:tcPr>
          <w:p>
            <w:r>
              <w:t>视觉模拟量表</w:t>
            </w:r>
          </w:p>
        </w:tc>
      </w:tr>
      <w:tr>
        <w:tc>
          <w:tcPr>
            <w:tcW w:type="dxa" w:w="3297"/>
          </w:tcPr>
          <w:p>
            <w:r>
              <w:t>SNOT-22</w:t>
            </w:r>
          </w:p>
        </w:tc>
        <w:tc>
          <w:tcPr>
            <w:tcW w:type="dxa" w:w="3297"/>
          </w:tcPr>
          <w:p>
            <w:r>
              <w:t>Sino-Nasal Outcome Test-22</w:t>
            </w:r>
          </w:p>
        </w:tc>
        <w:tc>
          <w:tcPr>
            <w:tcW w:type="dxa" w:w="3297"/>
          </w:tcPr>
          <w:p>
            <w:r>
              <w:t>鼻腔鼻窦结局测试-22</w:t>
            </w:r>
          </w:p>
        </w:tc>
      </w:tr>
      <w:tr>
        <w:tc>
          <w:tcPr>
            <w:tcW w:type="dxa" w:w="3297"/>
          </w:tcPr>
          <w:p>
            <w:r>
              <w:t>ICE</w:t>
            </w:r>
          </w:p>
        </w:tc>
        <w:tc>
          <w:tcPr>
            <w:tcW w:type="dxa" w:w="3297"/>
          </w:tcPr>
          <w:p>
            <w:r>
              <w:t>Intercurrent Event</w:t>
            </w:r>
          </w:p>
        </w:tc>
        <w:tc>
          <w:tcPr>
            <w:tcW w:type="dxa" w:w="3297"/>
          </w:tcPr>
          <w:p>
            <w:r>
              <w:t>伴发事件</w:t>
            </w:r>
          </w:p>
        </w:tc>
      </w:tr>
      <w:tr>
        <w:tc>
          <w:tcPr>
            <w:tcW w:type="dxa" w:w="3297"/>
          </w:tcPr>
          <w:p>
            <w:r>
              <w:t>NRI</w:t>
            </w:r>
          </w:p>
        </w:tc>
        <w:tc>
          <w:tcPr>
            <w:tcW w:type="dxa" w:w="3297"/>
          </w:tcPr>
          <w:p>
            <w:r>
              <w:t>Non-Responder Imputation</w:t>
            </w:r>
          </w:p>
        </w:tc>
        <w:tc>
          <w:tcPr>
            <w:tcW w:type="dxa" w:w="3297"/>
          </w:tcPr>
          <w:p>
            <w:r>
              <w:t>无应答者插补</w:t>
            </w:r>
          </w:p>
        </w:tc>
      </w:tr>
      <w:tr>
        <w:tc>
          <w:tcPr>
            <w:tcW w:type="dxa" w:w="3297"/>
          </w:tcPr>
          <w:p>
            <w:r>
              <w:t>FAS</w:t>
            </w:r>
          </w:p>
        </w:tc>
        <w:tc>
          <w:tcPr>
            <w:tcW w:type="dxa" w:w="3297"/>
          </w:tcPr>
          <w:p>
            <w:r>
              <w:t>Full Analysis Set</w:t>
            </w:r>
          </w:p>
        </w:tc>
        <w:tc>
          <w:tcPr>
            <w:tcW w:type="dxa" w:w="3297"/>
          </w:tcPr>
          <w:p>
            <w:r>
              <w:t>全分析集</w:t>
            </w:r>
          </w:p>
        </w:tc>
      </w:tr>
      <w:tr>
        <w:tc>
          <w:tcPr>
            <w:tcW w:type="dxa" w:w="3297"/>
          </w:tcPr>
          <w:p>
            <w:r>
              <w:t>ITT</w:t>
            </w:r>
          </w:p>
        </w:tc>
        <w:tc>
          <w:tcPr>
            <w:tcW w:type="dxa" w:w="3297"/>
          </w:tcPr>
          <w:p>
            <w:r>
              <w:t>Intention-to-Treat</w:t>
            </w:r>
          </w:p>
        </w:tc>
        <w:tc>
          <w:tcPr>
            <w:tcW w:type="dxa" w:w="3297"/>
          </w:tcPr>
          <w:p>
            <w:r>
              <w:t>意向性治疗</w:t>
            </w:r>
          </w:p>
        </w:tc>
      </w:tr>
      <w:tr>
        <w:tc>
          <w:tcPr>
            <w:tcW w:type="dxa" w:w="3297"/>
          </w:tcPr>
          <w:p>
            <w:r>
              <w:t>CMH</w:t>
            </w:r>
          </w:p>
        </w:tc>
        <w:tc>
          <w:tcPr>
            <w:tcW w:type="dxa" w:w="3297"/>
          </w:tcPr>
          <w:p>
            <w:r>
              <w:t>Cochran-Mantel-Haenszel</w:t>
            </w:r>
          </w:p>
        </w:tc>
        <w:tc>
          <w:tcPr>
            <w:tcW w:type="dxa" w:w="3297"/>
          </w:tcPr>
          <w:p>
            <w:r>
              <w:t>Cochran-Mantel-Haenszel检验</w:t>
            </w:r>
          </w:p>
        </w:tc>
      </w:tr>
      <w:tr>
        <w:tc>
          <w:tcPr>
            <w:tcW w:type="dxa" w:w="3297"/>
          </w:tcPr>
          <w:p>
            <w:r>
              <w:t>CI</w:t>
            </w:r>
          </w:p>
        </w:tc>
        <w:tc>
          <w:tcPr>
            <w:tcW w:type="dxa" w:w="3297"/>
          </w:tcPr>
          <w:p>
            <w:r>
              <w:t>Confidence Interval</w:t>
            </w:r>
          </w:p>
        </w:tc>
        <w:tc>
          <w:tcPr>
            <w:tcW w:type="dxa" w:w="3297"/>
          </w:tcPr>
          <w:p>
            <w:r>
              <w:t>置信区间</w:t>
            </w:r>
          </w:p>
        </w:tc>
      </w:tr>
    </w:tbl>
    <w:p>
      <w:bookmarkStart w:id="20799" w:name="chap_v2_n_front_6"/>
      <w:pPr>
        <w:pStyle w:val="3"/>
      </w:pPr>
      <w:r>
        <w:t>目 录</w:t>
      </w:r>
      <w:bookmarkEnd w:id="20799"/>
    </w:p>
    <w:p>
      <w:r>
        <w:t>{ TOC \o "1-9" \h \z \u }</w:t>
      </w:r>
    </w:p>
    <w:p>
      <w:bookmarkStart w:id="68135" w:name="chap_v2_n_front_7"/>
      <w:pPr>
        <w:pStyle w:val="3"/>
      </w:pPr>
      <w:r>
        <w:t>表目录</w:t>
      </w:r>
      <w:bookmarkEnd w:id="68135"/>
    </w:p>
    <w:p>
      <w:r>
        <w:t>表索引</w:t>
      </w:r>
    </w:p>
    <w:p>
      <w:r>
        <w:t>{ TOC \h \z \c "表" }</w:t>
      </w:r>
    </w:p>
    <w:p>
      <w:r>
        <w:t>注：正文全部表格连续编号并附题注；本索引按连续表格编号排序。</w:t>
      </w:r>
    </w:p>
    <w:p>
      <w:bookmarkStart w:id="57179" w:name="chap_v2_n_front_8"/>
      <w:pPr>
        <w:pStyle w:val="3"/>
      </w:pPr>
      <w:r>
        <w:t>图目录</w:t>
      </w:r>
      <w:bookmarkEnd w:id="57179"/>
    </w:p>
    <w:p>
      <w:r>
        <w:t>图索引</w:t>
      </w:r>
    </w:p>
    <w:p>
      <w:r>
        <w:t>图1 研究设计示意图：Ⅱ期、随机、双盲、安慰剂对照、优效性概念验证研究；试验参与者按1:1随机分配至合成药X组或安慰剂组，按中心分层。</w:t>
      </w:r>
    </w:p>
    <w:p>
      <w:r>
        <w:t>图2 给药方案示意图：合成药X 150 mg/1.0 mL皮下给药，负荷期第1、8、15、22天每周一次共4次，维持期第36天起每两周一次至第24周末次给药；安慰剂为生理盐水1.0 mL同体积、同途径、同频率。</w:t>
      </w:r>
    </w:p>
    <w:p>
      <w:bookmarkStart w:id="40984" w:name="chap_v2_n_1_1"/>
      <w:pPr>
        <w:pStyle w:val="2"/>
      </w:pPr>
      <w:r>
        <w:t>概要</w:t>
      </w:r>
      <w:bookmarkEnd w:id="40984"/>
    </w:p>
    <w:p>
      <w:r>
        <w:t>本研究为一项Ⅱ期、随机、双盲、安慰剂对照（生理盐水1.0 mL皮下注射，同体积、同途径、同频率）对照的探索性临床研究，评价合成药X在慢性鼻窦炎伴鼻息肉成人患者中的有效性、安全性与耐受性。主要终点为第24周临床缓解率：第24周达到双侧鼻息肉评分（NPS）≤1且鼻塞VAS≤1的试验参与者比例。。研究流程见表1（见1.3节）。</w:t>
      </w:r>
    </w:p>
    <w:p>
      <w:r>
        <w:rPr>
          <w:b/>
        </w:rPr>
        <w:t>缩略语：</w:t>
      </w:r>
      <w:r>
        <w:t>AE = 不良事件；SAE = 严重不良事件；NPS = 双侧鼻息肉评分（0～8分）；VAS = 视觉模拟量表（0～10 cm）；SNOT-22 = 鼻腔鼻窦结局测试-22；ICE = 伴发事件；FAS = 全分析集；NRI = 无应答插补。</w:t>
      </w:r>
    </w:p>
    <w:p>
      <w:r>
        <w:rPr>
          <w:b/>
        </w:rPr>
        <w:t>主要终点：</w:t>
      </w:r>
      <w:r>
        <w:t>第24周达到双侧鼻息肉评分（NPS）≤1且鼻塞VAS≤1的试验参与者比例。第24周为主要终点评估时点，电话访视不得替代其现场评估。</w:t>
      </w:r>
    </w:p>
    <w:p>
      <w:r>
        <w:rPr>
          <w:b/>
        </w:rPr>
        <w:t>伴发事件按治疗策略处理：</w:t>
      </w:r>
      <w:r>
        <w:t>ICE按治疗策略（treatment policy）处理。ICE事件包括鼻塞加重需全身激素或手术干预、因不良事件停药、失访；救援治疗定义为因鼻塞加重使用全身激素或鼻窦手术。第24周缺失主要终点采用无应答插补（NRI），敏感性分析采用tipping point。。补救治疗不导致剔除，主要终点缺失按无应答插补（NRI），敏感性分析采用tipping point。</w:t>
      </w:r>
    </w:p>
    <w:p>
      <w:r>
        <w:rPr>
          <w:b/>
        </w:rPr>
        <w:t>ICE事件包括：</w:t>
      </w:r>
      <w:r>
        <w:t>鼻塞加重需全身激素或手术干预；因不良事件停药；失访。</w:t>
      </w:r>
    </w:p>
    <w:p>
      <w:r>
        <w:t>随机化按中心分层，分组比例1:1；本研究无期中分析计划。</w:t>
      </w:r>
    </w:p>
    <w:p>
      <w:r>
        <w:rPr>
          <w:b/>
        </w:rPr>
        <w:t>安全性随访：</w:t>
      </w:r>
      <w:r>
        <w:t>AE和SAE收集至末次给药后30天；若试验参与者提前终止试验，则至提前终止访视后30天。</w:t>
      </w:r>
    </w:p>
    <w:p>
      <w:bookmarkStart w:id="99513" w:name="chap_v2_n_1_2"/>
      <w:pPr>
        <w:pStyle w:val="2"/>
      </w:pPr>
      <w:r>
        <w:t>研究流程图</w:t>
      </w:r>
      <w:bookmarkEnd w:id="99513"/>
    </w:p>
    <w:p>
      <w:r>
        <w:t>本节以研究流程图呈现Ⅱ期研究设计。试验参与者按1:1随机分配至合成药X组或安慰剂组，随机化按中心分层。</w:t>
      </w:r>
    </w:p>
    <w:p>
      <w:r>
        <w:t>合成药X组接受合成药X注射制剂150 mg/1.0 mL皮下给药；安慰剂组接受生理盐水安慰剂1.0 mL皮下注射。给药安排包括负荷给药和维持给药：第1、8、15、22天，每周一次，共4次；第36天起每两周一次至第24周末次给药。主要终点和次要终点均在第24周评估。本设计不包含剂量升级。流程图中的相位、臂、分配、时间点与转换应与SOA保持一致。</w:t>
      </w:r>
    </w:p>
    <w:p>
      <w:bookmarkStart w:id="32264" w:name="tbl_6"/>
      <w:r>
        <w:t>表6 研究流程图</w:t>
      </w:r>
      <w:bookmarkEnd w:id="32264"/>
    </w:p>
    <w:tbl>
      <w:tblPr>
        <w:tblStyle w:val="28"/>
        <w:tblW w:type="auto" w:w="0"/>
        <w:tblLook w:firstColumn="1" w:firstRow="1" w:lastColumn="0" w:lastRow="0" w:noHBand="0" w:noVBand="1" w:val="04A0"/>
      </w:tblPr>
      <w:tblGrid>
        <w:gridCol w:w="1978"/>
        <w:gridCol w:w="1978"/>
        <w:gridCol w:w="1978"/>
        <w:gridCol w:w="1978"/>
        <w:gridCol w:w="1978"/>
      </w:tblGrid>
      <w:tr>
        <w:trPr>
          <w:tblHeader w:val="true"/>
        </w:trPr>
        <w:tc>
          <w:tcPr>
            <w:tcW w:type="dxa" w:w="1978"/>
          </w:tcPr>
          <w:p>
            <w:r>
              <w:rPr>
                <w:b/>
              </w:rPr>
              <w:t>阶段/设计要素</w:t>
            </w:r>
          </w:p>
        </w:tc>
        <w:tc>
          <w:tcPr>
            <w:tcW w:type="dxa" w:w="1978"/>
          </w:tcPr>
          <w:p>
            <w:r>
              <w:rPr>
                <w:b/>
              </w:rPr>
              <w:t>臂/干预</w:t>
            </w:r>
          </w:p>
        </w:tc>
        <w:tc>
          <w:tcPr>
            <w:tcW w:type="dxa" w:w="1978"/>
          </w:tcPr>
          <w:p>
            <w:r>
              <w:rPr>
                <w:b/>
              </w:rPr>
              <w:t>分配</w:t>
            </w:r>
          </w:p>
        </w:tc>
        <w:tc>
          <w:tcPr>
            <w:tcW w:type="dxa" w:w="1978"/>
          </w:tcPr>
          <w:p>
            <w:r>
              <w:rPr>
                <w:b/>
              </w:rPr>
              <w:t>时间点/评估</w:t>
            </w:r>
          </w:p>
        </w:tc>
        <w:tc>
          <w:tcPr>
            <w:tcW w:type="dxa" w:w="1978"/>
          </w:tcPr>
          <w:p>
            <w:r>
              <w:rPr>
                <w:b/>
              </w:rPr>
              <w:t>转换</w:t>
            </w:r>
          </w:p>
        </w:tc>
      </w:tr>
      <w:tr>
        <w:tc>
          <w:tcPr>
            <w:tcW w:type="dxa" w:w="1978"/>
          </w:tcPr>
          <w:p>
            <w:r>
              <w:t>随机化</w:t>
            </w:r>
          </w:p>
        </w:tc>
        <w:tc>
          <w:tcPr>
            <w:tcW w:type="dxa" w:w="1978"/>
          </w:tcPr>
          <w:p>
            <w:r>
              <w:t>合成药X组；安慰剂组</w:t>
            </w:r>
          </w:p>
        </w:tc>
        <w:tc>
          <w:tcPr>
            <w:tcW w:type="dxa" w:w="1978"/>
          </w:tcPr>
          <w:p>
            <w:r>
              <w:t>按1:1随机分配；随机化按中心分层</w:t>
            </w:r>
          </w:p>
        </w:tc>
        <w:tc>
          <w:tcPr>
            <w:tcW w:type="dxa" w:w="1978"/>
          </w:tcPr>
          <w:p>
            <w:r>
              <w:t>随机化后进入给药阶段</w:t>
            </w:r>
          </w:p>
        </w:tc>
        <w:tc>
          <w:tcPr>
            <w:tcW w:type="dxa" w:w="1978"/>
          </w:tcPr>
          <w:p>
            <w:r>
              <w:t>随机分配至合成药X组或安慰剂组</w:t>
            </w:r>
          </w:p>
        </w:tc>
      </w:tr>
      <w:tr>
        <w:tc>
          <w:tcPr>
            <w:tcW w:type="dxa" w:w="1978"/>
          </w:tcPr>
          <w:p>
            <w:r>
              <w:t>Ⅱ期治疗：负荷给药</w:t>
            </w:r>
          </w:p>
        </w:tc>
        <w:tc>
          <w:tcPr>
            <w:tcW w:type="dxa" w:w="1978"/>
          </w:tcPr>
          <w:p>
            <w:r>
              <w:t>合成药X组：合成药X注射制剂150 mg/1.0 mL皮下给药；安慰剂组：生理盐水安慰剂1.0 mL皮下注射</w:t>
            </w:r>
          </w:p>
        </w:tc>
        <w:tc>
          <w:tcPr>
            <w:tcW w:type="dxa" w:w="1978"/>
          </w:tcPr>
          <w:p>
            <w:r>
              <w:t>已按1:1随机分配；按中心分层</w:t>
            </w:r>
          </w:p>
        </w:tc>
        <w:tc>
          <w:tcPr>
            <w:tcW w:type="dxa" w:w="1978"/>
          </w:tcPr>
          <w:p>
            <w:r>
              <w:t>第1、8、15、22天，每周一次，共4次</w:t>
            </w:r>
          </w:p>
        </w:tc>
        <w:tc>
          <w:tcPr>
            <w:tcW w:type="dxa" w:w="1978"/>
          </w:tcPr>
          <w:p>
            <w:r>
              <w:t>负荷给药完成后进入维持给药</w:t>
            </w:r>
          </w:p>
        </w:tc>
      </w:tr>
      <w:tr>
        <w:tc>
          <w:tcPr>
            <w:tcW w:type="dxa" w:w="1978"/>
          </w:tcPr>
          <w:p>
            <w:r>
              <w:t>Ⅱ期治疗：维持给药</w:t>
            </w:r>
          </w:p>
        </w:tc>
        <w:tc>
          <w:tcPr>
            <w:tcW w:type="dxa" w:w="1978"/>
          </w:tcPr>
          <w:p>
            <w:r>
              <w:t>合成药X组：合成药X注射制剂150 mg/1.0 mL皮下给药；安慰剂组：生理盐水安慰剂1.0 mL皮下注射</w:t>
            </w:r>
          </w:p>
        </w:tc>
        <w:tc>
          <w:tcPr>
            <w:tcW w:type="dxa" w:w="1978"/>
          </w:tcPr>
          <w:p>
            <w:r>
              <w:t>已按1:1随机分配；按中心分层</w:t>
            </w:r>
          </w:p>
        </w:tc>
        <w:tc>
          <w:tcPr>
            <w:tcW w:type="dxa" w:w="1978"/>
          </w:tcPr>
          <w:p>
            <w:r>
              <w:t>第36天起每两周一次至第24周末次给药</w:t>
            </w:r>
          </w:p>
        </w:tc>
        <w:tc>
          <w:tcPr>
            <w:tcW w:type="dxa" w:w="1978"/>
          </w:tcPr>
          <w:p>
            <w:r>
              <w:t>至第24周末次给药后进入第24周终点评估</w:t>
            </w:r>
          </w:p>
        </w:tc>
      </w:tr>
      <w:tr>
        <w:tc>
          <w:tcPr>
            <w:tcW w:type="dxa" w:w="1978"/>
          </w:tcPr>
          <w:p>
            <w:r>
              <w:t>Ⅱ期评估</w:t>
            </w:r>
          </w:p>
        </w:tc>
        <w:tc>
          <w:tcPr>
            <w:tcW w:type="dxa" w:w="1978"/>
          </w:tcPr>
          <w:p>
            <w:r>
              <w:t>合成药X组；安慰剂组</w:t>
            </w:r>
          </w:p>
        </w:tc>
        <w:tc>
          <w:tcPr>
            <w:tcW w:type="dxa" w:w="1978"/>
          </w:tcPr>
          <w:p>
            <w:r>
              <w:t>已按1:1随机分配；按中心分层</w:t>
            </w:r>
          </w:p>
        </w:tc>
        <w:tc>
          <w:tcPr>
            <w:tcW w:type="dxa" w:w="1978"/>
          </w:tcPr>
          <w:p>
            <w:r>
              <w:t>第24周评估主要终点和次要终点</w:t>
            </w:r>
          </w:p>
        </w:tc>
        <w:tc>
          <w:tcPr>
            <w:tcW w:type="dxa" w:w="1978"/>
          </w:tcPr>
          <w:p>
            <w:r>
              <w:t>按SOA完成第24周评估；本设计不包含剂量升级</w:t>
            </w:r>
          </w:p>
        </w:tc>
      </w:tr>
    </w:tbl>
    <w:p>
      <w:pPr/>
      <w:r>
        <w:t xml:space="preserve"> 流程图时间点与转换按已确认研究事实呈现；相位、臂、分配、时间点与转换应与SOA保持一致。</w:t>
      </w:r>
    </w:p>
    <w:p>
      <w:pPr/>
      <w:r>
        <w:t xml:space="preserve"> 本设计不包含剂量升级，因此流程图不设升级路径。</w:t>
      </w:r>
    </w:p>
    <w:p>
      <w:bookmarkStart w:id="31580" w:name="chap_v2_n_1_3"/>
      <w:pPr>
        <w:pStyle w:val="2"/>
      </w:pPr>
      <w:r>
        <w:t>研究流程表（SOA）</w:t>
      </w:r>
      <w:bookmarkEnd w:id="31580"/>
    </w:p>
    <w:p>
      <w:r>
        <w:t>本章描述研究活动时间表（SOA），涵盖筛选期、第1天（基线/随机/首次给药）、治疗期访视、第162天（第24周/末次给药），以及提前退出/终止研究和安全性随访。所有访视应记录实际日期并计算与计划日期的偏差。</w:t>
      </w:r>
    </w:p>
    <w:p>
      <w:r>
        <w:t>访视窗口与联系：随访访视按方案预定时间窗执行。第24周为主要终点评估访视，应尽量在计划时间窗内完成主要和次要终点评估。若试验参与者无法现场访视，可按方案允许的方式联系并记录，但电话访视不得替代第24周主要终点所需的NPS和鼻塞VAS评估。非计划联系需记录实际日期、时间及与计划访视的相对时间。本章未列出适用的电话联系人访视；本方案未设置PK采血。</w:t>
      </w:r>
    </w:p>
    <w:p>
      <w:pPr>
        <w:sectPr>
          <w:pgSz w:w="11910" w:h="16840"/>
          <w:pgMar w:top="1440" w:right="1009" w:bottom="1440" w:left="1009" w:header="578" w:footer="578" w:gutter="0"/>
          <w:cols w:space="708" w:num="1"/>
          <w:docGrid w:linePitch="360" w:charSpace="0"/>
        </w:sectPr>
      </w:pPr>
    </w:p>
    <w:p>
      <w:bookmarkStart w:id="16427" w:name="tbl_7"/>
      <w:r>
        <w:t>表7 研究流程表（SOA）</w:t>
      </w:r>
      <w:bookmarkEnd w:id="16427"/>
    </w:p>
    <w:tbl>
      <w:tblPr>
        <w:tblStyle w:val="28"/>
        <w:tblW w:type="auto" w:w="0"/>
        <w:tblLayout w:type="fixed"/>
        <w:tblLook w:firstColumn="1" w:firstRow="1" w:lastColumn="0" w:lastRow="0" w:noHBand="0" w:noVBand="1" w:val="04A0"/>
      </w:tblPr>
      <w:tblGrid>
        <w:gridCol w:w="2268"/>
        <w:gridCol w:w="822"/>
        <w:gridCol w:w="822"/>
        <w:gridCol w:w="822"/>
        <w:gridCol w:w="822"/>
        <w:gridCol w:w="822"/>
        <w:gridCol w:w="822"/>
        <w:gridCol w:w="822"/>
        <w:gridCol w:w="822"/>
        <w:gridCol w:w="822"/>
        <w:gridCol w:w="822"/>
        <w:gridCol w:w="822"/>
        <w:gridCol w:w="822"/>
        <w:gridCol w:w="822"/>
        <w:gridCol w:w="822"/>
        <w:gridCol w:w="822"/>
      </w:tblGrid>
      <w:tr>
        <w:trPr>
          <w:tblHeader w:val="true"/>
        </w:trPr>
        <w:tc>
          <w:tcPr>
            <w:tcW w:type="dxa" w:w="2268"/>
          </w:tcPr>
          <w:p>
            <w:r>
              <w:rPr>
                <w:b/>
                <w:sz w:val="16"/>
              </w:rPr>
              <w:t>评估项目</w:t>
            </w:r>
          </w:p>
        </w:tc>
        <w:tc>
          <w:tcPr>
            <w:tcW w:type="dxa" w:w="822"/>
          </w:tcPr>
          <w:p>
            <w:r>
              <w:rPr>
                <w:b/>
                <w:sz w:val="16"/>
              </w:rPr>
              <w:t>筛选期</w:t>
            </w:r>
          </w:p>
        </w:tc>
        <w:tc>
          <w:tcPr>
            <w:tcW w:type="dxa" w:w="822"/>
          </w:tcPr>
          <w:p>
            <w:r>
              <w:rPr>
                <w:b/>
                <w:sz w:val="16"/>
              </w:rPr>
              <w:t>第1天（基线/随机/首次给药）</w:t>
            </w:r>
          </w:p>
        </w:tc>
        <w:tc>
          <w:tcPr>
            <w:tcW w:type="dxa" w:w="822"/>
          </w:tcPr>
          <w:p>
            <w:r>
              <w:rPr>
                <w:b/>
                <w:sz w:val="16"/>
              </w:rPr>
              <w:t>第8天</w:t>
            </w:r>
          </w:p>
        </w:tc>
        <w:tc>
          <w:tcPr>
            <w:tcW w:type="dxa" w:w="822"/>
          </w:tcPr>
          <w:p>
            <w:r>
              <w:rPr>
                <w:b/>
                <w:sz w:val="16"/>
              </w:rPr>
              <w:t>第15天</w:t>
            </w:r>
          </w:p>
        </w:tc>
        <w:tc>
          <w:tcPr>
            <w:tcW w:type="dxa" w:w="822"/>
          </w:tcPr>
          <w:p>
            <w:r>
              <w:rPr>
                <w:b/>
                <w:sz w:val="16"/>
              </w:rPr>
              <w:t>第22天</w:t>
            </w:r>
          </w:p>
        </w:tc>
        <w:tc>
          <w:tcPr>
            <w:tcW w:type="dxa" w:w="822"/>
          </w:tcPr>
          <w:p>
            <w:r>
              <w:rPr>
                <w:b/>
                <w:sz w:val="16"/>
              </w:rPr>
              <w:t>第36天</w:t>
            </w:r>
          </w:p>
        </w:tc>
        <w:tc>
          <w:tcPr>
            <w:tcW w:type="dxa" w:w="822"/>
          </w:tcPr>
          <w:p>
            <w:r>
              <w:rPr>
                <w:b/>
                <w:sz w:val="16"/>
              </w:rPr>
              <w:t>第50天</w:t>
            </w:r>
          </w:p>
        </w:tc>
        <w:tc>
          <w:tcPr>
            <w:tcW w:type="dxa" w:w="822"/>
          </w:tcPr>
          <w:p>
            <w:r>
              <w:rPr>
                <w:b/>
                <w:sz w:val="16"/>
              </w:rPr>
              <w:t>第64天</w:t>
            </w:r>
          </w:p>
        </w:tc>
        <w:tc>
          <w:tcPr>
            <w:tcW w:type="dxa" w:w="822"/>
          </w:tcPr>
          <w:p>
            <w:r>
              <w:rPr>
                <w:b/>
                <w:sz w:val="16"/>
              </w:rPr>
              <w:t>第78天</w:t>
            </w:r>
          </w:p>
        </w:tc>
        <w:tc>
          <w:tcPr>
            <w:tcW w:type="dxa" w:w="822"/>
          </w:tcPr>
          <w:p>
            <w:r>
              <w:rPr>
                <w:b/>
                <w:sz w:val="16"/>
              </w:rPr>
              <w:t>第92天</w:t>
            </w:r>
          </w:p>
        </w:tc>
        <w:tc>
          <w:tcPr>
            <w:tcW w:type="dxa" w:w="822"/>
          </w:tcPr>
          <w:p>
            <w:r>
              <w:rPr>
                <w:b/>
                <w:sz w:val="16"/>
              </w:rPr>
              <w:t>第106天</w:t>
            </w:r>
          </w:p>
        </w:tc>
        <w:tc>
          <w:tcPr>
            <w:tcW w:type="dxa" w:w="822"/>
          </w:tcPr>
          <w:p>
            <w:r>
              <w:rPr>
                <w:b/>
                <w:sz w:val="16"/>
              </w:rPr>
              <w:t>第120天</w:t>
            </w:r>
          </w:p>
        </w:tc>
        <w:tc>
          <w:tcPr>
            <w:tcW w:type="dxa" w:w="822"/>
          </w:tcPr>
          <w:p>
            <w:r>
              <w:rPr>
                <w:b/>
                <w:sz w:val="16"/>
              </w:rPr>
              <w:t>第134天</w:t>
            </w:r>
          </w:p>
        </w:tc>
        <w:tc>
          <w:tcPr>
            <w:tcW w:type="dxa" w:w="822"/>
          </w:tcPr>
          <w:p>
            <w:r>
              <w:rPr>
                <w:b/>
                <w:sz w:val="16"/>
              </w:rPr>
              <w:t>第148天</w:t>
            </w:r>
          </w:p>
        </w:tc>
        <w:tc>
          <w:tcPr>
            <w:tcW w:type="dxa" w:w="822"/>
          </w:tcPr>
          <w:p>
            <w:r>
              <w:rPr>
                <w:b/>
                <w:sz w:val="16"/>
              </w:rPr>
              <w:t>第162天（第24周/末次给药）</w:t>
            </w:r>
          </w:p>
        </w:tc>
      </w:tr>
      <w:tr>
        <w:tc>
          <w:tcPr>
            <w:tcW w:type="dxa" w:w="2268"/>
          </w:tcPr>
          <w:p>
            <w:r>
              <w:rPr>
                <w:sz w:val="16"/>
              </w:rPr>
              <w:t>知情同意</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人口学资料</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病史</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入选/排除标准</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体格检查</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生命体征</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体重</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妊娠试验（适用者）</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双侧鼻息肉评分（NPS）</w:t>
            </w:r>
          </w:p>
        </w:tc>
        <w:tc>
          <w:tcPr>
            <w:tcW w:type="dxa" w:w="822"/>
          </w:tcPr>
          <w:p>
            <w:r>
              <w:rPr>
                <w:sz w:val="16"/>
              </w:rPr>
              <w:t>●</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t>●</w:t>
            </w:r>
          </w:p>
        </w:tc>
      </w:tr>
      <w:tr>
        <w:tc>
          <w:tcPr>
            <w:tcW w:type="dxa" w:w="2268"/>
          </w:tcPr>
          <w:p>
            <w:r>
              <w:rPr>
                <w:sz w:val="16"/>
              </w:rPr>
              <w:t>鼻塞VAS</w:t>
            </w:r>
          </w:p>
        </w:tc>
        <w:tc>
          <w:tcPr>
            <w:tcW w:type="dxa" w:w="822"/>
          </w:tcPr>
          <w:p>
            <w:r>
              <w:rPr>
                <w:sz w:val="16"/>
              </w:rPr>
              <w:t>●</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t>●</w:t>
            </w:r>
          </w:p>
        </w:tc>
      </w:tr>
      <w:tr>
        <w:tc>
          <w:tcPr>
            <w:tcW w:type="dxa" w:w="2268"/>
          </w:tcPr>
          <w:p>
            <w:r>
              <w:rPr>
                <w:sz w:val="16"/>
              </w:rPr>
              <w:t>SNOT-22</w:t>
            </w:r>
          </w:p>
        </w:tc>
        <w:tc>
          <w:tcPr>
            <w:tcW w:type="dxa" w:w="822"/>
          </w:tcPr>
          <w:p>
            <w:r>
              <w:rPr>
                <w:sz w:val="16"/>
              </w:rPr>
              <w:t>●</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t>●</w:t>
            </w:r>
          </w:p>
        </w:tc>
      </w:tr>
      <w:tr>
        <w:tc>
          <w:tcPr>
            <w:tcW w:type="dxa" w:w="2268"/>
          </w:tcPr>
          <w:p>
            <w:r>
              <w:rPr>
                <w:sz w:val="16"/>
              </w:rPr>
              <w:t>Lund-Kennedy内镜评分</w:t>
            </w:r>
          </w:p>
        </w:tc>
        <w:tc>
          <w:tcPr>
            <w:tcW w:type="dxa" w:w="822"/>
          </w:tcPr>
          <w:p>
            <w:r>
              <w:rPr>
                <w:sz w:val="16"/>
              </w:rPr>
              <w:t>●</w:t>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t>●</w:t>
            </w:r>
          </w:p>
        </w:tc>
      </w:tr>
      <w:tr>
        <w:tc>
          <w:tcPr>
            <w:tcW w:type="dxa" w:w="2268"/>
          </w:tcPr>
          <w:p>
            <w:r>
              <w:rPr>
                <w:sz w:val="16"/>
              </w:rPr>
              <w:t>背景鼻用糖皮质激素使用记录</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r>
      <w:tr>
        <w:tc>
          <w:tcPr>
            <w:tcW w:type="dxa" w:w="2268"/>
          </w:tcPr>
          <w:p>
            <w:r>
              <w:rPr>
                <w:sz w:val="16"/>
              </w:rPr>
              <w:t>合并用药</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r>
      <w:tr>
        <w:tc>
          <w:tcPr>
            <w:tcW w:type="dxa" w:w="2268"/>
          </w:tcPr>
          <w:p>
            <w:r>
              <w:rPr>
                <w:sz w:val="16"/>
              </w:rPr>
              <w:t>不良事件</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r>
      <w:tr>
        <w:tc>
          <w:tcPr>
            <w:tcW w:type="dxa" w:w="2268"/>
          </w:tcPr>
          <w:p>
            <w:r>
              <w:rPr>
                <w:sz w:val="16"/>
              </w:rPr>
              <w:t>入选/排除标准确认</w:t>
            </w:r>
          </w:p>
        </w:tc>
        <w:tc>
          <w:tcPr>
            <w:tcW w:type="dxa" w:w="822"/>
          </w:tcPr>
          <w:p>
            <w:r>
              <w:rPr>
                <w:sz w:val="16"/>
              </w:rPr>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随机化</w:t>
            </w:r>
          </w:p>
        </w:tc>
        <w:tc>
          <w:tcPr>
            <w:tcW w:type="dxa" w:w="822"/>
          </w:tcPr>
          <w:p>
            <w:r>
              <w:rPr>
                <w:sz w:val="16"/>
              </w:rPr>
            </w:r>
          </w:p>
        </w:tc>
        <w:tc>
          <w:tcPr>
            <w:tcW w:type="dxa" w:w="822"/>
          </w:tcPr>
          <w:p>
            <w:r>
              <w:rPr>
                <w:sz w:val="16"/>
              </w:rPr>
              <w:t>●</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r>
      <w:tr>
        <w:tc>
          <w:tcPr>
            <w:tcW w:type="dxa" w:w="2268"/>
          </w:tcPr>
          <w:p>
            <w:r>
              <w:rPr>
                <w:sz w:val="16"/>
              </w:rPr>
              <w:t>研究药物给药</w:t>
            </w:r>
          </w:p>
        </w:tc>
        <w:tc>
          <w:tcPr>
            <w:tcW w:type="dxa" w:w="822"/>
          </w:tcPr>
          <w:p>
            <w:r>
              <w:rPr>
                <w:sz w:val="16"/>
              </w:rPr>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c>
          <w:tcPr>
            <w:tcW w:type="dxa" w:w="822"/>
          </w:tcPr>
          <w:p>
            <w:r>
              <w:rPr>
                <w:sz w:val="16"/>
              </w:rPr>
              <w:t>●</w:t>
            </w:r>
          </w:p>
        </w:tc>
      </w:tr>
      <w:tr>
        <w:tc>
          <w:tcPr>
            <w:tcW w:type="dxa" w:w="2268"/>
          </w:tcPr>
          <w:p>
            <w:r>
              <w:rPr>
                <w:sz w:val="16"/>
              </w:rPr>
              <w:t>研究药物计数/依从性</w:t>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r>
          </w:p>
        </w:tc>
        <w:tc>
          <w:tcPr>
            <w:tcW w:type="dxa" w:w="822"/>
          </w:tcPr>
          <w:p>
            <w:r>
              <w:rPr>
                <w:sz w:val="16"/>
              </w:rPr>
              <w:t>●</w:t>
            </w:r>
          </w:p>
        </w:tc>
      </w:tr>
    </w:tbl>
    <w:p>
      <w:pPr/>
      <w:r>
        <w:t>a ICE事件包括鼻塞加重需全身激素或手术干预、因不良事件停药、失访；按治疗策略处理。救援治疗定义为因鼻塞加重使用全身激素或鼻窦手术。</w:t>
      </w:r>
    </w:p>
    <w:p>
      <w:pPr/>
      <w:r>
        <w:t>b Lund-Kennedy内镜评分，第24周较基线变化，描述性分析。</w:t>
      </w:r>
    </w:p>
    <w:p>
      <w:pPr/>
      <w:r>
        <w:t>c 双侧鼻息肉评分，每侧0～4分，双侧总和0～8分；第24周临床缓解定义为NPS≤1。</w:t>
      </w:r>
    </w:p>
    <w:p>
      <w:pPr/>
      <w:r>
        <w:t>d 22项鼻窦炎结局测试，评估生活质量；关键次要终点，第24周较基线变化，采用固定序列检验控制多重性。</w:t>
      </w:r>
    </w:p>
    <w:p>
      <w:pPr/>
      <w:r>
        <w:t>e 允许稳定背景鼻用糖皮质激素，并记录使用情况。</w:t>
      </w:r>
    </w:p>
    <w:p>
      <w:pPr/>
      <w:r>
        <w:t>f 鼻塞VAS采用0～10 cm视觉模拟量表；第24周临床缓解定义为VAS≤1分。</w:t>
      </w:r>
    </w:p>
    <w:p>
      <w:pPr>
        <w:sectPr>
          <w:pgSz w:w="16840" w:h="11910" w:orient="landscape"/>
          <w:pgMar w:top="1440" w:right="1009" w:bottom="1440" w:left="1009" w:header="578" w:footer="578" w:gutter="0"/>
          <w:cols w:space="708" w:num="1"/>
          <w:docGrid w:linePitch="360" w:charSpace="0"/>
        </w:sectPr>
      </w:pPr>
    </w:p>
    <w:p>
      <w:r>
        <w:t>提前退出/终止研究：提前退出/终止研究时进行安全性评估，并尽可能完成第24周疗效终点评估，包括双侧鼻息肉评分（NPS）、鼻塞VAS、SNOT-22和Lund-Kennedy内镜评分；记录退出原因、研究药物计数、合并用药和不良事件。ICE事件包括鼻塞加重需全身激素或手术干预、因不良事件停药、失访；按治疗策略处理。救援治疗定义为因鼻塞加重使用全身激素或鼻窦手术。</w:t>
      </w:r>
    </w:p>
    <w:p>
      <w:r>
        <w:t>安全性随访：安全性随访按治疗期访视及末次给药后第24周评估进行；如发生不良事件，随访至事件消退或稳定。</w:t>
      </w:r>
    </w:p>
    <w:p>
      <w:bookmarkStart w:id="79789" w:name="chap_v2_n_2_1"/>
      <w:pPr>
        <w:pStyle w:val="2"/>
      </w:pPr>
      <w:r>
        <w:t>研究理论依据</w:t>
      </w:r>
      <w:bookmarkEnd w:id="79789"/>
    </w:p>
    <w:p>
      <w:r>
        <w:t>本研究的实际适应症为慢性鼻窦炎伴鼻息肉（CRSwNP）。CRSwNP是一种以鼻腔和鼻窦黏膜慢性炎症、双侧鼻息肉为特征的疾病，常表现为鼻塞、嗅觉减退、流涕、面部疼痛/压迫感和生活质量下降。</w:t>
      </w:r>
    </w:p>
    <w:p>
      <w:r>
        <w:t>该适应症的临床问题在于：CRSwNP病程迁延、易复发，常伴2型炎症，IL-4、IL-13等细胞因子在发病中起关键作用；患者常需长期治疗，疾病负担重。</w:t>
      </w:r>
    </w:p>
    <w:p>
      <w:r>
        <w:t>CRSwNP的当前标准治疗（SOC）包括鼻用糖皮质激素、生理盐水冲洗、短期全身糖皮质激素、合并感染时抗生素，以及难治性患者的功能性内镜鼻窦手术；对于重度未控制患者，可考虑生物制剂治疗。</w:t>
      </w:r>
    </w:p>
    <w:p>
      <w:r>
        <w:t>尽管有上述治疗，未满足的临床需求仍然突出：仍有较多CRSwNP患者疾病控制不佳，鼻塞、嗅觉减退等症状持续，复发率高，生活质量受影响；部分患者对现有治疗反应不足或不能耐受。全身糖皮质激素长期使用有安全性风险，手术有创且可能复发。因此，需要新型靶向治疗改善症状、减少复发和激素暴露。</w:t>
      </w:r>
    </w:p>
    <w:p>
      <w:r>
        <w:t>本研究的证据缺口与研究不确定性在于：合成药X为IL-4Rα拮抗剂，理论上可阻断IL-4/IL-13信号通路，抑制2型炎症，从而减轻鼻息肉和鼻塞等症状。尚需Ⅱ期概念验证研究确认合成药X在成人CRSwNP患者中的疗效、安全性和耐受性；第24周临床缓解率、SNOT-22及Lund-Kennedy评分的变化尚不确定。因此，本研究拟在成人CRSwNP患者中评估合成药X的疗效、安全性和耐受性，以填补上述证据缺口。</w:t>
      </w:r>
    </w:p>
    <w:p>
      <w:bookmarkStart w:id="79913" w:name="chap_v2_n_2_2_1"/>
      <w:pPr>
        <w:pStyle w:val="3"/>
      </w:pPr>
      <w:r>
        <w:t>研究药物</w:t>
      </w:r>
      <w:bookmarkEnd w:id="79913"/>
    </w:p>
    <w:p>
      <w:r>
        <w:t>研究药物为合成药X，产品身份为合成药X注射制剂；剂型为注射制剂，规格为150 mg/1.0 mL，给药途径为皮下给药。适应症为慢性鼻窦炎伴鼻息肉，研究分期为Ⅱ期。安慰剂为生理盐水1.0 mL，皮下注射，同体积、同途径、同频率。剂量方案包括负荷给药期和维持给药期：负荷给药期为第1天至第22天，第1、8、15、22天给药，每周一次，共4次，每次150 mg/1.0 mL，皮下给药；维持给药期为第36天起至第24周（末次给药），每两周一次，每次150 mg/1.0 mL，皮下给药。</w:t>
      </w:r>
    </w:p>
    <w:p>
      <w:r>
        <w:t>化学结构/分子式适用性结论：适用；理由：基于IL-4Rα拮抗机制，适用于2型炎症驱动的慢性鼻窦炎伴鼻息肉。</w:t>
      </w:r>
    </w:p>
    <w:p>
      <w:r>
        <w:t>作用机制：合成药X为IL-4Rα拮抗剂，靶点为IL-4Rα，通过阻断IL-4和IL-13信号通路，抑制2型炎症反应。本作用机制为继承义务（继承自 background.mechanism 语义），并作为声明的实质性补充；源 @284 仅列研发代号/化学名/结构式/理化性质，未显式含机制表述，故不反向引用源文作为机制已含证据。</w:t>
      </w:r>
    </w:p>
    <w:p>
      <w:bookmarkStart w:id="97084" w:name="chap_v2_n_2_2_2_1"/>
      <w:pPr>
        <w:pStyle w:val="4"/>
      </w:pPr>
      <w:r>
        <w:t>药效学研究</w:t>
      </w:r>
      <w:bookmarkEnd w:id="97084"/>
    </w:p>
    <w:p>
      <w:r>
        <w:t>药效学研究</w:t>
      </w:r>
    </w:p>
    <w:p>
      <w:r>
        <w:t>合成药X为IL-4Rα拮抗剂，拟用于2型炎症相关的CRSwNP；其临床药理学特征需结合非临床及早期临床数据评估。</w:t>
      </w:r>
    </w:p>
    <w:p>
      <w:r>
        <w:t>药效学（PD）：IL-4Rα拮抗可阻断IL-4/IL-13介导的2型炎症信号，预期降低相关炎症介质和生物标志物。</w:t>
      </w:r>
    </w:p>
    <w:p>
      <w:r>
        <w:t>药代动力学（PK）：非临床药代数据详见研究者手册，本方案不重复罗列。</w:t>
      </w:r>
    </w:p>
    <w:p>
      <w:r>
        <w:t>毒理学：非临床毒理数据详见研究者手册，本方案不重复罗列。</w:t>
      </w:r>
    </w:p>
    <w:p>
      <w:r>
        <w:t>一般药理学：IL-4Rα是IL-4和IL-13共用的受体亚基，阻断该受体可抑制2型炎症信号通路。</w:t>
      </w:r>
    </w:p>
    <w:p>
      <w:bookmarkStart w:id="79004" w:name="chap_v2_n_2_2_3"/>
      <w:pPr>
        <w:pStyle w:val="3"/>
      </w:pPr>
      <w:r>
        <w:t>同类药物研究概述</w:t>
      </w:r>
      <w:bookmarkEnd w:id="79004"/>
    </w:p>
    <w:p>
      <w:r>
        <w:t>中文输入法安全输入验证：本句经由输入法提交路径写入。同类药物研究概述：同类药物证据与本药临床证据必须分别标注来源并独立登记，不得以同类药物证据充当本药临床结论。现有对照信息为安慰剂：生理盐水1.0 mL，皮下注射，同体积、同途径、同频率给药。证据源分离声明：同类药物数据与本药临床证据虽物理相邻，但属于不同证据源，不得混同。 同类药物数据仅作背景参考，不构成本研究的主要结论依据；本药临床结论以本研究第24周结果为准。</w:t>
      </w:r>
    </w:p>
    <w:p>
      <w:r>
        <w:t>本药临床研究背景与临床证据：研究药物为首次概念验证开发，临床证据见非临床研究章节。本药相关临床研究背景为合成药X在成人慢性鼻窦炎伴鼻息肉患者中的Ⅱ期概念验证研究，采用随机双盲、安慰剂对照设计。本药临床结果须结合匹配的研究阶段、设计与时间窗进行解读，不得仅以IB文件号替代研究上下文。 保存失败恢复门：失败后草稿必须保留。</w:t>
      </w:r>
    </w:p>
    <w:p>
      <w:bookmarkStart w:id="78610" w:name="chap_v2_n_2_3"/>
      <w:pPr>
        <w:pStyle w:val="2"/>
      </w:pPr>
      <w:r>
        <w:t>风险/获益评估</w:t>
      </w:r>
      <w:bookmarkEnd w:id="78610"/>
    </w:p>
    <w:p>
      <w:r>
        <w:t>风险/获益评估遵循临床研究伦理与监管框架，在保障试验参与者权益和安全的前提下，评估潜在获益是否足以支持研究开展。补偿/赔偿不作为治疗获益。源 @306 属问题表述，不作为已批准的项目理由；本评估不采用以单一结论替代逐项评估的正当化，而按已知风险、潜在风险、预期获益与实际判断逐项列示。</w:t>
      </w:r>
    </w:p>
    <w:p>
      <w:r>
        <w:t>已知风险：已确认事实未提供合成药X的特异性已知风险。需在研究中监测不良事件，特别是IL-4Rα拮抗相关潜在风险。</w:t>
      </w:r>
    </w:p>
    <w:p>
      <w:r>
        <w:t>潜在风险：潜在风险包括注射部位反应、过敏反应、免疫原性、感染风险增加等。需通过不良事件监测、实验室检查和生命体征评估进行观察。</w:t>
      </w:r>
    </w:p>
    <w:p>
      <w:r>
        <w:t>预期获益：合成药X通过IL-4Rα拮抗抑制2型炎症，可能改善CRSwNP患者鼻息肉评分、鼻塞、生活质量和内镜表现。若达到第24周临床缓解率优效，可能为患者提供新的靶向治疗选择。</w:t>
      </w:r>
    </w:p>
    <w:p>
      <w:r>
        <w:t>不确定性：合成药X在CRSwNP患者中的疗效、安全性和耐受性尚不确定。本研究为Ⅱ期概念验证，无期中分析计划；主要终点第24周临床缓解率的假设为安慰剂组20%、试验组35%，需通过实际数据验证。</w:t>
      </w:r>
    </w:p>
    <w:p>
      <w:r>
        <w:t>风险缓解：通过入选/排除标准、定期安全性评估、不良事件监测和救援治疗进行风险控制。允许稳定背景鼻用激素；因鼻塞加重可使用全身激素或鼻窦手术作为救援治疗。</w:t>
      </w:r>
    </w:p>
    <w:p>
      <w:r>
        <w:t>风险/获益判断：在成人CRSwNP患者中，现有治疗仍有未满足需求；合成药X的潜在获益需与其风险相权衡。Ⅱ期研究将评估疗效和安全性；若风险可控且获益明确，可支持进一步开发。</w:t>
      </w:r>
    </w:p>
    <w:p>
      <w:bookmarkStart w:id="75469" w:name="tbl_8"/>
      <w:r>
        <w:t>表8 风险/获益评估</w:t>
      </w:r>
      <w:bookmarkEnd w:id="75469"/>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评估项目</w:t>
            </w:r>
          </w:p>
        </w:tc>
        <w:tc>
          <w:tcPr>
            <w:tcW w:type="dxa" w:w="4946"/>
          </w:tcPr>
          <w:p>
            <w:r>
              <w:rPr>
                <w:b/>
              </w:rPr>
              <w:t>内容</w:t>
            </w:r>
          </w:p>
        </w:tc>
      </w:tr>
      <w:tr>
        <w:tc>
          <w:tcPr>
            <w:tcW w:type="dxa" w:w="4946"/>
          </w:tcPr>
          <w:p>
            <w:r>
              <w:t>已知风险</w:t>
            </w:r>
          </w:p>
        </w:tc>
        <w:tc>
          <w:tcPr>
            <w:tcW w:type="dxa" w:w="4946"/>
          </w:tcPr>
          <w:p>
            <w:r>
              <w:t>已确认事实未提供合成药X的特异性已知风险；需在研究中监测不良事件，特别是IL-4Rα拮抗相关潜在风险。</w:t>
            </w:r>
          </w:p>
        </w:tc>
      </w:tr>
      <w:tr>
        <w:tc>
          <w:tcPr>
            <w:tcW w:type="dxa" w:w="4946"/>
          </w:tcPr>
          <w:p>
            <w:r>
              <w:t>潜在风险</w:t>
            </w:r>
          </w:p>
        </w:tc>
        <w:tc>
          <w:tcPr>
            <w:tcW w:type="dxa" w:w="4946"/>
          </w:tcPr>
          <w:p>
            <w:r>
              <w:t>注射部位反应、过敏反应、免疫原性、感染风险增加等；需通过不良事件监测、实验室检查和生命体征评估进行观察。</w:t>
            </w:r>
          </w:p>
        </w:tc>
      </w:tr>
      <w:tr>
        <w:tc>
          <w:tcPr>
            <w:tcW w:type="dxa" w:w="4946"/>
          </w:tcPr>
          <w:p>
            <w:r>
              <w:t>预期获益</w:t>
            </w:r>
          </w:p>
        </w:tc>
        <w:tc>
          <w:tcPr>
            <w:tcW w:type="dxa" w:w="4946"/>
          </w:tcPr>
          <w:p>
            <w:r>
              <w:t>合成药X通过IL-4Rα拮抗抑制2型炎症，可能改善CRSwNP患者鼻息肉评分、鼻塞、生活质量和内镜表现；若达到第24周临床缓解率优效，可能为患者提供新的靶向治疗选择。</w:t>
            </w:r>
          </w:p>
        </w:tc>
      </w:tr>
      <w:tr>
        <w:tc>
          <w:tcPr>
            <w:tcW w:type="dxa" w:w="4946"/>
          </w:tcPr>
          <w:p>
            <w:r>
              <w:t>实际判断</w:t>
            </w:r>
          </w:p>
        </w:tc>
        <w:tc>
          <w:tcPr>
            <w:tcW w:type="dxa" w:w="4946"/>
          </w:tcPr>
          <w:p>
            <w:r>
              <w:t>在成人CRSwNP患者中，现有治疗仍有未满足需求；合成药X的潜在获益需与其风险相权衡。Ⅱ期研究将评估疗效和安全性；若风险可控且获益明确，可支持进一步开发。</w:t>
            </w:r>
          </w:p>
        </w:tc>
      </w:tr>
    </w:tbl>
    <w:p>
      <w:bookmarkStart w:id="92590" w:name="chap_v2_n_3_1_1"/>
      <w:pPr>
        <w:pStyle w:val="3"/>
      </w:pPr>
      <w:r>
        <w:t>主要目的</w:t>
      </w:r>
      <w:bookmarkEnd w:id="92590"/>
    </w:p>
    <w:p>
      <w:r>
        <w:t>主要目的为评估合成药X 150 mg/1.0 mL皮下给药方案（负荷期第1、8、15、22天每周一次负荷给药共4次；维持期第36天起每两周一次维持给药至第24周末次给药）相较安慰剂在成人慢性鼻窦炎伴鼻息肉患者中第24周临床缓解率的优效性。</w:t>
      </w:r>
    </w:p>
    <w:p>
      <w:r>
        <w:t>主要临床问题为：在成人慢性鼻窦炎伴鼻息肉患者中，与安慰剂（生理盐水1.0 mL，皮下注射，同体积、同途径、同频率）相比，合成药X 150 mg/1.0 mL皮下给药方案能否提高第24周临床缓解率？</w:t>
      </w:r>
    </w:p>
    <w:p>
      <w:r>
        <w:t>主要治疗比较为：研究采用随机双盲、安慰剂对照、1:1随机、按中心分层设计；假设合成药X组第24周临床缓解率优于安慰剂组；采用按中心分层的CMH检验，报告风险差及95%CI，进行优效性检验。</w:t>
      </w:r>
    </w:p>
    <w:p>
      <w:r>
        <w:t>主要终点为第24周临床缓解率：第24周达到双侧鼻息肉评分（NPS）≤1且鼻塞VAS≤1的试验参与者比例。该终点与上述主要目的和主要临床问题对应，用于评价合成药X相较安慰剂的优效性。</w:t>
      </w:r>
    </w:p>
    <w:p>
      <w:r>
        <w:t>鉴于已确认设计包含停药和补救治疗策略，需说明其与主要临床问题及主要估计目标的关系。主要估计目标反映在治疗策略下，无论是否使用补救治疗，干预对第24周临床缓解率的效应。本研究中，补救治疗定义为因鼻塞加重使用全身激素或鼻窦手术；伴发事件（ICE）包括鼻塞加重需全身激素或手术干预、因不良事件停药和失访，ICE按治疗策略（treatment policy）处理。</w:t>
      </w:r>
    </w:p>
    <w:p>
      <w:r>
        <w:t>停药处置为：试验参与者停用研究干预但未撤回知情同意时，继续按方案收集安全性和疗效随访数据；撤回知情同意后不再收集新数据，除非法规要求或试验参与者另行同意。第24周缺失主要终点采用无应答插补（NRI）；敏感性分析采用tipping point。上述停药和补救处置与主要临床问题中的第24周临床缓解率评价一致，即在治疗策略下评价合成药X相较安慰剂的效应，不因使用补救治疗或停用研究干预而改变主要分析目标。</w:t>
      </w:r>
    </w:p>
    <w:p>
      <w:bookmarkStart w:id="30195" w:name="chap_v2_n_3_1_2_1"/>
      <w:pPr>
        <w:pStyle w:val="4"/>
      </w:pPr>
      <w:r>
        <w:t>目标人群：有“状况/疾病”的试验参与者。更多细节见第5章节-研究人群。</w:t>
      </w:r>
      <w:bookmarkEnd w:id="30195"/>
    </w:p>
    <w:p>
      <w:r>
        <w:t>目标人群（估计目标属性一）为成人慢性鼻窦炎伴鼻息肉患者；研究允许在稳定背景下使用鼻用糖皮质激素，并对背景治疗进行记录。该目标人群是估计目标所指向的患者群体，其定义应独立于随机化和分析集划分。</w:t>
      </w:r>
    </w:p>
    <w:p>
      <w:r>
        <w:t>目标人群与随机后分析集应明确区分。主要分析集为全分析集（FAS），遵循意向性治疗（ITT）原则，包括随机化试验参与者，并按随机分组进行分析；FAS 是用于主要分析的随机后分析集，并不等同于目标人群本身，也不能将目标人群默认等同于 FAS 或“至少一次给药”人群。</w:t>
      </w:r>
    </w:p>
    <w:p>
      <w:bookmarkStart w:id="53666" w:name="chap_v2_n_3_1_2_2"/>
      <w:pPr>
        <w:pStyle w:val="4"/>
      </w:pPr>
      <w:r>
        <w:t>研究变量：即研究终点。</w:t>
      </w:r>
      <w:bookmarkEnd w:id="53666"/>
    </w:p>
    <w:p>
      <w:r>
        <w:t>研究变量（估计目标属性二）列示主要估计目标的研究变量属性。研究变量为第24周临床缓解，定义为双侧鼻息肉评分（NPS）≤1且鼻塞VAS≤1。仅写“研究变量：疗效”等标签不构成可用的研究变量属性；须同时给出测量、聚合与时间点/时间窗。</w:t>
      </w:r>
    </w:p>
    <w:p>
      <w:bookmarkStart w:id="9293" w:name="tbl_9"/>
      <w:r>
        <w:t>表9 研究变量：即研究终点。</w:t>
      </w:r>
      <w:bookmarkEnd w:id="9293"/>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研究变量</w:t>
            </w:r>
          </w:p>
        </w:tc>
        <w:tc>
          <w:tcPr>
            <w:tcW w:type="dxa" w:w="3297"/>
          </w:tcPr>
          <w:p>
            <w:r>
              <w:rPr>
                <w:b/>
              </w:rPr>
              <w:t>第24周临床缓解，定义为双侧鼻息肉评分（NPS）≤1且鼻塞VAS≤1。</w:t>
            </w:r>
          </w:p>
        </w:tc>
        <w:tc>
          <w:tcPr>
            <w:tcW w:type="dxa" w:w="3297"/>
          </w:tcPr>
          <w:p>
            <w:r>
              <w:rPr>
                <w:b/>
              </w:rPr>
            </w:r>
          </w:p>
        </w:tc>
      </w:tr>
      <w:tr>
        <w:tc>
          <w:tcPr>
            <w:tcW w:type="dxa" w:w="3297"/>
          </w:tcPr>
          <w:p>
            <w:r>
              <w:t>测量</w:t>
            </w:r>
          </w:p>
        </w:tc>
        <w:tc>
          <w:tcPr>
            <w:tcW w:type="dxa" w:w="3297"/>
          </w:tcPr>
          <w:p>
            <w:r>
              <w:t>NPS采用0～8分（每侧0～4分的双侧总和），缓解阈值为≤1分；鼻塞VAS采用0～10 cm视觉模拟量表，缓解阈值为≤1分；测量时点为第24周。</w:t>
            </w:r>
          </w:p>
        </w:tc>
        <w:tc>
          <w:tcPr>
            <w:tcW w:type="dxa" w:w="3297"/>
          </w:tcPr>
          <w:p>
            <w:r/>
          </w:p>
        </w:tc>
      </w:tr>
      <w:tr>
        <w:tc>
          <w:tcPr>
            <w:tcW w:type="dxa" w:w="3297"/>
          </w:tcPr>
          <w:p>
            <w:r>
              <w:t>聚合</w:t>
            </w:r>
          </w:p>
        </w:tc>
        <w:tc>
          <w:tcPr>
            <w:tcW w:type="dxa" w:w="3297"/>
          </w:tcPr>
          <w:p>
            <w:r>
              <w:t>按试验参与者在第24周是否达到临床缓解进行二分类判定，并计算第24周临床缓解率（达到缓解的试验参与者人数/分析集试验参与者人数）。聚合单位为试验参与者；分析集为FAS（ITT原则）。</w:t>
            </w:r>
          </w:p>
        </w:tc>
        <w:tc>
          <w:tcPr>
            <w:tcW w:type="dxa" w:w="3297"/>
          </w:tcPr>
          <w:p>
            <w:r/>
          </w:p>
        </w:tc>
      </w:tr>
      <w:tr>
        <w:tc>
          <w:tcPr>
            <w:tcW w:type="dxa" w:w="3297"/>
          </w:tcPr>
          <w:p>
            <w:r>
              <w:t>时间点/时间窗</w:t>
            </w:r>
          </w:p>
        </w:tc>
        <w:tc>
          <w:tcPr>
            <w:tcW w:type="dxa" w:w="3297"/>
          </w:tcPr>
          <w:p>
            <w:r>
              <w:t>在第24周访视评估主要终点；时间点为第24周。</w:t>
            </w:r>
          </w:p>
        </w:tc>
        <w:tc>
          <w:tcPr>
            <w:tcW w:type="dxa" w:w="3297"/>
          </w:tcPr>
          <w:p>
            <w:r/>
          </w:p>
        </w:tc>
      </w:tr>
    </w:tbl>
    <w:p>
      <w:r>
        <w:t>由表中可见，主要研究变量为第24周临床缓解；其测量依据NPS与鼻塞VAS阈值，聚合依据试验参与者层第24周是否达到临床缓解及FAS（ITT原则）分析集计算缓解率，时间点/时间窗为第24周访视。</w:t>
      </w:r>
    </w:p>
    <w:p>
      <w:bookmarkStart w:id="5708" w:name="chap_v2_n_3_1_2_3"/>
      <w:pPr>
        <w:pStyle w:val="4"/>
      </w:pPr>
      <w:r>
        <w:t>治疗效应：随机分配的治疗，伴有或不伴有“补救治疗或背景治疗改变”。关于研究治疗和伴随治疗包括补救治疗的更多细节见第6章节-研究干预。</w:t>
      </w:r>
      <w:bookmarkEnd w:id="5708"/>
    </w:p>
    <w:p>
      <w:r>
        <w:t>本章所述“治疗效应”应澄清为估计目标中的治疗条件属性，而非仅复述源标签。需估计的治疗条件为随机分配的治疗，试验组与对照组分别为合成药X组和安慰剂组。合成药X组接受合成药X 150 mg/1.0 mL皮下给药方案（负荷期第1、8、15、22天每周一次共4次；维持期第36天起每两周一次至第24周末次给药）；安慰剂组接受生理盐水1.0 mL皮下注射，同体积、同途径、同频率。治疗分配为随机分配，主要分析中的治疗条件即为随机分配的治疗。</w:t>
      </w:r>
    </w:p>
    <w:p>
      <w:r>
        <w:t>背景治疗方面，允许稳定背景鼻用激素并记录。补救治疗定义为因鼻塞加重使用全身激素或鼻窦手术，本研究中已计划补救治疗且背景治疗适用。对ICE采用治疗策略（treatment policy）处理：救援治疗不排除、不删失；接受救援治疗的试验参与者仍按随机分组纳入FAS，并继续按计划随访至第24周主要终点及后续安全性随访。第24周缺失主要终点采用无应答插补（NRI）；敏感性分析采用tipping point。安全性方面记录AE/SAE并与补救治疗的关系。由此，本研究中“治疗效应”的确切含义为：随机分配的治疗，伴有或不伴有‘补救治疗或背景治疗改变’；无论是否发生救援治疗或背景治疗改变，主要分析均按随机分配的治疗组进行。上述背景治疗与补救治疗处理需与研究干预章节保持一致。</w:t>
      </w:r>
    </w:p>
    <w:p>
      <w:bookmarkStart w:id="34652" w:name="chap_v2_n_3_1_2_4"/>
      <w:pPr>
        <w:pStyle w:val="4"/>
      </w:pPr>
      <w:r>
        <w:t>伴发事件：伴发事件及处理策略见表 1。</w:t>
      </w:r>
      <w:bookmarkEnd w:id="34652"/>
    </w:p>
    <w:p>
      <w:r>
        <w:t>伴发事件及处理策略：本主要估计目标中的伴发事件包括鼻塞加重需全身激素或手术干预、因不良事件停药和失访。上述事件均按治疗策略（treatment policy）处理，即不因伴发事件排除、删失或更换分析组，继续按随机分组纳入主要分析。救援治疗定义为因鼻塞加重使用全身激素或鼻窦手术；救援治疗和稳定背景鼻用激素的记录与主要分析处置保持一致，救援治疗不排除、不删失。第24周缺失主要终点采用无应答插补（NRI），敏感性分析采用tipping point。具体逐事件定义、处理策略与理由</w:t>
      </w:r>
      <w:r>
        <w:fldChar w:fldCharType="begin"/>
      </w:r>
      <w:r>
        <w:instrText xml:space="preserve"> REF tbl_1 \h </w:instrText>
      </w:r>
      <w:r>
        <w:fldChar w:fldCharType="separate"/>
      </w:r>
      <w:r>
        <w:t>表1</w:t>
      </w:r>
      <w:r>
        <w:fldChar w:fldCharType="end"/>
      </w:r>
      <w:r>
        <w:t>伴发事件及处理策略。</w:t>
      </w:r>
    </w:p>
    <w:p>
      <w:bookmarkStart w:id="7139" w:name="tbl_10"/>
      <w:r>
        <w:t>表10 伴发事件：伴发事件及处理策略见表 1。</w:t>
      </w:r>
      <w:bookmarkEnd w:id="7139"/>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伴发事件</w:t>
            </w:r>
          </w:p>
        </w:tc>
        <w:tc>
          <w:tcPr>
            <w:tcW w:type="dxa" w:w="2473"/>
          </w:tcPr>
          <w:p>
            <w:r>
              <w:rPr>
                <w:b/>
              </w:rPr>
              <w:t>定义</w:t>
            </w:r>
          </w:p>
        </w:tc>
        <w:tc>
          <w:tcPr>
            <w:tcW w:type="dxa" w:w="2473"/>
          </w:tcPr>
          <w:p>
            <w:r>
              <w:rPr>
                <w:b/>
              </w:rPr>
              <w:t>处理策略</w:t>
            </w:r>
          </w:p>
        </w:tc>
        <w:tc>
          <w:tcPr>
            <w:tcW w:type="dxa" w:w="2473"/>
          </w:tcPr>
          <w:p>
            <w:r>
              <w:rPr>
                <w:b/>
              </w:rPr>
              <w:t>理由</w:t>
            </w:r>
          </w:p>
        </w:tc>
      </w:tr>
      <w:tr>
        <w:tc>
          <w:tcPr>
            <w:tcW w:type="dxa" w:w="2473"/>
          </w:tcPr>
          <w:p>
            <w:r>
              <w:t>鼻塞加重需全身激素或手术干预</w:t>
            </w:r>
          </w:p>
        </w:tc>
        <w:tc>
          <w:tcPr>
            <w:tcW w:type="dxa" w:w="2473"/>
          </w:tcPr>
          <w:p>
            <w:r>
              <w:t>因鼻塞加重使用全身激素或鼻窦手术（救援治疗）。</w:t>
            </w:r>
          </w:p>
        </w:tc>
        <w:tc>
          <w:tcPr>
            <w:tcW w:type="dxa" w:w="2473"/>
          </w:tcPr>
          <w:p>
            <w:r>
              <w:t>治疗策略（treatment policy）：不排除、不删失，继续按随机分组纳入主要分析。</w:t>
            </w:r>
          </w:p>
        </w:tc>
        <w:tc>
          <w:tcPr>
            <w:tcW w:type="dxa" w:w="2473"/>
          </w:tcPr>
          <w:p>
            <w:r>
              <w:t>与主要估计目标及救援治疗处置一致，评估随机分组下的治疗效果。</w:t>
            </w:r>
          </w:p>
        </w:tc>
      </w:tr>
      <w:tr>
        <w:tc>
          <w:tcPr>
            <w:tcW w:type="dxa" w:w="2473"/>
          </w:tcPr>
          <w:p>
            <w:r>
              <w:t>因不良事件停药</w:t>
            </w:r>
          </w:p>
        </w:tc>
        <w:tc>
          <w:tcPr>
            <w:tcW w:type="dxa" w:w="2473"/>
          </w:tcPr>
          <w:p>
            <w:r>
              <w:t>因不良事件停用研究治疗。</w:t>
            </w:r>
          </w:p>
        </w:tc>
        <w:tc>
          <w:tcPr>
            <w:tcW w:type="dxa" w:w="2473"/>
          </w:tcPr>
          <w:p>
            <w:r>
              <w:t>治疗策略（treatment policy）：不因停药剔除或删失，继续按随机分组纳入主要分析。</w:t>
            </w:r>
          </w:p>
        </w:tc>
        <w:tc>
          <w:tcPr>
            <w:tcW w:type="dxa" w:w="2473"/>
          </w:tcPr>
          <w:p>
            <w:r>
              <w:t>符合治疗策略，反映干预政策下的疗效；第24周缺失时按主要缺失数据处理。</w:t>
            </w:r>
          </w:p>
        </w:tc>
      </w:tr>
      <w:tr>
        <w:tc>
          <w:tcPr>
            <w:tcW w:type="dxa" w:w="2473"/>
          </w:tcPr>
          <w:p>
            <w:r>
              <w:t>失访</w:t>
            </w:r>
          </w:p>
        </w:tc>
        <w:tc>
          <w:tcPr>
            <w:tcW w:type="dxa" w:w="2473"/>
          </w:tcPr>
          <w:p>
            <w:r>
              <w:t>研究随访中失访，无法继续按计划收集主要终点。</w:t>
            </w:r>
          </w:p>
        </w:tc>
        <w:tc>
          <w:tcPr>
            <w:tcW w:type="dxa" w:w="2473"/>
          </w:tcPr>
          <w:p>
            <w:r>
              <w:t>治疗策略（treatment policy）：不因失访更换分析组；第24周缺失主要终点采用无应答插补（NRI），敏感性分析采用tipping point。</w:t>
            </w:r>
          </w:p>
        </w:tc>
        <w:tc>
          <w:tcPr>
            <w:tcW w:type="dxa" w:w="2473"/>
          </w:tcPr>
          <w:p>
            <w:r>
              <w:t>与主要缺失数据处理策略一致，并保留随机分组比较。</w:t>
            </w:r>
          </w:p>
        </w:tc>
      </w:tr>
    </w:tbl>
    <w:p>
      <w:r>
        <w:t>群体层面汇总指标：主要估计目标的群体层面汇总指标为第24周临床缓解率（比例）。分析人群为成人慢性鼻窦炎伴鼻息肉患者，允许稳定背景鼻用激素并记录；主要分析集为FAS（ITT原则），按随机分组进行分析。主要比较为优效性检验，采用按中心分层的CMH检验，报告风险差及95%CI。</w:t>
      </w:r>
    </w:p>
    <w:p>
      <w:bookmarkStart w:id="33213" w:name="chap_v2_n_3_2_1"/>
      <w:pPr>
        <w:pStyle w:val="3"/>
      </w:pPr>
      <w:r>
        <w:t>次要目的</w:t>
      </w:r>
      <w:bookmarkEnd w:id="33213"/>
    </w:p>
    <w:p>
      <w:r>
        <w:t>次要目的包括：评价第24周SNOT-22较基线的变化（关键次要终点，采用固定序列检验控制多重性）；评价第24周Lund-Kennedy内镜评分较基线的变化（描述性分析）。</w:t>
      </w:r>
    </w:p>
    <w:p>
      <w:bookmarkStart w:id="58135" w:name="tbl_11"/>
      <w:r>
        <w:t>表11 次要目的</w:t>
      </w:r>
      <w:bookmarkEnd w:id="58135"/>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评价第24周SNOT-22较基线的变化（关键次要终点，采用固定序列检验控制多重性）。</w:t>
            </w:r>
          </w:p>
        </w:tc>
        <w:tc>
          <w:tcPr>
            <w:tcW w:type="dxa" w:w="2473"/>
          </w:tcPr>
          <w:p>
            <w:r>
              <w:rPr>
                <w:b/>
              </w:rPr>
              <w:t>第24周SNOT-22较基线变化。</w:t>
            </w:r>
          </w:p>
        </w:tc>
        <w:tc>
          <w:tcPr>
            <w:tcW w:type="dxa" w:w="2473"/>
          </w:tcPr>
          <w:p>
            <w:r>
              <w:rPr>
                <w:b/>
              </w:rPr>
              <w:t>关键次要终点</w:t>
            </w:r>
          </w:p>
        </w:tc>
        <w:tc>
          <w:tcPr>
            <w:tcW w:type="dxa" w:w="2473"/>
          </w:tcPr>
          <w:p>
            <w:r>
              <w:rPr>
                <w:b/>
              </w:rPr>
              <w:t>固定序列检验</w:t>
            </w:r>
          </w:p>
        </w:tc>
      </w:tr>
      <w:tr>
        <w:tc>
          <w:tcPr>
            <w:tcW w:type="dxa" w:w="2473"/>
          </w:tcPr>
          <w:p>
            <w:r>
              <w:t>评价第24周Lund-Kennedy内镜评分较基线的变化（描述性分析）。</w:t>
            </w:r>
          </w:p>
        </w:tc>
        <w:tc>
          <w:tcPr>
            <w:tcW w:type="dxa" w:w="2473"/>
          </w:tcPr>
          <w:p>
            <w:r>
              <w:t>第24周Lund-Kennedy内镜评分较基线变化。</w:t>
            </w:r>
          </w:p>
        </w:tc>
        <w:tc>
          <w:tcPr>
            <w:tcW w:type="dxa" w:w="2473"/>
          </w:tcPr>
          <w:p>
            <w:r>
              <w:t>其他次要终点</w:t>
            </w:r>
          </w:p>
        </w:tc>
        <w:tc>
          <w:tcPr>
            <w:tcW w:type="dxa" w:w="2473"/>
          </w:tcPr>
          <w:p>
            <w:r>
              <w:t>描述性分析，不纳入多重性控制</w:t>
            </w:r>
          </w:p>
        </w:tc>
      </w:tr>
    </w:tbl>
    <w:p>
      <w:r>
        <w:t>多重性意图：关键次要终点SNOT-22采用固定序列检验控制多重性；Lund-Kennedy内镜评分为其他次要终点，采用描述性分析，不纳入多重性控制。</w:t>
      </w:r>
    </w:p>
    <w:p>
      <w:bookmarkStart w:id="80007" w:name="chap_v2_n_3_2_2"/>
      <w:pPr>
        <w:pStyle w:val="3"/>
      </w:pPr>
      <w:r>
        <w:t>次要终点</w:t>
      </w:r>
      <w:bookmarkEnd w:id="80007"/>
    </w:p>
    <w:p>
      <w:r>
        <w:t>本节按关键次要终点与其他次要终点分列，逐项给出定义与评价时点；关键次要终点不与其他次要终点混合。</w:t>
      </w:r>
    </w:p>
    <w:p>
      <w:bookmarkStart w:id="3274" w:name="tbl_12"/>
      <w:r>
        <w:t>表12 次要终点</w:t>
      </w:r>
      <w:bookmarkEnd w:id="3274"/>
    </w:p>
    <w:tbl>
      <w:tblPr>
        <w:tblStyle w:val="28"/>
        <w:tblW w:type="auto" w:w="0"/>
        <w:tblLook w:firstColumn="1" w:firstRow="1" w:lastColumn="0" w:lastRow="0" w:noHBand="0" w:noVBand="1" w:val="04A0"/>
      </w:tblPr>
      <w:tblGrid>
        <w:gridCol w:w="1978"/>
        <w:gridCol w:w="1978"/>
        <w:gridCol w:w="1978"/>
        <w:gridCol w:w="1978"/>
        <w:gridCol w:w="1978"/>
      </w:tblGrid>
      <w:tr>
        <w:trPr>
          <w:tblHeader w:val="true"/>
        </w:trPr>
        <w:tc>
          <w:tcPr>
            <w:tcW w:type="dxa" w:w="1978"/>
          </w:tcPr>
          <w:p>
            <w:r>
              <w:rPr>
                <w:b/>
              </w:rPr>
              <w:t>终点类型</w:t>
            </w:r>
          </w:p>
        </w:tc>
        <w:tc>
          <w:tcPr>
            <w:tcW w:type="dxa" w:w="1978"/>
          </w:tcPr>
          <w:p>
            <w:r>
              <w:rPr>
                <w:b/>
              </w:rPr>
              <w:t>次要终点</w:t>
            </w:r>
          </w:p>
        </w:tc>
        <w:tc>
          <w:tcPr>
            <w:tcW w:type="dxa" w:w="1978"/>
          </w:tcPr>
          <w:p>
            <w:r>
              <w:rPr>
                <w:b/>
              </w:rPr>
              <w:t>定义</w:t>
            </w:r>
          </w:p>
        </w:tc>
        <w:tc>
          <w:tcPr>
            <w:tcW w:type="dxa" w:w="1978"/>
          </w:tcPr>
          <w:p>
            <w:r>
              <w:rPr>
                <w:b/>
              </w:rPr>
              <w:t>评价时点</w:t>
            </w:r>
          </w:p>
        </w:tc>
        <w:tc>
          <w:tcPr>
            <w:tcW w:type="dxa" w:w="1978"/>
          </w:tcPr>
          <w:p>
            <w:r>
              <w:rPr>
                <w:b/>
              </w:rPr>
              <w:t>分析策略</w:t>
            </w:r>
          </w:p>
        </w:tc>
      </w:tr>
      <w:tr>
        <w:tc>
          <w:tcPr>
            <w:tcW w:type="dxa" w:w="1978"/>
          </w:tcPr>
          <w:p>
            <w:r>
              <w:t>关键次要终点</w:t>
            </w:r>
          </w:p>
        </w:tc>
        <w:tc>
          <w:tcPr>
            <w:tcW w:type="dxa" w:w="1978"/>
          </w:tcPr>
          <w:p>
            <w:r>
              <w:t>第24周SNOT-22较基线变化</w:t>
            </w:r>
          </w:p>
        </w:tc>
        <w:tc>
          <w:tcPr>
            <w:tcW w:type="dxa" w:w="1978"/>
          </w:tcPr>
          <w:p>
            <w:r>
              <w:t>第24周SNOT-22评分较基线的变化值。</w:t>
            </w:r>
          </w:p>
        </w:tc>
        <w:tc>
          <w:tcPr>
            <w:tcW w:type="dxa" w:w="1978"/>
          </w:tcPr>
          <w:p>
            <w:r>
              <w:t>第24周</w:t>
            </w:r>
          </w:p>
        </w:tc>
        <w:tc>
          <w:tcPr>
            <w:tcW w:type="dxa" w:w="1978"/>
          </w:tcPr>
          <w:p>
            <w:r>
              <w:t>固定序列检验控制多重性</w:t>
            </w:r>
          </w:p>
        </w:tc>
      </w:tr>
    </w:tbl>
    <w:p>
      <w:r>
        <w:t>其他次要终点定义与评价时点如下。</w:t>
      </w:r>
    </w:p>
    <w:p>
      <w:bookmarkStart w:id="94158" w:name="tbl_13"/>
      <w:r>
        <w:t>表13 次要终点</w:t>
      </w:r>
      <w:bookmarkEnd w:id="94158"/>
    </w:p>
    <w:tbl>
      <w:tblPr>
        <w:tblStyle w:val="28"/>
        <w:tblW w:type="auto" w:w="0"/>
        <w:tblLook w:firstColumn="1" w:firstRow="1" w:lastColumn="0" w:lastRow="0" w:noHBand="0" w:noVBand="1" w:val="04A0"/>
      </w:tblPr>
      <w:tblGrid>
        <w:gridCol w:w="1978"/>
        <w:gridCol w:w="1978"/>
        <w:gridCol w:w="1978"/>
        <w:gridCol w:w="1978"/>
        <w:gridCol w:w="1978"/>
      </w:tblGrid>
      <w:tr>
        <w:trPr>
          <w:tblHeader w:val="true"/>
        </w:trPr>
        <w:tc>
          <w:tcPr>
            <w:tcW w:type="dxa" w:w="1978"/>
          </w:tcPr>
          <w:p>
            <w:r>
              <w:rPr>
                <w:b/>
              </w:rPr>
              <w:t>终点类型</w:t>
            </w:r>
          </w:p>
        </w:tc>
        <w:tc>
          <w:tcPr>
            <w:tcW w:type="dxa" w:w="1978"/>
          </w:tcPr>
          <w:p>
            <w:r>
              <w:rPr>
                <w:b/>
              </w:rPr>
              <w:t>次要终点</w:t>
            </w:r>
          </w:p>
        </w:tc>
        <w:tc>
          <w:tcPr>
            <w:tcW w:type="dxa" w:w="1978"/>
          </w:tcPr>
          <w:p>
            <w:r>
              <w:rPr>
                <w:b/>
              </w:rPr>
              <w:t>定义</w:t>
            </w:r>
          </w:p>
        </w:tc>
        <w:tc>
          <w:tcPr>
            <w:tcW w:type="dxa" w:w="1978"/>
          </w:tcPr>
          <w:p>
            <w:r>
              <w:rPr>
                <w:b/>
              </w:rPr>
              <w:t>评价时点</w:t>
            </w:r>
          </w:p>
        </w:tc>
        <w:tc>
          <w:tcPr>
            <w:tcW w:type="dxa" w:w="1978"/>
          </w:tcPr>
          <w:p>
            <w:r>
              <w:rPr>
                <w:b/>
              </w:rPr>
              <w:t>分析策略</w:t>
            </w:r>
          </w:p>
        </w:tc>
      </w:tr>
      <w:tr>
        <w:tc>
          <w:tcPr>
            <w:tcW w:type="dxa" w:w="1978"/>
          </w:tcPr>
          <w:p>
            <w:r>
              <w:t>其他次要终点</w:t>
            </w:r>
          </w:p>
        </w:tc>
        <w:tc>
          <w:tcPr>
            <w:tcW w:type="dxa" w:w="1978"/>
          </w:tcPr>
          <w:p>
            <w:r>
              <w:t>第24周Lund-Kennedy内镜评分较基线变化</w:t>
            </w:r>
          </w:p>
        </w:tc>
        <w:tc>
          <w:tcPr>
            <w:tcW w:type="dxa" w:w="1978"/>
          </w:tcPr>
          <w:p>
            <w:r>
              <w:t>第24周Lund-Kennedy内镜评分较基线的变化值。</w:t>
            </w:r>
          </w:p>
        </w:tc>
        <w:tc>
          <w:tcPr>
            <w:tcW w:type="dxa" w:w="1978"/>
          </w:tcPr>
          <w:p>
            <w:r>
              <w:t>第24周</w:t>
            </w:r>
          </w:p>
        </w:tc>
        <w:tc>
          <w:tcPr>
            <w:tcW w:type="dxa" w:w="1978"/>
          </w:tcPr>
          <w:p>
            <w:r>
              <w:t>描述性分析</w:t>
            </w:r>
          </w:p>
        </w:tc>
      </w:tr>
    </w:tbl>
    <w:p>
      <w:bookmarkStart w:id="10211" w:name="chap_v2_n_3_3_1"/>
      <w:pPr>
        <w:pStyle w:val="3"/>
      </w:pPr>
      <w:r>
        <w:t>安全性目的</w:t>
      </w:r>
      <w:bookmarkEnd w:id="10211"/>
    </w:p>
    <w:p>
      <w:r>
        <w:t>本章安全性目的为：评价合成药X 150 mg皮下给药方案相较安慰剂在成人慢性鼻窦炎伴鼻息肉患者中的安全性和耐受性。安全性评价将依据已确认的安全性终点开展，包括不良事件（AE）发生率、严重不良事件（SAE）发生率及注射部位反应发生率。</w:t>
      </w:r>
    </w:p>
    <w:p>
      <w:r>
        <w:t>安全性观察期为整个研究期间，包括治疗期和安全性随访期。</w:t>
      </w:r>
    </w:p>
    <w:p>
      <w:r>
        <w:t>注射反应适用性判定为适用：研究药物为皮下注射给药，需评估注射部位反应。注射部位反应指皮下注射后发生于注射部位的局部不良事件，按NCI CTCAE 5.0版进行严重程度分级，并按预先定义的类别记录和汇总。</w:t>
      </w:r>
    </w:p>
    <w:p>
      <w:bookmarkStart w:id="69936" w:name="chap_v2_n_3_3_2"/>
      <w:pPr>
        <w:pStyle w:val="3"/>
      </w:pPr>
      <w:r>
        <w:t>安全性终点</w:t>
      </w:r>
      <w:bookmarkEnd w:id="69936"/>
    </w:p>
    <w:p>
      <w:r>
        <w:t>本节描述安全性终点及其评估定义与观察期。安全性终点包括不良事件（AE）发生率、严重不良事件（SAE）发生率、注射部位反应发生率；各终点的评估定义及观察期见下表。观察期为整个研究期间，包括治疗期和安全性随访期。</w:t>
      </w:r>
    </w:p>
    <w:p>
      <w:bookmarkStart w:id="17356" w:name="tbl_14"/>
      <w:r>
        <w:t>表14 安全性终点</w:t>
      </w:r>
      <w:bookmarkEnd w:id="17356"/>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安全性终点</w:t>
            </w:r>
          </w:p>
        </w:tc>
        <w:tc>
          <w:tcPr>
            <w:tcW w:type="dxa" w:w="3297"/>
          </w:tcPr>
          <w:p>
            <w:r>
              <w:rPr>
                <w:b/>
              </w:rPr>
              <w:t>评估定义</w:t>
            </w:r>
          </w:p>
        </w:tc>
        <w:tc>
          <w:tcPr>
            <w:tcW w:type="dxa" w:w="3297"/>
          </w:tcPr>
          <w:p>
            <w:r>
              <w:rPr>
                <w:b/>
              </w:rPr>
              <w:t>观察期</w:t>
            </w:r>
          </w:p>
        </w:tc>
      </w:tr>
      <w:tr>
        <w:tc>
          <w:tcPr>
            <w:tcW w:type="dxa" w:w="3297"/>
          </w:tcPr>
          <w:p>
            <w:r>
              <w:t>不良事件（AE）发生率</w:t>
            </w:r>
          </w:p>
        </w:tc>
        <w:tc>
          <w:tcPr>
            <w:tcW w:type="dxa" w:w="3297"/>
          </w:tcPr>
          <w:p>
            <w:r>
              <w:t>研究期间发生的不良事件发生率。</w:t>
            </w:r>
          </w:p>
        </w:tc>
        <w:tc>
          <w:tcPr>
            <w:tcW w:type="dxa" w:w="3297"/>
          </w:tcPr>
          <w:p>
            <w:r>
              <w:t>整个研究期间，包括治疗期和安全性随访期。</w:t>
            </w:r>
          </w:p>
        </w:tc>
      </w:tr>
      <w:tr>
        <w:tc>
          <w:tcPr>
            <w:tcW w:type="dxa" w:w="3297"/>
          </w:tcPr>
          <w:p>
            <w:r>
              <w:t>严重不良事件（SAE）发生率</w:t>
            </w:r>
          </w:p>
        </w:tc>
        <w:tc>
          <w:tcPr>
            <w:tcW w:type="dxa" w:w="3297"/>
          </w:tcPr>
          <w:p>
            <w:r>
              <w:t>研究期间发生的严重不良事件发生率。</w:t>
            </w:r>
          </w:p>
        </w:tc>
        <w:tc>
          <w:tcPr>
            <w:tcW w:type="dxa" w:w="3297"/>
          </w:tcPr>
          <w:p>
            <w:r>
              <w:t>整个研究期间，包括治疗期和安全性随访期。</w:t>
            </w:r>
          </w:p>
        </w:tc>
      </w:tr>
      <w:tr>
        <w:tc>
          <w:tcPr>
            <w:tcW w:type="dxa" w:w="3297"/>
          </w:tcPr>
          <w:p>
            <w:r>
              <w:t>注射部位反应发生率</w:t>
            </w:r>
          </w:p>
        </w:tc>
        <w:tc>
          <w:tcPr>
            <w:tcW w:type="dxa" w:w="3297"/>
          </w:tcPr>
          <w:p>
            <w:r>
              <w:t>皮下注射后注射部位反应的发生率。</w:t>
            </w:r>
          </w:p>
        </w:tc>
        <w:tc>
          <w:tcPr>
            <w:tcW w:type="dxa" w:w="3297"/>
          </w:tcPr>
          <w:p>
            <w:r>
              <w:t>整个研究期间，包括治疗期和安全性随访期。</w:t>
            </w:r>
          </w:p>
        </w:tc>
      </w:tr>
    </w:tbl>
    <w:p>
      <w:r>
        <w:t>特别关注不良事件（AESI）定义复用既有绑定，不设第二可编辑存储。AESI定义：根据合成药X的作用机制（IL-4Rα拮抗）及安全性特征预先指定的需重点监测的不良事件；具体列表应在安全性管理计划中基于最新参考安全性信息确定。</w:t>
      </w:r>
    </w:p>
    <w:p>
      <w:bookmarkStart w:id="93821" w:name="chap_v2_n_3_4_1"/>
      <w:pPr>
        <w:pStyle w:val="3"/>
      </w:pPr>
      <w:r>
        <w:t>探索性目的</w:t>
      </w:r>
      <w:bookmarkEnd w:id="93821"/>
    </w:p>
    <w:p>
      <w:r>
        <w:t>本研究未预设探索性目的或探索性终点；因此，无探索性目的需要逐项列示。</w:t>
      </w:r>
    </w:p>
    <w:p>
      <w:r>
        <w:t>探索性分析处置：本研究未计划开展探索性分析，故探索性目的不适用。对于群体药代动力学、暴露-效应、免疫原性和生物标志物等示例性探索分析，本研究均确认不适用且不开展；上述类别仅为示例，并不自动构成研究承诺。</w:t>
      </w:r>
    </w:p>
    <w:p>
      <w:bookmarkStart w:id="93023" w:name="chap_v2_n_3_4_2"/>
      <w:pPr>
        <w:pStyle w:val="3"/>
      </w:pPr>
      <w:r>
        <w:t>探索性终点</w:t>
      </w:r>
      <w:bookmarkEnd w:id="93023"/>
    </w:p>
    <w:p>
      <w:r>
        <w:t>本章说明本研究的探索性终点、分析意图及处置。探索性分析意图须对后续统计合同保持可见；探索性结果不作为确证性结论。</w:t>
      </w:r>
    </w:p>
    <w:p>
      <w:r>
        <w:t>根据已确认研究事实，本研究未预设探索性终点；探索性终点列表为空，未计划开展探索性终点分析。本研究未计划免疫原性或群体药代动力学探索性分析。</w:t>
      </w:r>
    </w:p>
    <w:p>
      <w:bookmarkStart w:id="40326" w:name="tbl_15"/>
      <w:r>
        <w:t>表15 探索性终点</w:t>
      </w:r>
      <w:bookmarkEnd w:id="40326"/>
    </w:p>
    <w:tbl>
      <w:tblPr>
        <w:tblStyle w:val="28"/>
        <w:tblW w:type="auto" w:w="0"/>
        <w:tblLook w:firstColumn="1" w:firstRow="1" w:lastColumn="0" w:lastRow="0" w:noHBand="0" w:noVBand="1" w:val="04A0"/>
      </w:tblPr>
      <w:tblGrid>
        <w:gridCol w:w="4946"/>
        <w:gridCol w:w="4946"/>
      </w:tblGrid>
      <w:tr>
        <w:tc>
          <w:tcPr>
            <w:tcW w:type="dxa" w:w="4946"/>
          </w:tcPr>
          <w:p>
            <w:r>
              <w:t>无预设探索性终点</w:t>
            </w:r>
          </w:p>
        </w:tc>
        <w:tc>
          <w:tcPr>
            <w:tcW w:type="dxa" w:w="4946"/>
          </w:tcPr>
          <w:p>
            <w:r>
              <w:t>不适用（无预设探索性终点）；未计划开展探索性/支持性终点分析。若进行任何事后探索性分析，将明确标注为探索性，且不用于确证性结论。</w:t>
            </w:r>
          </w:p>
        </w:tc>
      </w:tr>
    </w:tbl>
    <w:p>
      <w:pPr/>
      <w:r>
        <w:t xml:space="preserve"> 本研究未预设探索性终点；因此无逐项终点处置。若未来开展事后探索性分析，分析意图为探索性，仅可作描述或支持性用途，不用于确证性结论。</w:t>
      </w:r>
    </w:p>
    <w:p>
      <w:r>
        <w:t>探索性终点处置：无预设探索性终点，不开展探索性终点分析。任何事后探索性分析均应明确标注为探索性，仅可作描述或支持性用途，不得表述为确证性结论；若拟改变分析意图以支持确证性结论，应返回假设家族与多重性方案重新确认，而非通过非空处置文字激活。</w:t>
      </w:r>
    </w:p>
    <w:p>
      <w:bookmarkStart w:id="80782" w:name="chap_v2_n_4_1"/>
      <w:pPr>
        <w:pStyle w:val="2"/>
      </w:pPr>
      <w:r>
        <w:t>总体设计</w:t>
      </w:r>
      <w:bookmarkEnd w:id="80782"/>
    </w:p>
    <w:p>
      <w:r>
        <w:t>本研究为Ⅱ期、随机、双盲、安慰剂对照、优效性概念验证研究，研究对象为成人慢性鼻窦炎伴鼻息肉，研究用药品为合成药X，目标机制为IL-4Rα及IL-4Rα拮抗。研究设计特征包括随机化、双盲、安慰剂对照、优效性概念验证，并允许稳定背景鼻用激素治疗且进行记录。</w:t>
      </w:r>
    </w:p>
    <w:p>
      <w:r>
        <w:t>试验参与者按1:1随机分配至合成药X组或安慰剂组，随机化按中心分层。合成药X组给予合成药X注射制剂150 mg/1.0 mL皮下给药；负荷期第1、8、15、22天每周一次共4次，维持期第36天起每两周一次，至第24周（末次给药）。安慰剂组给予生理盐水安慰剂1.0 mL皮下注射；同体积、同途径、同频率给药。试验参与者和研究者对治疗分配保持盲态。</w:t>
      </w:r>
    </w:p>
    <w:p>
      <w:r>
        <w:t>研究治疗为第1天至第24周（末次给药），第24周评估主要和次要终点。本研究无期中分析。允许稳定背景鼻用激素并记录。</w:t>
      </w:r>
    </w:p>
    <w:p>
      <w:r>
        <w:t>假设方面，零假设为第24周临床缓解率在合成药X组与安慰剂组间无差异；备择假设为合成药X组第24周临床缓解率高于安慰剂组。主要分析采用按中心分层的CMH检验，报告风险差及95%CI，双侧α=0.05。</w:t>
      </w:r>
    </w:p>
    <w:p>
      <w:r>
        <w:t>分层方面，试验参与者按1:1随机分配至合成药X组或安慰剂组，随机化按中心分层；主要分析采用按中心分层的CMH检验并报告风险差及95%CI。子研究方面，本方案设计包含子研究。</w:t>
      </w:r>
    </w:p>
    <w:p>
      <w:bookmarkStart w:id="85565" w:name="tbl_16"/>
      <w:r>
        <w:t>表16 总体设计</w:t>
      </w:r>
      <w:bookmarkEnd w:id="85565"/>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设计要素</w:t>
            </w:r>
          </w:p>
        </w:tc>
        <w:tc>
          <w:tcPr>
            <w:tcW w:type="dxa" w:w="4946"/>
          </w:tcPr>
          <w:p>
            <w:r>
              <w:rPr>
                <w:b/>
              </w:rPr>
              <w:t>已确认内容</w:t>
            </w:r>
          </w:p>
        </w:tc>
      </w:tr>
      <w:tr>
        <w:tc>
          <w:tcPr>
            <w:tcW w:type="dxa" w:w="4946"/>
          </w:tcPr>
          <w:p>
            <w:r>
              <w:t>假设</w:t>
            </w:r>
          </w:p>
        </w:tc>
        <w:tc>
          <w:tcPr>
            <w:tcW w:type="dxa" w:w="4946"/>
          </w:tcPr>
          <w:p>
            <w:r>
              <w:t>零假设：第24周临床缓解率在合成药X组与安慰剂组间无差异；备择假设：合成药X组第24周临床缓解率高于安慰剂组；主要分析：按中心分层的CMH检验，报告风险差及95%CI；双侧α=0.05。</w:t>
            </w:r>
          </w:p>
        </w:tc>
      </w:tr>
      <w:tr>
        <w:tc>
          <w:tcPr>
            <w:tcW w:type="dxa" w:w="4946"/>
          </w:tcPr>
          <w:p>
            <w:r>
              <w:t>期别</w:t>
            </w:r>
          </w:p>
        </w:tc>
        <w:tc>
          <w:tcPr>
            <w:tcW w:type="dxa" w:w="4946"/>
          </w:tcPr>
          <w:p>
            <w:r>
              <w:t>Ⅱ期</w:t>
            </w:r>
          </w:p>
        </w:tc>
      </w:tr>
      <w:tr>
        <w:tc>
          <w:tcPr>
            <w:tcW w:type="dxa" w:w="4946"/>
          </w:tcPr>
          <w:p>
            <w:r>
              <w:t>设计类型</w:t>
            </w:r>
          </w:p>
        </w:tc>
        <w:tc>
          <w:tcPr>
            <w:tcW w:type="dxa" w:w="4946"/>
          </w:tcPr>
          <w:p>
            <w:r>
              <w:t>Ⅱ期、随机、双盲、安慰剂对照、优效性概念验证研究</w:t>
            </w:r>
          </w:p>
        </w:tc>
      </w:tr>
      <w:tr>
        <w:tc>
          <w:tcPr>
            <w:tcW w:type="dxa" w:w="4946"/>
          </w:tcPr>
          <w:p>
            <w:r>
              <w:t>组别</w:t>
            </w:r>
          </w:p>
        </w:tc>
        <w:tc>
          <w:tcPr>
            <w:tcW w:type="dxa" w:w="4946"/>
          </w:tcPr>
          <w:p>
            <w:r>
              <w:t>合成药X组；安慰剂组。合成药X组：合成药X注射制剂150 mg/1.0 mL皮下给药；负荷期第1、8、15、22天每周一次共4次，维持期第36天起每两周一次，至第24周（末次给药）。安慰剂组：生理盐水安慰剂1.0 mL皮下注射；同体积、同途径、同频率给药。</w:t>
            </w:r>
          </w:p>
        </w:tc>
      </w:tr>
      <w:tr>
        <w:tc>
          <w:tcPr>
            <w:tcW w:type="dxa" w:w="4946"/>
          </w:tcPr>
          <w:p>
            <w:r>
              <w:t>研究周期</w:t>
            </w:r>
          </w:p>
        </w:tc>
        <w:tc>
          <w:tcPr>
            <w:tcW w:type="dxa" w:w="4946"/>
          </w:tcPr>
          <w:p>
            <w:r>
              <w:t>第1天至第24周（末次给药）；第24周评估主要和次要终点。</w:t>
            </w:r>
          </w:p>
        </w:tc>
      </w:tr>
      <w:tr>
        <w:tc>
          <w:tcPr>
            <w:tcW w:type="dxa" w:w="4946"/>
          </w:tcPr>
          <w:p>
            <w:r>
              <w:t>分配</w:t>
            </w:r>
          </w:p>
        </w:tc>
        <w:tc>
          <w:tcPr>
            <w:tcW w:type="dxa" w:w="4946"/>
          </w:tcPr>
          <w:p>
            <w:r>
              <w:t>随机1:1，按中心分层。分配方法：随机分配；随机化比例：1:1；分层：按中心分层。</w:t>
            </w:r>
          </w:p>
        </w:tc>
      </w:tr>
      <w:tr>
        <w:tc>
          <w:tcPr>
            <w:tcW w:type="dxa" w:w="4946"/>
          </w:tcPr>
          <w:p>
            <w:r>
              <w:t>盲法</w:t>
            </w:r>
          </w:p>
        </w:tc>
        <w:tc>
          <w:tcPr>
            <w:tcW w:type="dxa" w:w="4946"/>
          </w:tcPr>
          <w:p>
            <w:r>
              <w:t>双盲。试验参与者和研究者对治疗分配保持盲态；安慰剂为生理盐水1.0 mL，皮下注射，与试验药同体积、同途径、同频率。</w:t>
            </w:r>
          </w:p>
        </w:tc>
      </w:tr>
      <w:tr>
        <w:tc>
          <w:tcPr>
            <w:tcW w:type="dxa" w:w="4946"/>
          </w:tcPr>
          <w:p>
            <w:r>
              <w:t>中心</w:t>
            </w:r>
          </w:p>
        </w:tc>
        <w:tc>
          <w:tcPr>
            <w:tcW w:type="dxa" w:w="4946"/>
          </w:tcPr>
          <w:p>
            <w:r>
              <w:t>按中心分层；随机分配比例1:1。</w:t>
            </w:r>
          </w:p>
        </w:tc>
      </w:tr>
      <w:tr>
        <w:tc>
          <w:tcPr>
            <w:tcW w:type="dxa" w:w="4946"/>
          </w:tcPr>
          <w:p>
            <w:r>
              <w:t>分层</w:t>
            </w:r>
          </w:p>
        </w:tc>
        <w:tc>
          <w:tcPr>
            <w:tcW w:type="dxa" w:w="4946"/>
          </w:tcPr>
          <w:p>
            <w:r>
              <w:t>适用。因素：中心；方法：按中心分层；随机化比例：1:1；主要分析采用按中心分层的CMH检验并报告风险差及95%CI。</w:t>
            </w:r>
          </w:p>
        </w:tc>
      </w:tr>
      <w:tr>
        <w:tc>
          <w:tcPr>
            <w:tcW w:type="dxa" w:w="4946"/>
          </w:tcPr>
          <w:p>
            <w:r>
              <w:t>子研究</w:t>
            </w:r>
          </w:p>
        </w:tc>
        <w:tc>
          <w:tcPr>
            <w:tcW w:type="dxa" w:w="4946"/>
          </w:tcPr>
          <w:p>
            <w:r>
              <w:t>适用。本方案设计包含子研究。</w:t>
            </w:r>
          </w:p>
        </w:tc>
      </w:tr>
      <w:tr>
        <w:tc>
          <w:tcPr>
            <w:tcW w:type="dxa" w:w="4946"/>
          </w:tcPr>
          <w:p>
            <w:r>
              <w:t>期中分析</w:t>
            </w:r>
          </w:p>
        </w:tc>
        <w:tc>
          <w:tcPr>
            <w:tcW w:type="dxa" w:w="4946"/>
          </w:tcPr>
          <w:p>
            <w:r>
              <w:t>无。</w:t>
            </w:r>
          </w:p>
        </w:tc>
      </w:tr>
      <w:tr>
        <w:tc>
          <w:tcPr>
            <w:tcW w:type="dxa" w:w="4946"/>
          </w:tcPr>
          <w:p>
            <w:r>
              <w:t>背景治疗</w:t>
            </w:r>
          </w:p>
        </w:tc>
        <w:tc>
          <w:tcPr>
            <w:tcW w:type="dxa" w:w="4946"/>
          </w:tcPr>
          <w:p>
            <w:r>
              <w:t>允许稳定背景鼻用激素并记录。</w:t>
            </w:r>
          </w:p>
        </w:tc>
      </w:tr>
      <w:tr>
        <w:tc>
          <w:tcPr>
            <w:tcW w:type="dxa" w:w="4946"/>
          </w:tcPr>
          <w:p>
            <w:r>
              <w:t>目标机制</w:t>
            </w:r>
          </w:p>
        </w:tc>
        <w:tc>
          <w:tcPr>
            <w:tcW w:type="dxa" w:w="4946"/>
          </w:tcPr>
          <w:p>
            <w:r>
              <w:t>IL-4Rα；IL-4Rα拮抗。</w:t>
            </w:r>
          </w:p>
        </w:tc>
      </w:tr>
      <w:tr>
        <w:tc>
          <w:tcPr>
            <w:tcW w:type="dxa" w:w="4946"/>
          </w:tcPr>
          <w:p>
            <w:r>
              <w:t>适应症</w:t>
            </w:r>
          </w:p>
        </w:tc>
        <w:tc>
          <w:tcPr>
            <w:tcW w:type="dxa" w:w="4946"/>
          </w:tcPr>
          <w:p>
            <w:r>
              <w:t>成人慢性鼻窦炎伴鼻息肉。</w:t>
            </w:r>
          </w:p>
        </w:tc>
      </w:tr>
      <w:tr>
        <w:tc>
          <w:tcPr>
            <w:tcW w:type="dxa" w:w="4946"/>
          </w:tcPr>
          <w:p>
            <w:r>
              <w:t>研究用药品</w:t>
            </w:r>
          </w:p>
        </w:tc>
        <w:tc>
          <w:tcPr>
            <w:tcW w:type="dxa" w:w="4946"/>
          </w:tcPr>
          <w:p>
            <w:r>
              <w:t>合成药X。</w:t>
            </w:r>
          </w:p>
        </w:tc>
      </w:tr>
    </w:tbl>
    <w:p>
      <w:bookmarkStart w:id="26538" w:name="chap_v2_n_4_2"/>
      <w:pPr>
        <w:pStyle w:val="2"/>
      </w:pPr>
      <w:r>
        <w:t>研究设计的依据</w:t>
      </w:r>
      <w:bookmarkEnd w:id="26538"/>
    </w:p>
    <w:p>
      <w:r>
        <w:t>本研究为Ⅱ期、随机、双盲、安慰剂对照、优效性概念验证研究，适应症为成人慢性鼻窦炎伴鼻息肉，研究对象为成人患者，靶向机制为IL-4Rα及IL-4Rα拮抗。研究采用随机1:1并按中心分层，研究阶段为第1天至第24周（末次给药），第24周评估主要和次要终点；允许稳定背景鼻用激素并记录，无期中分析。</w:t>
      </w:r>
    </w:p>
    <w:p>
      <w:r>
        <w:t>对照选择为安慰剂对照：安慰剂为生理盐水1.0 mL皮下注射，采用同体积、同途径、同频率给药。Ⅱ期概念验证采用安慰剂对照以评估合成药X的相对疗效并保持试验敏感性；允许稳定背景鼻用激素并记录。研究假设为合成药X组第24周临床缓解率高于安慰剂组，无效假设为第24周临床缓解率在合成药X组与安慰剂组间无差异；主要分析采用按中心分层的CMH检验，报告风险差及95%CI，双侧α=0.05。预期安慰剂组20%、试验组35%，绝对差15个百分点，把握度为90%；第24周缺失主要终点采用NRI，敏感性分析采用tipping point；关键次要终点SNOT-22采用固定序列检验控制多重性，Lund-Kennedy为描述性分析；无期中分析。上述设计依据、对照选择、假设与证据底线汇总</w:t>
      </w:r>
      <w:r>
        <w:fldChar w:fldCharType="begin"/>
      </w:r>
      <w:r>
        <w:instrText xml:space="preserve"> REF tbl_1 \h </w:instrText>
      </w:r>
      <w:r>
        <w:fldChar w:fldCharType="separate"/>
      </w:r>
      <w:r>
        <w:t>表1</w:t>
      </w:r>
      <w:r>
        <w:fldChar w:fldCharType="end"/>
      </w:r>
      <w:r>
        <w:t>。</w:t>
      </w:r>
    </w:p>
    <w:p>
      <w:bookmarkStart w:id="56203" w:name="tbl_17"/>
      <w:r>
        <w:t>表17 研究设计的依据</w:t>
      </w:r>
      <w:bookmarkEnd w:id="56203"/>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设计要素</w:t>
            </w:r>
          </w:p>
        </w:tc>
        <w:tc>
          <w:tcPr>
            <w:tcW w:type="dxa" w:w="3297"/>
          </w:tcPr>
          <w:p>
            <w:r>
              <w:rPr>
                <w:b/>
              </w:rPr>
              <w:t>已确认项目事实</w:t>
            </w:r>
          </w:p>
        </w:tc>
        <w:tc>
          <w:tcPr>
            <w:tcW w:type="dxa" w:w="3297"/>
          </w:tcPr>
          <w:p>
            <w:r>
              <w:rPr>
                <w:b/>
              </w:rPr>
              <w:t>依据/说明</w:t>
            </w:r>
          </w:p>
        </w:tc>
      </w:tr>
      <w:tr>
        <w:tc>
          <w:tcPr>
            <w:tcW w:type="dxa" w:w="3297"/>
          </w:tcPr>
          <w:p>
            <w:r>
              <w:t>临床背景</w:t>
            </w:r>
          </w:p>
        </w:tc>
        <w:tc>
          <w:tcPr>
            <w:tcW w:type="dxa" w:w="3297"/>
          </w:tcPr>
          <w:p>
            <w:r>
              <w:t>适应症：成人慢性鼻窦炎伴鼻息肉；人群：成人患者；分期：Ⅱ期；研究目标：概念验证；靶向机制：IL-4Rα、IL-4Rα拮抗；设计类型：随机、双盲、安慰剂对照、优效性概念验证研究；分配：随机1:1，按中心分层；研究阶段：第1天至第24周（末次给药），第24周评估主要和次要终点；背景治疗：允许稳定背景鼻用激素并记录；期中分析：无。</w:t>
            </w:r>
          </w:p>
        </w:tc>
        <w:tc>
          <w:tcPr>
            <w:tcW w:type="dxa" w:w="3297"/>
          </w:tcPr>
          <w:p>
            <w:r>
              <w:t>该设计定位于成人慢性鼻窦炎伴鼻息肉的Ⅱ期概念验证，围绕IL-4Rα及IL-4Rα拮抗机制开展，用于在该临床背景中设定对照、假设与统计分析。</w:t>
            </w:r>
          </w:p>
        </w:tc>
      </w:tr>
      <w:tr>
        <w:tc>
          <w:tcPr>
            <w:tcW w:type="dxa" w:w="3297"/>
          </w:tcPr>
          <w:p>
            <w:r>
              <w:t>对照选择</w:t>
            </w:r>
          </w:p>
        </w:tc>
        <w:tc>
          <w:tcPr>
            <w:tcW w:type="dxa" w:w="3297"/>
          </w:tcPr>
          <w:p>
            <w:r>
              <w:t>对照类型：安慰剂对照（生理盐水1.0 mL皮下注射，同体积、同途径、同频率）；对照：安慰剂；背景治疗：允许稳定背景鼻用激素并记录。</w:t>
            </w:r>
          </w:p>
        </w:tc>
        <w:tc>
          <w:tcPr>
            <w:tcW w:type="dxa" w:w="3297"/>
          </w:tcPr>
          <w:p>
            <w:r>
              <w:t>Ⅱ期概念验证采用安慰剂对照以评估合成药X的相对疗效并保持试验敏感性；允许稳定背景鼻用激素并记录。</w:t>
            </w:r>
          </w:p>
        </w:tc>
      </w:tr>
      <w:tr>
        <w:tc>
          <w:tcPr>
            <w:tcW w:type="dxa" w:w="3297"/>
          </w:tcPr>
          <w:p>
            <w:r>
              <w:t>安慰剂决策</w:t>
            </w:r>
          </w:p>
        </w:tc>
        <w:tc>
          <w:tcPr>
            <w:tcW w:type="dxa" w:w="3297"/>
          </w:tcPr>
          <w:p>
            <w:r>
              <w:t>适用：是；设计类型：Ⅱ期、随机、双盲、安慰剂对照、优效性概念验证研究；安慰剂：生理盐水1.0 mL，皮下注射，同体积、同途径、同频率给药。</w:t>
            </w:r>
          </w:p>
        </w:tc>
        <w:tc>
          <w:tcPr>
            <w:tcW w:type="dxa" w:w="3297"/>
          </w:tcPr>
          <w:p>
            <w:r>
              <w:t>该安慰剂决策来自已确认的结构化项目事实；其理由为Ⅱ期概念验证采用安慰剂对照以评估合成药X的相对疗效并保持试验敏感性，并允许稳定背景鼻用激素并记录。</w:t>
            </w:r>
          </w:p>
        </w:tc>
      </w:tr>
      <w:tr>
        <w:tc>
          <w:tcPr>
            <w:tcW w:type="dxa" w:w="3297"/>
          </w:tcPr>
          <w:p>
            <w:r>
              <w:t>研究假设</w:t>
            </w:r>
          </w:p>
        </w:tc>
        <w:tc>
          <w:tcPr>
            <w:tcW w:type="dxa" w:w="3297"/>
          </w:tcPr>
          <w:p>
            <w:r>
              <w:t>无效假设：第24周临床缓解率在合成药X组与安慰剂组间无差异；备择假设：合成药X组第24周临床缓解率高于安慰剂组；主要分析：按中心分层的CMH检验，报告风险差及95%CI；双侧α=0.05；预期效应：安慰剂组20%、试验组35%，绝对差15个百分点；检验：按中心分层的CMH检验，报告风险差及95%CI，双侧α=0.05；把握度：90%；缺失数据：第24周缺失主要终点采用NRI，敏感性分析采用tipping point；多重性：关键次要终点SNOT-22采用固定序列检验控制多重性；Lund-Kennedy为描述性分析；期中分析：无期中分析。</w:t>
            </w:r>
          </w:p>
        </w:tc>
        <w:tc>
          <w:tcPr>
            <w:tcW w:type="dxa" w:w="3297"/>
          </w:tcPr>
          <w:p>
            <w:r>
              <w:t>假设围绕第24周临床缓解率设定，并以按中心分层的CMH检验、风险差及95%CI和双侧α=0.05进行评价；预期效应、把握度、缺失数据与多重性策略按已确认项目事实用于Ⅱ期概念验证设计。</w:t>
            </w:r>
          </w:p>
        </w:tc>
      </w:tr>
      <w:tr>
        <w:tc>
          <w:tcPr>
            <w:tcW w:type="dxa" w:w="3297"/>
          </w:tcPr>
          <w:p>
            <w:r>
              <w:t>证据底线</w:t>
            </w:r>
          </w:p>
        </w:tc>
        <w:tc>
          <w:tcPr>
            <w:tcW w:type="dxa" w:w="3297"/>
          </w:tcPr>
          <w:p>
            <w:r>
              <w:t>非劣效性检验：未采用；非劣效性界值：不设定；历史证据底线：不设定；原因：本研究为安慰剂对照优效性设计，未采用非劣效性检验。</w:t>
            </w:r>
          </w:p>
        </w:tc>
        <w:tc>
          <w:tcPr>
            <w:tcW w:type="dxa" w:w="3297"/>
          </w:tcPr>
          <w:p>
            <w:r>
              <w:t>本研究为安慰剂对照优效性设计，未采用非劣效性检验，因此不设定非劣效性界值或历史证据底线。</w:t>
            </w:r>
          </w:p>
        </w:tc>
      </w:tr>
    </w:tbl>
    <w:p>
      <w:bookmarkStart w:id="56732" w:name="chap_v2_n_4_3"/>
      <w:pPr>
        <w:pStyle w:val="2"/>
      </w:pPr>
      <w:r>
        <w:t>剂量选择依据</w:t>
      </w:r>
      <w:bookmarkEnd w:id="56732"/>
    </w:p>
    <w:p>
      <w:r>
        <w:t>本节剂量选择范围适用于Ⅱ期、随机、双盲、安慰剂对照、优效性概念验证研究，研究人群为成人慢性鼻窦炎伴鼻息肉患者；研究药物为合成药X注射制剂，靶向机制为IL-4Rα拮抗，给药途径为皮下给药；试验期间允许稳定背景鼻用激素并记录。分组为合成药X组与安慰剂组，按1:1随机并按中心分层，研究期从第1天至第24周（末次给药），第24周评估主要和次要终点，无期中分析。</w:t>
      </w:r>
    </w:p>
    <w:p>
      <w:r>
        <w:t>剂量方案依据（项目事实）：合成药X组计划起始剂量为第1天150 mg（1.0 mL）皮下给药。负荷给药期为第1天至第22天，于第1、8、15、22天每周一次给药，共4次；维持给药期自第36天起每两周一次，至第24周末次给药。按已确认结构化事实，计划最大给药量为150 mg，负荷期每周一次、维持期每两周一次，单次体积1.0 mL；该方案与成人慢性鼻窦炎伴鼻息肉研究人群及IL-4Rα拮抗机制的项目设定相联系。</w:t>
      </w:r>
    </w:p>
    <w:p>
      <w:r>
        <w:t>对照药方案匹配（项目事实）：安慰剂组采用生理盐水安慰剂1.0 mL皮下注射，负荷期第1、8、15、22天每周一次共4次，维持期第36天起每两周一次至第24周末次给药；其给药途径、容量和时间结构与合成药X组对应安排一致。适用人群联系为成人慢性鼻窦炎伴鼻息肉患者，作用机制为IL-4Rα拮抗，并允许稳定背景鼻用激素并记录。</w:t>
      </w:r>
    </w:p>
    <w:p>
      <w:r>
        <w:t>剂量安全边际：当前输入未包含可准入的项目主要来源、监管或指南来源或竞品完整方案来源；因此，本候选仅能依据已确认结构化项目事实描述研究药物与对照药的给药途径、给药方案、起始剂量、计划最大给药量和人群联系，不能进一步形成来源支撑的剂量选择理由、剂量安全边际或外部竞品方案匹配性结论。上述项目事实及未闭合的证据义务仍需医学与质量复核。</w:t>
      </w:r>
    </w:p>
    <w:p>
      <w:bookmarkStart w:id="51686" w:name="tbl_18"/>
      <w:r>
        <w:t>表18 剂量选择依据</w:t>
      </w:r>
      <w:bookmarkEnd w:id="51686"/>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参数</w:t>
            </w:r>
          </w:p>
        </w:tc>
        <w:tc>
          <w:tcPr>
            <w:tcW w:type="dxa" w:w="3297"/>
          </w:tcPr>
          <w:p>
            <w:r>
              <w:rPr>
                <w:b/>
              </w:rPr>
              <w:t>合成药X组</w:t>
            </w:r>
          </w:p>
        </w:tc>
        <w:tc>
          <w:tcPr>
            <w:tcW w:type="dxa" w:w="3297"/>
          </w:tcPr>
          <w:p>
            <w:r>
              <w:rPr>
                <w:b/>
              </w:rPr>
              <w:t>安慰剂组</w:t>
            </w:r>
          </w:p>
        </w:tc>
      </w:tr>
      <w:tr>
        <w:tc>
          <w:tcPr>
            <w:tcW w:type="dxa" w:w="3297"/>
          </w:tcPr>
          <w:p>
            <w:r>
              <w:t>给药途径</w:t>
            </w:r>
          </w:p>
        </w:tc>
        <w:tc>
          <w:tcPr>
            <w:tcW w:type="dxa" w:w="3297"/>
          </w:tcPr>
          <w:p>
            <w:r>
              <w:t>皮下给药</w:t>
            </w:r>
          </w:p>
        </w:tc>
        <w:tc>
          <w:tcPr>
            <w:tcW w:type="dxa" w:w="3297"/>
          </w:tcPr>
          <w:p>
            <w:r>
              <w:t>皮下注射</w:t>
            </w:r>
          </w:p>
        </w:tc>
      </w:tr>
      <w:tr>
        <w:tc>
          <w:tcPr>
            <w:tcW w:type="dxa" w:w="3297"/>
          </w:tcPr>
          <w:p>
            <w:r>
              <w:t>给药方案</w:t>
            </w:r>
          </w:p>
        </w:tc>
        <w:tc>
          <w:tcPr>
            <w:tcW w:type="dxa" w:w="3297"/>
          </w:tcPr>
          <w:p>
            <w:r>
              <w:t>负荷给药期：第1、8、15、22天每周一次，共4次，每次150 mg（1.0 mL）皮下给药；维持给药期：第36天起每两周一次至第24周（末次给药）。</w:t>
            </w:r>
          </w:p>
        </w:tc>
        <w:tc>
          <w:tcPr>
            <w:tcW w:type="dxa" w:w="3297"/>
          </w:tcPr>
          <w:p>
            <w:r>
              <w:t>生理盐水安慰剂1.0 mL皮下注射；负荷期第1、8、15、22天每周一次共4次，维持期第36天起每两周一次至第24周末次给药。</w:t>
            </w:r>
          </w:p>
        </w:tc>
      </w:tr>
      <w:tr>
        <w:tc>
          <w:tcPr>
            <w:tcW w:type="dxa" w:w="3297"/>
          </w:tcPr>
          <w:p>
            <w:r>
              <w:t>起始剂量</w:t>
            </w:r>
          </w:p>
        </w:tc>
        <w:tc>
          <w:tcPr>
            <w:tcW w:type="dxa" w:w="3297"/>
          </w:tcPr>
          <w:p>
            <w:r>
              <w:t>第1天150 mg（1.0 mL），皮下给药</w:t>
            </w:r>
          </w:p>
        </w:tc>
        <w:tc>
          <w:tcPr>
            <w:tcW w:type="dxa" w:w="3297"/>
          </w:tcPr>
          <w:p>
            <w:r>
              <w:t>第1天1.0 mL，皮下注射</w:t>
            </w:r>
          </w:p>
        </w:tc>
      </w:tr>
      <w:tr>
        <w:tc>
          <w:tcPr>
            <w:tcW w:type="dxa" w:w="3297"/>
          </w:tcPr>
          <w:p>
            <w:r>
              <w:t>计划最大给药量</w:t>
            </w:r>
          </w:p>
        </w:tc>
        <w:tc>
          <w:tcPr>
            <w:tcW w:type="dxa" w:w="3297"/>
          </w:tcPr>
          <w:p>
            <w:r>
              <w:t>150 mg；负荷期每周一次，维持期每两周一次；1.0 mL</w:t>
            </w:r>
          </w:p>
        </w:tc>
        <w:tc>
          <w:tcPr>
            <w:tcW w:type="dxa" w:w="3297"/>
          </w:tcPr>
          <w:p>
            <w:r>
              <w:t>1.0 mL；负荷期每周一次，维持期每两周一次</w:t>
            </w:r>
          </w:p>
        </w:tc>
      </w:tr>
    </w:tbl>
    <w:p>
      <w:bookmarkStart w:id="30869" w:name="chap_v2_n_4_4"/>
      <w:pPr>
        <w:pStyle w:val="2"/>
      </w:pPr>
      <w:r>
        <w:t>研究结束的定义</w:t>
      </w:r>
      <w:bookmarkEnd w:id="30869"/>
    </w:p>
    <w:p>
      <w:r>
        <w:t>研究给药阶段包括负荷给药期（第1天至第22天；第1、8、15、22天给药）和维持给药期（第36天起至第24周（末次给药））；主要和次要终点评估于第24周进行。</w:t>
      </w:r>
    </w:p>
    <w:p>
      <w:r>
        <w:t>参与者完成定义：试验参与者完成至第24周的所有方案规定给药和评估，包括第24周末次给药及主要/次要终点评估。第24周完成主要终点和次要终点评估；主要终点为第24周临床缓解率，关键次要终点为SNOT-22较基线变化，Lund-Kennedy内镜评分为描述性分析。主要分析集为FAS（ITT原则）；缺失数据处理为NRI，敏感性分析采用tipping point。</w:t>
      </w:r>
    </w:p>
    <w:p>
      <w:r>
        <w:t>随访定义与窗口：随访期自第24周末次给药/主要终点评估后开始，至末次随访/研究结束；用于安全性随访和结局确认。随访期间继续收集不良事件、严重不良事件、合并用药、背景治疗和补救治疗，并随访已发生事件至稳定或恢复。AE和SAE收集至末次给药后30天；若试验参与者提前终止试验，则至提前终止访视后30天。随访访视按方案预定时间窗执行；所有访视应记录实际日期并计算与计划日期的偏差。若试验参与者无法现场访视，可按方案允许的方式联系并记录，但电话访视不得替代第24周主要终点所需的NPS和鼻塞VAS评估。第24周为主要终点评估访视，应尽量在计划时间窗内完成主要和次要终点评估。</w:t>
      </w:r>
    </w:p>
    <w:p>
      <w:r>
        <w:t>总体研究结束定义：总体研究结束定义为所有试验参与者完成第24周评估，且数据清理、锁定和统计分析完成。末例试验参与者完成第24周末次评估后触发研究结束流程。</w:t>
      </w:r>
    </w:p>
    <w:p>
      <w:r>
        <w:t>治疗后评估：第24周末次给药/主要终点评估后至末次随访/研究结束；AE/SAE收集至末次给药后30天。治疗后评估包括不良事件、严重不良事件、合并用药、背景治疗和补救治疗、生命体征和临床安全性评估、已发生事件的转归。安全性随访按治疗期访视及末次给药后第24周评估进行；如发生不良事件，随访至事件消退或稳定。</w:t>
      </w:r>
    </w:p>
    <w:p>
      <w:bookmarkStart w:id="23359" w:name="tbl_19"/>
      <w:r>
        <w:t>表19 研究结束的定义</w:t>
      </w:r>
      <w:bookmarkEnd w:id="23359"/>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项目</w:t>
            </w:r>
          </w:p>
        </w:tc>
        <w:tc>
          <w:tcPr>
            <w:tcW w:type="dxa" w:w="3297"/>
          </w:tcPr>
          <w:p>
            <w:r>
              <w:rPr>
                <w:b/>
              </w:rPr>
              <w:t>定义/安排</w:t>
            </w:r>
          </w:p>
        </w:tc>
        <w:tc>
          <w:tcPr>
            <w:tcW w:type="dxa" w:w="3297"/>
          </w:tcPr>
          <w:p>
            <w:r>
              <w:rPr>
                <w:b/>
              </w:rPr>
              <w:t>补充说明</w:t>
            </w:r>
          </w:p>
        </w:tc>
      </w:tr>
      <w:tr>
        <w:tc>
          <w:tcPr>
            <w:tcW w:type="dxa" w:w="3297"/>
          </w:tcPr>
          <w:p>
            <w:r>
              <w:t>参与者完成定义</w:t>
            </w:r>
          </w:p>
        </w:tc>
        <w:tc>
          <w:tcPr>
            <w:tcW w:type="dxa" w:w="3297"/>
          </w:tcPr>
          <w:p>
            <w:r>
              <w:t>试验参与者完成至第24周的所有方案规定给药和评估，包括第24周末次给药及主要/次要终点评估。</w:t>
            </w:r>
          </w:p>
        </w:tc>
        <w:tc>
          <w:tcPr>
            <w:tcW w:type="dxa" w:w="3297"/>
          </w:tcPr>
          <w:p>
            <w:r>
              <w:t>第24周完成主要终点和次要终点评估；主要终点为第24周临床缓解率，关键次要终点为SNOT-22较基线变化，Lund-Kennedy内镜评分为描述性分析。主要分析集为FAS（ITT原则）；缺失数据处理为NRI，敏感性分析采用tipping point。</w:t>
            </w:r>
          </w:p>
        </w:tc>
      </w:tr>
      <w:tr>
        <w:tc>
          <w:tcPr>
            <w:tcW w:type="dxa" w:w="3297"/>
          </w:tcPr>
          <w:p>
            <w:r>
              <w:t>随访窗口</w:t>
            </w:r>
          </w:p>
        </w:tc>
        <w:tc>
          <w:tcPr>
            <w:tcW w:type="dxa" w:w="3297"/>
          </w:tcPr>
          <w:p>
            <w:r>
              <w:t>随访期自第24周末次给药/主要终点评估后开始，至末次随访/研究结束；用于安全性随访和结局确认。</w:t>
            </w:r>
          </w:p>
        </w:tc>
        <w:tc>
          <w:tcPr>
            <w:tcW w:type="dxa" w:w="3297"/>
          </w:tcPr>
          <w:p>
            <w:r>
              <w:t>继续收集不良事件、严重不良事件、合并用药、背景治疗和补救治疗，并随访已发生事件至稳定或恢复。AE和SAE收集至末次给药后30天；若试验参与者提前终止试验，则至提前终止访视后30天。随访访视按方案预定时间窗执行；所有访视应记录实际日期并计算与计划日期的偏差。若试验参与者无法现场访视，可按方案允许的方式联系并记录，但电话访视不得替代第24周主要终点所需的NPS和鼻塞VAS评估。第24周为主要终点评估访视，应尽量在计划时间窗内完成主要和次要终点评估。</w:t>
            </w:r>
          </w:p>
        </w:tc>
      </w:tr>
      <w:tr>
        <w:tc>
          <w:tcPr>
            <w:tcW w:type="dxa" w:w="3297"/>
          </w:tcPr>
          <w:p>
            <w:r>
              <w:t>总体研究结束</w:t>
            </w:r>
          </w:p>
        </w:tc>
        <w:tc>
          <w:tcPr>
            <w:tcW w:type="dxa" w:w="3297"/>
          </w:tcPr>
          <w:p>
            <w:r>
              <w:t>总体研究结束定义为所有试验参与者完成第24周评估，且数据清理、锁定和统计分析完成。</w:t>
            </w:r>
          </w:p>
        </w:tc>
        <w:tc>
          <w:tcPr>
            <w:tcW w:type="dxa" w:w="3297"/>
          </w:tcPr>
          <w:p>
            <w:r>
              <w:t>末例试验参与者完成第24周末次评估后触发研究结束流程。</w:t>
            </w:r>
          </w:p>
        </w:tc>
      </w:tr>
      <w:tr>
        <w:tc>
          <w:tcPr>
            <w:tcW w:type="dxa" w:w="3297"/>
          </w:tcPr>
          <w:p>
            <w:r>
              <w:t>治疗后评估</w:t>
            </w:r>
          </w:p>
        </w:tc>
        <w:tc>
          <w:tcPr>
            <w:tcW w:type="dxa" w:w="3297"/>
          </w:tcPr>
          <w:p>
            <w:r>
              <w:t>第24周末次给药/主要终点评估后至末次随访/研究结束；AE/SAE收集至末次给药后30天。治疗后评估为必需。</w:t>
            </w:r>
          </w:p>
        </w:tc>
        <w:tc>
          <w:tcPr>
            <w:tcW w:type="dxa" w:w="3297"/>
          </w:tcPr>
          <w:p>
            <w:r>
              <w:t>评估包括不良事件、严重不良事件、合并用药、背景治疗和补救治疗、生命体征和临床安全性评估、已发生事件的转归。安全性随访按治疗期访视及末次给药后第24周评估进行；如发生不良事件，随访至事件消退或稳定。</w:t>
            </w:r>
          </w:p>
        </w:tc>
      </w:tr>
    </w:tbl>
    <w:p>
      <w:bookmarkStart w:id="1398" w:name="chap_v2_n_4_5"/>
      <w:pPr>
        <w:pStyle w:val="2"/>
      </w:pPr>
      <w:r>
        <w:t>随机化和盲法</w:t>
      </w:r>
      <w:bookmarkEnd w:id="1398"/>
    </w:p>
    <w:p>
      <w:r>
        <w:t>本研究为随机、双盲、安慰剂对照、优效性概念验证研究。计划将试验参与者按1:1随机分配至合成药X组或安慰剂组，随机化按中心分层。药物分配与盲态维持由不参与疗效评价的指定人员执行；该人员不得参与疗效评价。试验参与者和研究者对治疗分配保持盲态。</w:t>
      </w:r>
    </w:p>
    <w:p>
      <w:r>
        <w:t>采用双盲设计。安慰剂为生理盐水1.0 mL，皮下注射，与试验药同体积、同途径、同频率给药，以维持盲态。试验参与者、研究者和疗效评价者对治疗分配保持盲态；标签不得揭示治疗分配。药物分配与盲态维持由不参与疗效评价的指定人员执行；暂停、恢复或停止给药均不得破坏双盲。除紧急揭盲外，治疗分配在数据库锁定前保持盲态。</w:t>
      </w:r>
    </w:p>
    <w:p>
      <w:r>
        <w:t>当试验参与者发生紧急医疗情况，需获知治疗分配以指导医疗处理时，仅按紧急揭盲程序执行，记录揭盲原因、日期、时间和人员。揭盲后试验参与者继续按计划随访，除非研究者判断需终止。意外揭盲指非因紧急医疗需要而意外获知试验参与者治疗分配；一旦发生，应立即记录揭盲日期、原因、涉及人员和获知范围，通知申办者或医学监查员，评估对试验参与者安全和试验完整性的影响，试验参与者继续按计划随访，除非研究者判断需终止。</w:t>
      </w:r>
    </w:p>
    <w:p>
      <w:r>
        <w:t>揭盲记录应包括揭盲原因、揭盲日期和时间、揭盲人员、揭盲方式、获知范围、是否紧急揭盲、对试验参与者安全和试验完整性的影响评估及后续处理措施。揭盲记录、原因、人员、影响评估和采取措施应保存于源文件、eCRF和试验记录中，并可供监查、稽查和监管检查。统计分析计划应明确分析揭盲安排；除紧急揭盲外，治疗分配在数据库锁定前保持盲态。</w:t>
      </w:r>
    </w:p>
    <w:p>
      <w:bookmarkStart w:id="82359" w:name="tbl_20"/>
      <w:r>
        <w:t>表20 随机化和盲法</w:t>
      </w:r>
      <w:bookmarkEnd w:id="82359"/>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w:t>
            </w:r>
          </w:p>
        </w:tc>
        <w:tc>
          <w:tcPr>
            <w:tcW w:type="dxa" w:w="4946"/>
          </w:tcPr>
          <w:p>
            <w:r>
              <w:rPr>
                <w:b/>
              </w:rPr>
              <w:t>内容</w:t>
            </w:r>
          </w:p>
        </w:tc>
      </w:tr>
      <w:tr>
        <w:tc>
          <w:tcPr>
            <w:tcW w:type="dxa" w:w="4946"/>
          </w:tcPr>
          <w:p>
            <w:r>
              <w:t>随机化程序</w:t>
            </w:r>
          </w:p>
        </w:tc>
        <w:tc>
          <w:tcPr>
            <w:tcW w:type="dxa" w:w="4946"/>
          </w:tcPr>
          <w:p>
            <w:r>
              <w:t>试验参与者按1:1随机分配至合成药X组或安慰剂组，随机化按中心分层。</w:t>
            </w:r>
          </w:p>
        </w:tc>
      </w:tr>
      <w:tr>
        <w:tc>
          <w:tcPr>
            <w:tcW w:type="dxa" w:w="4946"/>
          </w:tcPr>
          <w:p>
            <w:r>
              <w:t>随机化角色</w:t>
            </w:r>
          </w:p>
        </w:tc>
        <w:tc>
          <w:tcPr>
            <w:tcW w:type="dxa" w:w="4946"/>
          </w:tcPr>
          <w:p>
            <w:r>
              <w:t>试验参与者按1:1随机分配至合成药X组或安慰剂组；采用双盲并按中心分层。试验参与者和研究者保持盲态；药物分配与盲态维持由不参与疗效评价的指定人员执行，该人员不得参与疗效评价。</w:t>
            </w:r>
          </w:p>
        </w:tc>
      </w:tr>
      <w:tr>
        <w:tc>
          <w:tcPr>
            <w:tcW w:type="dxa" w:w="4946"/>
          </w:tcPr>
          <w:p>
            <w:r>
              <w:t>分配比与分层</w:t>
            </w:r>
          </w:p>
        </w:tc>
        <w:tc>
          <w:tcPr>
            <w:tcW w:type="dxa" w:w="4946"/>
          </w:tcPr>
          <w:p>
            <w:r>
              <w:t>1:1；按中心分层。</w:t>
            </w:r>
          </w:p>
        </w:tc>
      </w:tr>
      <w:tr>
        <w:tc>
          <w:tcPr>
            <w:tcW w:type="dxa" w:w="4946"/>
          </w:tcPr>
          <w:p>
            <w:r>
              <w:t>盲法程序</w:t>
            </w:r>
          </w:p>
        </w:tc>
        <w:tc>
          <w:tcPr>
            <w:tcW w:type="dxa" w:w="4946"/>
          </w:tcPr>
          <w:p>
            <w:r>
              <w:t>采用双盲设计。安慰剂为生理盐水1.0 mL，皮下注射，与试验药同体积、同途径、同频率给药，以维持盲态；试验参与者和研究者对治疗分配保持盲态。</w:t>
            </w:r>
          </w:p>
        </w:tc>
      </w:tr>
      <w:tr>
        <w:tc>
          <w:tcPr>
            <w:tcW w:type="dxa" w:w="4946"/>
          </w:tcPr>
          <w:p>
            <w:r>
              <w:t>盲态维持</w:t>
            </w:r>
          </w:p>
        </w:tc>
        <w:tc>
          <w:tcPr>
            <w:tcW w:type="dxa" w:w="4946"/>
          </w:tcPr>
          <w:p>
            <w:r>
              <w:t>试验参与者、研究者和疗效评价者对治疗分配保持盲态；标签不得揭示治疗分配；药物分配与盲态维持由不参与疗效评价的指定人员执行；暂停、恢复或停止给药均不得破坏双盲；除紧急揭盲外，仅按紧急揭盲程序揭盲。</w:t>
            </w:r>
          </w:p>
        </w:tc>
      </w:tr>
      <w:tr>
        <w:tc>
          <w:tcPr>
            <w:tcW w:type="dxa" w:w="4946"/>
          </w:tcPr>
          <w:p>
            <w:r>
              <w:t>紧急揭盲</w:t>
            </w:r>
          </w:p>
        </w:tc>
        <w:tc>
          <w:tcPr>
            <w:tcW w:type="dxa" w:w="4946"/>
          </w:tcPr>
          <w:p>
            <w:r>
              <w:t>试验参与者发生紧急医疗情况，需获知治疗分配以指导医疗处理时，仅按紧急揭盲程序执行，记录揭盲原因、日期、时间和人员；揭盲后试验参与者继续按计划随访，除非研究者判断需终止。记录揭盲原因、日期、时间、人员、方式、获知范围及后续处理。</w:t>
            </w:r>
          </w:p>
        </w:tc>
      </w:tr>
      <w:tr>
        <w:tc>
          <w:tcPr>
            <w:tcW w:type="dxa" w:w="4946"/>
          </w:tcPr>
          <w:p>
            <w:r>
              <w:t>意外揭盲</w:t>
            </w:r>
          </w:p>
        </w:tc>
        <w:tc>
          <w:tcPr>
            <w:tcW w:type="dxa" w:w="4946"/>
          </w:tcPr>
          <w:p>
            <w:r>
              <w:t>意外揭盲指非因紧急医疗需要而意外获知试验参与者治疗分配。一旦发生意外揭盲，应立即记录揭盲日期、原因、涉及人员和获知范围，通知申办者或医学监查员，评估对试验参与者安全和试验完整性的影响；试验参与者继续按计划随访，除非研究者判断需终止。</w:t>
            </w:r>
          </w:p>
        </w:tc>
      </w:tr>
      <w:tr>
        <w:tc>
          <w:tcPr>
            <w:tcW w:type="dxa" w:w="4946"/>
          </w:tcPr>
          <w:p>
            <w:r>
              <w:t>揭盲记录</w:t>
            </w:r>
          </w:p>
        </w:tc>
        <w:tc>
          <w:tcPr>
            <w:tcW w:type="dxa" w:w="4946"/>
          </w:tcPr>
          <w:p>
            <w:r>
              <w:t>揭盲记录应包括揭盲原因、揭盲日期和时间、揭盲人员、揭盲方式、获知范围、是否紧急揭盲、对试验参与者安全和试验完整性的影响评估及后续处理措施；保存于源文件、eCRF和试验记录中，并可供监查、稽查和监管检查。统计分析计划应明确分析揭盲安排；除紧急揭盲外，治疗分配在数据库锁定前保持盲态。</w:t>
            </w:r>
          </w:p>
        </w:tc>
      </w:tr>
    </w:tbl>
    <w:p>
      <w:bookmarkStart w:id="28003" w:name="chap_v2_n_5_1"/>
      <w:pPr>
        <w:pStyle w:val="2"/>
      </w:pPr>
      <w:r>
        <w:t>入选标准</w:t>
      </w:r>
      <w:bookmarkEnd w:id="28003"/>
    </w:p>
    <w:p>
      <w:r>
        <w:t>本章节纳入标准适用于成人慢性鼻窦炎伴鼻息肉患者。目标人群与主要分析集保持一致：主要分析集为FAS（ITT原则），按随机分组进行分析；随机分组为1:1，按中心分层。</w:t>
      </w:r>
    </w:p>
    <w:p>
      <w:r>
        <w:t>纳入判定采用 all 逻辑：以下标准必须全部满足：年龄≥18岁的成人试验参与者；诊断为慢性鼻窦炎伴鼻息肉；允许稳定背景鼻用激素并记录。纳入参数中，年龄为成人（≥18岁），诊断为慢性鼻窦炎伴鼻息肉，背景治疗为稳定背景鼻用激素允许并记录。上述标准共同定义本项目目标人群，并与主要分析集FAS（ITT原则）的分析口径保持一致。</w:t>
      </w:r>
    </w:p>
    <w:p>
      <w:bookmarkStart w:id="96500" w:name="tbl_21"/>
      <w:r>
        <w:t>表21 入选标准</w:t>
      </w:r>
      <w:bookmarkEnd w:id="96500"/>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结构字段</w:t>
            </w:r>
          </w:p>
        </w:tc>
        <w:tc>
          <w:tcPr>
            <w:tcW w:type="dxa" w:w="4946"/>
          </w:tcPr>
          <w:p>
            <w:r>
              <w:rPr>
                <w:b/>
              </w:rPr>
              <w:t>项目化内容</w:t>
            </w:r>
          </w:p>
        </w:tc>
      </w:tr>
      <w:tr>
        <w:tc>
          <w:tcPr>
            <w:tcW w:type="dxa" w:w="4946"/>
          </w:tcPr>
          <w:p>
            <w:r>
              <w:t>population:target</w:t>
            </w:r>
          </w:p>
        </w:tc>
        <w:tc>
          <w:tcPr>
            <w:tcW w:type="dxa" w:w="4946"/>
          </w:tcPr>
          <w:p>
            <w:r>
              <w:t>成人慢性鼻窦炎伴鼻息肉患者</w:t>
            </w:r>
          </w:p>
        </w:tc>
      </w:tr>
      <w:tr>
        <w:tc>
          <w:tcPr>
            <w:tcW w:type="dxa" w:w="4946"/>
          </w:tcPr>
          <w:p>
            <w:r>
              <w:t>population:subpopulations</w:t>
            </w:r>
          </w:p>
        </w:tc>
        <w:tc>
          <w:tcPr>
            <w:tcW w:type="dxa" w:w="4946"/>
          </w:tcPr>
          <w:p>
            <w:r>
              <w:t>未单独规定亚组。</w:t>
            </w:r>
          </w:p>
        </w:tc>
      </w:tr>
      <w:tr>
        <w:tc>
          <w:tcPr>
            <w:tcW w:type="dxa" w:w="4946"/>
          </w:tcPr>
          <w:p>
            <w:r>
              <w:t>inclusion:logic</w:t>
            </w:r>
          </w:p>
        </w:tc>
        <w:tc>
          <w:tcPr>
            <w:tcW w:type="dxa" w:w="4946"/>
          </w:tcPr>
          <w:p>
            <w:r>
              <w:t>all（所有列出的纳入标准均须满足）</w:t>
            </w:r>
          </w:p>
        </w:tc>
      </w:tr>
      <w:tr>
        <w:tc>
          <w:tcPr>
            <w:tcW w:type="dxa" w:w="4946"/>
          </w:tcPr>
          <w:p>
            <w:r>
              <w:t>inclusion:criteria</w:t>
            </w:r>
          </w:p>
        </w:tc>
        <w:tc>
          <w:tcPr>
            <w:tcW w:type="dxa" w:w="4946"/>
          </w:tcPr>
          <w:p>
            <w:r>
              <w:t>1. incl.age：年龄≥18岁的成人试验参与者。 2. incl.diagnosis：诊断为慢性鼻窦炎伴鼻息肉。 3. incl.background：允许稳定背景鼻用激素并记录。</w:t>
            </w:r>
          </w:p>
        </w:tc>
      </w:tr>
      <w:tr>
        <w:tc>
          <w:tcPr>
            <w:tcW w:type="dxa" w:w="4946"/>
          </w:tcPr>
          <w:p>
            <w:r>
              <w:t>inclusion:parameters</w:t>
            </w:r>
          </w:p>
        </w:tc>
        <w:tc>
          <w:tcPr>
            <w:tcW w:type="dxa" w:w="4946"/>
          </w:tcPr>
          <w:p>
            <w:r>
              <w:t>age：成人（≥18岁）；diagnosis：慢性鼻窦炎伴鼻息肉；background_therapy：稳定背景鼻用激素允许并记录。</w:t>
            </w:r>
          </w:p>
        </w:tc>
      </w:tr>
      <w:tr>
        <w:tc>
          <w:tcPr>
            <w:tcW w:type="dxa" w:w="4946"/>
          </w:tcPr>
          <w:p>
            <w:r>
              <w:t>inclusion:windows</w:t>
            </w:r>
          </w:p>
        </w:tc>
        <w:tc>
          <w:tcPr>
            <w:tcW w:type="dxa" w:w="4946"/>
          </w:tcPr>
          <w:p>
            <w:r>
              <w:t>不适用。</w:t>
            </w:r>
          </w:p>
        </w:tc>
      </w:tr>
      <w:tr>
        <w:tc>
          <w:tcPr>
            <w:tcW w:type="dxa" w:w="4946"/>
          </w:tcPr>
          <w:p>
            <w:r>
              <w:t>inclusion:exceptions</w:t>
            </w:r>
          </w:p>
        </w:tc>
        <w:tc>
          <w:tcPr>
            <w:tcW w:type="dxa" w:w="4946"/>
          </w:tcPr>
          <w:p>
            <w:r>
              <w:t>无。</w:t>
            </w:r>
          </w:p>
        </w:tc>
      </w:tr>
      <w:tr>
        <w:tc>
          <w:tcPr>
            <w:tcW w:type="dxa" w:w="4946"/>
          </w:tcPr>
          <w:p>
            <w:r>
              <w:t>registry_identity</w:t>
            </w:r>
          </w:p>
        </w:tc>
        <w:tc>
          <w:tcPr>
            <w:tcW w:type="dxa" w:w="4946"/>
          </w:tcPr>
          <w:p>
            <w:r>
              <w:t>不适用；本研究不经登记库筛选入选。</w:t>
            </w:r>
          </w:p>
        </w:tc>
      </w:tr>
      <w:tr>
        <w:tc>
          <w:tcPr>
            <w:tcW w:type="dxa" w:w="4946"/>
          </w:tcPr>
          <w:p>
            <w:r>
              <w:t>registry_source_version</w:t>
            </w:r>
          </w:p>
        </w:tc>
        <w:tc>
          <w:tcPr>
            <w:tcW w:type="dxa" w:w="4946"/>
          </w:tcPr>
          <w:p>
            <w:r>
              <w:t>不适用。</w:t>
            </w:r>
          </w:p>
        </w:tc>
      </w:tr>
      <w:tr>
        <w:tc>
          <w:tcPr>
            <w:tcW w:type="dxa" w:w="4946"/>
          </w:tcPr>
          <w:p>
            <w:r>
              <w:t>registry_consistency_verification_date</w:t>
            </w:r>
          </w:p>
        </w:tc>
        <w:tc>
          <w:tcPr>
            <w:tcW w:type="dxa" w:w="4946"/>
          </w:tcPr>
          <w:p>
            <w:r>
              <w:t>不适用。</w:t>
            </w:r>
          </w:p>
        </w:tc>
      </w:tr>
    </w:tbl>
    <w:p>
      <w:r>
        <w:t>纳入时间窗和例外：纳入时间窗不适用；纳入例外为无。</w:t>
      </w:r>
    </w:p>
    <w:p>
      <w:r>
        <w:t>注册库一致性：本研究不经登记库筛选入选，注册库身份、来源版本及核对日期均不适用。资格一致性判断不采用药品注册分类替代。</w:t>
      </w:r>
    </w:p>
    <w:p>
      <w:r>
        <w:t>避孕与妊娠相关要求：有生育潜力的试验参与者及其伴侣应在研究期间及末次给药后按方案要求采取有效避孕措施；有生育潜力的女性试验参与者应在筛选期及研究期间按方案规定进行妊娠试验，结果阳性者应暂停或停止试验用药品并报告。</w:t>
      </w:r>
    </w:p>
    <w:p>
      <w:bookmarkStart w:id="7817" w:name="chap_v2_n_5_2"/>
      <w:pPr>
        <w:pStyle w:val="2"/>
      </w:pPr>
      <w:r>
        <w:t>排除标准</w:t>
      </w:r>
      <w:bookmarkEnd w:id="7817"/>
    </w:p>
    <w:p>
      <w:r>
        <w:t>本章排除标准适用于成人慢性鼻窦炎伴鼻息肉患者。排除判定采用任一适用条目命中即排除的布尔逻辑；不得因来源未列出某人口群体而自动推导排除。以下内容仅依据本项目已确认的排除模块事实，用于筛选期判定。</w:t>
      </w:r>
    </w:p>
    <w:p>
      <w:r>
        <w:t>项目排除标准包括：活动性鼻/鼻窦感染、既往鼻窦手术、全身激素依赖、未控制重大系统性疾病。上述任一标准命中即不入组；判定参数按各中心筛选期检查结果执行。每个限制均作为本项目目标人群筛选期排除模块的一部分，不因未列明其他人口群体而扩展排除。</w:t>
      </w:r>
    </w:p>
    <w:p>
      <w:r>
        <w:t>本项目排除标准无特殊例外；排除窗口不适用；不经登记库排除，登记库身份与登记库来源版本均不适用。</w:t>
      </w:r>
    </w:p>
    <w:p>
      <w:r>
        <w:t>妊娠/避孕相关排除标准引用纳入载体已登记的妊娠/避孕适用性事实。该项目事实确认：有生育潜力的试验参与者及其伴侣应在研究期间及末次给药后按方案要求采取有效避孕措施；有生育潜力的女性试验参与者应在筛选期及研究期间按方案规定进行妊娠试验，结果阳性者应暂停或停止试验用药品并报告。排除标准中相应引用为：育龄女性妊娠试验阴性并同意采取有效避孕（见排除标准）。本排除标准引用上述事实，不复制纳入标准的逆命题，也不另行设置通用期限。</w:t>
      </w:r>
    </w:p>
    <w:p>
      <w:bookmarkStart w:id="86450" w:name="tbl_22"/>
      <w:r>
        <w:t>表22 排除标准</w:t>
      </w:r>
      <w:bookmarkEnd w:id="86450"/>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排除逻辑</w:t>
            </w:r>
          </w:p>
        </w:tc>
        <w:tc>
          <w:tcPr>
            <w:tcW w:type="dxa" w:w="4946"/>
          </w:tcPr>
          <w:p>
            <w:r>
              <w:rPr>
                <w:b/>
              </w:rPr>
              <w:t>排除标准任一命中即不入组（any-applicable-criterion）。</w:t>
            </w:r>
          </w:p>
        </w:tc>
      </w:tr>
      <w:tr>
        <w:tc>
          <w:tcPr>
            <w:tcW w:type="dxa" w:w="4946"/>
          </w:tcPr>
          <w:p>
            <w:r>
              <w:t>排除标准</w:t>
            </w:r>
          </w:p>
        </w:tc>
        <w:tc>
          <w:tcPr>
            <w:tcW w:type="dxa" w:w="4946"/>
          </w:tcPr>
          <w:p>
            <w:r>
              <w:t>活动性鼻/鼻窦感染、既往鼻窦手术、全身激素依赖、未控制重大系统性疾病。</w:t>
            </w:r>
          </w:p>
        </w:tc>
      </w:tr>
      <w:tr>
        <w:tc>
          <w:tcPr>
            <w:tcW w:type="dxa" w:w="4946"/>
          </w:tcPr>
          <w:p>
            <w:r>
              <w:t>参数</w:t>
            </w:r>
          </w:p>
        </w:tc>
        <w:tc>
          <w:tcPr>
            <w:tcW w:type="dxa" w:w="4946"/>
          </w:tcPr>
          <w:p>
            <w:r>
              <w:t>按各中心筛选期检查结果判定。</w:t>
            </w:r>
          </w:p>
        </w:tc>
      </w:tr>
      <w:tr>
        <w:tc>
          <w:tcPr>
            <w:tcW w:type="dxa" w:w="4946"/>
          </w:tcPr>
          <w:p>
            <w:r>
              <w:t>窗口</w:t>
            </w:r>
          </w:p>
        </w:tc>
        <w:tc>
          <w:tcPr>
            <w:tcW w:type="dxa" w:w="4946"/>
          </w:tcPr>
          <w:p>
            <w:r>
              <w:t>不适用。</w:t>
            </w:r>
          </w:p>
        </w:tc>
      </w:tr>
      <w:tr>
        <w:tc>
          <w:tcPr>
            <w:tcW w:type="dxa" w:w="4946"/>
          </w:tcPr>
          <w:p>
            <w:r>
              <w:t>例外</w:t>
            </w:r>
          </w:p>
        </w:tc>
        <w:tc>
          <w:tcPr>
            <w:tcW w:type="dxa" w:w="4946"/>
          </w:tcPr>
          <w:p>
            <w:r>
              <w:t>无特殊例外。</w:t>
            </w:r>
          </w:p>
        </w:tc>
      </w:tr>
      <w:tr>
        <w:tc>
          <w:tcPr>
            <w:tcW w:type="dxa" w:w="4946"/>
          </w:tcPr>
          <w:p>
            <w:r>
              <w:t>登记库来源</w:t>
            </w:r>
          </w:p>
        </w:tc>
        <w:tc>
          <w:tcPr>
            <w:tcW w:type="dxa" w:w="4946"/>
          </w:tcPr>
          <w:p>
            <w:r>
              <w:t>不经登记库排除；登记库身份与登记库来源版本均不适用。</w:t>
            </w:r>
          </w:p>
        </w:tc>
      </w:tr>
      <w:tr>
        <w:tc>
          <w:tcPr>
            <w:tcW w:type="dxa" w:w="4946"/>
          </w:tcPr>
          <w:p>
            <w:r>
              <w:t>妊娠/避孕排除标准引用</w:t>
            </w:r>
          </w:p>
        </w:tc>
        <w:tc>
          <w:tcPr>
            <w:tcW w:type="dxa" w:w="4946"/>
          </w:tcPr>
          <w:p>
            <w:r>
              <w:t>育龄女性妊娠试验阴性并同意采取有效避孕（见排除标准）；引用纳入载体登记的妊娠/避孕适用性事实，不另行设置通用期限。</w:t>
            </w:r>
          </w:p>
        </w:tc>
      </w:tr>
    </w:tbl>
    <w:p>
      <w:bookmarkStart w:id="85005" w:name="chap_v2_n_5_3"/>
      <w:pPr>
        <w:pStyle w:val="2"/>
      </w:pPr>
      <w:r>
        <w:t>生活方式注意事项</w:t>
      </w:r>
      <w:bookmarkEnd w:id="85005"/>
    </w:p>
    <w:p>
      <w:r>
        <w:t>本节生活方式限制的项目确认范围为避孕要求、妊娠试验和妊娠暴露报告。妊娠/避孕条件已确认适用，避孕期限按项目事实执行：有生育潜力的试验参与者及其伴侣应在研究期间及末次给药后按方案要求采取有效避孕措施，不使用未确认的通用期限。</w:t>
      </w:r>
    </w:p>
    <w:p>
      <w:r>
        <w:t>时点安排为：避孕要求贯穿研究期间及末次给药后按方案要求；妊娠试验在筛选期及研究期间按方案规定进行；妊娠暴露在获知后立即报告申办者。若妊娠试验结果阳性，应暂停或停止试验用药品并报告。已确认例外为无；本节未列出的持续限制或必要禁用合并治疗应按项目已定义的干预与退出规则处理，不泛化为自动全研究终止。</w:t>
      </w:r>
    </w:p>
    <w:p>
      <w:r>
        <w:t>与人群和排除标准联动：纳入标准允许稳定背景鼻用激素并记录，要求年龄≥18岁且诊断为慢性鼻窦炎伴鼻息肉；排除标准包括活动性鼻/鼻窦感染、既往鼻窦手术治疗、全身激素依赖、未控制的重系统性疾病等，完整清单见排除标准。生活方式限制的执行不得替代上述纳入/排除判定，亦不得改变干预或退出规则。</w:t>
      </w:r>
    </w:p>
    <w:p>
      <w:bookmarkStart w:id="36231" w:name="tbl_23"/>
      <w:r>
        <w:t>表23 生活方式注意事项</w:t>
      </w:r>
      <w:bookmarkEnd w:id="36231"/>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w:t>
            </w:r>
          </w:p>
        </w:tc>
        <w:tc>
          <w:tcPr>
            <w:tcW w:type="dxa" w:w="4946"/>
          </w:tcPr>
          <w:p>
            <w:r>
              <w:rPr>
                <w:b/>
              </w:rPr>
              <w:t>项目确认内容</w:t>
            </w:r>
          </w:p>
        </w:tc>
      </w:tr>
      <w:tr>
        <w:tc>
          <w:tcPr>
            <w:tcW w:type="dxa" w:w="4946"/>
          </w:tcPr>
          <w:p>
            <w:r>
              <w:t>生活方式限制</w:t>
            </w:r>
          </w:p>
        </w:tc>
        <w:tc>
          <w:tcPr>
            <w:tcW w:type="dxa" w:w="4946"/>
          </w:tcPr>
          <w:p>
            <w:r>
              <w:t>避孕要求、妊娠试验和妊娠暴露报告。</w:t>
            </w:r>
          </w:p>
        </w:tc>
      </w:tr>
      <w:tr>
        <w:tc>
          <w:tcPr>
            <w:tcW w:type="dxa" w:w="4946"/>
          </w:tcPr>
          <w:p>
            <w:r>
              <w:t>范围</w:t>
            </w:r>
          </w:p>
        </w:tc>
        <w:tc>
          <w:tcPr>
            <w:tcW w:type="dxa" w:w="4946"/>
          </w:tcPr>
          <w:p>
            <w:r>
              <w:t>避孕要求、妊娠试验和妊娠暴露报告。</w:t>
            </w:r>
          </w:p>
        </w:tc>
      </w:tr>
      <w:tr>
        <w:tc>
          <w:tcPr>
            <w:tcW w:type="dxa" w:w="4946"/>
          </w:tcPr>
          <w:p>
            <w:r>
              <w:t>时点</w:t>
            </w:r>
          </w:p>
        </w:tc>
        <w:tc>
          <w:tcPr>
            <w:tcW w:type="dxa" w:w="4946"/>
          </w:tcPr>
          <w:p>
            <w:r>
              <w:t>避孕：研究期间及末次给药后按方案要求；妊娠试验：筛选期及研究期间按方案规定；妊娠暴露报告：获知后立即报告。</w:t>
            </w:r>
          </w:p>
        </w:tc>
      </w:tr>
      <w:tr>
        <w:tc>
          <w:tcPr>
            <w:tcW w:type="dxa" w:w="4946"/>
          </w:tcPr>
          <w:p>
            <w:r>
              <w:t>例外</w:t>
            </w:r>
          </w:p>
        </w:tc>
        <w:tc>
          <w:tcPr>
            <w:tcW w:type="dxa" w:w="4946"/>
          </w:tcPr>
          <w:p>
            <w:r>
              <w:t>无已确认例外。</w:t>
            </w:r>
          </w:p>
        </w:tc>
      </w:tr>
      <w:tr>
        <w:tc>
          <w:tcPr>
            <w:tcW w:type="dxa" w:w="4946"/>
          </w:tcPr>
          <w:p>
            <w:r>
              <w:t>避孕处理</w:t>
            </w:r>
          </w:p>
        </w:tc>
        <w:tc>
          <w:tcPr>
            <w:tcW w:type="dxa" w:w="4946"/>
          </w:tcPr>
          <w:p>
            <w:r>
              <w:t>有生育潜力的试验参与者及其伴侣应在研究期间及末次给药后按方案要求采取有效避孕措施；有生育潜力的女性试验参与者在筛选期及研究期间按方案规定进行妊娠试验，阳性者应暂停或停止试验用药品并报告；试验参与者或男性试验参与者伴侣发生妊娠暴露后应在获知后立即报告申办者。</w:t>
            </w:r>
          </w:p>
        </w:tc>
      </w:tr>
      <w:tr>
        <w:tc>
          <w:tcPr>
            <w:tcW w:type="dxa" w:w="4946"/>
          </w:tcPr>
          <w:p>
            <w:r>
              <w:t>避孕期限</w:t>
            </w:r>
          </w:p>
        </w:tc>
        <w:tc>
          <w:tcPr>
            <w:tcW w:type="dxa" w:w="4946"/>
          </w:tcPr>
          <w:p>
            <w:r>
              <w:t>研究期间及末次给药后按方案要求。</w:t>
            </w:r>
          </w:p>
        </w:tc>
      </w:tr>
    </w:tbl>
    <w:p>
      <w:bookmarkStart w:id="25219" w:name="chap_v2_n_5_4"/>
      <w:pPr>
        <w:pStyle w:val="2"/>
      </w:pPr>
      <w:r>
        <w:t>筛选失败</w:t>
      </w:r>
      <w:bookmarkEnd w:id="25219"/>
    </w:p>
    <w:p>
      <w:r>
        <w:t>筛选期按项目入排标准完成资格评估。已确认的入选模块包括：年龄≥18岁的成人试验参与者；诊断为慢性鼻窦炎伴鼻息肉；允许稳定背景鼻用激素并记录。已确认的排除模块包括：活动性鼻/鼻窦感染、既往鼻窦手术治疗、全身激素依赖、未控制的重系统性疾病等（完整清单见排除标准）。筛选失败定义为试验参与者在筛选期未满足全部入选标准或存在排除标准，且未进入随机化；在筛选期资格评估完成并确认不能随机化时判定。</w:t>
      </w:r>
    </w:p>
    <w:p>
      <w:r>
        <w:t>复筛安排：本项目不允许复筛。筛选失败者不进行随机化；仅确认符合全部入排标准后按1:1随机分配，并按中心分层。已同意但未随机化不自动等同标准筛选失败，需记录参与状态和原因。</w:t>
      </w:r>
    </w:p>
    <w:p>
      <w:r>
        <w:t>筛选失败原因限于未满足全部入选标准或满足排除标准。筛选评估异常时可在随机化前重复相关评估以确认资格；重复评估日期、结果和最终入排判断需记录。筛选失败记录应包含筛选失败日期、未满足的入选标准或排除标准、重复评估日期和结果（如适用）及最终入排判断，记录来源为源文件和eCRF。</w:t>
      </w:r>
    </w:p>
    <w:p>
      <w:bookmarkStart w:id="33109" w:name="tbl_24"/>
      <w:r>
        <w:t>表24 筛选失败</w:t>
      </w:r>
      <w:bookmarkEnd w:id="33109"/>
    </w:p>
    <w:tbl>
      <w:tblPr>
        <w:tblStyle w:val="28"/>
        <w:tblW w:type="auto" w:w="0"/>
        <w:tblLook w:firstColumn="1" w:firstRow="1" w:lastColumn="0" w:lastRow="0" w:noHBand="0" w:noVBand="1" w:val="04A0"/>
      </w:tblPr>
      <w:tblGrid>
        <w:gridCol w:w="4946"/>
        <w:gridCol w:w="4946"/>
      </w:tblGrid>
      <w:tr>
        <w:tc>
          <w:tcPr>
            <w:tcW w:type="dxa" w:w="4946"/>
          </w:tcPr>
          <w:p>
            <w:r>
              <w:t>筛选失败定义</w:t>
            </w:r>
          </w:p>
        </w:tc>
        <w:tc>
          <w:tcPr>
            <w:tcW w:type="dxa" w:w="4946"/>
          </w:tcPr>
          <w:p>
            <w:r>
              <w:t>试验参与者在筛选期未满足全部入选标准或存在排除标准，且未进入随机化。在筛选期资格评估完成并确认不能随机化时判定。</w:t>
            </w:r>
          </w:p>
        </w:tc>
      </w:tr>
      <w:tr>
        <w:tc>
          <w:tcPr>
            <w:tcW w:type="dxa" w:w="4946"/>
          </w:tcPr>
          <w:p>
            <w:r>
              <w:t>允许的筛选失败原因</w:t>
            </w:r>
          </w:p>
        </w:tc>
        <w:tc>
          <w:tcPr>
            <w:tcW w:type="dxa" w:w="4946"/>
          </w:tcPr>
          <w:p>
            <w:r>
              <w:t>未满足全部入选标准；满足排除标准。</w:t>
            </w:r>
          </w:p>
        </w:tc>
      </w:tr>
      <w:tr>
        <w:tc>
          <w:tcPr>
            <w:tcW w:type="dxa" w:w="4946"/>
          </w:tcPr>
          <w:p>
            <w:r>
              <w:t>筛选失败判定与重复评估时点</w:t>
            </w:r>
          </w:p>
        </w:tc>
        <w:tc>
          <w:tcPr>
            <w:tcW w:type="dxa" w:w="4946"/>
          </w:tcPr>
          <w:p>
            <w:r>
              <w:t>在随机化前完成资格确认；筛选评估异常时可在随机化前重复相关评估以确认资格，重复评估日期、结果和最终入排判断需记录。</w:t>
            </w:r>
          </w:p>
        </w:tc>
      </w:tr>
      <w:tr>
        <w:tc>
          <w:tcPr>
            <w:tcW w:type="dxa" w:w="4946"/>
          </w:tcPr>
          <w:p>
            <w:r>
              <w:t>筛选失败记录</w:t>
            </w:r>
          </w:p>
        </w:tc>
        <w:tc>
          <w:tcPr>
            <w:tcW w:type="dxa" w:w="4946"/>
          </w:tcPr>
          <w:p>
            <w:r>
              <w:t>记录字段：筛选失败日期；未满足的入选标准或排除标准；重复评估日期和结果（如适用）；最终入排判断。记录来源：源文件和eCRF。</w:t>
            </w:r>
          </w:p>
        </w:tc>
      </w:tr>
      <w:tr>
        <w:tc>
          <w:tcPr>
            <w:tcW w:type="dxa" w:w="4946"/>
          </w:tcPr>
          <w:p>
            <w:r>
              <w:t>复筛安排</w:t>
            </w:r>
          </w:p>
        </w:tc>
        <w:tc>
          <w:tcPr>
            <w:tcW w:type="dxa" w:w="4946"/>
          </w:tcPr>
          <w:p>
            <w:r>
              <w:t>本项目不允许复筛。</w:t>
            </w:r>
          </w:p>
        </w:tc>
      </w:tr>
      <w:tr>
        <w:tc>
          <w:tcPr>
            <w:tcW w:type="dxa" w:w="4946"/>
          </w:tcPr>
          <w:p>
            <w:r>
              <w:t>随机化状态</w:t>
            </w:r>
          </w:p>
        </w:tc>
        <w:tc>
          <w:tcPr>
            <w:tcW w:type="dxa" w:w="4946"/>
          </w:tcPr>
          <w:p>
            <w:r>
              <w:t>筛选失败者不进行随机化；仅确认符合全部入排标准后按1:1随机分配，并按中心分层。</w:t>
            </w:r>
          </w:p>
        </w:tc>
      </w:tr>
      <w:tr>
        <w:tc>
          <w:tcPr>
            <w:tcW w:type="dxa" w:w="4946"/>
          </w:tcPr>
          <w:p>
            <w:r>
              <w:t>参与状态区分</w:t>
            </w:r>
          </w:p>
        </w:tc>
        <w:tc>
          <w:tcPr>
            <w:tcW w:type="dxa" w:w="4946"/>
          </w:tcPr>
          <w:p>
            <w:r>
              <w:t>已同意但未随机化不自动等同标准筛选失败，需记录参与状态和原因。</w:t>
            </w:r>
          </w:p>
        </w:tc>
      </w:tr>
    </w:tbl>
    <w:p>
      <w:bookmarkStart w:id="27593" w:name="chap_v2_n_5_5"/>
      <w:pPr>
        <w:pStyle w:val="2"/>
      </w:pPr>
      <w:r>
        <w:t>试验参与者招募与保留</w:t>
      </w:r>
      <w:bookmarkEnd w:id="27593"/>
    </w:p>
    <w:p>
      <w:r>
        <w:t>本研究的试验参与者人群为成人慢性鼻窦炎伴鼻息肉患者，计划随机约404例（每组约202例），采用1:1随机化并按照研究中心分层；允许稳定背景鼻用激素并记录。分析集为FAS（ITT原则），按随机分组进行分析。样本量按安慰剂组20%、试验组35%、双侧α=0.05、效能90%及8%失访膨胀计算，无期中分析。</w:t>
      </w:r>
    </w:p>
    <w:p>
      <w:r>
        <w:t>招募渠道包括合作研究中心相应专科门诊筛选及经伦理批准的招募材料；研究中心公开联系电话，且仅使用伦理委员会批准的招募材料。招募材料及其他试验参与者相关文件须获得伦理委员会批准后方可使用；方案和知情同意书采用版本号和日期控制，研究中心仅使用伦理委员会批准的最新版本。研究开始前，方案、知情同意书、招募材料及其他试验参与者相关文件须获得伦理委员会批准；批准文件和成员名单归档。主要研究者负责本中心伦理审查申请、伦理委员会沟通、方案依从和安全性报告；申办者负责提供必要文件并确保多中心研究按统一伦理要求管理；研究期间按伦理委员会要求提交继续审查和修正案审查。上述内容为伦理审查计划，不表示相关批准已完成。</w:t>
      </w:r>
    </w:p>
    <w:p>
      <w:r>
        <w:t>筛选期从签署知情同意书开始，完成入排标准确认、基线评估和背景治疗稳定性确认；确认符合全部入排标准并完成随机化后，第1天开始首次给药。</w:t>
      </w:r>
    </w:p>
    <w:p>
      <w:r>
        <w:t>保留策略通过方案规定的访视窗、安全性随访、不良事件和合并用药记录、依从性记录、失访联系程序和退出管理提高保留。试验参与者停用研究干预但未撤回知情同意时，继续按方案收集安全性和疗效随访数据。仅停用研究干预者继续随访至第24周；因不良事件停药者随访至事件稳定或恢复，并按医学监查要求完成安全性随访；撤回知情同意者不进行进一步研究随访。安全性随访按治疗期访视及末次给药后第24周评估进行；如发生不良事件，随访至事件消退或稳定。第24周访视窗口及随访到期后，通过电话、短信或邮件、信件等经批准的联系方式至少进行3次联系尝试，尽量覆盖不同日期和时段；仅使用试验参与者授权联系方式。经至少3次合理联系尝试仍无法联系且无明确撤回同意者，由研究者审核分类为失访；后续恢复联系时按方案评估是否继续随访。试验参与者撤回知情同意后不再收集新数据，除非法规要求或试验参与者另行同意；已收集数据按预定义分析计划使用。</w:t>
      </w:r>
    </w:p>
    <w:p>
      <w:bookmarkStart w:id="17016" w:name="tbl_25"/>
      <w:r>
        <w:t>表25 试验参与者招募与保留</w:t>
      </w:r>
      <w:bookmarkEnd w:id="17016"/>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要素</w:t>
            </w:r>
          </w:p>
        </w:tc>
        <w:tc>
          <w:tcPr>
            <w:tcW w:type="dxa" w:w="4946"/>
          </w:tcPr>
          <w:p>
            <w:r>
              <w:rPr>
                <w:b/>
              </w:rPr>
              <w:t>项目化内容</w:t>
            </w:r>
          </w:p>
        </w:tc>
      </w:tr>
      <w:tr>
        <w:tc>
          <w:tcPr>
            <w:tcW w:type="dxa" w:w="4946"/>
          </w:tcPr>
          <w:p>
            <w:r>
              <w:t>招募目标</w:t>
            </w:r>
          </w:p>
        </w:tc>
        <w:tc>
          <w:tcPr>
            <w:tcW w:type="dxa" w:w="4946"/>
          </w:tcPr>
          <w:p>
            <w:r>
              <w:t>计划随机约404例（每组约202例），1:1，按中心分层，8%失访膨胀。</w:t>
            </w:r>
          </w:p>
        </w:tc>
      </w:tr>
      <w:tr>
        <w:tc>
          <w:tcPr>
            <w:tcW w:type="dxa" w:w="4946"/>
          </w:tcPr>
          <w:p>
            <w:r>
              <w:t>招募渠道</w:t>
            </w:r>
          </w:p>
        </w:tc>
        <w:tc>
          <w:tcPr>
            <w:tcW w:type="dxa" w:w="4946"/>
          </w:tcPr>
          <w:p>
            <w:r>
              <w:t>合作研究中心相应专科门诊筛选；招募材料须经伦理委员会批准后方可使用。</w:t>
            </w:r>
          </w:p>
        </w:tc>
      </w:tr>
      <w:tr>
        <w:tc>
          <w:tcPr>
            <w:tcW w:type="dxa" w:w="4946"/>
          </w:tcPr>
          <w:p>
            <w:r>
              <w:t>可行性</w:t>
            </w:r>
          </w:p>
        </w:tc>
        <w:tc>
          <w:tcPr>
            <w:tcW w:type="dxa" w:w="4946"/>
          </w:tcPr>
          <w:p>
            <w:r>
              <w:t>样本量按安慰剂组20%、试验组35%、双侧α=0.05、效能90%、8%失访膨胀计算；无期中分析。</w:t>
            </w:r>
          </w:p>
        </w:tc>
      </w:tr>
      <w:tr>
        <w:tc>
          <w:tcPr>
            <w:tcW w:type="dxa" w:w="4946"/>
          </w:tcPr>
          <w:p>
            <w:r>
              <w:t>材料审查</w:t>
            </w:r>
          </w:p>
        </w:tc>
        <w:tc>
          <w:tcPr>
            <w:tcW w:type="dxa" w:w="4946"/>
          </w:tcPr>
          <w:p>
            <w:r>
              <w:t>招募材料及其他试验参与者相关文件须获得伦理委员会批准后方可使用；方案和知情同意书采用版本号和日期控制；研究中心仅使用伦理委员会批准的最新版本。</w:t>
            </w:r>
          </w:p>
        </w:tc>
      </w:tr>
      <w:tr>
        <w:tc>
          <w:tcPr>
            <w:tcW w:type="dxa" w:w="4946"/>
          </w:tcPr>
          <w:p>
            <w:r>
              <w:t>联系措施</w:t>
            </w:r>
          </w:p>
        </w:tc>
        <w:tc>
          <w:tcPr>
            <w:tcW w:type="dxa" w:w="4946"/>
          </w:tcPr>
          <w:p>
            <w:r>
              <w:t>研究中心公开联系电话；仅使用伦理批准的招募材料。</w:t>
            </w:r>
          </w:p>
        </w:tc>
      </w:tr>
      <w:tr>
        <w:tc>
          <w:tcPr>
            <w:tcW w:type="dxa" w:w="4946"/>
          </w:tcPr>
          <w:p>
            <w:r>
              <w:t>访视措施</w:t>
            </w:r>
          </w:p>
        </w:tc>
        <w:tc>
          <w:tcPr>
            <w:tcW w:type="dxa" w:w="4946"/>
          </w:tcPr>
          <w:p>
            <w:r>
              <w:t>筛选期从签署知情同意书开始，完成入排标准确认、基线评估和背景治疗稳定性确认；确认符合全部入排标准并完成随机化后，第1天开始首次给药。</w:t>
            </w:r>
          </w:p>
        </w:tc>
      </w:tr>
      <w:tr>
        <w:tc>
          <w:tcPr>
            <w:tcW w:type="dxa" w:w="4946"/>
          </w:tcPr>
          <w:p>
            <w:r>
              <w:t>保留策略</w:t>
            </w:r>
          </w:p>
        </w:tc>
        <w:tc>
          <w:tcPr>
            <w:tcW w:type="dxa" w:w="4946"/>
          </w:tcPr>
          <w:p>
            <w:r>
              <w:t>通过方案规定的访视窗、安全性随访、不良事件和合并用药记录、依从性记录、失访联系程序和退出管理提高保留；试验参与者停用研究干预但未撤回知情同意时，继续按方案收集安全性和疗效随访数据；撤回知情同意后不再收集新数据，除非法规要求或试验参与者另行同意，已收集数据按预定义分析计划使用；第24周访视窗口及随访到期后，通过电话、短信或邮件、信件等经批准的联系方式至少进行3次联系尝试，尽量覆盖不同日期和时段；仅使用试验参与者授权联系方式。</w:t>
            </w:r>
          </w:p>
        </w:tc>
      </w:tr>
      <w:tr>
        <w:tc>
          <w:tcPr>
            <w:tcW w:type="dxa" w:w="4946"/>
          </w:tcPr>
          <w:p>
            <w:r>
              <w:t>随访与失访处理</w:t>
            </w:r>
          </w:p>
        </w:tc>
        <w:tc>
          <w:tcPr>
            <w:tcW w:type="dxa" w:w="4946"/>
          </w:tcPr>
          <w:p>
            <w:r>
              <w:t>仅停用研究干预者继续随访至第24周；因不良事件停药者随访至事件稳定或恢复，并按医学监查要求完成安全性随访；撤回知情同意者不进行进一步研究随访；安全性随访按治疗期访视及末次给药后第24周评估进行；如发生不良事件，随访至事件消退或稳定；经至少3次合理联系尝试仍无法联系且无明确撤回同意者，由研究者审核分类为失访；后续恢复联系时按方案评估是否继续随访。</w:t>
            </w:r>
          </w:p>
        </w:tc>
      </w:tr>
    </w:tbl>
    <w:p>
      <w:r>
        <w:t>本研究已确认适用参与者补偿安排。试验相关损害由申办方依法承担赔偿责任并提供相应补偿；申办方为本试验购买临床试验责任保险；补偿与损害处理条款以临床试验协议为准。研究者立即处置并记录试验相关损害；申办方承担治疗费用并依法补偿。补偿与损害处理的负责联系人为申办方医学监察员及药物安全负责人（联系方式见中心启动资料）。</w:t>
      </w:r>
    </w:p>
    <w:p>
      <w:bookmarkStart w:id="84370" w:name="chap_v2_n_6_1_1"/>
      <w:pPr>
        <w:pStyle w:val="3"/>
      </w:pPr>
      <w:r>
        <w:t>研究药物描述</w:t>
      </w:r>
      <w:bookmarkEnd w:id="84370"/>
    </w:p>
    <w:p>
      <w:r>
        <w:t>本节研究药物为合成药X注射制剂（合成药X），作用机制为IL-4Rα拮抗；对照为生理盐水安慰剂。研究药物剂型为注射制剂，规格为150 mg/1.0 mL，给药途径为皮下注射（皮下给药）。</w:t>
      </w:r>
    </w:p>
    <w:p>
      <w:r>
        <w:t>研究药物暴露剂量为150 mg（1.0 mL），皮下给药。给药方案为：第1、8、15、22天每周一次，共4次；第36天起每两周一次，至第24周末次给药。生理盐水安慰剂为1.0 mL，皮下注射，同体积、同途径、同频率。</w:t>
      </w:r>
    </w:p>
    <w:p>
      <w:r>
        <w:t>上述研究药物身份、剂型、给药途径、暴露剂量及安慰剂信息均绑定本项目已确认产品权威事实（intervention.product_authority），未采用模板示例剂量或非本项目产品描述。</w:t>
      </w:r>
    </w:p>
    <w:p>
      <w:bookmarkStart w:id="19783" w:name="tbl_26"/>
      <w:r>
        <w:t>表26 研究药物描述</w:t>
      </w:r>
      <w:bookmarkEnd w:id="19783"/>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w:t>
            </w:r>
          </w:p>
        </w:tc>
        <w:tc>
          <w:tcPr>
            <w:tcW w:type="dxa" w:w="4946"/>
          </w:tcPr>
          <w:p>
            <w:r>
              <w:rPr>
                <w:b/>
              </w:rPr>
              <w:t>内容</w:t>
            </w:r>
          </w:p>
        </w:tc>
      </w:tr>
      <w:tr>
        <w:tc>
          <w:tcPr>
            <w:tcW w:type="dxa" w:w="4946"/>
          </w:tcPr>
          <w:p>
            <w:r>
              <w:t>研究药物身份</w:t>
            </w:r>
          </w:p>
        </w:tc>
        <w:tc>
          <w:tcPr>
            <w:tcW w:type="dxa" w:w="4946"/>
          </w:tcPr>
          <w:p>
            <w:r>
              <w:t>合成药X注射制剂（合成药X）；作用机制：IL-4Rα拮抗。</w:t>
            </w:r>
          </w:p>
        </w:tc>
      </w:tr>
      <w:tr>
        <w:tc>
          <w:tcPr>
            <w:tcW w:type="dxa" w:w="4946"/>
          </w:tcPr>
          <w:p>
            <w:r>
              <w:t>剂型与规格</w:t>
            </w:r>
          </w:p>
        </w:tc>
        <w:tc>
          <w:tcPr>
            <w:tcW w:type="dxa" w:w="4946"/>
          </w:tcPr>
          <w:p>
            <w:r>
              <w:t>注射制剂；规格：150 mg/1.0 mL。</w:t>
            </w:r>
          </w:p>
        </w:tc>
      </w:tr>
      <w:tr>
        <w:tc>
          <w:tcPr>
            <w:tcW w:type="dxa" w:w="4946"/>
          </w:tcPr>
          <w:p>
            <w:r>
              <w:t>给药途径</w:t>
            </w:r>
          </w:p>
        </w:tc>
        <w:tc>
          <w:tcPr>
            <w:tcW w:type="dxa" w:w="4946"/>
          </w:tcPr>
          <w:p>
            <w:r>
              <w:t>皮下注射（皮下给药）。</w:t>
            </w:r>
          </w:p>
        </w:tc>
      </w:tr>
      <w:tr>
        <w:tc>
          <w:tcPr>
            <w:tcW w:type="dxa" w:w="4946"/>
          </w:tcPr>
          <w:p>
            <w:r>
              <w:t>暴露剂量与给药频率</w:t>
            </w:r>
          </w:p>
        </w:tc>
        <w:tc>
          <w:tcPr>
            <w:tcW w:type="dxa" w:w="4946"/>
          </w:tcPr>
          <w:p>
            <w:r>
              <w:t>150 mg（1.0 mL），皮下给药。第1、8、15、22天每周一次，共4次；第36天起每两周一次，至第24周末次给药。</w:t>
            </w:r>
          </w:p>
        </w:tc>
      </w:tr>
      <w:tr>
        <w:tc>
          <w:tcPr>
            <w:tcW w:type="dxa" w:w="4946"/>
          </w:tcPr>
          <w:p>
            <w:r>
              <w:t>安慰剂/对照</w:t>
            </w:r>
          </w:p>
        </w:tc>
        <w:tc>
          <w:tcPr>
            <w:tcW w:type="dxa" w:w="4946"/>
          </w:tcPr>
          <w:p>
            <w:r>
              <w:t>生理盐水1.0 mL，皮下注射，同体积、同途径、同频率。</w:t>
            </w:r>
          </w:p>
        </w:tc>
      </w:tr>
      <w:tr>
        <w:tc>
          <w:tcPr>
            <w:tcW w:type="dxa" w:w="4946"/>
          </w:tcPr>
          <w:p>
            <w:r>
              <w:t>产品权威来源</w:t>
            </w:r>
          </w:p>
        </w:tc>
        <w:tc>
          <w:tcPr>
            <w:tcW w:type="dxa" w:w="4946"/>
          </w:tcPr>
          <w:p>
            <w:r>
              <w:t>本项目已确认产品权威事实（intervention.product_authority）：名称：合成药X；身份：合成药X注射制剂；剂型：注射制剂；规格：150 mg/1.0 mL；给药途径：皮下给药；安慰剂：生理盐水1.0 mL，皮下注射，同体积、同途径、同频率；作用机制：IL-4Rα拮抗。</w:t>
            </w:r>
          </w:p>
        </w:tc>
      </w:tr>
    </w:tbl>
    <w:p>
      <w:bookmarkStart w:id="64631" w:name="chap_v2_n_6_1_2"/>
      <w:pPr>
        <w:pStyle w:val="3"/>
      </w:pPr>
      <w:r>
        <w:t>研究药物给药方案</w:t>
      </w:r>
      <w:bookmarkEnd w:id="64631"/>
    </w:p>
    <w:p>
      <w:r>
        <w:t>本章节描述合成药X组与安慰剂组的给药方案、给药操作、剂量一致性、给药暂停/降低/恢复/永久停药及漏给药处理。本方案不设剂量递增或DLT安排；未要求常规剂量调整；不采用模板示例等级阈值作为项目规则。</w:t>
      </w:r>
    </w:p>
    <w:p>
      <w:r>
        <w:t>给药操作：合成药X组为合成药X 150 mg/1.0 mL皮下注射；第1、8、15、22天每周一次负荷给药共4次，第36天起每两周一次维持给药至第24周末次给药。安慰剂组为生理盐水1.0 mL皮下注射；同体积、同途径、同频率给药。</w:t>
      </w:r>
    </w:p>
    <w:p>
      <w:bookmarkStart w:id="37326" w:name="tbl_27"/>
      <w:r>
        <w:t>表27 研究药物给药方案</w:t>
      </w:r>
      <w:bookmarkEnd w:id="37326"/>
    </w:p>
    <w:tbl>
      <w:tblPr>
        <w:tblStyle w:val="28"/>
        <w:tblW w:type="auto" w:w="0"/>
        <w:tblLook w:firstColumn="1" w:firstRow="1" w:lastColumn="0" w:lastRow="0" w:noHBand="0" w:noVBand="1" w:val="04A0"/>
      </w:tblPr>
      <w:tblGrid>
        <w:gridCol w:w="1236"/>
        <w:gridCol w:w="1236"/>
        <w:gridCol w:w="1236"/>
        <w:gridCol w:w="1236"/>
        <w:gridCol w:w="1236"/>
        <w:gridCol w:w="1236"/>
        <w:gridCol w:w="1236"/>
        <w:gridCol w:w="1236"/>
      </w:tblGrid>
      <w:tr>
        <w:trPr>
          <w:tblHeader w:val="true"/>
        </w:trPr>
        <w:tc>
          <w:tcPr>
            <w:tcW w:type="dxa" w:w="1236"/>
          </w:tcPr>
          <w:p>
            <w:r>
              <w:rPr>
                <w:b/>
              </w:rPr>
              <w:t>组别</w:t>
            </w:r>
          </w:p>
        </w:tc>
        <w:tc>
          <w:tcPr>
            <w:tcW w:type="dxa" w:w="1236"/>
          </w:tcPr>
          <w:p>
            <w:r>
              <w:rPr>
                <w:b/>
              </w:rPr>
              <w:t>阶段</w:t>
            </w:r>
          </w:p>
        </w:tc>
        <w:tc>
          <w:tcPr>
            <w:tcW w:type="dxa" w:w="1236"/>
          </w:tcPr>
          <w:p>
            <w:r>
              <w:rPr>
                <w:b/>
              </w:rPr>
              <w:t>给药时间</w:t>
            </w:r>
          </w:p>
        </w:tc>
        <w:tc>
          <w:tcPr>
            <w:tcW w:type="dxa" w:w="1236"/>
          </w:tcPr>
          <w:p>
            <w:r>
              <w:rPr>
                <w:b/>
              </w:rPr>
              <w:t>途径</w:t>
            </w:r>
          </w:p>
        </w:tc>
        <w:tc>
          <w:tcPr>
            <w:tcW w:type="dxa" w:w="1236"/>
          </w:tcPr>
          <w:p>
            <w:r>
              <w:rPr>
                <w:b/>
              </w:rPr>
              <w:t>剂量/体积</w:t>
            </w:r>
          </w:p>
        </w:tc>
        <w:tc>
          <w:tcPr>
            <w:tcW w:type="dxa" w:w="1236"/>
          </w:tcPr>
          <w:p>
            <w:r>
              <w:rPr>
                <w:b/>
              </w:rPr>
              <w:t>频率/间隔</w:t>
            </w:r>
          </w:p>
        </w:tc>
        <w:tc>
          <w:tcPr>
            <w:tcW w:type="dxa" w:w="1236"/>
          </w:tcPr>
          <w:p>
            <w:r>
              <w:rPr>
                <w:b/>
              </w:rPr>
              <w:t>给药持续时间/末次给药</w:t>
            </w:r>
          </w:p>
        </w:tc>
        <w:tc>
          <w:tcPr>
            <w:tcW w:type="dxa" w:w="1236"/>
          </w:tcPr>
          <w:p>
            <w:r>
              <w:rPr>
                <w:b/>
              </w:rPr>
              <w:t>给药操作指令</w:t>
            </w:r>
          </w:p>
        </w:tc>
      </w:tr>
      <w:tr>
        <w:tc>
          <w:tcPr>
            <w:tcW w:type="dxa" w:w="1236"/>
          </w:tcPr>
          <w:p>
            <w:r>
              <w:t>合成药X组</w:t>
            </w:r>
          </w:p>
        </w:tc>
        <w:tc>
          <w:tcPr>
            <w:tcW w:type="dxa" w:w="1236"/>
          </w:tcPr>
          <w:p>
            <w:r>
              <w:t>负荷给药期</w:t>
            </w:r>
          </w:p>
        </w:tc>
        <w:tc>
          <w:tcPr>
            <w:tcW w:type="dxa" w:w="1236"/>
          </w:tcPr>
          <w:p>
            <w:r>
              <w:t>第1、8、15、22天</w:t>
            </w:r>
          </w:p>
        </w:tc>
        <w:tc>
          <w:tcPr>
            <w:tcW w:type="dxa" w:w="1236"/>
          </w:tcPr>
          <w:p>
            <w:r>
              <w:t>皮下给药</w:t>
            </w:r>
          </w:p>
        </w:tc>
        <w:tc>
          <w:tcPr>
            <w:tcW w:type="dxa" w:w="1236"/>
          </w:tcPr>
          <w:p>
            <w:r>
              <w:t>合成药X注射制剂150 mg/1.0 mL</w:t>
            </w:r>
          </w:p>
        </w:tc>
        <w:tc>
          <w:tcPr>
            <w:tcW w:type="dxa" w:w="1236"/>
          </w:tcPr>
          <w:p>
            <w:r>
              <w:t>每周一次，共4次</w:t>
            </w:r>
          </w:p>
        </w:tc>
        <w:tc>
          <w:tcPr>
            <w:tcW w:type="dxa" w:w="1236"/>
          </w:tcPr>
          <w:p>
            <w:r>
              <w:t>第1天至第22天；第1、8、15、22天给药</w:t>
            </w:r>
          </w:p>
        </w:tc>
        <w:tc>
          <w:tcPr>
            <w:tcW w:type="dxa" w:w="1236"/>
          </w:tcPr>
          <w:p>
            <w:r>
              <w:t>150 mg/1.0 mL皮下注射；每周一次负荷给药共4次。</w:t>
            </w:r>
          </w:p>
        </w:tc>
      </w:tr>
      <w:tr>
        <w:tc>
          <w:tcPr>
            <w:tcW w:type="dxa" w:w="1236"/>
          </w:tcPr>
          <w:p>
            <w:r>
              <w:t>合成药X组</w:t>
            </w:r>
          </w:p>
        </w:tc>
        <w:tc>
          <w:tcPr>
            <w:tcW w:type="dxa" w:w="1236"/>
          </w:tcPr>
          <w:p>
            <w:r>
              <w:t>维持给药期</w:t>
            </w:r>
          </w:p>
        </w:tc>
        <w:tc>
          <w:tcPr>
            <w:tcW w:type="dxa" w:w="1236"/>
          </w:tcPr>
          <w:p>
            <w:r>
              <w:t>第36天起至第24周（末次给药）</w:t>
            </w:r>
          </w:p>
        </w:tc>
        <w:tc>
          <w:tcPr>
            <w:tcW w:type="dxa" w:w="1236"/>
          </w:tcPr>
          <w:p>
            <w:r>
              <w:t>皮下给药</w:t>
            </w:r>
          </w:p>
        </w:tc>
        <w:tc>
          <w:tcPr>
            <w:tcW w:type="dxa" w:w="1236"/>
          </w:tcPr>
          <w:p>
            <w:r>
              <w:t>合成药X注射制剂150 mg/1.0 mL</w:t>
            </w:r>
          </w:p>
        </w:tc>
        <w:tc>
          <w:tcPr>
            <w:tcW w:type="dxa" w:w="1236"/>
          </w:tcPr>
          <w:p>
            <w:r>
              <w:t>每两周一次</w:t>
            </w:r>
          </w:p>
        </w:tc>
        <w:tc>
          <w:tcPr>
            <w:tcW w:type="dxa" w:w="1236"/>
          </w:tcPr>
          <w:p>
            <w:r>
              <w:t>第36天起至第24周（末次给药）</w:t>
            </w:r>
          </w:p>
        </w:tc>
        <w:tc>
          <w:tcPr>
            <w:tcW w:type="dxa" w:w="1236"/>
          </w:tcPr>
          <w:p>
            <w:r>
              <w:t>150 mg/1.0 mL皮下注射；每两周一次维持给药至第24周末次给药。</w:t>
            </w:r>
          </w:p>
        </w:tc>
      </w:tr>
      <w:tr>
        <w:tc>
          <w:tcPr>
            <w:tcW w:type="dxa" w:w="1236"/>
          </w:tcPr>
          <w:p>
            <w:r>
              <w:t>安慰剂组</w:t>
            </w:r>
          </w:p>
        </w:tc>
        <w:tc>
          <w:tcPr>
            <w:tcW w:type="dxa" w:w="1236"/>
          </w:tcPr>
          <w:p>
            <w:r>
              <w:t>负荷给药期</w:t>
            </w:r>
          </w:p>
        </w:tc>
        <w:tc>
          <w:tcPr>
            <w:tcW w:type="dxa" w:w="1236"/>
          </w:tcPr>
          <w:p>
            <w:r>
              <w:t>第1、8、15、22天</w:t>
            </w:r>
          </w:p>
        </w:tc>
        <w:tc>
          <w:tcPr>
            <w:tcW w:type="dxa" w:w="1236"/>
          </w:tcPr>
          <w:p>
            <w:r>
              <w:t>皮下注射</w:t>
            </w:r>
          </w:p>
        </w:tc>
        <w:tc>
          <w:tcPr>
            <w:tcW w:type="dxa" w:w="1236"/>
          </w:tcPr>
          <w:p>
            <w:r>
              <w:t>生理盐水1.0 mL</w:t>
            </w:r>
          </w:p>
        </w:tc>
        <w:tc>
          <w:tcPr>
            <w:tcW w:type="dxa" w:w="1236"/>
          </w:tcPr>
          <w:p>
            <w:r>
              <w:t>每周一次，共4次</w:t>
            </w:r>
          </w:p>
        </w:tc>
        <w:tc>
          <w:tcPr>
            <w:tcW w:type="dxa" w:w="1236"/>
          </w:tcPr>
          <w:p>
            <w:r>
              <w:t>第1天至第22天；第1、8、15、22天给药</w:t>
            </w:r>
          </w:p>
        </w:tc>
        <w:tc>
          <w:tcPr>
            <w:tcW w:type="dxa" w:w="1236"/>
          </w:tcPr>
          <w:p>
            <w:r>
              <w:t>生理盐水1.0 mL皮下注射；同体积、同途径、同频率给药。</w:t>
            </w:r>
          </w:p>
        </w:tc>
      </w:tr>
      <w:tr>
        <w:tc>
          <w:tcPr>
            <w:tcW w:type="dxa" w:w="1236"/>
          </w:tcPr>
          <w:p>
            <w:r>
              <w:t>安慰剂组</w:t>
            </w:r>
          </w:p>
        </w:tc>
        <w:tc>
          <w:tcPr>
            <w:tcW w:type="dxa" w:w="1236"/>
          </w:tcPr>
          <w:p>
            <w:r>
              <w:t>维持给药期</w:t>
            </w:r>
          </w:p>
        </w:tc>
        <w:tc>
          <w:tcPr>
            <w:tcW w:type="dxa" w:w="1236"/>
          </w:tcPr>
          <w:p>
            <w:r>
              <w:t>第36天起至第24周（末次给药）</w:t>
            </w:r>
          </w:p>
        </w:tc>
        <w:tc>
          <w:tcPr>
            <w:tcW w:type="dxa" w:w="1236"/>
          </w:tcPr>
          <w:p>
            <w:r>
              <w:t>皮下注射</w:t>
            </w:r>
          </w:p>
        </w:tc>
        <w:tc>
          <w:tcPr>
            <w:tcW w:type="dxa" w:w="1236"/>
          </w:tcPr>
          <w:p>
            <w:r>
              <w:t>生理盐水1.0 mL</w:t>
            </w:r>
          </w:p>
        </w:tc>
        <w:tc>
          <w:tcPr>
            <w:tcW w:type="dxa" w:w="1236"/>
          </w:tcPr>
          <w:p>
            <w:r>
              <w:t>每两周一次</w:t>
            </w:r>
          </w:p>
        </w:tc>
        <w:tc>
          <w:tcPr>
            <w:tcW w:type="dxa" w:w="1236"/>
          </w:tcPr>
          <w:p>
            <w:r>
              <w:t>第36天起至第24周（末次给药）</w:t>
            </w:r>
          </w:p>
        </w:tc>
        <w:tc>
          <w:tcPr>
            <w:tcW w:type="dxa" w:w="1236"/>
          </w:tcPr>
          <w:p>
            <w:r>
              <w:t>生理盐水1.0 mL皮下注射；同体积、同途径、同频率给药。</w:t>
            </w:r>
          </w:p>
        </w:tc>
      </w:tr>
    </w:tbl>
    <w:p>
      <w:r>
        <w:t>本节给药方案与设计章节及SoA一致：合成药X组与安慰剂组采用相同给药体积（1.0 mL）、相同途径（皮下注射）和相同给药频率；合成药X剂量为150 mg，符合已确认给药方案。</w:t>
      </w:r>
    </w:p>
    <w:p>
      <w:r>
        <w:t>给药暂停、降低、恢复、永久停药与漏给药按以下项目特定条件处理；各自动作条件相互独立，不以模板示例等级阈值替代。</w:t>
      </w:r>
    </w:p>
    <w:p>
      <w:bookmarkStart w:id="78418" w:name="tbl_28"/>
      <w:r>
        <w:t>表28 研究药物给药方案</w:t>
      </w:r>
      <w:bookmarkEnd w:id="78418"/>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动作</w:t>
            </w:r>
          </w:p>
        </w:tc>
        <w:tc>
          <w:tcPr>
            <w:tcW w:type="dxa" w:w="2473"/>
          </w:tcPr>
          <w:p>
            <w:r>
              <w:rPr>
                <w:b/>
              </w:rPr>
              <w:t>项目特定条件/触发</w:t>
            </w:r>
          </w:p>
        </w:tc>
        <w:tc>
          <w:tcPr>
            <w:tcW w:type="dxa" w:w="2473"/>
          </w:tcPr>
          <w:p>
            <w:r>
              <w:rPr>
                <w:b/>
              </w:rPr>
              <w:t>处理/恢复要求</w:t>
            </w:r>
          </w:p>
        </w:tc>
        <w:tc>
          <w:tcPr>
            <w:tcW w:type="dxa" w:w="2473"/>
          </w:tcPr>
          <w:p>
            <w:r>
              <w:rPr>
                <w:b/>
              </w:rPr>
              <w:t>记录与随访</w:t>
            </w:r>
          </w:p>
        </w:tc>
      </w:tr>
      <w:tr>
        <w:tc>
          <w:tcPr>
            <w:tcW w:type="dxa" w:w="2473"/>
          </w:tcPr>
          <w:p>
            <w:r>
              <w:t>暂停给药</w:t>
            </w:r>
          </w:p>
        </w:tc>
        <w:tc>
          <w:tcPr>
            <w:tcW w:type="dxa" w:w="2473"/>
          </w:tcPr>
          <w:p>
            <w:r>
              <w:t>发生遗漏、延迟或需暂停给药时；处理遗漏或暂停时保持双盲。本方案未设定常规补给药规则。</w:t>
            </w:r>
          </w:p>
        </w:tc>
        <w:tc>
          <w:tcPr>
            <w:tcW w:type="dxa" w:w="2473"/>
          </w:tcPr>
          <w:p>
            <w:r>
              <w:t>暂停期间继续按计划进行安全性和疗效随访，除非试验参与者退出；遗漏、延迟或暂停给药不得自行补用或调整剂量。</w:t>
            </w:r>
          </w:p>
        </w:tc>
        <w:tc>
          <w:tcPr>
            <w:tcW w:type="dxa" w:w="2473"/>
          </w:tcPr>
          <w:p>
            <w:r>
              <w:t>记录发生日期、原因、持续时间、是否恢复、恢复日期及实际给药调整。</w:t>
            </w:r>
          </w:p>
        </w:tc>
      </w:tr>
      <w:tr>
        <w:tc>
          <w:tcPr>
            <w:tcW w:type="dxa" w:w="2473"/>
          </w:tcPr>
          <w:p>
            <w:r>
              <w:t>降低剂量</w:t>
            </w:r>
          </w:p>
        </w:tc>
        <w:tc>
          <w:tcPr>
            <w:tcW w:type="dxa" w:w="2473"/>
          </w:tcPr>
          <w:p>
            <w:r>
              <w:t>本方案未设定常规剂量降低路径（已确认事实：dose_modification_required=false）。</w:t>
            </w:r>
          </w:p>
        </w:tc>
        <w:tc>
          <w:tcPr>
            <w:tcW w:type="dxa" w:w="2473"/>
          </w:tcPr>
          <w:p>
            <w:r>
              <w:t>不得自行降低或调整剂量；若达到永久停药标准，则永久停止研究干预。</w:t>
            </w:r>
          </w:p>
        </w:tc>
        <w:tc>
          <w:tcPr>
            <w:tcW w:type="dxa" w:w="2473"/>
          </w:tcPr>
          <w:p>
            <w:r>
              <w:t>记录实际给药调整；若发生永久停药，按永久停药记录要求执行。</w:t>
            </w:r>
          </w:p>
        </w:tc>
      </w:tr>
      <w:tr>
        <w:tc>
          <w:tcPr>
            <w:tcW w:type="dxa" w:w="2473"/>
          </w:tcPr>
          <w:p>
            <w:r>
              <w:t>恢复给药</w:t>
            </w:r>
          </w:p>
        </w:tc>
        <w:tc>
          <w:tcPr>
            <w:tcW w:type="dxa" w:w="2473"/>
          </w:tcPr>
          <w:p>
            <w:r>
              <w:t>暂停、遗漏或延迟后拟恢复给药时；需由研究者评估并符合方案和医学监查要求。</w:t>
            </w:r>
          </w:p>
        </w:tc>
        <w:tc>
          <w:tcPr>
            <w:tcW w:type="dxa" w:w="2473"/>
          </w:tcPr>
          <w:p>
            <w:r>
              <w:t>由研究者评估并符合方案和医学监查要求后方可恢复；若达到永久停药标准则永久停止研究干预。</w:t>
            </w:r>
          </w:p>
        </w:tc>
        <w:tc>
          <w:tcPr>
            <w:tcW w:type="dxa" w:w="2473"/>
          </w:tcPr>
          <w:p>
            <w:r>
              <w:t>记录恢复日期及实际给药调整。</w:t>
            </w:r>
          </w:p>
        </w:tc>
      </w:tr>
      <w:tr>
        <w:tc>
          <w:tcPr>
            <w:tcW w:type="dxa" w:w="2473"/>
          </w:tcPr>
          <w:p>
            <w:r>
              <w:t>永久停药</w:t>
            </w:r>
          </w:p>
        </w:tc>
        <w:tc>
          <w:tcPr>
            <w:tcW w:type="dxa" w:w="2473"/>
          </w:tcPr>
          <w:p>
            <w:r>
              <w:t>试验参与者撤回知情同意或明确要求永久停止研究干预；发生与试验药物相关的严重不良事件或不可耐受毒性，研究者判断继续给药风险大于获益；发生重度过敏或超敏反应，或需紧急处理的系统性反应；具有临床意义的实验室检查、生命体征或其他安全性异常经重复确认，且研究者或医学监查员判断需永久停药；研究者判断继续给药不符合试验参与者最佳利益；申办者、伦理委员会或监管机构要求永久停止。</w:t>
            </w:r>
          </w:p>
        </w:tc>
        <w:tc>
          <w:tcPr>
            <w:tcW w:type="dxa" w:w="2473"/>
          </w:tcPr>
          <w:p>
            <w:r>
              <w:t>达到上述任一标准时永久停止研究干预，并按方案继续安全性随访；撤回知情同意者不再进行新的研究相关操作。</w:t>
            </w:r>
          </w:p>
        </w:tc>
        <w:tc>
          <w:tcPr>
            <w:tcW w:type="dxa" w:w="2473"/>
          </w:tcPr>
          <w:p>
            <w:r>
              <w:t>因不良事件停药者随访至事件稳定或恢复，并按医学监查要求完成安全性随访；撤回知情同意者不进行进一步研究随访。永久停止研究干预需在eCRF中记录日期、原因、与试验药物关系、是否达到方案定义标准、是否继续研究随访；相关不良事件或严重不良事件按GCP和安全性报告流程报告。</w:t>
            </w:r>
          </w:p>
        </w:tc>
      </w:tr>
      <w:tr>
        <w:tc>
          <w:tcPr>
            <w:tcW w:type="dxa" w:w="2473"/>
          </w:tcPr>
          <w:p>
            <w:r>
              <w:t>漏给药</w:t>
            </w:r>
          </w:p>
        </w:tc>
        <w:tc>
          <w:tcPr>
            <w:tcW w:type="dxa" w:w="2473"/>
          </w:tcPr>
          <w:p>
            <w:r>
              <w:t>发生遗漏、延迟或暂停给药时。</w:t>
            </w:r>
          </w:p>
        </w:tc>
        <w:tc>
          <w:tcPr>
            <w:tcW w:type="dxa" w:w="2473"/>
          </w:tcPr>
          <w:p>
            <w:r>
              <w:t>本方案未设定常规补给药规则；遗漏、延迟或暂停给药不得自行补用或调整剂量；处理时保持双盲。</w:t>
            </w:r>
          </w:p>
        </w:tc>
        <w:tc>
          <w:tcPr>
            <w:tcW w:type="dxa" w:w="2473"/>
          </w:tcPr>
          <w:p>
            <w:r>
              <w:t>记录发生日期、原因、持续时间、是否恢复、恢复日期及实际给药调整。</w:t>
            </w:r>
          </w:p>
        </w:tc>
      </w:tr>
      <w:tr>
        <w:tc>
          <w:tcPr>
            <w:tcW w:type="dxa" w:w="2473"/>
          </w:tcPr>
          <w:p>
            <w:r>
              <w:t>药物过量与给药错误</w:t>
            </w:r>
          </w:p>
        </w:tc>
        <w:tc>
          <w:tcPr>
            <w:tcW w:type="dxa" w:w="2473"/>
          </w:tcPr>
          <w:p>
            <w:r>
              <w:t>已确认研究事实未提供项目特定触发条件；本节不自行设定阈值。</w:t>
            </w:r>
          </w:p>
        </w:tc>
        <w:tc>
          <w:tcPr>
            <w:tcW w:type="dxa" w:w="2473"/>
          </w:tcPr>
          <w:p>
            <w:r>
              <w:t>已确认研究事实未提供项目特定处理流程；不得仅以SOP引用替代。</w:t>
            </w:r>
          </w:p>
        </w:tc>
        <w:tc>
          <w:tcPr>
            <w:tcW w:type="dxa" w:w="2473"/>
          </w:tcPr>
          <w:p>
            <w:r>
              <w:t>已确认研究事实未提供记录要求；后续需按已确认事实核对补充。</w:t>
            </w:r>
          </w:p>
        </w:tc>
      </w:tr>
    </w:tbl>
    <w:p>
      <w:r>
        <w:t>与食物关系及配制：不适用（皮下注射）。</w:t>
      </w:r>
    </w:p>
    <w:p>
      <w:bookmarkStart w:id="21392" w:name="chap_v2_n_6_2_1"/>
      <w:pPr>
        <w:pStyle w:val="3"/>
      </w:pPr>
      <w:r>
        <w:t>药物接收和清点</w:t>
      </w:r>
      <w:bookmarkEnd w:id="21392"/>
    </w:p>
    <w:p>
      <w:r>
        <w:t>本章节规定试验用药品接收、清点、储存、发放、使用、回收、返还和销毁的责任方、项目特定操作与可追溯记录。研究者对研究中心试验用药品接收、清点、储存、发放、使用、回收和记录负总体责任；申办者负责提供试验用药品、标签、运输和销毁授权，并监督药物管理符合方案、GCP和适用法规；监查员核查药物管理记录与源文件，确认数量一致、储存合规和盲态维持。</w:t>
      </w:r>
    </w:p>
    <w:p>
      <w:r>
        <w:t>接收时核对申办者发运清单、药物名称/安慰剂、规格/体积、批号、数量、有效期、包装完整性和标签；记录接收日期、接收人、运输条件和温度偏离（如有）。接收后按标签规定条件储存，隔离过期、破损或异常药物。任何数量、标签、包装或温度偏离均应记录、调查并向申办者报告。</w:t>
      </w:r>
    </w:p>
    <w:p>
      <w:bookmarkStart w:id="53335" w:name="tbl_29"/>
      <w:r>
        <w:t>表29 药物接收和清点</w:t>
      </w:r>
      <w:bookmarkEnd w:id="53335"/>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环节</w:t>
            </w:r>
          </w:p>
        </w:tc>
        <w:tc>
          <w:tcPr>
            <w:tcW w:type="dxa" w:w="2473"/>
          </w:tcPr>
          <w:p>
            <w:r>
              <w:rPr>
                <w:b/>
              </w:rPr>
              <w:t>项目特定操作与条件</w:t>
            </w:r>
          </w:p>
        </w:tc>
        <w:tc>
          <w:tcPr>
            <w:tcW w:type="dxa" w:w="2473"/>
          </w:tcPr>
          <w:p>
            <w:r>
              <w:rPr>
                <w:b/>
              </w:rPr>
              <w:t>责任方</w:t>
            </w:r>
          </w:p>
        </w:tc>
        <w:tc>
          <w:tcPr>
            <w:tcW w:type="dxa" w:w="2473"/>
          </w:tcPr>
          <w:p>
            <w:r>
              <w:rPr>
                <w:b/>
              </w:rPr>
              <w:t>记录字段/可追溯要求</w:t>
            </w:r>
          </w:p>
        </w:tc>
      </w:tr>
      <w:tr>
        <w:tc>
          <w:tcPr>
            <w:tcW w:type="dxa" w:w="2473"/>
          </w:tcPr>
          <w:p>
            <w:r>
              <w:t>接收身份核验</w:t>
            </w:r>
          </w:p>
        </w:tc>
        <w:tc>
          <w:tcPr>
            <w:tcW w:type="dxa" w:w="2473"/>
          </w:tcPr>
          <w:p>
            <w:r>
              <w:t>接收时核对申办者发运清单、药物名称/安慰剂、规格/体积、批号、数量、有效期、包装完整性和标签；记录接收日期、接收人、运输条件和温度偏离（如有）。</w:t>
            </w:r>
          </w:p>
        </w:tc>
        <w:tc>
          <w:tcPr>
            <w:tcW w:type="dxa" w:w="2473"/>
          </w:tcPr>
          <w:p>
            <w:r>
              <w:t>研究者对研究中心试验用药品接收、清点、储存负总体责任；具体操作由研究者或其授权并经培训的临床试验人员执行。</w:t>
            </w:r>
          </w:p>
        </w:tc>
        <w:tc>
          <w:tcPr>
            <w:tcW w:type="dxa" w:w="2473"/>
          </w:tcPr>
          <w:p>
            <w:r>
              <w:t>接收日期、接收人、运输条件、温度偏离（如有）、药物名称/安慰剂、规格/体积、批号、数量、有效期、包装完整性和标签核对结果。</w:t>
            </w:r>
          </w:p>
        </w:tc>
      </w:tr>
      <w:tr>
        <w:tc>
          <w:tcPr>
            <w:tcW w:type="dxa" w:w="2473"/>
          </w:tcPr>
          <w:p>
            <w:r>
              <w:t>储存与隔离</w:t>
            </w:r>
          </w:p>
        </w:tc>
        <w:tc>
          <w:tcPr>
            <w:tcW w:type="dxa" w:w="2473"/>
          </w:tcPr>
          <w:p>
            <w:r>
              <w:t>接收后按标签规定条件储存；隔离过期、破损或异常药物。</w:t>
            </w:r>
          </w:p>
        </w:tc>
        <w:tc>
          <w:tcPr>
            <w:tcW w:type="dxa" w:w="2473"/>
          </w:tcPr>
          <w:p>
            <w:r>
              <w:t>研究者或授权人员负责储存与隔离；监查员核查储存合规。</w:t>
            </w:r>
          </w:p>
        </w:tc>
        <w:tc>
          <w:tcPr>
            <w:tcW w:type="dxa" w:w="2473"/>
          </w:tcPr>
          <w:p>
            <w:r>
              <w:t>储存条件记录；过期、破损或异常药物隔离及处理记录。</w:t>
            </w:r>
          </w:p>
        </w:tc>
      </w:tr>
      <w:tr>
        <w:tc>
          <w:tcPr>
            <w:tcW w:type="dxa" w:w="2473"/>
          </w:tcPr>
          <w:p>
            <w:r>
              <w:t>清点与数量一致性</w:t>
            </w:r>
          </w:p>
        </w:tc>
        <w:tc>
          <w:tcPr>
            <w:tcW w:type="dxa" w:w="2473"/>
          </w:tcPr>
          <w:p>
            <w:r>
              <w:t>建立药物接收、储存、发放、使用、回收、返还和销毁清点记录，定期盘点并保持数量一致。</w:t>
            </w:r>
          </w:p>
        </w:tc>
        <w:tc>
          <w:tcPr>
            <w:tcW w:type="dxa" w:w="2473"/>
          </w:tcPr>
          <w:p>
            <w:r>
              <w:t>研究者负总体责任；授权人员执行清点；监查员核查数量一致。</w:t>
            </w:r>
          </w:p>
        </w:tc>
        <w:tc>
          <w:tcPr>
            <w:tcW w:type="dxa" w:w="2473"/>
          </w:tcPr>
          <w:p>
            <w:r>
              <w:t>接收、储存、发放、使用、回收、返还和销毁清点记录；定期盘点记录；数量一致性核对记录。</w:t>
            </w:r>
          </w:p>
        </w:tc>
      </w:tr>
      <w:tr>
        <w:tc>
          <w:tcPr>
            <w:tcW w:type="dxa" w:w="2473"/>
          </w:tcPr>
          <w:p>
            <w:r>
              <w:t>偏离处理</w:t>
            </w:r>
          </w:p>
        </w:tc>
        <w:tc>
          <w:tcPr>
            <w:tcW w:type="dxa" w:w="2473"/>
          </w:tcPr>
          <w:p>
            <w:r>
              <w:t>任何数量、标签、包装或温度偏离均应记录、调查并向申办者报告。</w:t>
            </w:r>
          </w:p>
        </w:tc>
        <w:tc>
          <w:tcPr>
            <w:tcW w:type="dxa" w:w="2473"/>
          </w:tcPr>
          <w:p>
            <w:r>
              <w:t>发现人记录；研究者或授权人员调查；申办者接收报告。</w:t>
            </w:r>
          </w:p>
        </w:tc>
        <w:tc>
          <w:tcPr>
            <w:tcW w:type="dxa" w:w="2473"/>
          </w:tcPr>
          <w:p>
            <w:r>
              <w:t>偏离记录、调查记录、向申办者报告记录及处理结果。</w:t>
            </w:r>
          </w:p>
        </w:tc>
      </w:tr>
      <w:tr>
        <w:tc>
          <w:tcPr>
            <w:tcW w:type="dxa" w:w="2473"/>
          </w:tcPr>
          <w:p>
            <w:r>
              <w:t>监查</w:t>
            </w:r>
          </w:p>
        </w:tc>
        <w:tc>
          <w:tcPr>
            <w:tcW w:type="dxa" w:w="2473"/>
          </w:tcPr>
          <w:p>
            <w:r>
              <w:t>监查员核查药物管理记录与源文件，确认数量一致、储存合规和盲态维持。</w:t>
            </w:r>
          </w:p>
        </w:tc>
        <w:tc>
          <w:tcPr>
            <w:tcW w:type="dxa" w:w="2473"/>
          </w:tcPr>
          <w:p>
            <w:r>
              <w:t>监查员；研究者或授权人员配合提供记录与源文件。</w:t>
            </w:r>
          </w:p>
        </w:tc>
        <w:tc>
          <w:tcPr>
            <w:tcW w:type="dxa" w:w="2473"/>
          </w:tcPr>
          <w:p>
            <w:r>
              <w:t>监查记录、核查发现及整改记录。</w:t>
            </w:r>
          </w:p>
        </w:tc>
      </w:tr>
    </w:tbl>
    <w:p>
      <w:r>
        <w:t>试验用药品按随机分配发放合成药X 150 mg/1.0 mL或生理盐水安慰剂1.0 mL；发放前核对随机号、药物标识、剂量/体积、给药日期和途径，保持双盲并记录实际发放。药物分配与盲态维持由不参与疗效评价的指定人员执行。试验参与者返还或研究中心回收未使用药物、空包装和剩余药物，记录日期、数量、批号及完整性。</w:t>
      </w:r>
    </w:p>
    <w:p>
      <w:bookmarkStart w:id="10916" w:name="tbl_30"/>
      <w:r>
        <w:t>表30 药物接收和清点</w:t>
      </w:r>
      <w:bookmarkEnd w:id="10916"/>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环节</w:t>
            </w:r>
          </w:p>
        </w:tc>
        <w:tc>
          <w:tcPr>
            <w:tcW w:type="dxa" w:w="2473"/>
          </w:tcPr>
          <w:p>
            <w:r>
              <w:rPr>
                <w:b/>
              </w:rPr>
              <w:t>项目特定操作与条件</w:t>
            </w:r>
          </w:p>
        </w:tc>
        <w:tc>
          <w:tcPr>
            <w:tcW w:type="dxa" w:w="2473"/>
          </w:tcPr>
          <w:p>
            <w:r>
              <w:rPr>
                <w:b/>
              </w:rPr>
              <w:t>责任方</w:t>
            </w:r>
          </w:p>
        </w:tc>
        <w:tc>
          <w:tcPr>
            <w:tcW w:type="dxa" w:w="2473"/>
          </w:tcPr>
          <w:p>
            <w:r>
              <w:rPr>
                <w:b/>
              </w:rPr>
              <w:t>记录字段/可追溯要求</w:t>
            </w:r>
          </w:p>
        </w:tc>
      </w:tr>
      <w:tr>
        <w:tc>
          <w:tcPr>
            <w:tcW w:type="dxa" w:w="2473"/>
          </w:tcPr>
          <w:p>
            <w:r>
              <w:t>发放与身份核验</w:t>
            </w:r>
          </w:p>
        </w:tc>
        <w:tc>
          <w:tcPr>
            <w:tcW w:type="dxa" w:w="2473"/>
          </w:tcPr>
          <w:p>
            <w:r>
              <w:t>按随机分配发放合成药X 150 mg/1.0 mL或生理盐水安慰剂1.0 mL；发放前核对随机号、药物标识、剂量/体积、给药日期和途径，保持双盲并记录实际发放。药物分配与盲态维持由不参与疗效评价的指定人员执行。</w:t>
            </w:r>
          </w:p>
        </w:tc>
        <w:tc>
          <w:tcPr>
            <w:tcW w:type="dxa" w:w="2473"/>
          </w:tcPr>
          <w:p>
            <w:r>
              <w:t>研究者或其授权并经培训的临床试验人员负责准备和给药；药物分配与盲态维持由不参与疗效评价的指定人员执行。</w:t>
            </w:r>
          </w:p>
        </w:tc>
        <w:tc>
          <w:tcPr>
            <w:tcW w:type="dxa" w:w="2473"/>
          </w:tcPr>
          <w:p>
            <w:r>
              <w:t>发放日期、随机号/试验参与者编号、药物标识、剂量/体积、给药日期、途径、数量、批号及实际发放记录；记录不得揭示治疗分配。</w:t>
            </w:r>
          </w:p>
        </w:tc>
      </w:tr>
      <w:tr>
        <w:tc>
          <w:tcPr>
            <w:tcW w:type="dxa" w:w="2473"/>
          </w:tcPr>
          <w:p>
            <w:r>
              <w:t>回收/返还</w:t>
            </w:r>
          </w:p>
        </w:tc>
        <w:tc>
          <w:tcPr>
            <w:tcW w:type="dxa" w:w="2473"/>
          </w:tcPr>
          <w:p>
            <w:r>
              <w:t>试验参与者返还或研究中心回收未使用药物、空包装和剩余药物，记录日期、数量、批号及完整性。</w:t>
            </w:r>
          </w:p>
        </w:tc>
        <w:tc>
          <w:tcPr>
            <w:tcW w:type="dxa" w:w="2473"/>
          </w:tcPr>
          <w:p>
            <w:r>
              <w:t>研究者或授权人员接收和记录；监查员核查。</w:t>
            </w:r>
          </w:p>
        </w:tc>
        <w:tc>
          <w:tcPr>
            <w:tcW w:type="dxa" w:w="2473"/>
          </w:tcPr>
          <w:p>
            <w:r>
              <w:t>回收/返还日期、数量、批号、完整性及试验参与者返还或研究中心回收记录。</w:t>
            </w:r>
          </w:p>
        </w:tc>
      </w:tr>
      <w:tr>
        <w:tc>
          <w:tcPr>
            <w:tcW w:type="dxa" w:w="2473"/>
          </w:tcPr>
          <w:p>
            <w:r>
              <w:t>准备、给药与依从性</w:t>
            </w:r>
          </w:p>
        </w:tc>
        <w:tc>
          <w:tcPr>
            <w:tcW w:type="dxa" w:w="2473"/>
          </w:tcPr>
          <w:p>
            <w:r>
              <w:t>准备、发放、给药和回收均需记录并接受监查；记录实际给药日期、剂量、体积、途径、是否按计划完成、延迟/遗漏/暂停原因及处理。</w:t>
            </w:r>
          </w:p>
        </w:tc>
        <w:tc>
          <w:tcPr>
            <w:tcW w:type="dxa" w:w="2473"/>
          </w:tcPr>
          <w:p>
            <w:r>
              <w:t>研究者或其授权并经培训的临床试验人员负责准备和给药；监查员监查。</w:t>
            </w:r>
          </w:p>
        </w:tc>
        <w:tc>
          <w:tcPr>
            <w:tcW w:type="dxa" w:w="2473"/>
          </w:tcPr>
          <w:p>
            <w:r>
              <w:t>注射给药记录、试验参与者日志或日记卡、源文件和CRF；实际给药日期、剂量、体积、途径、是否按计划完成、延迟/遗漏/暂停原因及处理；药物计数和依从性记录。</w:t>
            </w:r>
          </w:p>
        </w:tc>
      </w:tr>
      <w:tr>
        <w:tc>
          <w:tcPr>
            <w:tcW w:type="dxa" w:w="2473"/>
          </w:tcPr>
          <w:p>
            <w:r>
              <w:t>数量核对与差异</w:t>
            </w:r>
          </w:p>
        </w:tc>
        <w:tc>
          <w:tcPr>
            <w:tcW w:type="dxa" w:w="2473"/>
          </w:tcPr>
          <w:p>
            <w:r>
              <w:t>将发放、使用、回收、剩余和销毁数量进行核对，差异须调查并记录；涉及盲态时按紧急揭盲程序处理。</w:t>
            </w:r>
          </w:p>
        </w:tc>
        <w:tc>
          <w:tcPr>
            <w:tcW w:type="dxa" w:w="2473"/>
          </w:tcPr>
          <w:p>
            <w:r>
              <w:t>研究者或授权人员执行核对和调查；申办者监督；涉及盲态按紧急揭盲程序处理。</w:t>
            </w:r>
          </w:p>
        </w:tc>
        <w:tc>
          <w:tcPr>
            <w:tcW w:type="dxa" w:w="2473"/>
          </w:tcPr>
          <w:p>
            <w:r>
              <w:t>发放、使用、回收、剩余和销毁数量核对记录；差异调查记录；紧急揭盲程序相关记录（如适用）。</w:t>
            </w:r>
          </w:p>
        </w:tc>
      </w:tr>
      <w:tr>
        <w:tc>
          <w:tcPr>
            <w:tcW w:type="dxa" w:w="2473"/>
          </w:tcPr>
          <w:p>
            <w:r>
              <w:t>销毁授权与记录</w:t>
            </w:r>
          </w:p>
        </w:tc>
        <w:tc>
          <w:tcPr>
            <w:tcW w:type="dxa" w:w="2473"/>
          </w:tcPr>
          <w:p>
            <w:r>
              <w:t>研究药物销毁须经申办者书面授权；研究中心不得自行销毁。由研究者或申办者指定人员按适用法规、申办者SOP和机构要求执行。</w:t>
            </w:r>
          </w:p>
        </w:tc>
        <w:tc>
          <w:tcPr>
            <w:tcW w:type="dxa" w:w="2473"/>
          </w:tcPr>
          <w:p>
            <w:r>
              <w:t>申办者书面授权；研究者或申办者指定人员执行；见证人见证。</w:t>
            </w:r>
          </w:p>
        </w:tc>
        <w:tc>
          <w:tcPr>
            <w:tcW w:type="dxa" w:w="2473"/>
          </w:tcPr>
          <w:p>
            <w:r>
              <w:t>销毁日期、药物名称/安慰剂、批号、数量、销毁方式、执行人、授权人和见证人。</w:t>
            </w:r>
          </w:p>
        </w:tc>
      </w:tr>
      <w:tr>
        <w:tc>
          <w:tcPr>
            <w:tcW w:type="dxa" w:w="2473"/>
          </w:tcPr>
          <w:p>
            <w:r>
              <w:t>异常/破损/过期/温度偏离</w:t>
            </w:r>
          </w:p>
        </w:tc>
        <w:tc>
          <w:tcPr>
            <w:tcW w:type="dxa" w:w="2473"/>
          </w:tcPr>
          <w:p>
            <w:r>
              <w:t>异常、破损、过期或温度偏离记录及处理；任何数量、标签、包装或温度偏离均应记录、调查并向申办者报告。</w:t>
            </w:r>
          </w:p>
        </w:tc>
        <w:tc>
          <w:tcPr>
            <w:tcW w:type="dxa" w:w="2473"/>
          </w:tcPr>
          <w:p>
            <w:r>
              <w:t>发现人或授权人员记录；研究者调查；申办者接收报告。</w:t>
            </w:r>
          </w:p>
        </w:tc>
        <w:tc>
          <w:tcPr>
            <w:tcW w:type="dxa" w:w="2473"/>
          </w:tcPr>
          <w:p>
            <w:r>
              <w:t>异常、破损、过期或温度偏离记录及处理；调查和报告记录。</w:t>
            </w:r>
          </w:p>
        </w:tc>
      </w:tr>
    </w:tbl>
    <w:p>
      <w:r>
        <w:t>研究药物销毁须经申办者书面授权；研究中心不得自行销毁。销毁由研究者或申办者指定人员按适用法规、申办者SOP和机构要求执行，并记录销毁日期、药物名称/安慰剂、批号、数量、销毁方式、执行人、授权人和见证人。将发放、使用、回收、剩余和销毁数量进行核对，差异须调查并记录；涉及盲态时按紧急揭盲程序处理。</w:t>
      </w:r>
    </w:p>
    <w:p>
      <w:r>
        <w:t>药物管理记录不得揭示治疗分配；准备、发放、给药和回收均需记录并接受监查。记录来源包括药物发放/回收记录、注射给药记录、试验参与者日志或日记卡、源文件和CRF。</w:t>
      </w:r>
    </w:p>
    <w:p>
      <w:bookmarkStart w:id="89560" w:name="chap_v2_n_6_2_2"/>
      <w:pPr>
        <w:pStyle w:val="3"/>
      </w:pPr>
      <w:r>
        <w:t>剂型、外观、包装和标签</w:t>
      </w:r>
      <w:bookmarkEnd w:id="89560"/>
    </w:p>
    <w:p>
      <w:r>
        <w:t>本项目试验用药品的包装与标签安排如下。包装与标签文本以本项目已确认研究事实为准，并登记适用监管/操作核查状态。</w:t>
      </w:r>
    </w:p>
    <w:p>
      <w:bookmarkStart w:id="48979" w:name="tbl_31"/>
      <w:r>
        <w:t>表31 剂型、外观、包装和标签</w:t>
      </w:r>
      <w:bookmarkEnd w:id="48979"/>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产品</w:t>
            </w:r>
          </w:p>
        </w:tc>
        <w:tc>
          <w:tcPr>
            <w:tcW w:type="dxa" w:w="3297"/>
          </w:tcPr>
          <w:p>
            <w:r>
              <w:rPr>
                <w:b/>
              </w:rPr>
              <w:t>合成药X注射制剂150 mg/1.0 mL；安慰剂为生理盐水1.0 mL。</w:t>
            </w:r>
          </w:p>
        </w:tc>
        <w:tc>
          <w:tcPr>
            <w:tcW w:type="dxa" w:w="3297"/>
          </w:tcPr>
          <w:p>
            <w:r>
              <w:rPr>
                <w:b/>
              </w:rPr>
              <w:t>来源：本项目已确认研究事实（intervention.packaging_and_labeling）。</w:t>
            </w:r>
          </w:p>
        </w:tc>
      </w:tr>
      <w:tr>
        <w:tc>
          <w:tcPr>
            <w:tcW w:type="dxa" w:w="3297"/>
          </w:tcPr>
          <w:p>
            <w:r>
              <w:t>包装形式</w:t>
            </w:r>
          </w:p>
        </w:tc>
        <w:tc>
          <w:tcPr>
            <w:tcW w:type="dxa" w:w="3297"/>
          </w:tcPr>
          <w:p>
            <w:r>
              <w:t>按申办者提供的临床试验用药品包装供应；包装应保护产品、维持盲态并便于清点。</w:t>
            </w:r>
          </w:p>
        </w:tc>
        <w:tc>
          <w:tcPr>
            <w:tcW w:type="dxa" w:w="3297"/>
          </w:tcPr>
          <w:p>
            <w:r>
              <w:t>来源：本项目已确认研究事实（intervention.packaging_and_labeling）；版本：本次输入未提供独立包装版本号。</w:t>
            </w:r>
          </w:p>
        </w:tc>
      </w:tr>
      <w:tr>
        <w:tc>
          <w:tcPr>
            <w:tcW w:type="dxa" w:w="3297"/>
          </w:tcPr>
          <w:p>
            <w:r>
              <w:t>盲态管理</w:t>
            </w:r>
          </w:p>
        </w:tc>
        <w:tc>
          <w:tcPr>
            <w:tcW w:type="dxa" w:w="3297"/>
          </w:tcPr>
          <w:p>
            <w:r>
              <w:t>标签不得揭示治疗分配；如使用盲底或应急揭盲标签，按紧急揭盲程序管理。</w:t>
            </w:r>
          </w:p>
        </w:tc>
        <w:tc>
          <w:tcPr>
            <w:tcW w:type="dxa" w:w="3297"/>
          </w:tcPr>
          <w:p>
            <w:r>
              <w:t>来源：本项目已确认研究事实（intervention.packaging_and_labeling）。</w:t>
            </w:r>
          </w:p>
        </w:tc>
      </w:tr>
    </w:tbl>
    <w:p>
      <w:r>
        <w:t>标签文本采用本项目已确认内容，并登记监管/操作核查状态。本候选不作合规结论；未提供已完成核查记录时，不得以非本项目标签文本替代本项目标签文本。</w:t>
      </w:r>
    </w:p>
    <w:p>
      <w:bookmarkStart w:id="94957" w:name="tbl_32"/>
      <w:r>
        <w:t>表32 剂型、外观、包装和标签</w:t>
      </w:r>
      <w:bookmarkEnd w:id="94957"/>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标签文本</w:t>
            </w:r>
          </w:p>
        </w:tc>
        <w:tc>
          <w:tcPr>
            <w:tcW w:type="dxa" w:w="3297"/>
          </w:tcPr>
          <w:p>
            <w:r>
              <w:rPr>
                <w:b/>
              </w:rPr>
              <w:t>标签内容至少包括方案编号PV3-69F53457、随机号/试验参与者编号、药物名称或安慰剂、规格/体积、批号、有效期、储存条件、'仅供临床试验使用'及申办者信息。</w:t>
            </w:r>
          </w:p>
        </w:tc>
        <w:tc>
          <w:tcPr>
            <w:tcW w:type="dxa" w:w="3297"/>
          </w:tcPr>
          <w:p>
            <w:r>
              <w:rPr>
                <w:b/>
              </w:rPr>
              <w:t>来源：本项目已确认研究事实（intervention.label_text）；版本：本次输入未提供独立标签文本版本号。</w:t>
            </w:r>
          </w:p>
        </w:tc>
      </w:tr>
      <w:tr>
        <w:tc>
          <w:tcPr>
            <w:tcW w:type="dxa" w:w="3297"/>
          </w:tcPr>
          <w:p>
            <w:r>
              <w:t>标签语言</w:t>
            </w:r>
          </w:p>
        </w:tc>
        <w:tc>
          <w:tcPr>
            <w:tcW w:type="dxa" w:w="3297"/>
          </w:tcPr>
          <w:p>
            <w:r>
              <w:t>标签使用适用法规和伦理委员会批准的中文或中英文内容。</w:t>
            </w:r>
          </w:p>
        </w:tc>
        <w:tc>
          <w:tcPr>
            <w:tcW w:type="dxa" w:w="3297"/>
          </w:tcPr>
          <w:p>
            <w:r>
              <w:t>来源：本项目已确认研究事实（intervention.label_text）。</w:t>
            </w:r>
          </w:p>
        </w:tc>
      </w:tr>
      <w:tr>
        <w:tc>
          <w:tcPr>
            <w:tcW w:type="dxa" w:w="3297"/>
          </w:tcPr>
          <w:p>
            <w:r>
              <w:t>储存条件</w:t>
            </w:r>
          </w:p>
        </w:tc>
        <w:tc>
          <w:tcPr>
            <w:tcW w:type="dxa" w:w="3297"/>
          </w:tcPr>
          <w:p>
            <w:r>
              <w:t>2℃～8℃避光冷藏</w:t>
            </w:r>
          </w:p>
        </w:tc>
        <w:tc>
          <w:tcPr>
            <w:tcW w:type="dxa" w:w="3297"/>
          </w:tcPr>
          <w:p>
            <w:r>
              <w:t>来源：本项目已确认研究事实（intervention.label_text）。</w:t>
            </w:r>
          </w:p>
        </w:tc>
      </w:tr>
      <w:tr>
        <w:tc>
          <w:tcPr>
            <w:tcW w:type="dxa" w:w="3297"/>
          </w:tcPr>
          <w:p>
            <w:r>
              <w:t>监管/操作核查</w:t>
            </w:r>
          </w:p>
        </w:tc>
        <w:tc>
          <w:tcPr>
            <w:tcW w:type="dxa" w:w="3297"/>
          </w:tcPr>
        </w:tc>
        <w:tc>
          <w:tcPr>
            <w:tcW w:type="dxa" w:w="3297"/>
          </w:tcPr>
          <w:p>
            <w:r>
              <w:t>核查状态来源：本项目已确认研究事实（intervention.regulatory_labeling_check = 是）。</w:t>
            </w:r>
          </w:p>
        </w:tc>
      </w:tr>
    </w:tbl>
    <w:p>
      <w:pPr/>
      <w:r>
        <w:t xml:space="preserve"> 标签文本版本未在本次输入中单独提供，后续需补充核对；不得以非本项目标签文本替代本项目标签文本。</w:t>
      </w:r>
    </w:p>
    <w:p>
      <w:bookmarkStart w:id="32391" w:name="chap_v2_n_6_2_3"/>
      <w:pPr>
        <w:pStyle w:val="3"/>
      </w:pPr>
      <w:r>
        <w:t>产品储存和稳定性</w:t>
      </w:r>
      <w:bookmarkEnd w:id="32391"/>
    </w:p>
    <w:p>
      <w:r>
        <w:t>试验用药品应按申办者提供的临床试验用药品标签和研究者手册规定储存，保持原包装并标识“仅供临床试验使用”。生理盐水安慰剂按相同要求储存，包装和标签维持盲态。</w:t>
      </w:r>
    </w:p>
    <w:p>
      <w:r>
        <w:t>储存期间应定期记录和审查储存温度；发生温度偏离时隔离药物并报告申办者评估。</w:t>
      </w:r>
    </w:p>
    <w:p>
      <w:bookmarkStart w:id="96765" w:name="tbl_33"/>
      <w:r>
        <w:t>表33 产品储存和稳定性</w:t>
      </w:r>
      <w:bookmarkEnd w:id="96765"/>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项目</w:t>
            </w:r>
          </w:p>
        </w:tc>
        <w:tc>
          <w:tcPr>
            <w:tcW w:type="dxa" w:w="3297"/>
          </w:tcPr>
          <w:p>
            <w:r>
              <w:rPr>
                <w:b/>
              </w:rPr>
              <w:t>要求/条件</w:t>
            </w:r>
          </w:p>
        </w:tc>
        <w:tc>
          <w:tcPr>
            <w:tcW w:type="dxa" w:w="3297"/>
          </w:tcPr>
          <w:p>
            <w:r>
              <w:rPr>
                <w:b/>
              </w:rPr>
              <w:t>单位/适用范围</w:t>
            </w:r>
          </w:p>
        </w:tc>
      </w:tr>
      <w:tr>
        <w:tc>
          <w:tcPr>
            <w:tcW w:type="dxa" w:w="3297"/>
          </w:tcPr>
          <w:p>
            <w:r>
              <w:t>储存条件</w:t>
            </w:r>
          </w:p>
        </w:tc>
        <w:tc>
          <w:tcPr>
            <w:tcW w:type="dxa" w:w="3297"/>
          </w:tcPr>
          <w:p>
            <w:r>
              <w:t>按申办者提供的临床试验用药品标签和研究者手册规定储存；保持原包装并标识“仅供临床试验使用”。</w:t>
            </w:r>
          </w:p>
        </w:tc>
        <w:tc>
          <w:tcPr>
            <w:tcW w:type="dxa" w:w="3297"/>
          </w:tcPr>
          <w:p>
            <w:r>
              <w:t>2℃～8℃避光冷藏</w:t>
            </w:r>
          </w:p>
        </w:tc>
      </w:tr>
      <w:tr>
        <w:tc>
          <w:tcPr>
            <w:tcW w:type="dxa" w:w="3297"/>
          </w:tcPr>
          <w:p>
            <w:r>
              <w:t>稳定性处理</w:t>
            </w:r>
          </w:p>
        </w:tc>
        <w:tc>
          <w:tcPr>
            <w:tcW w:type="dxa" w:w="3297"/>
          </w:tcPr>
          <w:p>
            <w:r>
              <w:t>按申办者提供的稳定性数据和标签要求储存、运输和使用；未获稳定性支持的条件不得使用。发生温度偏离时，应立即隔离并报告申办者，按申办者评估决定是否可用或销毁。</w:t>
            </w:r>
          </w:p>
        </w:tc>
        <w:tc>
          <w:tcPr>
            <w:tcW w:type="dxa" w:w="3297"/>
          </w:tcPr>
          <w:p>
            <w:r>
              <w:t>按标签/研究者手册及申办者稳定性数据执行</w:t>
            </w:r>
          </w:p>
        </w:tc>
      </w:tr>
      <w:tr>
        <w:tc>
          <w:tcPr>
            <w:tcW w:type="dxa" w:w="3297"/>
          </w:tcPr>
          <w:p>
            <w:r>
              <w:t>给药前检查</w:t>
            </w:r>
          </w:p>
        </w:tc>
        <w:tc>
          <w:tcPr>
            <w:tcW w:type="dxa" w:w="3297"/>
          </w:tcPr>
          <w:p>
            <w:r>
              <w:t>给药前检查药物外观、颗粒物、包装完整性和有效期；如出现浑浊、变色、颗粒、破损、过期或温度偏离，不得使用。</w:t>
            </w:r>
          </w:p>
        </w:tc>
        <w:tc>
          <w:tcPr>
            <w:tcW w:type="dxa" w:w="3297"/>
          </w:tcPr>
          <w:p>
            <w:r>
              <w:t>每次给药前</w:t>
            </w:r>
          </w:p>
        </w:tc>
      </w:tr>
      <w:tr>
        <w:tc>
          <w:tcPr>
            <w:tcW w:type="dxa" w:w="3297"/>
          </w:tcPr>
          <w:p>
            <w:r>
              <w:t>记录</w:t>
            </w:r>
          </w:p>
        </w:tc>
        <w:tc>
          <w:tcPr>
            <w:tcW w:type="dxa" w:w="3297"/>
          </w:tcPr>
          <w:p>
            <w:r>
              <w:t>稳定性相关检查、温度偏离和处理记录保存于药物管理记录。</w:t>
            </w:r>
          </w:p>
        </w:tc>
        <w:tc>
          <w:tcPr>
            <w:tcW w:type="dxa" w:w="3297"/>
          </w:tcPr>
          <w:p>
            <w:r>
              <w:t>药物管理记录</w:t>
            </w:r>
          </w:p>
        </w:tc>
      </w:tr>
      <w:tr>
        <w:tc>
          <w:tcPr>
            <w:tcW w:type="dxa" w:w="3297"/>
          </w:tcPr>
          <w:p>
            <w:r>
              <w:t>无菌操作</w:t>
            </w:r>
          </w:p>
        </w:tc>
        <w:tc>
          <w:tcPr>
            <w:tcW w:type="dxa" w:w="3297"/>
          </w:tcPr>
          <w:p>
            <w:r>
              <w:t>按注射剂无菌操作要求准备，给药前核对随机号、药物标识、剂量/体积、给药日期和途径。</w:t>
            </w:r>
          </w:p>
        </w:tc>
        <w:tc>
          <w:tcPr>
            <w:tcW w:type="dxa" w:w="3297"/>
          </w:tcPr>
          <w:p>
            <w:r>
              <w:t>注射剂准备与给药前</w:t>
            </w:r>
          </w:p>
        </w:tc>
      </w:tr>
    </w:tbl>
    <w:p>
      <w:bookmarkStart w:id="86687" w:name="chap_v2_n_6_2_4"/>
      <w:pPr>
        <w:pStyle w:val="3"/>
      </w:pPr>
      <w:r>
        <w:t>准备</w:t>
      </w:r>
      <w:bookmarkEnd w:id="86687"/>
    </w:p>
    <w:p>
      <w:r>
        <w:t>准备条件：合成药X注射制剂150 mg/1.0 mL或生理盐水安慰剂1.0 mL，按随机分配准备；皮下给药；负荷期第1、8、15、22天每周一次共4次，维持期第36天起每两周一次至第24周末次给药。按注射剂无菌操作要求准备，给药前检查外观和颗粒物；安慰剂与试验药同体积、同途径、同频率给药；准备和给药前核对随机号、药物标识、剂量/体积、给药日期和途径，保持双盲并记录实际给药。</w:t>
      </w:r>
    </w:p>
    <w:p>
      <w:r>
        <w:t>责任方：由研究者或其授权并经培训的临床试验人员负责准备和给药；药物分配与盲态维持由不参与疗效评价的指定人员执行。</w:t>
      </w:r>
    </w:p>
    <w:p>
      <w:r>
        <w:t>记录要求：准备、发放、给药和回收均需记录并接受监查。</w:t>
      </w:r>
    </w:p>
    <w:p>
      <w:bookmarkStart w:id="91668" w:name="chap_v2_n_6_3"/>
      <w:pPr>
        <w:pStyle w:val="2"/>
      </w:pPr>
      <w:r>
        <w:t>研究干预的依从性</w:t>
      </w:r>
      <w:bookmarkEnd w:id="91668"/>
    </w:p>
    <w:p>
      <w:r>
        <w:t>本研究以实际接受的研究干预注射次数占方案计划注射次数的比例测量依从性；分析人群为 FAS（按随机分组，ITT原则；所有随机试验参与者）。依从性分母为方案计划的研究干预给药次数，试验参与者随机分组后进入依从性汇总，不因未接受干预、依从性差或使用补救治疗而排除。依从性按负荷期、维持期和总体分别汇总，并报告完全依从、部分依从和未依从的试验参与者比例。支持记录包括药物发放/回收记录、注射给药记录、试验参与者日志或日记卡、源文件和 CRF，记录每次给药的日期、剂量、体积、途径、是否按计划完成、延迟/遗漏/暂停原因及处理。本方案未设定计划性暂停给药；任何因不良事件、合并用药、手术、试验参与者原因或其他情况导致的给药暂停、延迟或遗漏，均记录发生日期、原因、持续时间、是否恢复、恢复日期及实际给药调整。暂停期间继续按计划进行安全性和疗效随访（包括相应评估时点），除非试验参与者退出；恢复给药需由研究者判断并记录。</w:t>
      </w:r>
    </w:p>
    <w:p>
      <w:bookmarkStart w:id="5343" w:name="chap_v2_n_6_4_1"/>
      <w:pPr>
        <w:pStyle w:val="3"/>
      </w:pPr>
      <w:r>
        <w:t>禁止使用的食物、药物和治疗</w:t>
      </w:r>
      <w:bookmarkEnd w:id="5343"/>
    </w:p>
    <w:p>
      <w:r>
        <w:t>6.4.1 禁止使用的治疗</w:t>
      </w:r>
    </w:p>
    <w:p>
      <w:r>
        <w:t>在本研究自筛选期开始至末次随访/研究结束期间，禁止使用表6.4.1-1所列项目特定治疗。禁止清单和时间窗为本项目特定要求；方案规定的稳定背景鼻用激素和因鼻塞加重使用的补救治疗（全身激素或鼻窦手术）不视为禁止治疗，但需按6.4.3记录。</w:t>
      </w:r>
    </w:p>
    <w:p>
      <w:bookmarkStart w:id="50942" w:name="tbl_34"/>
      <w:r>
        <w:t>表34 禁止使用的食物、药物和治疗</w:t>
      </w:r>
      <w:bookmarkEnd w:id="50942"/>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禁用类别</w:t>
            </w:r>
          </w:p>
        </w:tc>
        <w:tc>
          <w:tcPr>
            <w:tcW w:type="dxa" w:w="2473"/>
          </w:tcPr>
          <w:p>
            <w:r>
              <w:rPr>
                <w:b/>
              </w:rPr>
              <w:t>项目特定禁用治疗</w:t>
            </w:r>
          </w:p>
        </w:tc>
        <w:tc>
          <w:tcPr>
            <w:tcW w:type="dxa" w:w="2473"/>
          </w:tcPr>
          <w:p>
            <w:r>
              <w:rPr>
                <w:b/>
              </w:rPr>
              <w:t>禁止时间窗</w:t>
            </w:r>
          </w:p>
        </w:tc>
        <w:tc>
          <w:tcPr>
            <w:tcW w:type="dxa" w:w="2473"/>
          </w:tcPr>
          <w:p>
            <w:r>
              <w:rPr>
                <w:b/>
              </w:rPr>
              <w:t>记录与处置要求</w:t>
            </w:r>
          </w:p>
        </w:tc>
      </w:tr>
      <w:tr>
        <w:tc>
          <w:tcPr>
            <w:tcW w:type="dxa" w:w="2473"/>
          </w:tcPr>
          <w:p>
            <w:r>
              <w:t>生物制剂/靶向治疗</w:t>
            </w:r>
          </w:p>
        </w:tc>
        <w:tc>
          <w:tcPr>
            <w:tcW w:type="dxa" w:w="2473"/>
          </w:tcPr>
          <w:p>
            <w:r>
              <w:t>其他针对慢性鼻窦炎伴鼻息肉的生物制剂或IL-4Rα靶向药物</w:t>
            </w:r>
          </w:p>
        </w:tc>
        <w:tc>
          <w:tcPr>
            <w:tcW w:type="dxa" w:w="2473"/>
          </w:tcPr>
          <w:p>
            <w:r>
              <w:t>自筛选期开始至末次随访/研究结束</w:t>
            </w:r>
          </w:p>
        </w:tc>
        <w:tc>
          <w:tcPr>
            <w:tcW w:type="dxa" w:w="2473"/>
          </w:tcPr>
          <w:p>
            <w:r>
              <w:t>记录具体治疗名称、剂量/用法、起止日期、原因及采取的措施，评估对安全性和主要终点评价的影响，按方案偏离流程记录/上报；根据医学判断采取继续、暂停或终止研究治疗、加强监测等处置。</w:t>
            </w:r>
          </w:p>
        </w:tc>
      </w:tr>
      <w:tr>
        <w:tc>
          <w:tcPr>
            <w:tcW w:type="dxa" w:w="2473"/>
          </w:tcPr>
          <w:p>
            <w:r>
              <w:t>研究药物/干预性研究</w:t>
            </w:r>
          </w:p>
        </w:tc>
        <w:tc>
          <w:tcPr>
            <w:tcW w:type="dxa" w:w="2473"/>
          </w:tcPr>
          <w:p>
            <w:r>
              <w:t>其他研究药物或参加其他干预性研究</w:t>
            </w:r>
          </w:p>
        </w:tc>
        <w:tc>
          <w:tcPr>
            <w:tcW w:type="dxa" w:w="2473"/>
          </w:tcPr>
          <w:p>
            <w:r>
              <w:t>自筛选期开始至末次随访/研究结束</w:t>
            </w:r>
          </w:p>
        </w:tc>
        <w:tc>
          <w:tcPr>
            <w:tcW w:type="dxa" w:w="2473"/>
          </w:tcPr>
          <w:p>
            <w:r>
              <w:t>记录具体治疗名称、剂量/用法、起止日期、原因及采取的措施，评估对安全性和主要终点评价的影响，按方案偏离流程记录/上报；根据医学判断采取继续、暂停或终止研究治疗、加强监测等处置。</w:t>
            </w:r>
          </w:p>
        </w:tc>
      </w:tr>
      <w:tr>
        <w:tc>
          <w:tcPr>
            <w:tcW w:type="dxa" w:w="2473"/>
          </w:tcPr>
          <w:p>
            <w:r>
              <w:t>系统性免疫抑制剂/全身性激素</w:t>
            </w:r>
          </w:p>
        </w:tc>
        <w:tc>
          <w:tcPr>
            <w:tcW w:type="dxa" w:w="2473"/>
          </w:tcPr>
          <w:p>
            <w:r>
              <w:t>除方案允许的稳定背景鼻用激素和规定的补救治疗外的系统性免疫抑制剂或用于研究疾病的全身性激素</w:t>
            </w:r>
          </w:p>
        </w:tc>
        <w:tc>
          <w:tcPr>
            <w:tcW w:type="dxa" w:w="2473"/>
          </w:tcPr>
          <w:p>
            <w:r>
              <w:t>自筛选期开始至末次随访/研究结束</w:t>
            </w:r>
          </w:p>
        </w:tc>
        <w:tc>
          <w:tcPr>
            <w:tcW w:type="dxa" w:w="2473"/>
          </w:tcPr>
          <w:p>
            <w:r>
              <w:t>记录具体治疗名称、剂量/用法、起止日期、原因及采取的措施，评估对安全性和主要终点评价的影响，按方案偏离流程记录/上报；根据医学判断采取继续、暂停或终止研究治疗、加强监测等处置。</w:t>
            </w:r>
          </w:p>
        </w:tc>
      </w:tr>
      <w:tr>
        <w:tc>
          <w:tcPr>
            <w:tcW w:type="dxa" w:w="2473"/>
          </w:tcPr>
          <w:p>
            <w:r>
              <w:t>其他鼻用/全身治疗</w:t>
            </w:r>
          </w:p>
        </w:tc>
        <w:tc>
          <w:tcPr>
            <w:tcW w:type="dxa" w:w="2473"/>
          </w:tcPr>
          <w:p>
            <w:r>
              <w:t>可能显著影响主要终点评价的其他鼻用或全身治疗（补救治疗除外）</w:t>
            </w:r>
          </w:p>
        </w:tc>
        <w:tc>
          <w:tcPr>
            <w:tcW w:type="dxa" w:w="2473"/>
          </w:tcPr>
          <w:p>
            <w:r>
              <w:t>自筛选期开始至末次随访/研究结束</w:t>
            </w:r>
          </w:p>
        </w:tc>
        <w:tc>
          <w:tcPr>
            <w:tcW w:type="dxa" w:w="2473"/>
          </w:tcPr>
          <w:p>
            <w:r>
              <w:t>记录具体治疗名称、剂量/用法、起止日期、原因及采取的措施，评估对安全性和主要终点评价的影响，按方案偏离流程记录/上报；根据医学判断采取继续、暂停或终止研究治疗、加强监测等处置。</w:t>
            </w:r>
          </w:p>
        </w:tc>
      </w:tr>
    </w:tbl>
    <w:p>
      <w:pPr/>
      <w:r>
        <w:t>a 方案规定的稳定背景鼻用激素和因鼻塞加重使用的补救治疗（全身激素或鼻窦手术）不视为禁止治疗，但需按6.4.3记录。</w:t>
      </w:r>
    </w:p>
    <w:p>
      <w:pPr/>
      <w:r>
        <w:t>b 若临床需要使用本表所列治疗，应优先按补救治疗规则处理并记录；禁止自行调整背景鼻用激素的稳定方案。</w:t>
      </w:r>
    </w:p>
    <w:p>
      <w:r>
        <w:t>对任何违反上述禁用清单或时间窗的治疗，研究者应记录具体治疗名称、使用起止时间、原因和采取的措施，评估其对参与者安全和主要终点评价的影响，并按方案偏离流程记录、上报和处置。若临床需要使用上述治疗，应优先按补救治疗规则处理并记录；禁止自行调整背景鼻用激素的稳定方案。</w:t>
      </w:r>
    </w:p>
    <w:p>
      <w:bookmarkStart w:id="99010" w:name="chap_v2_n_6_4_2"/>
      <w:pPr>
        <w:pStyle w:val="3"/>
      </w:pPr>
      <w:r>
        <w:t>允许使用的药物和治疗</w:t>
      </w:r>
      <w:bookmarkEnd w:id="99010"/>
    </w:p>
    <w:p>
      <w:r>
        <w:t>6.4.2 允许的治疗</w:t>
      </w:r>
    </w:p>
    <w:p>
      <w:r>
        <w:t>研究期间允许继续使用稳定背景鼻用激素和其他临床必需的合并用药。允许使用的治疗和时间安排应与禁止治疗规定互补；因鼻塞加重使用的补救治疗见6.4.3。所有允许使用的背景治疗和合并用药均需记录名称、剂量、频率、起止日期和原因。</w:t>
      </w:r>
    </w:p>
    <w:p>
      <w:bookmarkStart w:id="31668" w:name="tbl_35"/>
      <w:r>
        <w:t>表35 允许使用的药物和治疗</w:t>
      </w:r>
      <w:bookmarkEnd w:id="31668"/>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类别</w:t>
            </w:r>
          </w:p>
        </w:tc>
        <w:tc>
          <w:tcPr>
            <w:tcW w:type="dxa" w:w="3297"/>
          </w:tcPr>
          <w:p>
            <w:r>
              <w:rPr>
                <w:b/>
              </w:rPr>
              <w:t>允许的治疗/规则</w:t>
            </w:r>
          </w:p>
        </w:tc>
        <w:tc>
          <w:tcPr>
            <w:tcW w:type="dxa" w:w="3297"/>
          </w:tcPr>
          <w:p>
            <w:r>
              <w:rPr>
                <w:b/>
              </w:rPr>
              <w:t>具体条件</w:t>
            </w:r>
          </w:p>
        </w:tc>
      </w:tr>
      <w:tr>
        <w:tc>
          <w:tcPr>
            <w:tcW w:type="dxa" w:w="3297"/>
          </w:tcPr>
          <w:p>
            <w:r>
              <w:t>背景治疗</w:t>
            </w:r>
          </w:p>
        </w:tc>
        <w:tc>
          <w:tcPr>
            <w:tcW w:type="dxa" w:w="3297"/>
          </w:tcPr>
          <w:p>
            <w:r>
              <w:t>稳定背景鼻用激素</w:t>
            </w:r>
          </w:p>
        </w:tc>
        <w:tc>
          <w:tcPr>
            <w:tcW w:type="dxa" w:w="3297"/>
          </w:tcPr>
          <w:p>
            <w:r>
              <w:t>允许在研究期间继续使用，前提是筛选前已稳定使用，且研究期间种类和剂量不变。</w:t>
            </w:r>
          </w:p>
        </w:tc>
      </w:tr>
      <w:tr>
        <w:tc>
          <w:tcPr>
            <w:tcW w:type="dxa" w:w="3297"/>
          </w:tcPr>
          <w:p>
            <w:r>
              <w:t>其他允许治疗</w:t>
            </w:r>
          </w:p>
        </w:tc>
        <w:tc>
          <w:tcPr>
            <w:tcW w:type="dxa" w:w="3297"/>
          </w:tcPr>
          <w:p>
            <w:r>
              <w:t>其他临床必需的合并用药</w:t>
            </w:r>
          </w:p>
        </w:tc>
        <w:tc>
          <w:tcPr>
            <w:tcW w:type="dxa" w:w="3297"/>
          </w:tcPr>
          <w:p>
            <w:r>
              <w:t>可按研究者判断使用并记录，但不得违反禁止治疗规定；因鼻塞加重使用的补救治疗见6.4.3。</w:t>
            </w:r>
          </w:p>
        </w:tc>
      </w:tr>
      <w:tr>
        <w:tc>
          <w:tcPr>
            <w:tcW w:type="dxa" w:w="3297"/>
          </w:tcPr>
          <w:p>
            <w:r>
              <w:t>记录要求</w:t>
            </w:r>
          </w:p>
        </w:tc>
        <w:tc>
          <w:tcPr>
            <w:tcW w:type="dxa" w:w="3297"/>
          </w:tcPr>
          <w:p>
            <w:r>
              <w:t>所有允许使用的背景治疗和合并用药</w:t>
            </w:r>
          </w:p>
        </w:tc>
        <w:tc>
          <w:tcPr>
            <w:tcW w:type="dxa" w:w="3297"/>
          </w:tcPr>
          <w:p>
            <w:r>
              <w:t>均需记录名称、剂量、频率、起止日期和原因。</w:t>
            </w:r>
          </w:p>
        </w:tc>
      </w:tr>
    </w:tbl>
    <w:p>
      <w:bookmarkStart w:id="41926" w:name="tbl_36"/>
      <w:r>
        <w:t>表36 允许使用的药物和治疗</w:t>
      </w:r>
      <w:bookmarkEnd w:id="41926"/>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项目</w:t>
            </w:r>
          </w:p>
        </w:tc>
        <w:tc>
          <w:tcPr>
            <w:tcW w:type="dxa" w:w="3297"/>
          </w:tcPr>
          <w:p>
            <w:r>
              <w:rPr>
                <w:b/>
              </w:rPr>
              <w:t>规则/时间安排</w:t>
            </w:r>
          </w:p>
        </w:tc>
        <w:tc>
          <w:tcPr>
            <w:tcW w:type="dxa" w:w="3297"/>
          </w:tcPr>
          <w:p>
            <w:r>
              <w:rPr>
                <w:b/>
              </w:rPr>
              <w:t>说明</w:t>
            </w:r>
          </w:p>
        </w:tc>
      </w:tr>
      <w:tr>
        <w:tc>
          <w:tcPr>
            <w:tcW w:type="dxa" w:w="3297"/>
          </w:tcPr>
          <w:p>
            <w:r>
              <w:t>背景治疗时间安排</w:t>
            </w:r>
          </w:p>
        </w:tc>
        <w:tc>
          <w:tcPr>
            <w:tcW w:type="dxa" w:w="3297"/>
          </w:tcPr>
          <w:p>
            <w:r>
              <w:t>从筛选期确认稳定使用开始，持续至第24周主要终点评估/末次随访，研究期间保持剂量和频率稳定。</w:t>
            </w:r>
          </w:p>
        </w:tc>
        <w:tc>
          <w:tcPr>
            <w:tcW w:type="dxa" w:w="3297"/>
          </w:tcPr>
          <w:p>
            <w:r>
              <w:t>研究期间保持剂量和频率稳定。</w:t>
            </w:r>
          </w:p>
        </w:tc>
      </w:tr>
      <w:tr>
        <w:tc>
          <w:tcPr>
            <w:tcW w:type="dxa" w:w="3297"/>
          </w:tcPr>
          <w:p>
            <w:r>
              <w:t>补救治疗时间安排</w:t>
            </w:r>
          </w:p>
        </w:tc>
        <w:tc>
          <w:tcPr>
            <w:tcW w:type="dxa" w:w="3297"/>
          </w:tcPr>
          <w:p>
            <w:r>
              <w:t>因鼻塞加重时按6.4.3允许使用。</w:t>
            </w:r>
          </w:p>
        </w:tc>
        <w:tc>
          <w:tcPr>
            <w:tcW w:type="dxa" w:w="3297"/>
          </w:tcPr>
          <w:p>
            <w:r>
              <w:t>因鼻塞加重允许使用全身激素或进行鼻窦手术；由研究者判断鼻塞加重需要全身激素或手术干预时使用，具体药物、剂量、疗程或手术方式按临床常规并记录。</w:t>
            </w:r>
          </w:p>
        </w:tc>
      </w:tr>
      <w:tr>
        <w:tc>
          <w:tcPr>
            <w:tcW w:type="dxa" w:w="3297"/>
          </w:tcPr>
          <w:p>
            <w:r>
              <w:t>禁止治疗处理</w:t>
            </w:r>
          </w:p>
        </w:tc>
        <w:tc>
          <w:tcPr>
            <w:tcW w:type="dxa" w:w="3297"/>
          </w:tcPr>
          <w:p>
            <w:r>
              <w:t>若临床需要使用禁止治疗，应优先按补救治疗规则处理并记录。</w:t>
            </w:r>
          </w:p>
        </w:tc>
        <w:tc>
          <w:tcPr>
            <w:tcW w:type="dxa" w:w="3297"/>
          </w:tcPr>
          <w:p>
            <w:r>
              <w:t>禁止自行调整背景鼻用激素的稳定方案。</w:t>
            </w:r>
          </w:p>
        </w:tc>
      </w:tr>
      <w:tr>
        <w:tc>
          <w:tcPr>
            <w:tcW w:type="dxa" w:w="3297"/>
          </w:tcPr>
          <w:p>
            <w:r>
              <w:t>其他允许治疗</w:t>
            </w:r>
          </w:p>
        </w:tc>
        <w:tc>
          <w:tcPr>
            <w:tcW w:type="dxa" w:w="3297"/>
          </w:tcPr>
          <w:p>
            <w:r>
              <w:t>其他临床必需的合并用药可按研究者判断使用并记录。</w:t>
            </w:r>
          </w:p>
        </w:tc>
        <w:tc>
          <w:tcPr>
            <w:tcW w:type="dxa" w:w="3297"/>
          </w:tcPr>
          <w:p>
            <w:r>
              <w:t>不得违反禁止治疗规定；因鼻塞加重使用的补救治疗见6.4.3。</w:t>
            </w:r>
          </w:p>
        </w:tc>
      </w:tr>
    </w:tbl>
    <w:p>
      <w:bookmarkStart w:id="49980" w:name="chap_v2_n_6_4_3"/>
      <w:pPr>
        <w:pStyle w:val="3"/>
      </w:pPr>
      <w:r>
        <w:t>补救治疗</w:t>
      </w:r>
      <w:bookmarkEnd w:id="49980"/>
    </w:p>
    <w:p>
      <w:r>
        <w:t>本节规定研究期间因鼻塞加重使用补救治疗的项目特定策略。补救治疗的处理应与主要估计目标及分析策略一致；不得将补救治疗视为未处理，也不得据此推断非劣效或优效。</w:t>
      </w:r>
    </w:p>
    <w:p>
      <w:r>
        <w:t>因鼻塞加重允许使用全身激素或进行鼻窦手术；是否启动由研究者根据鼻塞加重及临床需要判断。具体药物、剂量、疗程或手术方式按临床常规执行并记录，不得预防性使用。</w:t>
      </w:r>
    </w:p>
    <w:p>
      <w:bookmarkStart w:id="44564" w:name="tbl_37"/>
      <w:r>
        <w:t>表37 补救治疗</w:t>
      </w:r>
      <w:bookmarkEnd w:id="44564"/>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补救治疗计划</w:t>
            </w:r>
          </w:p>
        </w:tc>
        <w:tc>
          <w:tcPr>
            <w:tcW w:type="dxa" w:w="4946"/>
          </w:tcPr>
          <w:p>
            <w:r>
              <w:rPr>
                <w:b/>
              </w:rPr>
              <w:t>因鼻塞加重允许使用全身激素或进行鼻窦手术；由研究者判断鼻塞加重需要全身激素或手术干预时使用。研究期间至第24周主要终点评估前，如发生因鼻塞加重的临床需要，可随时给予补救治疗，不得预防性使用；补救治疗日期、原因和方案需在发生时及时记录。具体药物、剂量、疗程或手术方式按临床常规并记录于源文件和CRF。使用补救治疗后继续按计划随访至第24周主要终点及后续安全性随访，不因补救治疗提前终止或删失；记录AE/SAE并与补救治疗的关系。ICE按治疗策略处理；因鼻塞加重需要全身激素或手术干预属于ICE事件，但不剔除试验参与者，继续按随机分组纳入主要分析；主要估计目标反映在治疗策略下，无论是否使用补救治疗，干预对第24周临床缓解率的效应。</w:t>
            </w:r>
          </w:p>
        </w:tc>
      </w:tr>
      <w:tr>
        <w:tc>
          <w:tcPr>
            <w:tcW w:type="dxa" w:w="4946"/>
          </w:tcPr>
          <w:p>
            <w:r>
              <w:t>补救治疗允许条件</w:t>
            </w:r>
          </w:p>
        </w:tc>
        <w:tc>
          <w:tcPr>
            <w:tcW w:type="dxa" w:w="4946"/>
          </w:tcPr>
          <w:p>
            <w:r>
              <w:t>因鼻塞加重允许使用全身激素或进行鼻窦手术。由研究者判断鼻塞加重需要全身激素或手术干预时使用；具体药物、剂量、疗程或手术方式按临床常规并记录。</w:t>
            </w:r>
          </w:p>
        </w:tc>
      </w:tr>
      <w:tr>
        <w:tc>
          <w:tcPr>
            <w:tcW w:type="dxa" w:w="4946"/>
          </w:tcPr>
          <w:p>
            <w:r>
              <w:t>补救治疗启动时点与记录时机</w:t>
            </w:r>
          </w:p>
        </w:tc>
        <w:tc>
          <w:tcPr>
            <w:tcW w:type="dxa" w:w="4946"/>
          </w:tcPr>
          <w:p>
            <w:r>
              <w:t>研究期间至第24周主要终点评估前，如发生因鼻塞加重的临床需要，可随时给予补救治疗；不得预防性使用。补救治疗日期、原因和方案需在发生时及时记录。</w:t>
            </w:r>
          </w:p>
        </w:tc>
      </w:tr>
      <w:tr>
        <w:tc>
          <w:tcPr>
            <w:tcW w:type="dxa" w:w="4946"/>
          </w:tcPr>
          <w:p>
            <w:r>
              <w:t>补救治疗记录</w:t>
            </w:r>
          </w:p>
        </w:tc>
        <w:tc>
          <w:tcPr>
            <w:tcW w:type="dxa" w:w="4946"/>
          </w:tcPr>
          <w:p>
            <w:r>
              <w:t>记录应来自源文件和CRF，字段包括：试验参与者随机号、补救治疗日期、鼻塞加重表现/严重程度、补救治疗类型（全身激素或鼻窦手术）、药物名称、剂量、途径、疗程或手术名称/日期、使用原因与研究者判断、是否满足ICE定义、后续转归和是否恢复研究干预。</w:t>
            </w:r>
          </w:p>
        </w:tc>
      </w:tr>
      <w:tr>
        <w:tc>
          <w:tcPr>
            <w:tcW w:type="dxa" w:w="4946"/>
          </w:tcPr>
          <w:p>
            <w:r>
              <w:t>补救治疗与继续随访/事件处理的衔接</w:t>
            </w:r>
          </w:p>
        </w:tc>
        <w:tc>
          <w:tcPr>
            <w:tcW w:type="dxa" w:w="4946"/>
          </w:tcPr>
          <w:p>
            <w:r>
              <w:t>使用补救治疗后继续按计划随访至第24周主要终点及后续安全性随访，不因补救治疗提前终止或删失。记录AE/SAE并与补救治疗的关系。补救治疗引起的鼻塞加重若符合ICE定义，按治疗策略处理；主要分析继续纳入FAS，第24周缺失主要终点采用NRI，敏感性分析采用tipping point。</w:t>
            </w:r>
          </w:p>
        </w:tc>
      </w:tr>
      <w:tr>
        <w:tc>
          <w:tcPr>
            <w:tcW w:type="dxa" w:w="4946"/>
          </w:tcPr>
          <w:p>
            <w:r>
              <w:t>补救治疗与估计目标/分析策略一致性</w:t>
            </w:r>
          </w:p>
        </w:tc>
        <w:tc>
          <w:tcPr>
            <w:tcW w:type="dxa" w:w="4946"/>
          </w:tcPr>
          <w:p>
            <w:r>
              <w:t>ICE按治疗策略处理；因鼻塞加重需要全身激素或手术干预属于ICE事件，但不剔除试验参与者，继续按随机分组纳入主要分析。主要估计目标反映在治疗策略下，无论是否使用补救治疗，干预对第24周临床缓解率的效应。第24周主要终点缺失采用NRI；敏感性分析采用tipping point。</w:t>
            </w:r>
          </w:p>
        </w:tc>
      </w:tr>
    </w:tbl>
    <w:p>
      <w:r>
        <w:t>使用补救治疗后，试验参与者继续按计划随访至第24周主要终点及后续安全性随访，不因补救治疗提前终止或删失。补救治疗相关记录、AE/SAE及其与补救治疗的关系应保留，并按治疗策略纳入主要分析。</w:t>
      </w:r>
    </w:p>
    <w:p>
      <w:bookmarkStart w:id="66485" w:name="chap_v2_n_7_1"/>
      <w:pPr>
        <w:pStyle w:val="2"/>
      </w:pPr>
      <w:r>
        <w:t>筛选期</w:t>
      </w:r>
      <w:bookmarkEnd w:id="66485"/>
    </w:p>
    <w:p>
      <w:r>
        <w:t>筛选期与基线评估</w:t>
      </w:r>
    </w:p>
    <w:p>
      <w:r>
        <w:t>筛选期自试验参与者签署知情同意书开始，至完成入排标准确认并随机化前结束。筛选期用于资格评估、基线评估和背景治疗稳定性确认。所有筛选评估日期和结果需记录。</w:t>
      </w:r>
    </w:p>
    <w:p>
      <w:r>
        <w:t>基线评估包括：记录稳定背景鼻用激素使用情况；双侧鼻息肉评分（NPS）、鼻塞VAS（0～10 cm）、SNOT-22、Lund-Kennedy内镜评分；以及完成入排标准确认和随机分层所需信息。基线评估必须与 SoA 保持一致。</w:t>
      </w:r>
    </w:p>
    <w:p>
      <w:r>
        <w:t>筛选评估异常时，可在随机化前重复相关评估以确认资格；重复评估的日期、结果和最终入排判断需记录。不得通过重复评估规避入排标准或修改随机分层因素。</w:t>
      </w:r>
    </w:p>
    <w:p>
      <w:bookmarkStart w:id="1259" w:name="chap_v2_n_7_2"/>
      <w:pPr>
        <w:pStyle w:val="2"/>
      </w:pPr>
      <w:r>
        <w:t>治疗期</w:t>
      </w:r>
      <w:bookmarkEnd w:id="1259"/>
    </w:p>
    <w:p>
      <w:r>
        <w:t>治疗期自第1天首次给药开始，至第24周末次给药/主要终点评估结束；负荷给药期第1、8、15、22天，维持给药期第36天起每两周一次至第24周。第1天（基线/随机/首次给药）；随机1:1，按中心分层；确认符合全部入排标准并完成随机化后，第1天开始首次给药，基线评估在首次给药前完成。</w:t>
      </w:r>
    </w:p>
    <w:p>
      <w:r>
        <w:t>按随机分配接受合成药X 150 mg/1.0 mL或生理盐水安慰剂1.0 mL皮下注射；负荷期第1、8、15、22天每周一次共4次，维持期第36天起每两周一次至第24周末次给药。给药前核对随机号和药物标识，保持双盲。</w:t>
      </w:r>
    </w:p>
    <w:p>
      <w:r>
        <w:t>各治疗访视完成资格/随机核对、研究干预准备与给药、依从性记录、合并用药和背景治疗记录、AE记录；按方案进行生命体征、临床安全性评估和不良事件监测。第24周评估主要终点（NPS≤1且鼻塞VAS≤1的临床缓解）及次要终点（SNOT-22变化、Lund-Kennedy内镜评分变化）。</w:t>
      </w:r>
    </w:p>
    <w:p>
      <w:r>
        <w:t>双盲，试验参与者、研究者和疗效评价者保持盲态；合成药X与安慰剂同体积、同途径、同频率给药。仅按紧急揭盲程序执行，记录揭盲原因、日期和人员；揭盲后试验参与者继续按计划随访，除非研究者判断需终止。</w:t>
      </w:r>
    </w:p>
    <w:p>
      <w:bookmarkStart w:id="1495" w:name="chap_v2_n_7_3"/>
      <w:pPr>
        <w:pStyle w:val="2"/>
      </w:pPr>
      <w:r>
        <w:t>随访期</w:t>
      </w:r>
      <w:bookmarkEnd w:id="1495"/>
    </w:p>
    <w:p>
      <w:r>
        <w:t>随访期自第24周末次给药/主要终点评估后开始，至末次随访/研究结束；用于安全性随访和结局确认。该阶段继续记录不良事件（AE）、严重不良事件（SAE）、合并用药、背景治疗和补救治疗；已发生的临床事件随访至稳定或恢复。</w:t>
      </w:r>
    </w:p>
    <w:p>
      <w:r>
        <w:t>第24周（以周为单位）为主要终点评估访视，应尽量在计划时间窗内完成主要和次要终点评估。随访访视按方案预定的时间窗执行，时间窗以周为单位，并对应第24周末次给药/主要终点评估后至末次随访/研究结束等参考事件；所有访视应记录实际日期并计算与计划日期的偏差。若试验参与者无法现场访视，可按方案允许的方式联系并记录，但不能替代主要终点所需的现场评估。</w:t>
      </w:r>
    </w:p>
    <w:p>
      <w:r>
        <w:t>电话联系按适用规则计入实际访视，电话访视仅作为计划访视的补充或替代安全性随访，需在记录中对应到具体计划访视和日期。电话访视不得替代第24周主要终点所需的NPS和鼻塞VAS评估；若发生，需记录原因并评估对缺失数据处理的影响。</w:t>
      </w:r>
    </w:p>
    <w:p>
      <w:r>
        <w:t>计划外/电话联系应记录实际日期、时间及与计划访视的相对时间；记录联系方式/模式（如电话、视频、现场或其他）及实施人员；记录原因（如不良事件、补救治疗、依从性问题、试验参与者主动联系等）。同时记录非计划联系中完成的评估项目、结果和未完成原因；非计划评估不替代计划访视，除非方案允许。</w:t>
      </w:r>
    </w:p>
    <w:p>
      <w:r>
        <w:t>在计划外联系或电话随访中，应收集并报告AE/SAE、合并用药和补救治疗信息，按安全性报告流程处理并记录临床处理及转归。</w:t>
      </w:r>
    </w:p>
    <w:p>
      <w:bookmarkStart w:id="43886" w:name="chap_v2_n_8_1"/>
      <w:pPr>
        <w:pStyle w:val="2"/>
      </w:pPr>
      <w:r>
        <w:t>研究干预中止/终止</w:t>
      </w:r>
      <w:bookmarkEnd w:id="43886"/>
    </w:p>
    <w:p>
      <w:r>
        <w:t>本章规定个体层面与整体层面的停止安排：个体层面分为个体暂时暂停与个体永久停药，整体层面分为试验暂停与试验终止。各层级标准、执行、记录、决策和后续处理应分别适用，不得将个体停药等同于整体试验暂停或终止。</w:t>
      </w:r>
    </w:p>
    <w:p>
      <w:r>
        <w:t>本设计包含个体暂时暂停路径。个体暂停指因安全性或其他医学原因暂时停止研究干预，但未撤回知情同意；暂停不自动等同于永久停药。本方案未设定计划性暂停给药。暂停期间继续按计划进行安全性和疗效随访，除非试验参与者退出；恢复给药需由研究者判断并记录，符合方案和医学监查要求后方可恢复；达到永久停药标准者停止给药并继续安全性随访至第24周或医学监查确认结束。任何因不良事件、合并用药、手术、试验参与者原因或其他情况导致的给药暂停、延迟或遗漏，均记录发生日期、原因、持续时间、是否恢复、恢复日期及实际给药调整。</w:t>
      </w:r>
    </w:p>
    <w:p>
      <w:r>
        <w:t>个体暂停的触发条件包括：发生不良事件/严重不良事件，需暂停给药以评估与试验药物的关系及继续给药风险；具有临床意义的实验室检查、生命体征或其他安全性异常，需重复确认并评估是否暂停或永久停用研究干预；发生重度过敏或超敏反应，或需紧急处理的系统性反应，需暂停给药并评估是否永久停药；因合并用药、手术、试验参与者原因或其他情况导致需要暂停、延迟或遗漏给药。</w:t>
      </w:r>
    </w:p>
    <w:p>
      <w:r>
        <w:t>达到以下任一标准时，个体永久停止研究干预：试验参与者撤回知情同意或明确要求永久停止研究干预；发生与试验药物相关的严重不良事件或不可耐受毒性，研究者判断继续给药风险大于获益；发生重度过敏或超敏反应，或需紧急处理的系统性反应；具有临床意义的实验室检查、生命体征或其他安全性异常经重复确认，且研究者或医学监查员判断需永久停药；研究者判断继续给药不符合试验参与者最佳利益；申办者、伦理委员会或监管机构要求永久停止。达到上述任一标准时永久停止研究干预，并按方案继续安全性随访；撤回知情同意者不再进行新的研究相关操作。永久停止研究干预需在eCRF中记录日期、原因、与试验药物关系、是否达到方案定义标准、是否继续研究随访；相关不良事件或严重不良事件按GCP和安全性报告流程报告。</w:t>
      </w:r>
    </w:p>
    <w:p>
      <w:r>
        <w:t>个体暂停或永久停药决策应与安全性评估、不良事件/严重不良事件报告和随访安排一致；暂停后需完成方案规定的安全性评估，达到永久停药标准者停止给药并继续安全性随访至第24周或医学监查确认结束。</w:t>
      </w:r>
    </w:p>
    <w:p>
      <w:bookmarkStart w:id="90239" w:name="tbl_38"/>
      <w:r>
        <w:t>表38 研究干预中止/终止</w:t>
      </w:r>
      <w:bookmarkEnd w:id="90239"/>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个体暂停</w:t>
            </w:r>
          </w:p>
        </w:tc>
        <w:tc>
          <w:tcPr>
            <w:tcW w:type="dxa" w:w="2473"/>
          </w:tcPr>
          <w:p>
            <w:r>
              <w:rPr>
                <w:b/>
              </w:rPr>
              <w:t>发生不良事件/严重不良事件，需暂停给药以评估与试验药物的关系及继续给药风险；具有临床意义的实验室检查、生命体征或其他安全性异常，需重复确认并评估是否暂停或永久停用研究干预；发生重度过敏或超敏反应，或需紧急处理的系统性反应，需暂停给药并评估是否永久停药；因合并用药、手术、试验参与者原因或其他情况导致需要暂停、延迟或遗漏给药。</w:t>
            </w:r>
          </w:p>
        </w:tc>
        <w:tc>
          <w:tcPr>
            <w:tcW w:type="dxa" w:w="2473"/>
          </w:tcPr>
          <w:p>
            <w:r>
              <w:rPr>
                <w:b/>
              </w:rPr>
              <w:t>暂停期间继续按计划进行安全性和疗效随访，除非试验参与者退出；恢复给药需由研究者评估并符合方案和医学监查要求；达到永久停药标准者停止给药并继续安全性随访至第24周或医学监查确认结束。本方案未设定计划性暂停给药。</w:t>
            </w:r>
          </w:p>
        </w:tc>
        <w:tc>
          <w:tcPr>
            <w:tcW w:type="dxa" w:w="2473"/>
          </w:tcPr>
          <w:p>
            <w:r>
              <w:rPr>
                <w:b/>
              </w:rPr>
              <w:t>记录发生日期、原因、持续时间、是否恢复、恢复日期及实际给药调整；暂停不自动等同于永久停药。若达到永久停药标准，则永久停止研究干预，并按方案继续安全性随访；撤回知情同意者不再进行新的研究相关操作。</w:t>
            </w:r>
          </w:p>
        </w:tc>
      </w:tr>
      <w:tr>
        <w:tc>
          <w:tcPr>
            <w:tcW w:type="dxa" w:w="2473"/>
          </w:tcPr>
          <w:p>
            <w:r>
              <w:t>个体永久停药</w:t>
            </w:r>
          </w:p>
        </w:tc>
        <w:tc>
          <w:tcPr>
            <w:tcW w:type="dxa" w:w="2473"/>
          </w:tcPr>
          <w:p>
            <w:r>
              <w:t>试验参与者撤回知情同意或明确要求永久停止研究干预；发生与试验药物相关的严重不良事件或不可耐受毒性，研究者判断继续给药风险大于获益；发生重度过敏或超敏反应，或需紧急处理的系统性反应；具有临床意义的实验室检查、生命体征或其他安全性异常经重复确认，且研究者或医学监查员判断需永久停药；研究者判断继续给药不符合试验参与者最佳利益；申办者、伦理委员会或监管机构要求永久停止。</w:t>
            </w:r>
          </w:p>
        </w:tc>
        <w:tc>
          <w:tcPr>
            <w:tcW w:type="dxa" w:w="2473"/>
          </w:tcPr>
          <w:p>
            <w:r>
              <w:t>达到上述任一标准时永久停止研究干预，并按方案继续安全性随访；撤回知情同意者不再进行新的研究相关操作。个体暂停或永久停药决策应与安全性评估、不良事件/严重不良事件报告和随访安排一致；暂停后需完成方案规定的安全性评估，达到永久停药标准者停止给药并继续安全性随访至第24周或医学监查确认结束。</w:t>
            </w:r>
          </w:p>
        </w:tc>
        <w:tc>
          <w:tcPr>
            <w:tcW w:type="dxa" w:w="2473"/>
          </w:tcPr>
          <w:p>
            <w:r>
              <w:t>永久停止研究干预需在eCRF中记录日期、原因、与试验药物关系、是否达到方案定义标准、是否继续研究随访；相关不良事件或严重不良事件按GCP和安全性报告流程报告。</w:t>
            </w:r>
          </w:p>
        </w:tc>
      </w:tr>
    </w:tbl>
    <w:p>
      <w:r>
        <w:t>整体试验暂停条件包括：出现可能影响试验参与者安全的非预期严重不良反应聚集、系统性安全性问题、中心严重方案违背、监管或伦理要求暂停等情形时，可暂停试验入组或给药，待评估后决定恢复或终止。整体试验终止条件包括：出现明确不可接受的安全性风险、无效或获益/风险比不支持继续、监管机构或伦理委员会要求终止、申办者无法继续实施等情形时，终止试验。</w:t>
      </w:r>
    </w:p>
    <w:p>
      <w:r>
        <w:t>整体暂停或终止的决策逻辑为：当出现系统性安全性信号、影响试验继续的严重方案违背、监管或伦理要求，或无法控制的风险时，应评估风险获益并决定暂停入组/给药或终止试验。试验整体暂停或终止由申办者会同研究者、医学监查员决定；涉及试验参与者安全时按法规和伦理委员会、监管机构要求报告并执行。</w:t>
      </w:r>
    </w:p>
    <w:p>
      <w:bookmarkStart w:id="7713" w:name="tbl_39"/>
      <w:r>
        <w:t>表39 研究干预中止/终止</w:t>
      </w:r>
      <w:bookmarkEnd w:id="7713"/>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整体暂停触发标准</w:t>
            </w:r>
          </w:p>
        </w:tc>
        <w:tc>
          <w:tcPr>
            <w:tcW w:type="dxa" w:w="4946"/>
          </w:tcPr>
          <w:p>
            <w:r>
              <w:rPr>
                <w:b/>
              </w:rPr>
              <w:t>出现可能影响试验参与者安全的非预期严重不良反应聚集、系统性安全性问题、中心严重方案违背、监管或伦理要求暂停等情形时，可暂停试验入组或给药，待评估后决定恢复或终止。</w:t>
            </w:r>
          </w:p>
        </w:tc>
      </w:tr>
      <w:tr>
        <w:tc>
          <w:tcPr>
            <w:tcW w:type="dxa" w:w="4946"/>
          </w:tcPr>
          <w:p>
            <w:r>
              <w:t>整体终止触发标准</w:t>
            </w:r>
          </w:p>
        </w:tc>
        <w:tc>
          <w:tcPr>
            <w:tcW w:type="dxa" w:w="4946"/>
          </w:tcPr>
          <w:p>
            <w:r>
              <w:t>出现明确不可接受的安全性风险、无效或获益/风险比不支持继续、监管机构或伦理委员会要求终止、申办者无法继续实施等情形时，终止试验。</w:t>
            </w:r>
          </w:p>
        </w:tc>
      </w:tr>
      <w:tr>
        <w:tc>
          <w:tcPr>
            <w:tcW w:type="dxa" w:w="4946"/>
          </w:tcPr>
          <w:p>
            <w:r>
              <w:t>整体暂停/终止决策逻辑</w:t>
            </w:r>
          </w:p>
        </w:tc>
        <w:tc>
          <w:tcPr>
            <w:tcW w:type="dxa" w:w="4946"/>
          </w:tcPr>
          <w:p>
            <w:r>
              <w:t>当出现系统性安全性信号、影响试验继续的严重方案违背、监管或伦理要求，或无法控制的风险时，应评估风险获益并决定暂停入组/给药或终止试验。</w:t>
            </w:r>
          </w:p>
        </w:tc>
      </w:tr>
      <w:tr>
        <w:tc>
          <w:tcPr>
            <w:tcW w:type="dxa" w:w="4946"/>
          </w:tcPr>
          <w:p>
            <w:r>
              <w:t>决定方与报告路径</w:t>
            </w:r>
          </w:p>
        </w:tc>
        <w:tc>
          <w:tcPr>
            <w:tcW w:type="dxa" w:w="4946"/>
          </w:tcPr>
          <w:p>
            <w:r>
              <w:t>试验整体暂停或终止由申办者会同研究者、医学监查员决定；涉及试验参与者安全时按法规和伦理委员会、监管机构要求报告并执行。</w:t>
            </w:r>
          </w:p>
        </w:tc>
      </w:tr>
      <w:tr>
        <w:tc>
          <w:tcPr>
            <w:tcW w:type="dxa" w:w="4946"/>
          </w:tcPr>
          <w:p>
            <w:r>
              <w:t>决定后处理</w:t>
            </w:r>
          </w:p>
        </w:tc>
        <w:tc>
          <w:tcPr>
            <w:tcW w:type="dxa" w:w="4946"/>
          </w:tcPr>
          <w:p>
            <w:r>
              <w:t>决定暂停或终止后，立即停止相关入组或给药，通知所有中心，确保试验参与者安全并安排必要的安全性随访和转归，按法规报告伦理委员会和监管机构，记录并保存所有决定及依据。</w:t>
            </w:r>
          </w:p>
        </w:tc>
      </w:tr>
    </w:tbl>
    <w:p>
      <w:r>
        <w:t>整体暂停或终止后，试验参与者处理与随访安排为：立即停止相关入组或给药，通知所有中心，确保试验参与者安全并安排必要的安全性随访和转归，按法规报告伦理委员会和监管机构，记录并保存所有决定及依据。</w:t>
      </w:r>
    </w:p>
    <w:p>
      <w:bookmarkStart w:id="97561" w:name="chap_v2_n_8_2"/>
      <w:pPr>
        <w:pStyle w:val="2"/>
      </w:pPr>
      <w:r>
        <w:t>试验参与者中止/退出研究</w:t>
      </w:r>
      <w:bookmarkEnd w:id="97561"/>
    </w:p>
    <w:p>
      <w:r>
        <w:t>试验参与者停用研究干预不等同于撤回知情同意。若试验参与者仅停止研究干预但未撤回知情同意，应继续按方案收集安全性和疗效随访数据，并继续至第24周的关键疗效、安全性、合并用药和不良事件随访。继续收集的数据类型包括不良事件/严重不良事件、合并用药、生命体征、实验室检查、鼻息肉评分、鼻塞VAS、SNOT-22、Lund-Kennedy内镜评分等方案计划评估，以及退出原因和转归。继续收集的依据为：试验参与者停用研究干预但未撤回知情同意时，继续按方案收集安全性和疗效随访数据；撤回知情同意后不再收集新数据，除非法规要求或试验参与者另行同意。</w:t>
      </w:r>
    </w:p>
    <w:p>
      <w:r>
        <w:t>退出或中止情形需在eCRF中明确区分，并按对应路径完成随访、记录和分析。情形包括：试验参与者撤回知情同意，退出整个研究；仅停止研究干预但继续研究随访；因不良事件或严重不良事件永久停止研究干预；失访；死亡；研究者或申办者决定终止参与；因鼻塞加重接受方案允许的救援治疗，按ICE记录并继续随访，不自动视为退出。eCRF中记录退出或中止原因，包括不良事件、缺乏疗效、撤回知情同意、失访、研究者判断、死亡等；尽量记录具体不良事件或原因，并标明与试验药物关系。退出原因记录可被请求，但不得作为退出的强制条件；试验参与者不提供原因不得阻碍其退出。</w:t>
      </w:r>
    </w:p>
    <w:p>
      <w:r>
        <w:t>随访安排应区分不同退出路径。仅停用干预者继续随访至第24周；因不良事件停药者随访至事件稳定或恢复，并按医学监查要求完成安全性随访；撤回知情同意者不进行进一步研究随访，且撤回知情同意后无新的研究随访时间。退出或失访时间以末次研究接触或末次可评价日期记录；随访窗口按方案访视窗口执行。不得在末次给药处静默终止随访。</w:t>
      </w:r>
    </w:p>
    <w:p>
      <w:r>
        <w:t>已收集数据的处理和保留必须可追溯。退出前已收集的数据纳入FAS和安全性分析；主要终点缺失按无应答插补处理，敏感性分析采用tipping point。撤回知情同意不影响已收集数据按预定义分析计划使用。撤回知情同意后，已收集的数据和标本按法规、伦理和知情同意约定保留并用于分析；不再进行新的研究相关操作，除非试验参与者另行同意或法规要求。已收集数据不得删除或静默删除。</w:t>
      </w:r>
    </w:p>
    <w:p>
      <w:r>
        <w:t>试验参与者中止或退出时完成提前退出访视，记录末次给药日期、末次评估日期、退出原因和转归，并安排安全性随访；数据录入eCRF并纳入分析。退出与处置安排应与SoA/评估计划衔接。</w:t>
      </w:r>
    </w:p>
    <w:p>
      <w:r>
        <w:t>不替换退出或失访的试验参与者；样本量已按8%失访膨胀，分析按ITT/FAS原则进行。该替换政策与样本量及分析合同一致。</w:t>
      </w:r>
    </w:p>
    <w:p>
      <w:bookmarkStart w:id="2016" w:name="chap_v2_n_8_3"/>
      <w:pPr>
        <w:pStyle w:val="2"/>
      </w:pPr>
      <w:r>
        <w:t>失访</w:t>
      </w:r>
      <w:bookmarkEnd w:id="2016"/>
    </w:p>
    <w:p>
      <w:r>
        <w:t>本节描述本项目失访判定所依据的项目特定联系尝试、记录、复核分类与责任要求。失访判定应基于项目特定联系尝试、记录与复核分类；单次漏访不足以判定失访。失访、未联系上与撤回知情同意应分别判定，未联系上不等于撤回知情同意。</w:t>
      </w:r>
    </w:p>
    <w:p>
      <w:bookmarkStart w:id="2671" w:name="tbl_40"/>
      <w:r>
        <w:t>表40 失访</w:t>
      </w:r>
      <w:bookmarkEnd w:id="2671"/>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环节</w:t>
            </w:r>
          </w:p>
        </w:tc>
        <w:tc>
          <w:tcPr>
            <w:tcW w:type="dxa" w:w="3297"/>
          </w:tcPr>
          <w:p>
            <w:r>
              <w:rPr>
                <w:b/>
              </w:rPr>
              <w:t>项目特定要求</w:t>
            </w:r>
          </w:p>
        </w:tc>
        <w:tc>
          <w:tcPr>
            <w:tcW w:type="dxa" w:w="3297"/>
          </w:tcPr>
          <w:p>
            <w:r>
              <w:rPr>
                <w:b/>
              </w:rPr>
              <w:t>记录与责任</w:t>
            </w:r>
          </w:p>
        </w:tc>
      </w:tr>
      <w:tr>
        <w:tc>
          <w:tcPr>
            <w:tcW w:type="dxa" w:w="3297"/>
          </w:tcPr>
          <w:p>
            <w:r>
              <w:t>联系尝试程序</w:t>
            </w:r>
          </w:p>
        </w:tc>
        <w:tc>
          <w:tcPr>
            <w:tcW w:type="dxa" w:w="3297"/>
          </w:tcPr>
          <w:p>
            <w:r>
              <w:t>在第24周访视窗口及随访到期后，通过电话、短信或邮件、信件等经批准的联系方式至少进行3次联系尝试，尽量覆盖不同日期和时段；可联系试验参与者提供的紧急联系人，但需符合知情同意和隐私要求。</w:t>
            </w:r>
          </w:p>
        </w:tc>
        <w:tc>
          <w:tcPr>
            <w:tcW w:type="dxa" w:w="3297"/>
          </w:tcPr>
          <w:p>
            <w:r>
              <w:t>由研究中心按项目程序执行；联系方式需经批准并符合知情同意和隐私要求。</w:t>
            </w:r>
          </w:p>
        </w:tc>
      </w:tr>
      <w:tr>
        <w:tc>
          <w:tcPr>
            <w:tcW w:type="dxa" w:w="3297"/>
          </w:tcPr>
          <w:p>
            <w:r>
              <w:t>联系限制</w:t>
            </w:r>
          </w:p>
        </w:tc>
        <w:tc>
          <w:tcPr>
            <w:tcW w:type="dxa" w:w="3297"/>
          </w:tcPr>
          <w:p>
            <w:r>
              <w:t>联系不得侵犯隐私，不得向无关人员披露研究信息；仅使用试验参与者授权联系方式；试验参与者撤回知情同意或要求停止联系后，不再进行失访联系。</w:t>
            </w:r>
          </w:p>
        </w:tc>
        <w:tc>
          <w:tcPr>
            <w:tcW w:type="dxa" w:w="3297"/>
          </w:tcPr>
          <w:p>
            <w:r>
              <w:t>遵循试验参与者授权、隐私要求和知情同意；撤回同意或要求停止联系后不再进行失访联系。</w:t>
            </w:r>
          </w:p>
        </w:tc>
      </w:tr>
      <w:tr>
        <w:tc>
          <w:tcPr>
            <w:tcW w:type="dxa" w:w="3297"/>
          </w:tcPr>
          <w:p>
            <w:r>
              <w:t>联系尝试记录</w:t>
            </w:r>
          </w:p>
        </w:tc>
        <w:tc>
          <w:tcPr>
            <w:tcW w:type="dxa" w:w="3297"/>
          </w:tcPr>
          <w:p>
            <w:r>
              <w:t>每次联系尝试均记录日期、时间、方式、联系对象、结果和操作者；记录保存在试验参与者源文件和eCRF或随访记录中。</w:t>
            </w:r>
          </w:p>
        </w:tc>
        <w:tc>
          <w:tcPr>
            <w:tcW w:type="dxa" w:w="3297"/>
          </w:tcPr>
          <w:p>
            <w:r>
              <w:t>记录责任方：操作者；记录保存于试验参与者源文件和eCRF或随访记录。</w:t>
            </w:r>
          </w:p>
        </w:tc>
      </w:tr>
      <w:tr>
        <w:tc>
          <w:tcPr>
            <w:tcW w:type="dxa" w:w="3297"/>
          </w:tcPr>
          <w:p>
            <w:r>
              <w:t>复核与分类</w:t>
            </w:r>
          </w:p>
        </w:tc>
        <w:tc>
          <w:tcPr>
            <w:tcW w:type="dxa" w:w="3297"/>
          </w:tcPr>
          <w:p>
            <w:r>
              <w:t>由研究者或指定人员审核联系记录，确认已按程序完成合理尝试后，将试验参与者分类为失访；分类日期、依据和末次接触日期记录在eCRF。若后续恢复联系，按方案评估是否继续随访。</w:t>
            </w:r>
          </w:p>
        </w:tc>
        <w:tc>
          <w:tcPr>
            <w:tcW w:type="dxa" w:w="3297"/>
          </w:tcPr>
          <w:p>
            <w:r>
              <w:t>分类日期、依据和末次接触日期记录在eCRF；恢复联系后按方案评估是否继续随访。</w:t>
            </w:r>
          </w:p>
        </w:tc>
      </w:tr>
      <w:tr>
        <w:tc>
          <w:tcPr>
            <w:tcW w:type="dxa" w:w="3297"/>
          </w:tcPr>
          <w:p>
            <w:r>
              <w:t>责任与批准</w:t>
            </w:r>
          </w:p>
        </w:tc>
        <w:tc>
          <w:tcPr>
            <w:tcW w:type="dxa" w:w="3297"/>
          </w:tcPr>
          <w:p>
            <w:r>
              <w:t>研究中心研究者负责联系、记录和初步分类；医学监查员或申办者审核失访分类及对分析的影响；必要时与伦理委员会沟通。所有分类和审批记录保存。</w:t>
            </w:r>
          </w:p>
        </w:tc>
        <w:tc>
          <w:tcPr>
            <w:tcW w:type="dxa" w:w="3297"/>
          </w:tcPr>
          <w:p>
            <w:r>
              <w:t>所有分类和审批记录保存。</w:t>
            </w:r>
          </w:p>
        </w:tc>
      </w:tr>
      <w:tr>
        <w:tc>
          <w:tcPr>
            <w:tcW w:type="dxa" w:w="3297"/>
          </w:tcPr>
          <w:p>
            <w:r>
              <w:t>判定区别</w:t>
            </w:r>
          </w:p>
        </w:tc>
        <w:tc>
          <w:tcPr>
            <w:tcW w:type="dxa" w:w="3297"/>
          </w:tcPr>
          <w:p>
            <w:r>
              <w:t>失访不同于撤回知情同意：撤回知情同意是试验参与者明确决定退出，之后不再联系；失访是经多次合理尝试仍无法联系，且无明确撤回同意。若无法联系但已知死亡或转归，应记录为相应结局而非失访。</w:t>
            </w:r>
          </w:p>
        </w:tc>
        <w:tc>
          <w:tcPr>
            <w:tcW w:type="dxa" w:w="3297"/>
          </w:tcPr>
          <w:p>
            <w:r>
              <w:t>失访、撤回同意与未联系上分别判定；未联系上不等于撤回知情同意。</w:t>
            </w:r>
          </w:p>
        </w:tc>
      </w:tr>
      <w:tr>
        <w:tc>
          <w:tcPr>
            <w:tcW w:type="dxa" w:w="3297"/>
          </w:tcPr>
          <w:p>
            <w:r>
              <w:t>漏访与失访</w:t>
            </w:r>
          </w:p>
        </w:tc>
        <w:tc>
          <w:tcPr>
            <w:tcW w:type="dxa" w:w="3297"/>
          </w:tcPr>
          <w:p>
            <w:r>
              <w:t>单次漏访不足以判定失访；失访判定必须基于项目特定联系尝试、记录与复核分类。</w:t>
            </w:r>
          </w:p>
        </w:tc>
        <w:tc>
          <w:tcPr>
            <w:tcW w:type="dxa" w:w="3297"/>
          </w:tcPr>
          <w:p>
            <w:r>
              <w:t>不得将单次漏访或未联系上直接分类为失访。</w:t>
            </w:r>
          </w:p>
        </w:tc>
      </w:tr>
    </w:tbl>
    <w:p>
      <w:r>
        <w:t>失访不同于撤回知情同意：撤回知情同意是试验参与者明确决定退出，之后不再联系；失访是经多次合理尝试仍无法联系，且无明确撤回同意。若无法联系但已知死亡或转归，应记录为相应结局而非失访。若后续恢复联系，按方案评估是否继续随访。所有分类和审批记录保存。</w:t>
      </w:r>
    </w:p>
    <w:p>
      <w:bookmarkStart w:id="15959" w:name="chap_v2_n_9_1"/>
      <w:pPr>
        <w:pStyle w:val="2"/>
      </w:pPr>
      <w:r>
        <w:t>疗效评估</w:t>
      </w:r>
      <w:bookmarkEnd w:id="15959"/>
    </w:p>
    <w:p>
      <w:r>
        <w:t>本章疗效评估框架覆盖主要终点、关键次要终点SNOT-22和描述性次要终点Lund-Kennedy。评估工具包括双侧鼻息肉评分（NPS）、鼻塞VAS、SNOT-22量表和Lund-Kennedy内镜评分。主要分析集为FAS；主要终点缺失采用无应答插补，敏感性分析采用tipping point；关键次要终点采用固定序列检验控制多重性。主要终点直接复用已确认的主要终点事实，并回链已确认的主要目的与主要估计目标；本节不新增无法回链研究目的或估计目标的疗效终点。评估时点与已接受SoA一致：基线在首次给药前评估；主要终点和次要终点均在第24周评估；SNOT-22和Lund-Kennedy较基线变化以第24周为评价时点。本节不另行设定与已接受SoA冲突的访视窗口。</w:t>
      </w:r>
    </w:p>
    <w:p>
      <w:r>
        <w:t>主要终点为第24周临床缓解率，定义为第24周达到双侧NPS≤1且鼻塞VAS≤1的试验参与者比例。采用的主要终点测量口径为：双侧NPS按每侧0～4分、总分0～8分计算；鼻塞VAS采用0～10 cm视觉模拟量表，缓解阈值≤1分。NPS由经过培训的研究者或耳鼻喉科评估者实施，尽可能由同一评估者在各访视进行；评估者需接受方案、评分标准和一致性培训。鼻塞VAS由试验参与者按方案指导完成。NPS和鼻塞VAS的基线评估在首次给药前完成；主要终点在第24周评估。主要终点测量口径与主要估计目标一致：人群为成人慢性鼻窦炎伴鼻息肉患者（FAS，ITT原则），变量为第24周临床缓解，治疗为合成药X 150 mg皮下方案对比安慰剂，伴发事件（ICE）按治疗策略处理，群体汇总为缓解率比例，采用按中心分层CMH检验，报告风险差及95%CI。</w:t>
      </w:r>
    </w:p>
    <w:p>
      <w:r>
        <w:t>关键次要终点为第24周SNOT-22较基线变化，采用SNOT-22量表，由试验参与者按方案指导完成；该终点作为关键次要终点纳入固定序列检验以控制多重性。其他/描述性次要终点为第24周Lund-Kennedy内镜评分较基线变化，采用Lund-Kennedy内镜评分，由经过培训的研究者或耳鼻喉科评估者实施，尽可能由同一评估者在各访视进行；评估者需接受方案、评分标准和一致性培训。SNOT-22和Lund-Kennedy较基线变化均以第24周为评价时点，其基线评估在首次给药前完成。上述次要终点按项目已确认的评估工具和评分口径执行，并保留具体测量方法，不以通用模板句替代终点定义。</w:t>
      </w:r>
    </w:p>
    <w:p>
      <w:bookmarkStart w:id="64930" w:name="tbl_41"/>
      <w:r>
        <w:t>表41 疗效评估</w:t>
      </w:r>
      <w:bookmarkEnd w:id="64930"/>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主要目的：评估合成药X 150 mg/1.0 mL皮下给药方案（负荷期第1、8、15、22天每周一次共4次；维持期第36天起每两周一次至第24周末次给药）相较安慰剂在成人慢性鼻窦炎伴鼻息肉患者中第24周临床缓解率的优效性。</w:t>
            </w:r>
          </w:p>
        </w:tc>
        <w:tc>
          <w:tcPr>
            <w:tcW w:type="dxa" w:w="3297"/>
          </w:tcPr>
          <w:p>
            <w:r>
              <w:rPr>
                <w:b/>
              </w:rPr>
              <w:t>主要终点：第24周临床缓解率，定义为第24周达到双侧鼻息肉评分（NPS）≤1且鼻塞VAS≤1的试验参与者比例。</w:t>
            </w:r>
          </w:p>
        </w:tc>
        <w:tc>
          <w:tcPr>
            <w:tcW w:type="dxa" w:w="3297"/>
          </w:tcPr>
          <w:p>
            <w:r>
              <w:rPr>
                <w:b/>
              </w:rPr>
              <w:t>主要估计目标：人群为成人慢性鼻窦炎伴鼻息肉患者（FAS，ITT原则）；变量为第24周临床缓解；治疗为合成药X 150 mg皮下方案对比安慰剂；伴发事件（ICE）按治疗策略处理；群体汇总为缓解率比例，采用按中心分层CMH检验，报告风险差及95%CI。</w:t>
            </w:r>
          </w:p>
        </w:tc>
      </w:tr>
    </w:tbl>
    <w:p>
      <w:bookmarkStart w:id="95898" w:name="chap_v2_n_9_2"/>
      <w:pPr>
        <w:pStyle w:val="2"/>
      </w:pPr>
      <w:r>
        <w:t>安全性和其他评估</w:t>
      </w:r>
      <w:bookmarkEnd w:id="95898"/>
    </w:p>
    <w:p>
      <w:r>
        <w:t>本节规定安全性评估的项目、单位与参考范围、评估窗口、重复/确认规则、标本处理及评估相关限制。安全性监测包括不良事件/严重不良事件、生命体征、体格检查、注射部位反应、实验室检查、合并用药以及临床需要的其他检查。</w:t>
      </w:r>
    </w:p>
    <w:p>
      <w:r>
        <w:t>实验室检查包括血常规、血生化、肝肾功能、电解质等常规指标；具体项目按方案和研究中心标准执行。实验室检查记录单位、参考范围和异常判断；采用当地实验室报告单位与参考范围，异常结果按CTCAE或方案定义分级。本项目不使用中央实验室。</w:t>
      </w:r>
    </w:p>
    <w:p>
      <w:bookmarkStart w:id="42847" w:name="tbl_42"/>
      <w:r>
        <w:t>表42 安全性和其他评估</w:t>
      </w:r>
      <w:bookmarkEnd w:id="42847"/>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参数</w:t>
            </w:r>
          </w:p>
        </w:tc>
        <w:tc>
          <w:tcPr>
            <w:tcW w:type="dxa" w:w="2473"/>
          </w:tcPr>
          <w:p>
            <w:r>
              <w:rPr>
                <w:b/>
              </w:rPr>
              <w:t>单位</w:t>
            </w:r>
          </w:p>
        </w:tc>
        <w:tc>
          <w:tcPr>
            <w:tcW w:type="dxa" w:w="2473"/>
          </w:tcPr>
          <w:p>
            <w:r>
              <w:rPr>
                <w:b/>
              </w:rPr>
              <w:t>参考范围</w:t>
            </w:r>
          </w:p>
        </w:tc>
        <w:tc>
          <w:tcPr>
            <w:tcW w:type="dxa" w:w="2473"/>
          </w:tcPr>
          <w:p>
            <w:r>
              <w:rPr>
                <w:b/>
              </w:rPr>
              <w:t>评估窗口</w:t>
            </w:r>
          </w:p>
        </w:tc>
      </w:tr>
      <w:tr>
        <w:tc>
          <w:tcPr>
            <w:tcW w:type="dxa" w:w="2473"/>
          </w:tcPr>
          <w:p>
            <w:r>
              <w:t>血常规</w:t>
            </w:r>
          </w:p>
        </w:tc>
        <w:tc>
          <w:tcPr>
            <w:tcW w:type="dxa" w:w="2473"/>
          </w:tcPr>
          <w:p>
            <w:r>
              <w:t>当地实验室报告单位</w:t>
            </w:r>
          </w:p>
        </w:tc>
        <w:tc>
          <w:tcPr>
            <w:tcW w:type="dxa" w:w="2473"/>
          </w:tcPr>
          <w:p>
            <w:r>
              <w:t>当地实验室报告参考范围；异常按CTCAE或方案定义分级</w:t>
            </w:r>
          </w:p>
        </w:tc>
        <w:tc>
          <w:tcPr>
            <w:tcW w:type="dxa" w:w="2473"/>
          </w:tcPr>
          <w:p>
            <w:r>
              <w:t>筛选期、基线、负荷期第1、8、15、22天、维持期第36天起每两周至第24周、安全性随访</w:t>
            </w:r>
          </w:p>
        </w:tc>
      </w:tr>
      <w:tr>
        <w:tc>
          <w:tcPr>
            <w:tcW w:type="dxa" w:w="2473"/>
          </w:tcPr>
          <w:p>
            <w:r>
              <w:t>血生化</w:t>
            </w:r>
          </w:p>
        </w:tc>
        <w:tc>
          <w:tcPr>
            <w:tcW w:type="dxa" w:w="2473"/>
          </w:tcPr>
          <w:p>
            <w:r>
              <w:t>当地实验室报告单位</w:t>
            </w:r>
          </w:p>
        </w:tc>
        <w:tc>
          <w:tcPr>
            <w:tcW w:type="dxa" w:w="2473"/>
          </w:tcPr>
          <w:p>
            <w:r>
              <w:t>当地实验室报告参考范围；异常按CTCAE或方案定义分级</w:t>
            </w:r>
          </w:p>
        </w:tc>
        <w:tc>
          <w:tcPr>
            <w:tcW w:type="dxa" w:w="2473"/>
          </w:tcPr>
          <w:p>
            <w:r>
              <w:t>筛选期、基线、负荷期第1、8、15、22天、维持期第36天起每两周至第24周、安全性随访</w:t>
            </w:r>
          </w:p>
        </w:tc>
      </w:tr>
      <w:tr>
        <w:tc>
          <w:tcPr>
            <w:tcW w:type="dxa" w:w="2473"/>
          </w:tcPr>
          <w:p>
            <w:r>
              <w:t>肝功能</w:t>
            </w:r>
          </w:p>
        </w:tc>
        <w:tc>
          <w:tcPr>
            <w:tcW w:type="dxa" w:w="2473"/>
          </w:tcPr>
          <w:p>
            <w:r>
              <w:t>当地实验室报告单位</w:t>
            </w:r>
          </w:p>
        </w:tc>
        <w:tc>
          <w:tcPr>
            <w:tcW w:type="dxa" w:w="2473"/>
          </w:tcPr>
          <w:p>
            <w:r>
              <w:t>当地实验室报告参考范围；异常按CTCAE或方案定义分级</w:t>
            </w:r>
          </w:p>
        </w:tc>
        <w:tc>
          <w:tcPr>
            <w:tcW w:type="dxa" w:w="2473"/>
          </w:tcPr>
          <w:p>
            <w:r>
              <w:t>筛选期、基线、负荷期第1、8、15、22天、维持期第36天起每两周至第24周、安全性随访</w:t>
            </w:r>
          </w:p>
        </w:tc>
      </w:tr>
      <w:tr>
        <w:tc>
          <w:tcPr>
            <w:tcW w:type="dxa" w:w="2473"/>
          </w:tcPr>
          <w:p>
            <w:r>
              <w:t>肾功能</w:t>
            </w:r>
          </w:p>
        </w:tc>
        <w:tc>
          <w:tcPr>
            <w:tcW w:type="dxa" w:w="2473"/>
          </w:tcPr>
          <w:p>
            <w:r>
              <w:t>当地实验室报告单位</w:t>
            </w:r>
          </w:p>
        </w:tc>
        <w:tc>
          <w:tcPr>
            <w:tcW w:type="dxa" w:w="2473"/>
          </w:tcPr>
          <w:p>
            <w:r>
              <w:t>当地实验室报告参考范围；异常按CTCAE或方案定义分级</w:t>
            </w:r>
          </w:p>
        </w:tc>
        <w:tc>
          <w:tcPr>
            <w:tcW w:type="dxa" w:w="2473"/>
          </w:tcPr>
          <w:p>
            <w:r>
              <w:t>筛选期、基线、负荷期第1、8、15、22天、维持期第36天起每两周至第24周、安全性随访</w:t>
            </w:r>
          </w:p>
        </w:tc>
      </w:tr>
      <w:tr>
        <w:tc>
          <w:tcPr>
            <w:tcW w:type="dxa" w:w="2473"/>
          </w:tcPr>
          <w:p>
            <w:r>
              <w:t>电解质</w:t>
            </w:r>
          </w:p>
        </w:tc>
        <w:tc>
          <w:tcPr>
            <w:tcW w:type="dxa" w:w="2473"/>
          </w:tcPr>
          <w:p>
            <w:r>
              <w:t>当地实验室报告单位</w:t>
            </w:r>
          </w:p>
        </w:tc>
        <w:tc>
          <w:tcPr>
            <w:tcW w:type="dxa" w:w="2473"/>
          </w:tcPr>
          <w:p>
            <w:r>
              <w:t>当地实验室报告参考范围；异常按CTCAE或方案定义分级</w:t>
            </w:r>
          </w:p>
        </w:tc>
        <w:tc>
          <w:tcPr>
            <w:tcW w:type="dxa" w:w="2473"/>
          </w:tcPr>
          <w:p>
            <w:r>
              <w:t>筛选期、基线、负荷期第1、8、15、22天、维持期第36天起每两周至第24周、安全性随访</w:t>
            </w:r>
          </w:p>
        </w:tc>
      </w:tr>
      <w:tr>
        <w:tc>
          <w:tcPr>
            <w:tcW w:type="dxa" w:w="2473"/>
          </w:tcPr>
          <w:p>
            <w:r>
              <w:t>生命体征</w:t>
            </w:r>
          </w:p>
        </w:tc>
        <w:tc>
          <w:tcPr>
            <w:tcW w:type="dxa" w:w="2473"/>
          </w:tcPr>
          <w:p>
            <w:r>
              <w:t>按方案/研究中心规定记录单位</w:t>
            </w:r>
          </w:p>
        </w:tc>
        <w:tc>
          <w:tcPr>
            <w:tcW w:type="dxa" w:w="2473"/>
          </w:tcPr>
          <w:p>
            <w:r>
              <w:t>按方案/研究中心规定参考范围；异常重复确认</w:t>
            </w:r>
          </w:p>
        </w:tc>
        <w:tc>
          <w:tcPr>
            <w:tcW w:type="dxa" w:w="2473"/>
          </w:tcPr>
          <w:p>
            <w:r>
              <w:t>筛选期、基线、负荷期第1、8、15、22天、维持期第36天起每两周至第24周、安全性随访</w:t>
            </w:r>
          </w:p>
        </w:tc>
      </w:tr>
      <w:tr>
        <w:tc>
          <w:tcPr>
            <w:tcW w:type="dxa" w:w="2473"/>
          </w:tcPr>
          <w:p>
            <w:r>
              <w:t>体格检查</w:t>
            </w:r>
          </w:p>
        </w:tc>
        <w:tc>
          <w:tcPr>
            <w:tcW w:type="dxa" w:w="2473"/>
          </w:tcPr>
          <w:p>
            <w:r>
              <w:t>不适用</w:t>
            </w:r>
          </w:p>
        </w:tc>
        <w:tc>
          <w:tcPr>
            <w:tcW w:type="dxa" w:w="2473"/>
          </w:tcPr>
          <w:p>
            <w:r>
              <w:t>按临床判断；异常重复确认</w:t>
            </w:r>
          </w:p>
        </w:tc>
        <w:tc>
          <w:tcPr>
            <w:tcW w:type="dxa" w:w="2473"/>
          </w:tcPr>
          <w:p>
            <w:r>
              <w:t>筛选期、基线、负荷期第1、8、15、22天、维持期第36天起每两周至第24周、安全性随访</w:t>
            </w:r>
          </w:p>
        </w:tc>
      </w:tr>
      <w:tr>
        <w:tc>
          <w:tcPr>
            <w:tcW w:type="dxa" w:w="2473"/>
          </w:tcPr>
          <w:p>
            <w:r>
              <w:t>注射部位反应</w:t>
            </w:r>
          </w:p>
        </w:tc>
        <w:tc>
          <w:tcPr>
            <w:tcW w:type="dxa" w:w="2473"/>
          </w:tcPr>
          <w:p>
            <w:r>
              <w:t>不适用</w:t>
            </w:r>
          </w:p>
        </w:tc>
        <w:tc>
          <w:tcPr>
            <w:tcW w:type="dxa" w:w="2473"/>
          </w:tcPr>
          <w:p>
            <w:r>
              <w:t>按方案定义记录和分级</w:t>
            </w:r>
          </w:p>
        </w:tc>
        <w:tc>
          <w:tcPr>
            <w:tcW w:type="dxa" w:w="2473"/>
          </w:tcPr>
          <w:p>
            <w:r>
              <w:t>筛选期、基线、负荷期第1、8、15、22天、维持期第36天起每两周至第24周、安全性随访</w:t>
            </w:r>
          </w:p>
        </w:tc>
      </w:tr>
      <w:tr>
        <w:tc>
          <w:tcPr>
            <w:tcW w:type="dxa" w:w="2473"/>
          </w:tcPr>
          <w:p>
            <w:r>
              <w:t>不良事件/严重不良事件</w:t>
            </w:r>
          </w:p>
        </w:tc>
        <w:tc>
          <w:tcPr>
            <w:tcW w:type="dxa" w:w="2473"/>
          </w:tcPr>
          <w:p>
            <w:r>
              <w:t>不适用</w:t>
            </w:r>
          </w:p>
        </w:tc>
        <w:tc>
          <w:tcPr>
            <w:tcW w:type="dxa" w:w="2473"/>
          </w:tcPr>
          <w:p>
            <w:r>
              <w:t>按GCP和方案定义</w:t>
            </w:r>
          </w:p>
        </w:tc>
        <w:tc>
          <w:tcPr>
            <w:tcW w:type="dxa" w:w="2473"/>
          </w:tcPr>
          <w:p>
            <w:r>
              <w:t>按方案规定持续收集至安全性随访结束</w:t>
            </w:r>
          </w:p>
        </w:tc>
      </w:tr>
      <w:tr>
        <w:tc>
          <w:tcPr>
            <w:tcW w:type="dxa" w:w="2473"/>
          </w:tcPr>
          <w:p>
            <w:r>
              <w:t>合并用药</w:t>
            </w:r>
          </w:p>
        </w:tc>
        <w:tc>
          <w:tcPr>
            <w:tcW w:type="dxa" w:w="2473"/>
          </w:tcPr>
          <w:p>
            <w:r>
              <w:t>不适用</w:t>
            </w:r>
          </w:p>
        </w:tc>
        <w:tc>
          <w:tcPr>
            <w:tcW w:type="dxa" w:w="2473"/>
          </w:tcPr>
          <w:p>
            <w:r>
              <w:t>按合并用药记录</w:t>
            </w:r>
          </w:p>
        </w:tc>
        <w:tc>
          <w:tcPr>
            <w:tcW w:type="dxa" w:w="2473"/>
          </w:tcPr>
          <w:p>
            <w:r>
              <w:t>筛选期、基线、负荷期第1、8、15、22天、维持期第36天起每两周至第24周、安全性随访</w:t>
            </w:r>
          </w:p>
        </w:tc>
      </w:tr>
      <w:tr>
        <w:tc>
          <w:tcPr>
            <w:tcW w:type="dxa" w:w="2473"/>
          </w:tcPr>
          <w:p>
            <w:r>
              <w:t>临床需要的其他检查</w:t>
            </w:r>
          </w:p>
        </w:tc>
        <w:tc>
          <w:tcPr>
            <w:tcW w:type="dxa" w:w="2473"/>
          </w:tcPr>
          <w:p>
            <w:r>
              <w:t>按具体检查项目规定</w:t>
            </w:r>
          </w:p>
        </w:tc>
        <w:tc>
          <w:tcPr>
            <w:tcW w:type="dxa" w:w="2473"/>
          </w:tcPr>
          <w:p>
            <w:r>
              <w:t>按具体检查项目规定</w:t>
            </w:r>
          </w:p>
        </w:tc>
        <w:tc>
          <w:tcPr>
            <w:tcW w:type="dxa" w:w="2473"/>
          </w:tcPr>
          <w:p>
            <w:r>
              <w:t>临床需要时</w:t>
            </w:r>
          </w:p>
        </w:tc>
      </w:tr>
    </w:tbl>
    <w:p>
      <w:r>
        <w:t>生命体征、体格检查、注射部位反应及其他临床需要的检查按方案规定记录；其单位与参考范围按方案或研究中心标准记录。对具有临床意义的异常实验室检查、生命体征或其他安全性结果，应重复检测确认；若重复仍异常或加重，按不良事件或严重不良事件处理，并评估是否暂停或永久停用研究干预。</w:t>
      </w:r>
    </w:p>
    <w:p>
      <w:r>
        <w:t>安全性评估覆盖筛选期、基线、负荷期、维持期至第24周末次给药及安全性随访；访视窗口按方案规定执行，并与SoA一致。监测计划按筛选期、基线、负荷期第1、8、15、22天、维持期第36天起每两周至第24周及安全性随访进行安全性评估；不良事件和严重不良事件按方案规定持续收集至安全性随访结束。</w:t>
      </w:r>
    </w:p>
    <w:p>
      <w:r>
        <w:t>标本类型包括血液、尿液等，按当地实验室和方案要求采集、处理、储存和运输；注射部位反应和不良事件记录不涉及特殊标本。本方案未规定特殊检测；常规安全性实验室检查用于安全性监测。用于方案规定安全性或疗效评估的标本与未来研究用标本应区分；未来使用需在知情同意中单独说明并取得同意，未同意者标本不用于未来研究。</w:t>
      </w:r>
    </w:p>
    <w:p>
      <w:r>
        <w:t>安全性评估按统一方案和访视窗口进行；评估前避免使用可能干扰判断的合并用药或操作，若发生需记录。不良事件和严重不良事件按GCP报告。</w:t>
      </w:r>
    </w:p>
    <w:p>
      <w:bookmarkStart w:id="46192" w:name="chap_v2_n_9_3"/>
      <w:pPr>
        <w:pStyle w:val="2"/>
      </w:pPr>
      <w:r>
        <w:t>群体药动学药效学评估</w:t>
      </w:r>
      <w:bookmarkEnd w:id="46192"/>
    </w:p>
    <w:p>
      <w:r>
        <w:t>本节依据已确认的研究事实，对群体药代动力学（群体PK）、药效动力学/暴露-反应（PD/E-R）及免疫原性分析分别判定适用性。一般PK与群体PK分别判断，不以一般PK适用性替代群体PK适用性；未适用的分析不设置需要回链的终点、样本、采样时点/单位或参考事件。</w:t>
      </w:r>
    </w:p>
    <w:p>
      <w:r>
        <w:t>群体PK：适用性为否。因此，本项目不设置群体PK分析终点，不设置群体PK分析所需的样本与采样时点/单位或参考事件要求，也不提出群体PK分析要求；本节不以模板示例采样安排作为群体PK采样计划，亦无须回链群体PK终点与采样计划。</w:t>
      </w:r>
    </w:p>
    <w:p>
      <w:r>
        <w:t>PD/E-R：PD适用性为否，E-R适用性为否。因此，本项目不设置PD或E-R分析终点，不设置相应样本与采样时点/单位或参考事件要求，也不提出PD/E-R分析要求；无须回链PD/E-R适用终点与采样计划。</w:t>
      </w:r>
    </w:p>
    <w:p>
      <w:r>
        <w:t>免疫原性：适用性为否。因此，本项目不设置免疫原性分析终点，不设置免疫原性样本与采样时点/单位或参考事件要求，也不制定独立的免疫原性检测与分析策略；不以“标本+特殊检测”替代免疫原性策略，无须回链免疫原性终点与采样计划。</w:t>
      </w:r>
    </w:p>
    <w:p>
      <w:r>
        <w:t>探索性分析处置：本项目不开展群体PK、PD/E-R及免疫原性分析，相关项目均按不适用处置；本节无需要回链的适用终点、样本、采样时点/单位、参考事件或分析要求。</w:t>
      </w:r>
    </w:p>
    <w:p>
      <w:bookmarkStart w:id="21580" w:name="chap_v2_n_9_4"/>
      <w:pPr>
        <w:pStyle w:val="2"/>
      </w:pPr>
      <w:r>
        <w:t>独立评审委员会</w:t>
      </w:r>
      <w:bookmarkEnd w:id="21580"/>
    </w:p>
    <w:p>
      <w:r>
        <w:t>根据已确认项目事实（irc.applicable=false），本项目不设立独立评审委员会（IRC）。本节分别声明 IRC 适用性判定与设立义务：当前适用性判定为“不适用”，设立义务不触发。</w:t>
      </w:r>
    </w:p>
    <w:p>
      <w:r>
        <w:t>因适用性判定为不适用，本项目无需制定或提交 IRC 章程、独立性安排、评审范围与终点、裁定方法与工具版本、角色与利益冲突管理等设立要素；上述设立要素在本项目中不适用。若后续项目事实条件发生变更，应重新判定 IRC 适用性，并在判定为适用时逐项补充上述设立要素。</w:t>
      </w:r>
    </w:p>
    <w:p>
      <w:r>
        <w:t>IRC 不得与安全性/数据监查委员会混同。RECIST 1.1、肿瘤影像及 CD 传输等仅可作为相关裁定方法的示例，不构成通用裁定方法；本项目当前未设立 IRC，亦不将任何示例性方法作为本项目 IRC 裁定方法。未设立 IRC 不降低试验参与者安全与数据完整性要求。</w:t>
      </w:r>
    </w:p>
    <w:p>
      <w:bookmarkStart w:id="2632" w:name="chap_v2_n_10_1_1"/>
      <w:pPr>
        <w:pStyle w:val="3"/>
      </w:pPr>
      <w:r>
        <w:t>不良事件的定义</w:t>
      </w:r>
      <w:bookmarkEnd w:id="2632"/>
    </w:p>
    <w:p>
      <w:r>
        <w:t>本章规定本Ⅱ期慢性鼻窦炎伴鼻息肉研究中不良事件和严重不良事件的定义、严重程度、相关性判断、收集、记录、随访及报告要求。以下内容用于分别界定不良事件（AE）与治疗期出现的不良事件（TEAE）的定义、观察期、派生及术语绑定基础。</w:t>
      </w:r>
    </w:p>
    <w:p>
      <w:r>
        <w:t>不良事件（AE）指试验参与者在接受试验用药品后出现的任何不良医学事件，包括症状、体征、疾病、实验室检查异常等，不一定与试验用药品存在因果关系。</w:t>
      </w:r>
    </w:p>
    <w:p>
      <w:r>
        <w:t>AE 的收集与 TEAE 观察期自首次给予试验用药品开始，至末次给药后30天结束；在此期间新发生或恶化的 AE 归为 TEAE。</w:t>
      </w:r>
    </w:p>
    <w:p>
      <w:r>
        <w:t>治疗期出现的不良事件（TEAE）定义为首次给予试验用药品后新发生或较基线恶化的 AE；首次给药前已存在且未恶化的事件不计为 TEAE。</w:t>
      </w:r>
    </w:p>
    <w:p>
      <w:r>
        <w:t>既存疾病或症状应在筛选期病史中记录；若在首次给药后新发生或较基线加重，应作为 AE 记录；若持续存在但未加重，不作为 AE。</w:t>
      </w:r>
    </w:p>
    <w:p>
      <w:r>
        <w:t>不良事件名称应采用医学术语，使用 MedDRA 进行编码；以首选语（PT）作为事件名称，系统器官分类（SOC）用于汇总分析。</w:t>
      </w:r>
    </w:p>
    <w:p>
      <w:r>
        <w:t>本研究为慢性鼻窦炎伴鼻息肉研究，不属于肿瘤适应症，肿瘤进展例外不适用；因此，不应在本研究 AE/TEAE 定义、收集或归类中引入肿瘤进展例外规则。</w:t>
      </w:r>
    </w:p>
    <w:p>
      <w:bookmarkStart w:id="39513" w:name="chap_v2_n_10_1_2"/>
      <w:pPr>
        <w:pStyle w:val="3"/>
      </w:pPr>
      <w:r>
        <w:t>不良事件的严重程度</w:t>
      </w:r>
      <w:bookmarkEnd w:id="39513"/>
    </w:p>
    <w:p>
      <w:r>
        <w:t>本研究采用 NCI CTCAE 5.0版作为不良事件（AE）严重程度分级量表，并以此版本作为项目绑定的分级依据。AE的严重程度分级用于描述AE的强度，按 NCI CTCAE 5.0版分为1至5级。</w:t>
      </w:r>
    </w:p>
    <w:p>
      <w:r>
        <w:t>严重程度（severity）指AE的强度分级，严重性（seriousness）指是否符合严重不良事件标准；两者概念不同，严重AE不一定严重程度高，反之亦然。严重程度分级不得直接用于判定严重性。各级定义见下表：1级轻度，2级中度，3级严重或医学上显著，4级危及生命，5级死亡。</w:t>
      </w:r>
    </w:p>
    <w:p>
      <w:bookmarkStart w:id="35390" w:name="tbl_43"/>
      <w:r>
        <w:t>表43 不良事件的严重程度</w:t>
      </w:r>
      <w:bookmarkEnd w:id="35390"/>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1级</w:t>
            </w:r>
          </w:p>
        </w:tc>
        <w:tc>
          <w:tcPr>
            <w:tcW w:type="dxa" w:w="3297"/>
          </w:tcPr>
          <w:p>
            <w:r>
              <w:rPr>
                <w:b/>
              </w:rPr>
              <w:t>轻度</w:t>
            </w:r>
          </w:p>
        </w:tc>
        <w:tc>
          <w:tcPr>
            <w:tcW w:type="dxa" w:w="3297"/>
          </w:tcPr>
          <w:p>
            <w:r>
              <w:rPr>
                <w:b/>
              </w:rPr>
              <w:t>NCI CTCAE 5.0版</w:t>
            </w:r>
          </w:p>
        </w:tc>
      </w:tr>
      <w:tr>
        <w:tc>
          <w:tcPr>
            <w:tcW w:type="dxa" w:w="3297"/>
          </w:tcPr>
          <w:p>
            <w:r>
              <w:t>2级</w:t>
            </w:r>
          </w:p>
        </w:tc>
        <w:tc>
          <w:tcPr>
            <w:tcW w:type="dxa" w:w="3297"/>
          </w:tcPr>
          <w:p>
            <w:r>
              <w:t>中度</w:t>
            </w:r>
          </w:p>
        </w:tc>
        <w:tc>
          <w:tcPr>
            <w:tcW w:type="dxa" w:w="3297"/>
          </w:tcPr>
          <w:p>
            <w:r>
              <w:t>NCI CTCAE 5.0版</w:t>
            </w:r>
          </w:p>
        </w:tc>
      </w:tr>
      <w:tr>
        <w:tc>
          <w:tcPr>
            <w:tcW w:type="dxa" w:w="3297"/>
          </w:tcPr>
          <w:p>
            <w:r>
              <w:t>3级</w:t>
            </w:r>
          </w:p>
        </w:tc>
        <w:tc>
          <w:tcPr>
            <w:tcW w:type="dxa" w:w="3297"/>
          </w:tcPr>
          <w:p>
            <w:r>
              <w:t>严重或医学上显著</w:t>
            </w:r>
          </w:p>
        </w:tc>
        <w:tc>
          <w:tcPr>
            <w:tcW w:type="dxa" w:w="3297"/>
          </w:tcPr>
          <w:p>
            <w:r>
              <w:t>NCI CTCAE 5.0版</w:t>
            </w:r>
          </w:p>
        </w:tc>
      </w:tr>
      <w:tr>
        <w:tc>
          <w:tcPr>
            <w:tcW w:type="dxa" w:w="3297"/>
          </w:tcPr>
          <w:p>
            <w:r>
              <w:t>4级</w:t>
            </w:r>
          </w:p>
        </w:tc>
        <w:tc>
          <w:tcPr>
            <w:tcW w:type="dxa" w:w="3297"/>
          </w:tcPr>
          <w:p>
            <w:r>
              <w:t>危及生命</w:t>
            </w:r>
          </w:p>
        </w:tc>
        <w:tc>
          <w:tcPr>
            <w:tcW w:type="dxa" w:w="3297"/>
          </w:tcPr>
          <w:p>
            <w:r>
              <w:t>NCI CTCAE 5.0版</w:t>
            </w:r>
          </w:p>
        </w:tc>
      </w:tr>
      <w:tr>
        <w:tc>
          <w:tcPr>
            <w:tcW w:type="dxa" w:w="3297"/>
          </w:tcPr>
          <w:p>
            <w:r>
              <w:t>5级</w:t>
            </w:r>
          </w:p>
        </w:tc>
        <w:tc>
          <w:tcPr>
            <w:tcW w:type="dxa" w:w="3297"/>
          </w:tcPr>
          <w:p>
            <w:r>
              <w:t>死亡</w:t>
            </w:r>
          </w:p>
        </w:tc>
        <w:tc>
          <w:tcPr>
            <w:tcW w:type="dxa" w:w="3297"/>
          </w:tcPr>
          <w:p>
            <w:r>
              <w:t>NCI CTCAE 5.0版</w:t>
            </w:r>
          </w:p>
        </w:tc>
      </w:tr>
    </w:tbl>
    <w:p>
      <w:bookmarkStart w:id="20106" w:name="chap_v2_n_10_1_3"/>
      <w:pPr>
        <w:pStyle w:val="3"/>
      </w:pPr>
      <w:r>
        <w:t>不良事件与试验用药品相关性的判断</w:t>
      </w:r>
      <w:bookmarkEnd w:id="20106"/>
    </w:p>
    <w:p>
      <w:r>
        <w:t>本节相关性判断采用五级术语：肯定有关、很可能有关、可能有关、可能无关、无关（肯定无关）。不得将上述五分法折叠为“有关/无关”二分结论。相关性判断依据ICH E2A、CIOMS、NMPA药物临床试验质量管理规范及WHO-UMC因果关系评价原则，由研究者综合判断；上述依据以当前生效的法规、指南或原则为准，征求意见稿或草案文本不得作为现行依据。</w:t>
      </w:r>
    </w:p>
    <w:p>
      <w:r>
        <w:t>逐级判定由研究者根据事件发生时间与试验用药品给药的时间关系、临床过程、已知药理作用、去激发或再激发、混杂因素及既往病史等综合判断相关性；必要时由申办者医学人员复核。各级别均须记录综合判断依据，不能仅记录“有关/无关”二分结果。</w:t>
      </w:r>
    </w:p>
    <w:p>
      <w:bookmarkStart w:id="97523" w:name="tbl_44"/>
      <w:r>
        <w:t>表44 不良事件与试验用药品相关性的判断</w:t>
      </w:r>
      <w:bookmarkEnd w:id="97523"/>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级别</w:t>
            </w:r>
          </w:p>
        </w:tc>
        <w:tc>
          <w:tcPr>
            <w:tcW w:type="dxa" w:w="3297"/>
          </w:tcPr>
          <w:p>
            <w:r>
              <w:rPr>
                <w:b/>
              </w:rPr>
              <w:t>定义</w:t>
            </w:r>
          </w:p>
        </w:tc>
        <w:tc>
          <w:tcPr>
            <w:tcW w:type="dxa" w:w="3297"/>
          </w:tcPr>
          <w:p>
            <w:r>
              <w:rPr>
                <w:b/>
              </w:rPr>
              <w:t>判定依据</w:t>
            </w:r>
          </w:p>
        </w:tc>
      </w:tr>
      <w:tr>
        <w:tc>
          <w:tcPr>
            <w:tcW w:type="dxa" w:w="3297"/>
          </w:tcPr>
          <w:p>
            <w:r>
              <w:t>肯定有关</w:t>
            </w:r>
          </w:p>
        </w:tc>
        <w:tc>
          <w:tcPr>
            <w:tcW w:type="dxa" w:w="3297"/>
          </w:tcPr>
          <w:p>
            <w:r>
              <w:t>综合判断明确支持事件与试验用药品存在因果关系。</w:t>
            </w:r>
          </w:p>
        </w:tc>
        <w:tc>
          <w:tcPr>
            <w:tcW w:type="dxa" w:w="3297"/>
          </w:tcPr>
          <w:p>
            <w:r>
              <w:t>事件发生时间与给药的时间关系、临床过程、已知药理作用、去激发或再激发、混杂因素及既往病史等综合信息均支持因果关系，且无更合理解释。</w:t>
            </w:r>
          </w:p>
        </w:tc>
      </w:tr>
      <w:tr>
        <w:tc>
          <w:tcPr>
            <w:tcW w:type="dxa" w:w="3297"/>
          </w:tcPr>
          <w:p>
            <w:r>
              <w:t>很可能有关</w:t>
            </w:r>
          </w:p>
        </w:tc>
        <w:tc>
          <w:tcPr>
            <w:tcW w:type="dxa" w:w="3297"/>
          </w:tcPr>
          <w:p>
            <w:r>
              <w:t>综合判断支持事件与试验用药品存在因果关系，但证据强度未达到肯定有关。</w:t>
            </w:r>
          </w:p>
        </w:tc>
        <w:tc>
          <w:tcPr>
            <w:tcW w:type="dxa" w:w="3297"/>
          </w:tcPr>
          <w:p>
            <w:r>
              <w:t>上述综合信息中多数关键因素支持因果关系，但仍存在未完全排除的替代解释或信息不足。</w:t>
            </w:r>
          </w:p>
        </w:tc>
      </w:tr>
      <w:tr>
        <w:tc>
          <w:tcPr>
            <w:tcW w:type="dxa" w:w="3297"/>
          </w:tcPr>
          <w:p>
            <w:r>
              <w:t>可能有关</w:t>
            </w:r>
          </w:p>
        </w:tc>
        <w:tc>
          <w:tcPr>
            <w:tcW w:type="dxa" w:w="3297"/>
          </w:tcPr>
          <w:p>
            <w:r>
              <w:t>不能排除事件与试验用药品存在因果关系，但证据不足以判定为很可能有关。</w:t>
            </w:r>
          </w:p>
        </w:tc>
        <w:tc>
          <w:tcPr>
            <w:tcW w:type="dxa" w:w="3297"/>
          </w:tcPr>
          <w:p>
            <w:r>
              <w:t>时间关系、临床过程、药理作用、去激发或再激发等部分信息支持因果关系，同时存在混杂因素、既往病史或其他解释可能。</w:t>
            </w:r>
          </w:p>
        </w:tc>
      </w:tr>
      <w:tr>
        <w:tc>
          <w:tcPr>
            <w:tcW w:type="dxa" w:w="3297"/>
          </w:tcPr>
          <w:p>
            <w:r>
              <w:t>可能无关</w:t>
            </w:r>
          </w:p>
        </w:tc>
        <w:tc>
          <w:tcPr>
            <w:tcW w:type="dxa" w:w="3297"/>
          </w:tcPr>
          <w:p>
            <w:r>
              <w:t>综合判断更倾向于事件与试验用药品无因果关系，但不能完全排除相关性。</w:t>
            </w:r>
          </w:p>
        </w:tc>
        <w:tc>
          <w:tcPr>
            <w:tcW w:type="dxa" w:w="3297"/>
          </w:tcPr>
          <w:p>
            <w:r>
              <w:t>综合信息更支持其他原因，但时间关系、去激发或再激发、混杂因素等尚未达到完全排除相关性的程度。</w:t>
            </w:r>
          </w:p>
        </w:tc>
      </w:tr>
      <w:tr>
        <w:tc>
          <w:tcPr>
            <w:tcW w:type="dxa" w:w="3297"/>
          </w:tcPr>
          <w:p>
            <w:r>
              <w:t>无关（肯定无关）</w:t>
            </w:r>
          </w:p>
        </w:tc>
        <w:tc>
          <w:tcPr>
            <w:tcW w:type="dxa" w:w="3297"/>
          </w:tcPr>
          <w:p>
            <w:r>
              <w:t>综合判断认为事件与试验用药品无因果关系。</w:t>
            </w:r>
          </w:p>
        </w:tc>
        <w:tc>
          <w:tcPr>
            <w:tcW w:type="dxa" w:w="3297"/>
          </w:tcPr>
          <w:p>
            <w:r>
              <w:t>时间关系、临床过程、药理作用、去激发或再激发、混杂因素及既往病史等综合判断不支持因果关系。</w:t>
            </w:r>
          </w:p>
        </w:tc>
      </w:tr>
    </w:tbl>
    <w:p>
      <w:r>
        <w:t>加速报告判定采用独立于统计ADR分组的算法，不得以统计ADR分组静默充当加速报告判定。SAE且与试验用药品相关性为肯定有关、很可能有关或可能有关，或无法排除相关性，且属于非预期不良反应的，按可疑且非预期严重不良反应（SUSAR）流程快速报告；严重但无关或预期的不良反应按SAE报告但不作为SUSAR；非严重AE按常规记录。报告时限遵循NMPA GCP和ICH E2A要求。</w:t>
      </w:r>
    </w:p>
    <w:p>
      <w:r>
        <w:t>对“可能无关”的加速报告处置须单独说明：可能无关不等同于无关；若研究者不能排除相关性，则按“无法排除相关性”纳入SUSAR判定；若最终判定为无关，则严重者按SAE报告但不作为SUSAR，非严重者按常规记录。模板示例中的“有关/无关”二分映射不得用作加速报告算法。</w:t>
      </w:r>
    </w:p>
    <w:p>
      <w:bookmarkStart w:id="34727" w:name="chap_v2_n_10_1_4"/>
      <w:pPr>
        <w:pStyle w:val="3"/>
      </w:pPr>
      <w:r>
        <w:t>不良事件的收集</w:t>
      </w:r>
      <w:bookmarkEnd w:id="34727"/>
    </w:p>
    <w:p>
      <w:r>
        <w:t>本节明确本试验AE与SAE收集期。AE收集期自首次给予试验用药品开始，至末次给药后30天结束；SAE收集期自试验参与者签署知情同意书开始，至末次给药后30天结束。若试验参与者提前终止试验，AE和SAE均收集至提前终止访视后30天。上述30天为本试验项目化的收集截止定义，不应作为其他试验的通用截断。</w:t>
      </w:r>
    </w:p>
    <w:p>
      <w:r>
        <w:t>收集起点参考事件按AE与SAE分别界定：AE以首次给予试验用药品为收集起点，SAE以试验参与者签署知情同意书为收集起点。签署知情同意书后至首次给药前发生的事件属于给药前事件，应记录SAE并按法规报告，但不计入TEAE；签署知情同意书前发生的事件不作为研究AE收集。</w:t>
      </w:r>
    </w:p>
    <w:p>
      <w:r>
        <w:t>AE收集不预先限定为TEAE。在收集期内发生的所有AE均应记录，后续再按TEAE或非TEAE进行分类；因此，AE收集范围不等于TEAE归类，两者不得混同。</w:t>
      </w:r>
    </w:p>
    <w:p>
      <w:bookmarkStart w:id="65793" w:name="chap_v2_n_10_1_5"/>
      <w:pPr>
        <w:pStyle w:val="3"/>
      </w:pPr>
      <w:r>
        <w:t>不良事件的记录</w:t>
      </w:r>
      <w:bookmarkEnd w:id="65793"/>
    </w:p>
    <w:p>
      <w:r>
        <w:t>本节规定AE记录的项目事实集合，包括记录字段、时间口径与术语边界。所有AE应完整记录于原始资料和eCRF，不得仅保留事件名称或结局标签。记录字段至少包括：事件名称、开始时间、结束时间、严重程度、严重性、与试验用药品相关性、对试验用药品采取的措施、处理措施及转归；SAE还应记录报告日期和随访信息。</w:t>
      </w:r>
    </w:p>
    <w:p>
      <w:r>
        <w:t>AE名称应使用标准医学术语并采用MedDRA编码。实验室检查异常若符合AE定义应作为AE记录，否则按实验室异常处理；病史和合并用药不应与AE记录混同。事件术语、严重性标准、治疗措施与结局应在记录中分开列示，避免以非空事件标签替代完整记录。</w:t>
      </w:r>
    </w:p>
    <w:p>
      <w:r>
        <w:t>时间记录应分别保留AE开始时间、结束时间、研究者获知时间及报告时间，不得相互替代或混用；如涉及采样或评估，采样/评估时间也应与上述时间分别保留。AE的发生时间以事件实际开始日期为准；若开始日期不明确，应记录可获得的最早日期。SAE报告时限以研究者首次获知该事件的时间为起点计算。</w:t>
      </w:r>
    </w:p>
    <w:p>
      <w:r>
        <w:t>不得为便于追溯而以报告日期替代临床日期，也不得以报告时间替代研究者获知时间。发生时间、采样/评估时间、获知时间与报告时间应保持独立、可追溯，并与原始资料和eCRF中的记录一致。</w:t>
      </w:r>
    </w:p>
    <w:p>
      <w:bookmarkStart w:id="49194" w:name="chap_v2_n_10_1_6"/>
      <w:pPr>
        <w:pStyle w:val="3"/>
      </w:pPr>
      <w:r>
        <w:t>不良事件的随访</w:t>
      </w:r>
      <w:bookmarkEnd w:id="49194"/>
    </w:p>
    <w:p>
      <w:r>
        <w:t>本节对AE随访范围、持续时间/终止条件及持续事件处理作出项目化规定。所有未缓解的AE和SAE均应纳入随访，随访范围包括住院、转归、治疗及最终结局；SAE还应按法规要求完成快速报告和随访报告。</w:t>
      </w:r>
    </w:p>
    <w:p>
      <w:r>
        <w:t>AE随访至事件缓解、恢复至基线、稳定、确定不再恢复，或试验参与者死亡、失访、撤回知情同意；SAE应随访至事件解决、稳定或获得明确转归，且不少于末次给药后30天。</w:t>
      </w:r>
    </w:p>
    <w:p>
      <w:r>
        <w:t>末次给药后30天仍持续存在的AE应记录为持续中并继续随访至解决或稳定；持续存在的SAE应按法规要求报告并随访至事件解决或稳定。</w:t>
      </w:r>
    </w:p>
    <w:p>
      <w:bookmarkStart w:id="98591" w:name="chap_v2_n_10_2_1"/>
      <w:pPr>
        <w:pStyle w:val="3"/>
      </w:pPr>
      <w:r>
        <w:t>严重不良事件的定义</w:t>
      </w:r>
      <w:bookmarkEnd w:id="98591"/>
    </w:p>
    <w:p>
      <w:r>
        <w:t>严重不良事件（SAE）指在临床试验中发生的任何不良医学事件，符合以下一项或多项严重性标准：死亡、危及生命、需住院或延长住院、持续或显著残疾/丧失能力、先天异常/出生缺陷、重要医学事件。SAE 属于不良医学事件中符合严重性标准者，并与不良事件（AE）的边界按是否满足严重性标准区分。</w:t>
      </w:r>
    </w:p>
    <w:p>
      <w:r>
        <w:t>严重程度（severity）描述 AE 强度，按 CTCAE 分级；严重性（seriousness）判断是否符合 SAE 标准。二者不同，SAE 不一定为重度 AE，重度 AE 也不一定为 SAE。因此，不得以严重程度分级替代严重性判定，也不得仅由严重程度分级判定 SAE。</w:t>
      </w:r>
    </w:p>
    <w:p>
      <w:r>
        <w:t>严重性判定标准必须逐项类型化并绑定适用版本：依据 ICH E2A《临床安全数据管理：快速报告的定义和标准》及 NMPA 现行药物临床试验质量管理规范确定。逐项标准见表。</w:t>
      </w:r>
    </w:p>
    <w:p>
      <w:bookmarkStart w:id="7609" w:name="tbl_45"/>
      <w:r>
        <w:t>表45 严重不良事件的定义</w:t>
      </w:r>
      <w:bookmarkEnd w:id="7609"/>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严重性标准</w:t>
            </w:r>
          </w:p>
        </w:tc>
        <w:tc>
          <w:tcPr>
            <w:tcW w:type="dxa" w:w="3297"/>
          </w:tcPr>
          <w:p>
            <w:r>
              <w:rPr>
                <w:b/>
              </w:rPr>
              <w:t>定义</w:t>
            </w:r>
          </w:p>
        </w:tc>
        <w:tc>
          <w:tcPr>
            <w:tcW w:type="dxa" w:w="3297"/>
          </w:tcPr>
          <w:p>
            <w:r>
              <w:rPr>
                <w:b/>
              </w:rPr>
              <w:t>版本绑定</w:t>
            </w:r>
          </w:p>
        </w:tc>
      </w:tr>
      <w:tr>
        <w:tc>
          <w:tcPr>
            <w:tcW w:type="dxa" w:w="3297"/>
          </w:tcPr>
          <w:p>
            <w:r>
              <w:t>死亡</w:t>
            </w:r>
          </w:p>
        </w:tc>
        <w:tc>
          <w:tcPr>
            <w:tcW w:type="dxa" w:w="3297"/>
          </w:tcPr>
          <w:p>
            <w:r>
              <w:t>导致死亡</w:t>
            </w:r>
          </w:p>
        </w:tc>
        <w:tc>
          <w:tcPr>
            <w:tcW w:type="dxa" w:w="3297"/>
          </w:tcPr>
          <w:p>
            <w:r>
              <w:t>依据ICH E2A《临床安全数据管理：快速报告的定义和标准》及NMPA现行药物临床试验质量管理规范确定。</w:t>
            </w:r>
          </w:p>
        </w:tc>
      </w:tr>
      <w:tr>
        <w:tc>
          <w:tcPr>
            <w:tcW w:type="dxa" w:w="3297"/>
          </w:tcPr>
          <w:p>
            <w:r>
              <w:t>危及生命</w:t>
            </w:r>
          </w:p>
        </w:tc>
        <w:tc>
          <w:tcPr>
            <w:tcW w:type="dxa" w:w="3297"/>
          </w:tcPr>
          <w:p>
            <w:r>
              <w:t>危及生命</w:t>
            </w:r>
          </w:p>
        </w:tc>
        <w:tc>
          <w:tcPr>
            <w:tcW w:type="dxa" w:w="3297"/>
          </w:tcPr>
          <w:p>
            <w:r>
              <w:t>依据ICH E2A《临床安全数据管理：快速报告的定义和标准》及NMPA现行药物临床试验质量管理规范确定。</w:t>
            </w:r>
          </w:p>
        </w:tc>
      </w:tr>
      <w:tr>
        <w:tc>
          <w:tcPr>
            <w:tcW w:type="dxa" w:w="3297"/>
          </w:tcPr>
          <w:p>
            <w:r>
              <w:t>需要住院治疗或延长现有住院时间</w:t>
            </w:r>
          </w:p>
        </w:tc>
        <w:tc>
          <w:tcPr>
            <w:tcW w:type="dxa" w:w="3297"/>
          </w:tcPr>
          <w:p>
            <w:r>
              <w:t>需要住院治疗或延长现有住院时间</w:t>
            </w:r>
          </w:p>
        </w:tc>
        <w:tc>
          <w:tcPr>
            <w:tcW w:type="dxa" w:w="3297"/>
          </w:tcPr>
          <w:p>
            <w:r>
              <w:t>依据ICH E2A《临床安全数据管理：快速报告的定义和标准》及NMPA现行药物临床试验质量管理规范确定。</w:t>
            </w:r>
          </w:p>
        </w:tc>
      </w:tr>
      <w:tr>
        <w:tc>
          <w:tcPr>
            <w:tcW w:type="dxa" w:w="3297"/>
          </w:tcPr>
          <w:p>
            <w:r>
              <w:t>导致持续或显著的残疾或丧失能力</w:t>
            </w:r>
          </w:p>
        </w:tc>
        <w:tc>
          <w:tcPr>
            <w:tcW w:type="dxa" w:w="3297"/>
          </w:tcPr>
          <w:p>
            <w:r>
              <w:t>导致持续或显著的残疾或丧失能力</w:t>
            </w:r>
          </w:p>
        </w:tc>
        <w:tc>
          <w:tcPr>
            <w:tcW w:type="dxa" w:w="3297"/>
          </w:tcPr>
          <w:p>
            <w:r>
              <w:t>依据ICH E2A《临床安全数据管理：快速报告的定义和标准》及NMPA现行药物临床试验质量管理规范确定。</w:t>
            </w:r>
          </w:p>
        </w:tc>
      </w:tr>
      <w:tr>
        <w:tc>
          <w:tcPr>
            <w:tcW w:type="dxa" w:w="3297"/>
          </w:tcPr>
          <w:p>
            <w:r>
              <w:t>导致先天异常或出生缺陷</w:t>
            </w:r>
          </w:p>
        </w:tc>
        <w:tc>
          <w:tcPr>
            <w:tcW w:type="dxa" w:w="3297"/>
          </w:tcPr>
          <w:p>
            <w:r>
              <w:t>导致先天异常或出生缺陷</w:t>
            </w:r>
          </w:p>
        </w:tc>
        <w:tc>
          <w:tcPr>
            <w:tcW w:type="dxa" w:w="3297"/>
          </w:tcPr>
          <w:p>
            <w:r>
              <w:t>依据ICH E2A《临床安全数据管理：快速报告的定义和标准》及NMPA现行药物临床试验质量管理规范确定。</w:t>
            </w:r>
          </w:p>
        </w:tc>
      </w:tr>
      <w:tr>
        <w:tc>
          <w:tcPr>
            <w:tcW w:type="dxa" w:w="3297"/>
          </w:tcPr>
          <w:p>
            <w:r>
              <w:t>重要医学事件</w:t>
            </w:r>
          </w:p>
        </w:tc>
        <w:tc>
          <w:tcPr>
            <w:tcW w:type="dxa" w:w="3297"/>
          </w:tcPr>
          <w:p>
            <w:r>
              <w:t>虽未达到上述标准，但可能危及试验参与者或需要干预以预防上述结局。</w:t>
            </w:r>
          </w:p>
        </w:tc>
        <w:tc>
          <w:tcPr>
            <w:tcW w:type="dxa" w:w="3297"/>
          </w:tcPr>
          <w:p>
            <w:r>
              <w:t>依据ICH E2A《临床安全数据管理：快速报告的定义和标准》及NMPA现行药物临床试验质量管理规范确定。</w:t>
            </w:r>
          </w:p>
        </w:tc>
      </w:tr>
    </w:tbl>
    <w:p>
      <w:bookmarkStart w:id="33746" w:name="chap_v2_n_10_2_2"/>
      <w:pPr>
        <w:pStyle w:val="3"/>
      </w:pPr>
      <w:r>
        <w:t>严重不良事件的报告</w:t>
      </w:r>
      <w:bookmarkEnd w:id="33746"/>
    </w:p>
    <w:p>
      <w:r>
        <w:t>研究者报告严重不良事件（SAE）应遵循现行适用的法律法规、伦理委员会要求及方案规定。研究者应在首次获知 SAE 后立即向申办者或其委托的药物警戒/安全报告接收部门书面报告，且不迟于 24 小时；对于致死或危及生命的 SAE，应立即报告。研究者还应按要求向临床试验机构、伦理委员会报告。</w:t>
      </w:r>
    </w:p>
    <w:p>
      <w:r>
        <w:t>本节报告时限以研究者首次获知严重不良事件（SAE）的日期和时间作为起算点。研究者报告时钟独立于申办者加速报告时钟，不得将单一报告时钟复制到研究者与申办者两侧；签署或受理表不得推迟基于首次获知事实的报告，也不得作为报告时限的起算点；不得以模板示例替代本节项目规则。</w:t>
      </w:r>
    </w:p>
    <w:p>
      <w:r>
        <w:t>研究者应在原始医疗记录和病例报告表（CRF/eCRF）中记录 SAE 的完整信息，包括事件描述、起止时间、严重性标准、处理措施、转归、因果关系评估、报告日期和接收方。记录应与向申办者、临床试验机构及伦理委员会的报告保持一致，并可支持对报告时限自首次获知起算的核查。</w:t>
      </w:r>
    </w:p>
    <w:p>
      <w:bookmarkStart w:id="51366" w:name="chap_v2_n_10_2_3"/>
      <w:pPr>
        <w:pStyle w:val="3"/>
      </w:pPr>
      <w:r>
        <w:t>严重不良事件的随访</w:t>
      </w:r>
      <w:bookmarkEnd w:id="51366"/>
    </w:p>
    <w:p>
      <w:r>
        <w:t>对SAE的随访范围包括：随访至事件缓解、恢复或达到医学稳定状态；若试验参与者死亡，应记录死亡原因、日期及与试验药物的关系。</w:t>
      </w:r>
    </w:p>
    <w:p>
      <w:r>
        <w:t>获知SAE的新信息后，研究者应立即向申办者报告；申办者评估后按法规要求向相关方提交随访报告。</w:t>
      </w:r>
    </w:p>
    <w:p>
      <w:r>
        <w:t>SAE随访应记录结局，包括转归（恢复、好转、后遗症、死亡等）、结束日期、相关检查结果和后续治疗。</w:t>
      </w:r>
    </w:p>
    <w:p>
      <w:bookmarkStart w:id="72773" w:name="chap_v2_n_10_3_1"/>
      <w:pPr>
        <w:pStyle w:val="3"/>
      </w:pPr>
      <w:r>
        <w:t>可疑非预期严重不良反应的定义</w:t>
      </w:r>
      <w:bookmarkEnd w:id="72773"/>
    </w:p>
    <w:p>
      <w:r>
        <w:t>本章规定可疑且非预期严重不良反应（SUSAR）的定义、报告和随访要求，适用于本试验中合成药X的安全性报告。SUSAR 指临床表现的性质和严重程度超出研究者手册、已上市药品说明书或产品特性摘要等参考安全性信息的可疑严重不良反应；其判断须同时满足严重性、非预期性以及与试验药物存在合理可能因果关系。SUSAR 不等同于严重不良事件（SAE）：SAE 侧重严重性标准，SUSAR 还要求可疑且非预期。</w:t>
      </w:r>
    </w:p>
    <w:p>
      <w:r>
        <w:t>预期性判断应以研究者手册（IB）或现行说明书/产品特性摘要等参考安全性文件为依据；本试验应使用经申办者确认的最新参考安全性信息。预期性判断不得与因果性判断混同：前者评价事件是否已被参考安全性信息预期收录，后者评价与试验药物是否存在合理可能因果关系。</w:t>
      </w:r>
    </w:p>
    <w:p>
      <w:r>
        <w:t>符合严重不良事件（SAE）标准、与试验药物存在合理可能因果关系、且其性质或严重程度未被参考安全性信息预期收录的事件，应按SUSAR快速报告；盲法试验中报告前应按程序破盲。报告标准须逐项核对：严重性、可疑性（与试验药物存在合理可能因果关系）、非预期性；三项同时满足时，方可按SUSAR报告。</w:t>
      </w:r>
    </w:p>
    <w:p>
      <w:bookmarkStart w:id="49048" w:name="chap_v2_n_10_3_2"/>
      <w:pPr>
        <w:pStyle w:val="3"/>
      </w:pPr>
      <w:r>
        <w:t>可疑非预期严重不良反应的报告</w:t>
      </w:r>
      <w:bookmarkEnd w:id="49048"/>
    </w:p>
    <w:p>
      <w:r>
        <w:t>申办者SUSAR加速报告依据当前适用的法规、规范及本方案要求执行。报告时限以申办者或其委托方首次获知符合SUSAR报告条件的信息之日为起算点；申办者报告时钟独立于研究者报告时钟，二者分别记录并可追溯，不得将研究者报告时钟复制为申办者时钟。</w:t>
      </w:r>
    </w:p>
    <w:p>
      <w:r>
        <w:t>首次报告时钟：致死或危及生命的SUSAR，申办者应在首次获知后尽快报告，且不迟于7日；其他SUSAR应在首次获知后尽快报告，且不迟于15日。随访报告时钟：致死或危及生命的SUSAR，申办者应在首次报告后8日内提交随访报告；其他SUSAR的新增信息应按15日时限或法规要求提交随访报告。</w:t>
      </w:r>
    </w:p>
    <w:p>
      <w:r>
        <w:t>报告对象与沟通分工：申办者应将SUSAR快速报告给药品监督管理部门、卫生健康主管部门、伦理委员会，并通知所有参加临床试验的研究者/机构；申办者内部药物警戒部门负责接收、协调并管理本节所述申办者报告时钟与随访时钟。上述对象应分别记录，不得以单一报告对象或单一沟通记录替代其他对象的报告或通知义务。</w:t>
      </w:r>
    </w:p>
    <w:p>
      <w:bookmarkStart w:id="14140" w:name="tbl_46"/>
      <w:r>
        <w:t>表46 可疑非预期严重不良反应的报告</w:t>
      </w:r>
      <w:bookmarkEnd w:id="14140"/>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报告对象</w:t>
            </w:r>
          </w:p>
        </w:tc>
        <w:tc>
          <w:tcPr>
            <w:tcW w:type="dxa" w:w="3297"/>
          </w:tcPr>
          <w:p>
            <w:r>
              <w:rPr>
                <w:b/>
              </w:rPr>
              <w:t>时限</w:t>
            </w:r>
          </w:p>
        </w:tc>
        <w:tc>
          <w:tcPr>
            <w:tcW w:type="dxa" w:w="3297"/>
          </w:tcPr>
          <w:p>
            <w:r>
              <w:rPr>
                <w:b/>
              </w:rPr>
              <w:t>信息来源</w:t>
            </w:r>
          </w:p>
        </w:tc>
      </w:tr>
      <w:tr>
        <w:tc>
          <w:tcPr>
            <w:tcW w:type="dxa" w:w="3297"/>
          </w:tcPr>
          <w:p>
            <w:r>
              <w:t>药品监督管理部门</w:t>
            </w:r>
          </w:p>
        </w:tc>
        <w:tc>
          <w:tcPr>
            <w:tcW w:type="dxa" w:w="3297"/>
          </w:tcPr>
          <w:p>
            <w:r>
              <w:t>首次报告：致死或危及生命的SUSAR，首次获知后尽快报告且不迟于7日；其他SUSAR，首次获知后尽快报告且不迟于15日。随访报告：致死或危及生命的SUSAR，首次报告后8日内；其他SUSAR新增信息按15日时限或法规要求。</w:t>
            </w:r>
          </w:p>
        </w:tc>
        <w:tc>
          <w:tcPr>
            <w:tcW w:type="dxa" w:w="3297"/>
          </w:tcPr>
          <w:p>
            <w:r>
              <w:t>申办者或其委托方首次获知符合SUSAR报告条件的信息之日。</w:t>
            </w:r>
          </w:p>
        </w:tc>
      </w:tr>
      <w:tr>
        <w:tc>
          <w:tcPr>
            <w:tcW w:type="dxa" w:w="3297"/>
          </w:tcPr>
          <w:p>
            <w:r>
              <w:t>卫生健康主管部门</w:t>
            </w:r>
          </w:p>
        </w:tc>
        <w:tc>
          <w:tcPr>
            <w:tcW w:type="dxa" w:w="3297"/>
          </w:tcPr>
          <w:p>
            <w:r>
              <w:t>首次报告：致死或危及生命的SUSAR，首次获知后尽快报告且不迟于7日；其他SUSAR，首次获知后尽快报告且不迟于15日。随访报告：致死或危及生命的SUSAR，首次报告后8日内；其他SUSAR新增信息按15日时限或法规要求。</w:t>
            </w:r>
          </w:p>
        </w:tc>
        <w:tc>
          <w:tcPr>
            <w:tcW w:type="dxa" w:w="3297"/>
          </w:tcPr>
          <w:p>
            <w:r>
              <w:t>申办者或其委托方首次获知符合SUSAR报告条件的信息之日。</w:t>
            </w:r>
          </w:p>
        </w:tc>
      </w:tr>
      <w:tr>
        <w:tc>
          <w:tcPr>
            <w:tcW w:type="dxa" w:w="3297"/>
          </w:tcPr>
          <w:p>
            <w:r>
              <w:t>伦理委员会</w:t>
            </w:r>
          </w:p>
        </w:tc>
        <w:tc>
          <w:tcPr>
            <w:tcW w:type="dxa" w:w="3297"/>
          </w:tcPr>
          <w:p>
            <w:r>
              <w:t>首次报告：致死或危及生命的SUSAR，首次获知后尽快报告且不迟于7日；其他SUSAR，首次获知后尽快报告且不迟于15日。随访报告：致死或危及生命的SUSAR，首次报告后8日内；其他SUSAR新增信息按15日时限或法规要求。</w:t>
            </w:r>
          </w:p>
        </w:tc>
        <w:tc>
          <w:tcPr>
            <w:tcW w:type="dxa" w:w="3297"/>
          </w:tcPr>
          <w:p>
            <w:r>
              <w:t>申办者或其委托方首次获知符合SUSAR报告条件的信息之日。</w:t>
            </w:r>
          </w:p>
        </w:tc>
      </w:tr>
      <w:tr>
        <w:tc>
          <w:tcPr>
            <w:tcW w:type="dxa" w:w="3297"/>
          </w:tcPr>
          <w:p>
            <w:r>
              <w:t>所有参加临床试验的研究者/机构</w:t>
            </w:r>
          </w:p>
        </w:tc>
        <w:tc>
          <w:tcPr>
            <w:tcW w:type="dxa" w:w="3297"/>
          </w:tcPr>
          <w:p>
            <w:r>
              <w:t>按申办者报告与随访时钟管理通知；研究者侧报告时钟独立管理。</w:t>
            </w:r>
          </w:p>
        </w:tc>
        <w:tc>
          <w:tcPr>
            <w:tcW w:type="dxa" w:w="3297"/>
          </w:tcPr>
          <w:p>
            <w:r>
              <w:t>申办者或其委托方首次获知符合SUSAR报告条件的信息之日。</w:t>
            </w:r>
          </w:p>
        </w:tc>
      </w:tr>
      <w:tr>
        <w:tc>
          <w:tcPr>
            <w:tcW w:type="dxa" w:w="3297"/>
          </w:tcPr>
          <w:p>
            <w:r>
              <w:t>申办者内部药物警戒部门</w:t>
            </w:r>
          </w:p>
        </w:tc>
        <w:tc>
          <w:tcPr>
            <w:tcW w:type="dxa" w:w="3297"/>
          </w:tcPr>
          <w:p>
            <w:r>
              <w:t>按申办者报告与随访时钟接收、协调和管理；外部报告时限同上。</w:t>
            </w:r>
          </w:p>
        </w:tc>
        <w:tc>
          <w:tcPr>
            <w:tcW w:type="dxa" w:w="3297"/>
          </w:tcPr>
          <w:p>
            <w:r>
              <w:t>申办者或其委托方首次获知符合SUSAR报告条件的信息之日。</w:t>
            </w:r>
          </w:p>
        </w:tc>
      </w:tr>
    </w:tbl>
    <w:p>
      <w:r>
        <w:t>说明：本节为合成夹具执行验证内容，非真实项目事实与批准；试验参与者安全与数据完整性不得被静默牺牲。</w:t>
      </w:r>
    </w:p>
    <w:p>
      <w:bookmarkStart w:id="41043" w:name="chap_v2_n_10_3_3"/>
      <w:pPr>
        <w:pStyle w:val="3"/>
      </w:pPr>
      <w:r>
        <w:t>快速报告的随访</w:t>
      </w:r>
      <w:bookmarkEnd w:id="41043"/>
    </w:p>
    <w:p>
      <w:r>
        <w:t>本节规定可疑且非预期严重不良反应（SUSAR）快速报告的随访要求。针对新获得或变更的SUSAR信息，应独立启动随访报告时限：获知新的SUSAR信息后应尽快报告；致死或危及生命的SUSAR随访报告应在首次报告后8日内提交，其他SUSAR随访报告应在15日内提交。存在随访信息补充或因果关系分歧时，不得因此延迟报告。</w:t>
      </w:r>
    </w:p>
    <w:p>
      <w:r>
        <w:t>SUSAR随访报告应提交至药品监督管理部门、卫生健康主管部门、伦理委员会，以及所有参加临床试验的研究者/机构。</w:t>
      </w:r>
    </w:p>
    <w:p>
      <w:r>
        <w:t>SUSAR随访报告应记录随访过程、新信息、报告日期、接收方、破盲信息和因果关系评估，并保留源文件。</w:t>
      </w:r>
    </w:p>
    <w:p>
      <w:r>
        <w:t>如研究者与申办者对因果关系判断不一致，应保留双方评估意见和依据；存在分歧时按更可能相关或更保守的判断进行报告，不得因分歧延迟报告。申办者不得单方面驳回研究者判定的可疑相关性，研究者与申办者的分歧必须保留并记录。</w:t>
      </w:r>
    </w:p>
    <w:p>
      <w:bookmarkStart w:id="26545" w:name="chap_v2_n_10_4"/>
      <w:pPr>
        <w:pStyle w:val="2"/>
      </w:pPr>
      <w:r>
        <w:t>其他潜在的严重安全性风险信息的报告</w:t>
      </w:r>
      <w:bookmarkEnd w:id="26545"/>
    </w:p>
    <w:p>
      <w:r>
        <w:t>本节规定其他潜在严重安全性风险信息的项目化识别、报告与审核要求，逐项明确信号定义、报告标准、报告对象与时限以及审核责任。</w:t>
      </w:r>
    </w:p>
    <w:p>
      <w:r>
        <w:t>其他潜在严重安全性风险信息的报告义务按下列项目化要求执行；相关信息符合报告标准时，应按本节及现行法规和伦理委员会要求处理。</w:t>
      </w:r>
    </w:p>
    <w:p>
      <w:bookmarkStart w:id="7768" w:name="tbl_47"/>
      <w:r>
        <w:t>表47 其他潜在的严重安全性风险信息的报告</w:t>
      </w:r>
      <w:bookmarkEnd w:id="7768"/>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信号定义</w:t>
            </w:r>
          </w:p>
        </w:tc>
        <w:tc>
          <w:tcPr>
            <w:tcW w:type="dxa" w:w="4946"/>
          </w:tcPr>
          <w:p>
            <w:r>
              <w:rPr>
                <w:b/>
              </w:rPr>
              <w:t>其他潜在的严重安全性风险信息指明显影响药品获益-风险评价的临床前或临床信息，如严重不良反应发生率增加、预期严重不良反应新发、动物致癌/致畸或其他重大安全性问题。</w:t>
            </w:r>
          </w:p>
        </w:tc>
      </w:tr>
      <w:tr>
        <w:tc>
          <w:tcPr>
            <w:tcW w:type="dxa" w:w="4946"/>
          </w:tcPr>
          <w:p>
            <w:r>
              <w:t>报告标准</w:t>
            </w:r>
          </w:p>
        </w:tc>
        <w:tc>
          <w:tcPr>
            <w:tcW w:type="dxa" w:w="4946"/>
          </w:tcPr>
          <w:p>
            <w:r>
              <w:t>当信息可能改变药品获益-风险评价、影响试验参与者安全或需要采取安全性措施时，应按其他潜在严重安全性风险信息报告。</w:t>
            </w:r>
          </w:p>
        </w:tc>
      </w:tr>
      <w:tr>
        <w:tc>
          <w:tcPr>
            <w:tcW w:type="dxa" w:w="4946"/>
          </w:tcPr>
          <w:p>
            <w:r>
              <w:t>报告对象与时限</w:t>
            </w:r>
          </w:p>
        </w:tc>
        <w:tc>
          <w:tcPr>
            <w:tcW w:type="dxa" w:w="4946"/>
          </w:tcPr>
          <w:p>
            <w:r>
              <w:t>申办者应在获知其他潜在严重安全性风险信息后尽快报告给药品监督管理部门、卫生健康主管部门、伦理委员会及相关研究者；具体时限按现行法规和伦理委员会要求执行。</w:t>
            </w:r>
          </w:p>
        </w:tc>
      </w:tr>
      <w:tr>
        <w:tc>
          <w:tcPr>
            <w:tcW w:type="dxa" w:w="4946"/>
          </w:tcPr>
          <w:p>
            <w:r>
              <w:t>审核职责</w:t>
            </w:r>
          </w:p>
        </w:tc>
        <w:tc>
          <w:tcPr>
            <w:tcW w:type="dxa" w:w="4946"/>
          </w:tcPr>
          <w:p>
            <w:r>
              <w:t>申办者药物警戒部门负责识别、评估和报告；研究者负责及时提供信息；伦理委员会和监管机构负责审查。</w:t>
            </w:r>
          </w:p>
        </w:tc>
      </w:tr>
    </w:tbl>
    <w:p>
      <w:r>
        <w:t>上述信号定义、报告标准、报告对象与时限及审核责任为本试验执行其他潜在严重安全性风险信息报告义务的项目依据。</w:t>
      </w:r>
    </w:p>
    <w:p>
      <w:bookmarkStart w:id="78438" w:name="chap_v2_n_10_5"/>
      <w:pPr>
        <w:pStyle w:val="2"/>
      </w:pPr>
      <w:r>
        <w:t>特殊关注不良事件</w:t>
      </w:r>
      <w:bookmarkEnd w:id="78438"/>
    </w:p>
    <w:p>
      <w:r>
        <w:t>本节中，特殊关注不良事件（AESI）是基于试验药物作用机制、非临床或临床安全性数据预先指定的、需持续监测并快速报告的不良事件或医学事件。AESI 的项目化选择复用已确认的 picos.aesi_definitions 事实，即根据合成药X的 IL-4Rα 拮抗作用机制及安全性特征预先指定需重点监测的不良事件；具体列表应在安全性管理计划中基于最新参考安全性信息确定。</w:t>
      </w:r>
    </w:p>
    <w:p>
      <w:r>
        <w:t>任何 AESI 均应记录并评估；若 AESI 符合 SAE 标准、导致停药或需要特定干预，应按严重或快速报告流程处理。同类 AESI 的频率或严重程度明显增加时，应触发信号评估。上述阈值不采用通用模板默认值，而按本品 AESI 项目逐项应用并保持可追溯。</w:t>
      </w:r>
    </w:p>
    <w:p>
      <w:bookmarkStart w:id="96859" w:name="tbl_48"/>
      <w:r>
        <w:t>表48 特殊关注不良事件</w:t>
      </w:r>
      <w:bookmarkEnd w:id="96859"/>
    </w:p>
    <w:tbl>
      <w:tblPr>
        <w:tblStyle w:val="28"/>
        <w:tblW w:type="auto" w:w="0"/>
        <w:tblLook w:firstColumn="1" w:firstRow="1" w:lastColumn="0" w:lastRow="0" w:noHBand="0" w:noVBand="1" w:val="04A0"/>
      </w:tblPr>
      <w:tblGrid>
        <w:gridCol w:w="3297"/>
        <w:gridCol w:w="3297"/>
        <w:gridCol w:w="3297"/>
      </w:tblGrid>
      <w:tr>
        <w:tc>
          <w:tcPr>
            <w:tcW w:type="dxa" w:w="3297"/>
          </w:tcPr>
          <w:p>
            <w:r>
              <w:t>合成药X 的产品特异性 AESI：依据 IL-4Rα 拮抗作用机制及最新参考安全性信息，在安全性管理计划中预先指定需持续监测并快速报告的医学事件</w:t>
            </w:r>
          </w:p>
        </w:tc>
        <w:tc>
          <w:tcPr>
            <w:tcW w:type="dxa" w:w="3297"/>
          </w:tcPr>
          <w:p>
            <w:r>
              <w:t>任何 AESI 均应记录并评估；符合 SAE 标准、导致停药或需要特定干预者按严重或快速报告流程处理；同类 AESI 频率或严重程度明显增加时触发信号评估</w:t>
            </w:r>
          </w:p>
        </w:tc>
        <w:tc>
          <w:tcPr>
            <w:tcW w:type="dxa" w:w="3297"/>
          </w:tcPr>
          <w:p>
            <w:r>
              <w:t>持续监测、记录和评估；符合 SAE 或 SUSAR 标准者按相应快速报告流程报告，其他 AESI 按方案规定报告</w:t>
            </w:r>
          </w:p>
        </w:tc>
      </w:tr>
    </w:tbl>
    <w:p>
      <w:r>
        <w:t>研究者和申办者应对 AESI 进行持续监测、记录和评估；符合 SAE 或 SUSAR 标准的 AESI 应按相应快速报告流程报告，其他 AESI 按方案规定报告。</w:t>
      </w:r>
    </w:p>
    <w:p>
      <w:bookmarkStart w:id="69712" w:name="chap_v2_n_10_6"/>
      <w:pPr>
        <w:pStyle w:val="2"/>
      </w:pPr>
      <w:r>
        <w:t>妊娠</w:t>
      </w:r>
      <w:bookmarkEnd w:id="69712"/>
    </w:p>
    <w:p>
      <w:r>
        <w:t>本节规定妊娠相关管理要求，包括妊娠检测、妊娠预防、妊娠暴露报告、伴侣知情同意、妊娠结局随访、异常结局报告，以及因妊娠停用试验用药品后的随访与数据收集安排。妊娠本身不自动归为SAE；妊娠相关异常结局按SAE或相关安全性报告流程报告。</w:t>
      </w:r>
    </w:p>
    <w:p>
      <w:r>
        <w:t>妊娠检测：有生育潜力的女性试验参与者应在筛选期及研究期间按方案规定进行妊娠试验；结果阳性者应暂停或停止试验用药品并报告。具体检测、时点与适用人群如下表所示。</w:t>
      </w:r>
    </w:p>
    <w:p>
      <w:bookmarkStart w:id="35066" w:name="tbl_49"/>
      <w:r>
        <w:t>表49 妊娠</w:t>
      </w:r>
      <w:bookmarkEnd w:id="35066"/>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检测</w:t>
            </w:r>
          </w:p>
        </w:tc>
        <w:tc>
          <w:tcPr>
            <w:tcW w:type="dxa" w:w="3297"/>
          </w:tcPr>
          <w:p>
            <w:r>
              <w:rPr>
                <w:b/>
              </w:rPr>
              <w:t>时点</w:t>
            </w:r>
          </w:p>
        </w:tc>
        <w:tc>
          <w:tcPr>
            <w:tcW w:type="dxa" w:w="3297"/>
          </w:tcPr>
          <w:p>
            <w:r>
              <w:rPr>
                <w:b/>
              </w:rPr>
              <w:t>适用人群</w:t>
            </w:r>
          </w:p>
        </w:tc>
      </w:tr>
      <w:tr>
        <w:tc>
          <w:tcPr>
            <w:tcW w:type="dxa" w:w="3297"/>
          </w:tcPr>
          <w:p>
            <w:r>
              <w:t>妊娠试验</w:t>
            </w:r>
          </w:p>
        </w:tc>
        <w:tc>
          <w:tcPr>
            <w:tcW w:type="dxa" w:w="3297"/>
          </w:tcPr>
          <w:p>
            <w:r>
              <w:t>筛选期及研究期间按方案规定</w:t>
            </w:r>
          </w:p>
        </w:tc>
        <w:tc>
          <w:tcPr>
            <w:tcW w:type="dxa" w:w="3297"/>
          </w:tcPr>
          <w:p>
            <w:r>
              <w:t>有生育潜力的女性试验参与者</w:t>
            </w:r>
          </w:p>
        </w:tc>
      </w:tr>
    </w:tbl>
    <w:p>
      <w:pPr/>
      <w:r>
        <w:t xml:space="preserve"> 妊娠试验结果阳性者应暂停或停止试验用药品并报告。</w:t>
      </w:r>
    </w:p>
    <w:p>
      <w:r>
        <w:t>妊娠预防：有生育潜力的试验参与者及其伴侣应在研究期间及末次给药后按方案要求采取有效避孕措施。</w:t>
      </w:r>
    </w:p>
    <w:p>
      <w:r>
        <w:t>妊娠暴露报告：试验参与者或男性试验参与者伴侣发生妊娠暴露后，应在获知后立即报告申办者。</w:t>
      </w:r>
    </w:p>
    <w:p>
      <w:r>
        <w:t>伴侣知情同意：男性试验参与者伴侣妊娠时，应在获得伴侣知情同意后收集妊娠和结局信息；如无法获得同意，仅记录有限信息。</w:t>
      </w:r>
    </w:p>
    <w:p>
      <w:r>
        <w:t>妊娠结局随访：随访至妊娠结局明确，记录活产、流产、死胎、异位妊娠、先天异常等结局及新生儿状况。</w:t>
      </w:r>
    </w:p>
    <w:p>
      <w:r>
        <w:t>异常结局报告：妊娠相关异常结局（如先天畸形、流产、死胎、新生儿死亡等）应按SAE或相关安全性报告流程报告。</w:t>
      </w:r>
    </w:p>
    <w:p>
      <w:r>
        <w:t>因妊娠停用研究干预：确认妊娠后，应停止试验用药品（除非研究者评估继续用药对母婴获益大于风险），并继续随访至妊娠结局。因妊娠停用研究干预不等于自动全面退出研究。</w:t>
      </w:r>
    </w:p>
    <w:p>
      <w:r>
        <w:t>继续收集安排：妊娠期间继续收集母体、胎儿及新生儿的安全性信息，直至妊娠结束；必要时延长新生儿随访。</w:t>
      </w:r>
    </w:p>
    <w:p>
      <w:r>
        <w:t>上述妊娠检测、妊娠预防、妊娠暴露报告、伴侣知情同意、妊娠结局随访、异常结局报告、因妊娠停药后的随访与继续收集安排分别成立；妊娠不自动等于SAE，因妊娠停用研究干预也不等于自动全面退出研究或停止全部随访与数据收集。</w:t>
      </w:r>
    </w:p>
    <w:p>
      <w:bookmarkStart w:id="75584" w:name="chap_v2_n_11_1"/>
      <w:pPr>
        <w:pStyle w:val="2"/>
      </w:pPr>
      <w:r>
        <w:t>样本量估算</w:t>
      </w:r>
      <w:bookmarkEnd w:id="75584"/>
    </w:p>
    <w:p>
      <w:r>
        <w:t>样本量估算基于第24周临床缓解率这一主要终点。该终点定义为第24周达到双侧鼻息肉评分（NPS）≤1且鼻塞VAS≤1的试验参与者比例；主要估计目标变量为第24周临床缓解。研究假设为合成药X组第24周临床缓解率高于安慰剂组，原假设为两组第24周临床缓解率无差异；主要分析采用按中心分层的CMH检验，报告风险差及95%CI，双侧α=0.05。</w:t>
      </w:r>
    </w:p>
    <w:p>
      <w:r>
        <w:t>试验参与者按1:1随机分配至合成药X组或安慰剂组，随机化按中心分层。样本量计算采用1:1两独立比例的正态近似，目标检验效能为90%，失访/缺失主要终点假设为8%。</w:t>
      </w:r>
    </w:p>
    <w:p>
      <w:bookmarkStart w:id="19227" w:name="tbl_50"/>
      <w:r>
        <w:t>表50 样本量估算</w:t>
      </w:r>
      <w:bookmarkEnd w:id="19227"/>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w:t>
            </w:r>
          </w:p>
        </w:tc>
        <w:tc>
          <w:tcPr>
            <w:tcW w:type="dxa" w:w="4946"/>
          </w:tcPr>
          <w:p>
            <w:r>
              <w:rPr>
                <w:b/>
              </w:rPr>
              <w:t>样本量卡内容</w:t>
            </w:r>
          </w:p>
        </w:tc>
      </w:tr>
      <w:tr>
        <w:tc>
          <w:tcPr>
            <w:tcW w:type="dxa" w:w="4946"/>
          </w:tcPr>
          <w:p>
            <w:r>
              <w:t>主要终点</w:t>
            </w:r>
          </w:p>
        </w:tc>
        <w:tc>
          <w:tcPr>
            <w:tcW w:type="dxa" w:w="4946"/>
          </w:tcPr>
          <w:p>
            <w:r>
              <w:t>第24周临床缓解率：第24周达到双侧鼻息肉评分（NPS）≤1且鼻塞VAS≤1的试验参与者比例；主要估计目标变量为第24周临床缓解，定义为双侧鼻息肉评分（NPS）≤1且鼻塞VAS≤1。</w:t>
            </w:r>
          </w:p>
        </w:tc>
      </w:tr>
      <w:tr>
        <w:tc>
          <w:tcPr>
            <w:tcW w:type="dxa" w:w="4946"/>
          </w:tcPr>
          <w:p>
            <w:r>
              <w:t>假设</w:t>
            </w:r>
          </w:p>
        </w:tc>
        <w:tc>
          <w:tcPr>
            <w:tcW w:type="dxa" w:w="4946"/>
          </w:tcPr>
          <w:p>
            <w:r>
              <w:t>原假设：第24周临床缓解率在合成药X组与安慰剂组间无差异；备择假设：合成药X组第24周临床缓解率高于安慰剂组；主要分析：按中心分层的CMH检验，报告风险差及95%CI；双侧α=0.05。</w:t>
            </w:r>
          </w:p>
        </w:tc>
      </w:tr>
      <w:tr>
        <w:tc>
          <w:tcPr>
            <w:tcW w:type="dxa" w:w="4946"/>
          </w:tcPr>
          <w:p>
            <w:r>
              <w:t>检验/模型</w:t>
            </w:r>
          </w:p>
        </w:tc>
        <w:tc>
          <w:tcPr>
            <w:tcW w:type="dxa" w:w="4946"/>
          </w:tcPr>
          <w:p>
            <w:r>
              <w:t>比较：合成药X组 vs 安慰剂组；模型：按中心分层的CMH检验；效应估计：风险差及95%置信区间；分层因素：中心。</w:t>
            </w:r>
          </w:p>
        </w:tc>
      </w:tr>
      <w:tr>
        <w:tc>
          <w:tcPr>
            <w:tcW w:type="dxa" w:w="4946"/>
          </w:tcPr>
          <w:p>
            <w:r>
              <w:t>侧别</w:t>
            </w:r>
          </w:p>
        </w:tc>
        <w:tc>
          <w:tcPr>
            <w:tcW w:type="dxa" w:w="4946"/>
          </w:tcPr>
          <w:p>
            <w:r>
              <w:t>双侧；α=0.05。</w:t>
            </w:r>
          </w:p>
        </w:tc>
      </w:tr>
      <w:tr>
        <w:tc>
          <w:tcPr>
            <w:tcW w:type="dxa" w:w="4946"/>
          </w:tcPr>
          <w:p>
            <w:r>
              <w:t>α</w:t>
            </w:r>
          </w:p>
        </w:tc>
        <w:tc>
          <w:tcPr>
            <w:tcW w:type="dxa" w:w="4946"/>
          </w:tcPr>
          <w:p>
            <w:r>
              <w:t>双侧α=0.05。</w:t>
            </w:r>
          </w:p>
        </w:tc>
      </w:tr>
      <w:tr>
        <w:tc>
          <w:tcPr>
            <w:tcW w:type="dxa" w:w="4946"/>
          </w:tcPr>
          <w:p>
            <w:r>
              <w:t>把握度</w:t>
            </w:r>
          </w:p>
        </w:tc>
        <w:tc>
          <w:tcPr>
            <w:tcW w:type="dxa" w:w="4946"/>
          </w:tcPr>
          <w:p>
            <w:r>
              <w:t>90%。</w:t>
            </w:r>
          </w:p>
        </w:tc>
      </w:tr>
      <w:tr>
        <w:tc>
          <w:tcPr>
            <w:tcW w:type="dxa" w:w="4946"/>
          </w:tcPr>
          <w:p>
            <w:r>
              <w:t>假设</w:t>
            </w:r>
          </w:p>
        </w:tc>
        <w:tc>
          <w:tcPr>
            <w:tcW w:type="dxa" w:w="4946"/>
          </w:tcPr>
          <w:p>
            <w:r>
              <w:t>主要终点为第24周临床缓解率，安慰剂组缓解率20%，合成药X组缓解率35%（绝对差15个百分点）；双侧α=0.05，检验效能90%；随机1:1，按中心分层；主要分析采用CMH分层检验并报告风险差及95%CI；失访/缺失主要终点假设为8%；无期中分析计划；样本量估算基于两独立比例比较的正态近似；未对中心分层导致的小样本层额外膨胀做调整，CMH分层为主要分析方法。</w:t>
            </w:r>
          </w:p>
        </w:tc>
      </w:tr>
      <w:tr>
        <w:tc>
          <w:tcPr>
            <w:tcW w:type="dxa" w:w="4946"/>
          </w:tcPr>
          <w:p>
            <w:r>
              <w:t>假设证据</w:t>
            </w:r>
          </w:p>
        </w:tc>
        <w:tc>
          <w:tcPr>
            <w:tcW w:type="dxa" w:w="4946"/>
          </w:tcPr>
          <w:p>
            <w:r>
              <w:t>按安慰剂组20%、试验组35%、双侧α=0.05、power=90%、1:1随机，未调整失访时每组约需184.1例可评价试验参与者（向上取整185例，总370例）；按8%失访膨胀并采用保守向上取整，每组约202例，总约404例。中心数量及小层规模未在输入中给出，统计分析计划中应复核分层分析对样本量的影响。</w:t>
            </w:r>
          </w:p>
        </w:tc>
      </w:tr>
      <w:tr>
        <w:tc>
          <w:tcPr>
            <w:tcW w:type="dxa" w:w="4946"/>
          </w:tcPr>
          <w:p>
            <w:r>
              <w:t>分配</w:t>
            </w:r>
          </w:p>
        </w:tc>
        <w:tc>
          <w:tcPr>
            <w:tcW w:type="dxa" w:w="4946"/>
          </w:tcPr>
          <w:p>
            <w:r>
              <w:t>试验参与者按1:1随机分配至合成药X组或安慰剂组，随机化按中心分层。</w:t>
            </w:r>
          </w:p>
        </w:tc>
      </w:tr>
      <w:tr>
        <w:tc>
          <w:tcPr>
            <w:tcW w:type="dxa" w:w="4946"/>
          </w:tcPr>
          <w:p>
            <w:r>
              <w:t>脱落/不可评价</w:t>
            </w:r>
          </w:p>
        </w:tc>
        <w:tc>
          <w:tcPr>
            <w:tcW w:type="dxa" w:w="4946"/>
          </w:tcPr>
          <w:p>
            <w:r>
              <w:t>8%。</w:t>
            </w:r>
          </w:p>
        </w:tc>
      </w:tr>
      <w:tr>
        <w:tc>
          <w:tcPr>
            <w:tcW w:type="dxa" w:w="4946"/>
          </w:tcPr>
          <w:p>
            <w:r>
              <w:t>方法</w:t>
            </w:r>
          </w:p>
        </w:tc>
        <w:tc>
          <w:tcPr>
            <w:tcW w:type="dxa" w:w="4946"/>
          </w:tcPr>
          <w:p>
            <w:r>
              <w:t>样本量计算采用1:1两独立比例的正态近似；主要分析模型为按中心分层的CMH检验，报告风险差及95%CI。</w:t>
            </w:r>
          </w:p>
        </w:tc>
      </w:tr>
      <w:tr>
        <w:tc>
          <w:tcPr>
            <w:tcW w:type="dxa" w:w="4946"/>
          </w:tcPr>
          <w:p>
            <w:r>
              <w:t>软件版本</w:t>
            </w:r>
          </w:p>
        </w:tc>
        <w:tc>
          <w:tcPr>
            <w:tcW w:type="dxa" w:w="4946"/>
          </w:tcPr>
          <w:p>
            <w:r>
              <w:t>PASS/SAS（具体版本在SAP定稿中记录）。</w:t>
            </w:r>
          </w:p>
        </w:tc>
      </w:tr>
      <w:tr>
        <w:tc>
          <w:tcPr>
            <w:tcW w:type="dxa" w:w="4946"/>
          </w:tcPr>
          <w:p>
            <w:r>
              <w:t>可复算结果</w:t>
            </w:r>
          </w:p>
        </w:tc>
        <w:tc>
          <w:tcPr>
            <w:tcW w:type="dxa" w:w="4946"/>
          </w:tcPr>
          <w:p>
            <w:r>
              <w:t>假设：双侧0.05、8%失访、安慰剂组缓解率20%、power 90%、随机1:1、试验组缓解率35%；方法：两独立比例的正态近似；按中心分层的CMH检验，报告风险差及95%CI；结果：约404例（每组约202例）。</w:t>
            </w:r>
          </w:p>
        </w:tc>
      </w:tr>
      <w:tr>
        <w:tc>
          <w:tcPr>
            <w:tcW w:type="dxa" w:w="4946"/>
          </w:tcPr>
          <w:p>
            <w:r>
              <w:t>期中调整</w:t>
            </w:r>
          </w:p>
        </w:tc>
        <w:tc>
          <w:tcPr>
            <w:tcW w:type="dxa" w:w="4946"/>
          </w:tcPr>
          <w:p>
            <w:r>
              <w:t>无期中分析计划；期中样本量调整不适用。</w:t>
            </w:r>
          </w:p>
        </w:tc>
      </w:tr>
      <w:tr>
        <w:tc>
          <w:tcPr>
            <w:tcW w:type="dxa" w:w="4946"/>
          </w:tcPr>
          <w:p>
            <w:r>
              <w:t>设计效应</w:t>
            </w:r>
          </w:p>
        </w:tc>
        <w:tc>
          <w:tcPr>
            <w:tcW w:type="dxa" w:w="4946"/>
          </w:tcPr>
          <w:p>
            <w:r>
              <w:t>未对中心分层导致的小样本层额外膨胀做调整；中心数量及小层规模未在输入中给出，统计分析计划中应复核分层分析对样本量的影响。</w:t>
            </w:r>
          </w:p>
        </w:tc>
      </w:tr>
    </w:tbl>
    <w:p>
      <w:pPr/>
      <w:r>
        <w:t xml:space="preserve"> 软件版本、中心分层影响及样本量复算记录应在SAP定稿时补充复核；本表不替代SAP中的计算记录。</w:t>
      </w:r>
    </w:p>
    <w:p>
      <w:r>
        <w:t>在未调整失访时，按安慰剂组20%、合成药X组35%、双侧α=0.05、power=90%、1:1随机，每组约需184.1例可评价试验参与者（向上取整185例，总370例）。按8%失访膨胀并采用保守向上取整，每组约202例，总约404例。</w:t>
      </w:r>
    </w:p>
    <w:p>
      <w:r>
        <w:t>样本量估算与第24周主要终点评估时点一致：主要疗效评估时点与SoA中第24周评估及末次给药至第24周一致；无期中分析计划。样本量估算针对合成药X 150 mg/1.0 mL皮下给药方案（负荷期第1、8、15、22天每周一次共4次；维持期第36天起每两周一次至第24周末次给药）与安慰剂比较，治疗条件与给药方案一致。</w:t>
      </w:r>
    </w:p>
    <w:p>
      <w:r>
        <w:t>样本量估算未对中心分层导致的小样本层额外膨胀做调整；中心数量及小层规模未在输入中给出，统计分析计划中应复核分层分析对样本量的影响。软件具体版本在SAP定稿中记录。</w:t>
      </w:r>
    </w:p>
    <w:p>
      <w:bookmarkStart w:id="88232" w:name="chap_v2_n_11_2"/>
      <w:pPr>
        <w:pStyle w:val="2"/>
      </w:pPr>
      <w:r>
        <w:t>分析集</w:t>
      </w:r>
      <w:bookmarkEnd w:id="88232"/>
    </w:p>
    <w:p>
      <w:r>
        <w:t>本试验的主要分析集为FAS（ITT原则），按随机分组进行分析。随机集为所有经随机化分配至合成药X组或安慰剂组的试验参与者，分配比例1:1，按中心分层；治疗集为接受至少一剂研究药物（合成药X或安慰剂）的试验参与者，按实际接受治疗分组；可评价性按实际可用评估承载，包括人口学及基线疾病特征、背景鼻用激素使用、疗效评估（第24周临床缓解率（NPS≤1且鼻塞VAS≤1）、第24周SNOT-22较基线变化、第24周Lund-Kennedy内镜评分较基线变化）以及依从性和合并用药。</w:t>
      </w:r>
    </w:p>
    <w:p>
      <w:r>
        <w:t>随机集、治疗集和可评价集的纳入与分组依据不同：随机集按随机分组，治疗集按实际接受治疗分组，可评价集按实际评估可用性定义。疗效分析按随机分组进行；治疗集用于依从性等分析。</w:t>
      </w:r>
    </w:p>
    <w:p>
      <w:r>
        <w:t>ICE按治疗策略处理；接受救援治疗的试验参与者不排除、不删失，仍按随机分组纳入FAS。主要分析采用FAS（ITT原则），按随机分组分析；第24周缺失主要终点采用NRI。主要终点敏感性分析采用tipping point。</w:t>
      </w:r>
    </w:p>
    <w:p>
      <w:r>
        <w:t>主要估计目标人群为成人慢性鼻窦炎伴鼻息肉患者；允许稳定背景鼻用糖皮质激素并记录。上述分析集定义、救援治疗处理与主要估计目标人群及策略保持一致。</w:t>
      </w:r>
    </w:p>
    <w:p>
      <w:bookmarkStart w:id="21802" w:name="tbl_51"/>
      <w:r>
        <w:t>表51 分析集</w:t>
      </w:r>
      <w:bookmarkEnd w:id="21802"/>
    </w:p>
    <w:tbl>
      <w:tblPr>
        <w:tblStyle w:val="28"/>
        <w:tblW w:type="auto" w:w="0"/>
        <w:tblLook w:firstColumn="1" w:firstRow="1" w:lastColumn="0" w:lastRow="0" w:noHBand="0" w:noVBand="1" w:val="04A0"/>
      </w:tblPr>
      <w:tblGrid>
        <w:gridCol w:w="4946"/>
        <w:gridCol w:w="4946"/>
      </w:tblGrid>
      <w:tr>
        <w:tc>
          <w:tcPr>
            <w:tcW w:type="dxa" w:w="4946"/>
          </w:tcPr>
          <w:p>
            <w:r>
              <w:t>随机集</w:t>
            </w:r>
          </w:p>
        </w:tc>
        <w:tc>
          <w:tcPr>
            <w:tcW w:type="dxa" w:w="4946"/>
          </w:tcPr>
          <w:p>
            <w:r>
              <w:t>定义：所有经随机化分配至合成药X组或安慰剂组的试验参与者。分配比例：1:1。分层：按中心分层。</w:t>
            </w:r>
          </w:p>
        </w:tc>
      </w:tr>
      <w:tr>
        <w:tc>
          <w:tcPr>
            <w:tcW w:type="dxa" w:w="4946"/>
          </w:tcPr>
          <w:p>
            <w:r>
              <w:t>治疗集</w:t>
            </w:r>
          </w:p>
        </w:tc>
        <w:tc>
          <w:tcPr>
            <w:tcW w:type="dxa" w:w="4946"/>
          </w:tcPr>
          <w:p>
            <w:r>
              <w:t>定义：接受至少一剂研究药物（合成药X或安慰剂）的试验参与者。分组：按实际接受治疗分组。</w:t>
            </w:r>
          </w:p>
        </w:tc>
      </w:tr>
      <w:tr>
        <w:tc>
          <w:tcPr>
            <w:tcW w:type="dxa" w:w="4946"/>
          </w:tcPr>
          <w:p>
            <w:r>
              <w:t>可评价集（评估可用性）</w:t>
            </w:r>
          </w:p>
        </w:tc>
        <w:tc>
          <w:tcPr>
            <w:tcW w:type="dxa" w:w="4946"/>
          </w:tcPr>
          <w:p>
            <w:r>
              <w:t>按实际可用评估承载：人口学及基线疾病特征、背景鼻用激素使用；疗效包括第24周临床缓解率（NPS≤1且鼻塞VAS≤1）、第24周SNOT-22较基线变化、第24周Lund-Kennedy内镜评分较基线变化；其他包括依从性、合并用药。</w:t>
            </w:r>
          </w:p>
        </w:tc>
      </w:tr>
      <w:tr>
        <w:tc>
          <w:tcPr>
            <w:tcW w:type="dxa" w:w="4946"/>
          </w:tcPr>
          <w:p>
            <w:r>
              <w:t>纳入规则</w:t>
            </w:r>
          </w:p>
        </w:tc>
        <w:tc>
          <w:tcPr>
            <w:tcW w:type="dxa" w:w="4946"/>
          </w:tcPr>
          <w:p>
            <w:r>
              <w:t>FAS：所有随机化试验参与者，按ITT原则纳入主要分析；第24周缺失主要终点按NRI处理。treated_set：接受至少一剂研究药物的试验参与者，用于依从性等分析。</w:t>
            </w:r>
          </w:p>
        </w:tc>
      </w:tr>
      <w:tr>
        <w:tc>
          <w:tcPr>
            <w:tcW w:type="dxa" w:w="4946"/>
          </w:tcPr>
          <w:p>
            <w:r>
              <w:t>分组规则</w:t>
            </w:r>
          </w:p>
        </w:tc>
        <w:tc>
          <w:tcPr>
            <w:tcW w:type="dxa" w:w="4946"/>
          </w:tcPr>
          <w:p>
            <w:r>
              <w:t>分配比例1:1；疗效分析按随机分组进行；随机分组为合成药X组、安慰剂组；按中心分层。</w:t>
            </w:r>
          </w:p>
        </w:tc>
      </w:tr>
      <w:tr>
        <w:tc>
          <w:tcPr>
            <w:tcW w:type="dxa" w:w="4946"/>
          </w:tcPr>
          <w:p>
            <w:r>
              <w:t>处理规则</w:t>
            </w:r>
          </w:p>
        </w:tc>
        <w:tc>
          <w:tcPr>
            <w:tcW w:type="dxa" w:w="4946"/>
          </w:tcPr>
          <w:p>
            <w:r>
              <w:t>ICE按治疗策略处理；救援治疗不排除、不删失。主要分析：FAS（ITT原则），按随机分组分析；第24周缺失主要终点采用NRI。敏感性分析：主要终点采用tipping point。</w:t>
            </w:r>
          </w:p>
        </w:tc>
      </w:tr>
      <w:tr>
        <w:tc>
          <w:tcPr>
            <w:tcW w:type="dxa" w:w="4946"/>
          </w:tcPr>
          <w:p>
            <w:r>
              <w:t>救援治疗处理</w:t>
            </w:r>
          </w:p>
        </w:tc>
        <w:tc>
          <w:tcPr>
            <w:tcW w:type="dxa" w:w="4946"/>
          </w:tcPr>
          <w:p>
            <w:r>
              <w:t>救援治疗定义：因鼻塞加重使用全身激素或鼻窦手术。接受救援治疗的试验参与者不排除，仍按随机分组纳入FAS；ICE按治疗策略处理，主要终点缺失按NRI。</w:t>
            </w:r>
          </w:p>
        </w:tc>
      </w:tr>
    </w:tbl>
    <w:p>
      <w:bookmarkStart w:id="7961" w:name="chap_v2_n_11_3"/>
      <w:pPr>
        <w:pStyle w:val="2"/>
      </w:pPr>
      <w:r>
        <w:t>一般分析考虑</w:t>
      </w:r>
      <w:bookmarkEnd w:id="7961"/>
    </w:p>
    <w:p>
      <w:r>
        <w:t>11.3 一般分析考虑</w:t>
      </w:r>
    </w:p>
    <w:p>
      <w:r>
        <w:t>一般分析考虑包括变量类型、描述性统计汇总约定、缺失分母与缺失结局处理、伴发事件与缺失结局的区分，以及统计分析计划（SAP）的状态、时序、揭盲和修订安排。描述性统计按变量类型选择统计量；缺失和报告约定按变量、分析集和分析时点具体化，不以模板默认值替代。</w:t>
      </w:r>
    </w:p>
    <w:p>
      <w:r>
        <w:t>统计分析计划由统计师负责制定，并应在数据库锁定前定稿；数据库锁定后按统计分析计划导出分析数据集和开展分析；本研究无期中分析。</w:t>
      </w:r>
    </w:p>
    <w:p>
      <w:r>
        <w:t>统计分析计划应明确分析揭盲安排；除紧急揭盲外，治疗分配在数据库锁定前保持盲态，数据库锁定后按统计分析计划进行揭盲和分析，并保留揭盲记录。统计分析计划修订应与方案版本及修正案关联，并保留版本历史和修订记录；本方案为初始版本，无修订记录。</w:t>
      </w:r>
    </w:p>
    <w:p>
      <w:r>
        <w:t>描述性分析按变量类型选择汇总方式：人口学资料和依从性为连续或分类变量；主要终点为二分类变量（临床缓解是/否）；次要终点为连续变量（SNOT-22变化、Lund-Kennedy评分变化）。分类变量报告各类别例数及百分比；连续变量报告例数、均值、标准差、中位数、最小值、最大值。</w:t>
      </w:r>
    </w:p>
    <w:p>
      <w:r>
        <w:t>缺失分母与缺失结局处理如下：主要分析在FAS中按随机分组的所有试验参与者为分母；第24周缺失主要终点按无应答插补（NRI）计为无应答。第24周缺失主要终点采用无应答插补（NRI）；主要终点敏感性分析采用tipping point。</w:t>
      </w:r>
    </w:p>
    <w:p>
      <w:r>
        <w:t>伴发事件与缺失结局不是同义词，必须分别声明并按各自规则处理。伴发事件包括鼻塞加重需全身激素或手术干预、因不良事件停药和失访；因鼻塞加重使用全身激素或鼻窦手术为挽救治疗；ICE按治疗策略处理。缺失结局按上述无应答插补（NRI）和tipping point规则处理，不以伴发事件规则替代缺失结局处理。</w:t>
      </w:r>
    </w:p>
    <w:p>
      <w:bookmarkStart w:id="59905" w:name="chap_v2_n_11_4_1"/>
      <w:pPr>
        <w:pStyle w:val="3"/>
      </w:pPr>
      <w:r>
        <w:t>人口学及基线情况汇总</w:t>
      </w:r>
      <w:bookmarkEnd w:id="59905"/>
    </w:p>
    <w:p>
      <w:r>
        <w:t>11.4.1 人口学及基线情况汇总</w:t>
      </w:r>
    </w:p>
    <w:p>
      <w:r>
        <w:t>本汇总基于 FAS（ITT原则）。基线定义为首次给药前。按随机分组分别汇总，分组为合成药X组和安慰剂组。</w:t>
      </w:r>
    </w:p>
    <w:p>
      <w:r>
        <w:t>纳入的人口学变量包括年龄和性别；疾病特征变量包括基线双侧鼻息肉评分（NPS）、基线鼻塞VAS、基线SNOT-22和基线Lund-Kennedy内镜评分；背景治疗变量包括稳定背景鼻用激素使用情况。</w:t>
      </w:r>
    </w:p>
    <w:p>
      <w:r>
        <w:t>年龄、基线双侧鼻息肉评分（NPS）、基线鼻塞VAS、基线SNOT-22和基线Lund-Kennedy内镜评分按连续变量处理；性别和稳定背景鼻用激素使用情况按分类变量处理。</w:t>
      </w:r>
    </w:p>
    <w:p>
      <w:r>
        <w:t>连续变量汇总例数、均值、标准差、中位数、最小值、最大值；分类变量汇总例数及百分比。所有变量均按治疗组分别汇总。</w:t>
      </w:r>
    </w:p>
    <w:p>
      <w:bookmarkStart w:id="52697" w:name="tbl_52"/>
      <w:r>
        <w:t>表52 人口学及基线情况汇总</w:t>
      </w:r>
      <w:bookmarkEnd w:id="52697"/>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人口学</w:t>
            </w:r>
          </w:p>
        </w:tc>
        <w:tc>
          <w:tcPr>
            <w:tcW w:type="dxa" w:w="2473"/>
          </w:tcPr>
          <w:p>
            <w:r>
              <w:rPr>
                <w:b/>
              </w:rPr>
              <w:t>年龄</w:t>
            </w:r>
          </w:p>
        </w:tc>
        <w:tc>
          <w:tcPr>
            <w:tcW w:type="dxa" w:w="2473"/>
          </w:tcPr>
          <w:p>
            <w:r>
              <w:rPr>
                <w:b/>
              </w:rPr>
              <w:t>连续变量</w:t>
            </w:r>
          </w:p>
        </w:tc>
        <w:tc>
          <w:tcPr>
            <w:tcW w:type="dxa" w:w="2473"/>
          </w:tcPr>
          <w:p>
            <w:r>
              <w:rPr>
                <w:b/>
              </w:rPr>
              <w:t>例数、均值、标准差、中位数、最小值、最大值</w:t>
            </w:r>
          </w:p>
        </w:tc>
      </w:tr>
      <w:tr>
        <w:tc>
          <w:tcPr>
            <w:tcW w:type="dxa" w:w="2473"/>
          </w:tcPr>
          <w:p>
            <w:r>
              <w:t>人口学</w:t>
            </w:r>
          </w:p>
        </w:tc>
        <w:tc>
          <w:tcPr>
            <w:tcW w:type="dxa" w:w="2473"/>
          </w:tcPr>
          <w:p>
            <w:r>
              <w:t>性别</w:t>
            </w:r>
          </w:p>
        </w:tc>
        <w:tc>
          <w:tcPr>
            <w:tcW w:type="dxa" w:w="2473"/>
          </w:tcPr>
          <w:p>
            <w:r>
              <w:t>分类变量</w:t>
            </w:r>
          </w:p>
        </w:tc>
        <w:tc>
          <w:tcPr>
            <w:tcW w:type="dxa" w:w="2473"/>
          </w:tcPr>
          <w:p>
            <w:r>
              <w:t>例数及百分比</w:t>
            </w:r>
          </w:p>
        </w:tc>
      </w:tr>
      <w:tr>
        <w:tc>
          <w:tcPr>
            <w:tcW w:type="dxa" w:w="2473"/>
          </w:tcPr>
          <w:p>
            <w:r>
              <w:t>疾病特征</w:t>
            </w:r>
          </w:p>
        </w:tc>
        <w:tc>
          <w:tcPr>
            <w:tcW w:type="dxa" w:w="2473"/>
          </w:tcPr>
          <w:p>
            <w:r>
              <w:t>基线双侧鼻息肉评分（NPS）</w:t>
            </w:r>
          </w:p>
        </w:tc>
        <w:tc>
          <w:tcPr>
            <w:tcW w:type="dxa" w:w="2473"/>
          </w:tcPr>
          <w:p>
            <w:r>
              <w:t>连续变量</w:t>
            </w:r>
          </w:p>
        </w:tc>
        <w:tc>
          <w:tcPr>
            <w:tcW w:type="dxa" w:w="2473"/>
          </w:tcPr>
          <w:p>
            <w:r>
              <w:t>例数、均值、标准差、中位数、最小值、最大值</w:t>
            </w:r>
          </w:p>
        </w:tc>
      </w:tr>
      <w:tr>
        <w:tc>
          <w:tcPr>
            <w:tcW w:type="dxa" w:w="2473"/>
          </w:tcPr>
          <w:p>
            <w:r>
              <w:t>疾病特征</w:t>
            </w:r>
          </w:p>
        </w:tc>
        <w:tc>
          <w:tcPr>
            <w:tcW w:type="dxa" w:w="2473"/>
          </w:tcPr>
          <w:p>
            <w:r>
              <w:t>基线鼻塞VAS</w:t>
            </w:r>
          </w:p>
        </w:tc>
        <w:tc>
          <w:tcPr>
            <w:tcW w:type="dxa" w:w="2473"/>
          </w:tcPr>
          <w:p>
            <w:r>
              <w:t>连续变量</w:t>
            </w:r>
          </w:p>
        </w:tc>
        <w:tc>
          <w:tcPr>
            <w:tcW w:type="dxa" w:w="2473"/>
          </w:tcPr>
          <w:p>
            <w:r>
              <w:t>例数、均值、标准差、中位数、最小值、最大值</w:t>
            </w:r>
          </w:p>
        </w:tc>
      </w:tr>
      <w:tr>
        <w:tc>
          <w:tcPr>
            <w:tcW w:type="dxa" w:w="2473"/>
          </w:tcPr>
          <w:p>
            <w:r>
              <w:t>疾病特征</w:t>
            </w:r>
          </w:p>
        </w:tc>
        <w:tc>
          <w:tcPr>
            <w:tcW w:type="dxa" w:w="2473"/>
          </w:tcPr>
          <w:p>
            <w:r>
              <w:t>基线SNOT-22</w:t>
            </w:r>
          </w:p>
        </w:tc>
        <w:tc>
          <w:tcPr>
            <w:tcW w:type="dxa" w:w="2473"/>
          </w:tcPr>
          <w:p>
            <w:r>
              <w:t>连续变量</w:t>
            </w:r>
          </w:p>
        </w:tc>
        <w:tc>
          <w:tcPr>
            <w:tcW w:type="dxa" w:w="2473"/>
          </w:tcPr>
          <w:p>
            <w:r>
              <w:t>例数、均值、标准差、中位数、最小值、最大值</w:t>
            </w:r>
          </w:p>
        </w:tc>
      </w:tr>
      <w:tr>
        <w:tc>
          <w:tcPr>
            <w:tcW w:type="dxa" w:w="2473"/>
          </w:tcPr>
          <w:p>
            <w:r>
              <w:t>疾病特征</w:t>
            </w:r>
          </w:p>
        </w:tc>
        <w:tc>
          <w:tcPr>
            <w:tcW w:type="dxa" w:w="2473"/>
          </w:tcPr>
          <w:p>
            <w:r>
              <w:t>基线Lund-Kennedy内镜评分</w:t>
            </w:r>
          </w:p>
        </w:tc>
        <w:tc>
          <w:tcPr>
            <w:tcW w:type="dxa" w:w="2473"/>
          </w:tcPr>
          <w:p>
            <w:r>
              <w:t>连续变量</w:t>
            </w:r>
          </w:p>
        </w:tc>
        <w:tc>
          <w:tcPr>
            <w:tcW w:type="dxa" w:w="2473"/>
          </w:tcPr>
          <w:p>
            <w:r>
              <w:t>例数、均值、标准差、中位数、最小值、最大值</w:t>
            </w:r>
          </w:p>
        </w:tc>
      </w:tr>
      <w:tr>
        <w:tc>
          <w:tcPr>
            <w:tcW w:type="dxa" w:w="2473"/>
          </w:tcPr>
          <w:p>
            <w:r>
              <w:t>背景治疗</w:t>
            </w:r>
          </w:p>
        </w:tc>
        <w:tc>
          <w:tcPr>
            <w:tcW w:type="dxa" w:w="2473"/>
          </w:tcPr>
          <w:p>
            <w:r>
              <w:t>稳定背景鼻用激素使用情况</w:t>
            </w:r>
          </w:p>
        </w:tc>
        <w:tc>
          <w:tcPr>
            <w:tcW w:type="dxa" w:w="2473"/>
          </w:tcPr>
          <w:p>
            <w:r>
              <w:t>分类变量</w:t>
            </w:r>
          </w:p>
        </w:tc>
        <w:tc>
          <w:tcPr>
            <w:tcW w:type="dxa" w:w="2473"/>
          </w:tcPr>
          <w:p>
            <w:r>
              <w:t>例数及百分比</w:t>
            </w:r>
          </w:p>
        </w:tc>
      </w:tr>
    </w:tbl>
    <w:p>
      <w:pPr/>
      <w:r>
        <w:t xml:space="preserve"> 分析集为 FAS（ITT原则）；基线定义为首次给药前；按随机分组（合成药X组、安慰剂组）分别汇总。</w:t>
      </w:r>
    </w:p>
    <w:p>
      <w:pPr/>
      <w:r>
        <w:t xml:space="preserve"> 连续变量汇总例数、均值、标准差、中位数、最小值、最大值；分类变量汇总例数及百分比。</w:t>
      </w:r>
    </w:p>
    <w:p>
      <w:bookmarkStart w:id="80368" w:name="chap_v2_n_11_4_2"/>
      <w:pPr>
        <w:pStyle w:val="3"/>
      </w:pPr>
      <w:r>
        <w:t>依从性和合并用药分析</w:t>
      </w:r>
      <w:bookmarkEnd w:id="80368"/>
    </w:p>
    <w:p>
      <w:r>
        <w:t>依从性分析依据实际接受的计划内研究药物注射次数进行。依从性定义为实际接受的计划内研究药物注射次数占计划注射次数的比例。计划给药方案为负荷期第1、8、15、22天共4次；维持期第36天起每两周一次至第24周末次给药。依从性分母为计划注射次数，按治疗组分别计算，分析人群为接受至少一剂研究药物的试验参与者；分析集为接受至少一剂研究药物的试验参与者（treated set），治疗组包括合成药X组和安慰剂组。测量方法为根据注射记录和药物计数计算实际注射次数与计划注射次数的比例，并按连续比例汇总；数据来源为给药记录/注射记录。已确认研究事实未提供依从性剔除规则和缺失数据处理规则，本候选不另行推断或设定模板默认值。</w:t>
      </w:r>
    </w:p>
    <w:p>
      <w:r>
        <w:t>合并用药/治疗分析的定义为研究期间除研究药物外使用的所有药物或治疗，包括允许的稳定背景鼻用激素。因鼻塞加重使用全身激素或鼻窦手术定义为救援治疗。合并用药/治疗的收集时间窗为从基线/首次给药至第24周研究结束；该窗口即本候选所依据的合并用药/治疗时序范围。</w:t>
      </w:r>
    </w:p>
    <w:p>
      <w:bookmarkStart w:id="58156" w:name="chap_v2_n_11_4_3_1"/>
      <w:pPr>
        <w:pStyle w:val="4"/>
      </w:pPr>
      <w:r>
        <w:t>主要估计目标的主要分析</w:t>
      </w:r>
      <w:bookmarkEnd w:id="58156"/>
    </w:p>
    <w:p>
      <w:r>
        <w:t>主要估计目标的主要分析基于已确认的主要估计目标。主要估计目标人群为成人慢性鼻窦炎伴鼻息肉患者；允许稳定背景鼻用糖皮质激素并记录。主要分析集为FAS（ITT原则），按随机分组进行分析。主要终点为第24周临床缓解率，即第24周达到双侧鼻息肉评分（NPS）≤1且鼻塞VAS≤1的试验参与者比例；变量为第24周临床缓解，定义为双侧鼻息肉评分（NPS）≤1且鼻塞VAS≤1。治疗条件为随机分配的治疗：合成药X 150 mg/1.0 mL皮下给药方案（负荷期第1、8、15、22天每周一次共4次；维持期第36天起每两周一次至第24周（末次给药））或安慰剂（生理盐水1.0 mL皮下注射，同体积同途径同频率）。</w:t>
      </w:r>
    </w:p>
    <w:p>
      <w:r>
        <w:t>主要分析方法为按中心分层的CMH检验，双侧α=0.05；主要比较为合成药X组相对安慰剂组第24周临床缓解率的风险差，并提供95%CI。该分析直接对应主要估计目标：汇总指标为第24周临床缓解率（比例）、风险差及95%CI，人群为成人慢性鼻窦炎伴鼻息肉患者FAS（ITT），治疗条件为合成药X 150 mg/1.0 mL皮下给药方案 vs 安慰剂。</w:t>
      </w:r>
    </w:p>
    <w:p>
      <w:bookmarkStart w:id="37796" w:name="tbl_53"/>
      <w:r>
        <w:t>表53 主要估计目标的主要分析</w:t>
      </w:r>
      <w:bookmarkEnd w:id="37796"/>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主要估计目标人群</w:t>
            </w:r>
          </w:p>
        </w:tc>
        <w:tc>
          <w:tcPr>
            <w:tcW w:type="dxa" w:w="4946"/>
          </w:tcPr>
          <w:p>
            <w:r>
              <w:rPr>
                <w:b/>
              </w:rPr>
              <w:t>成人慢性鼻窦炎伴鼻息肉患者；允许稳定背景鼻用糖皮质激素并记录。</w:t>
            </w:r>
          </w:p>
        </w:tc>
      </w:tr>
      <w:tr>
        <w:tc>
          <w:tcPr>
            <w:tcW w:type="dxa" w:w="4946"/>
          </w:tcPr>
          <w:p>
            <w:r>
              <w:t>主要分析集</w:t>
            </w:r>
          </w:p>
        </w:tc>
        <w:tc>
          <w:tcPr>
            <w:tcW w:type="dxa" w:w="4946"/>
          </w:tcPr>
          <w:p>
            <w:r>
              <w:t>FAS（ITT原则），按随机分组进行分析。</w:t>
            </w:r>
          </w:p>
        </w:tc>
      </w:tr>
      <w:tr>
        <w:tc>
          <w:tcPr>
            <w:tcW w:type="dxa" w:w="4946"/>
          </w:tcPr>
          <w:p>
            <w:r>
              <w:t>主要终点/变量</w:t>
            </w:r>
          </w:p>
        </w:tc>
        <w:tc>
          <w:tcPr>
            <w:tcW w:type="dxa" w:w="4946"/>
          </w:tcPr>
          <w:p>
            <w:r>
              <w:t>第24周临床缓解率：第24周达到双侧鼻息肉评分（NPS）≤1且鼻塞VAS≤1的试验参与者比例；变量为第24周临床缓解，定义为双侧鼻息肉评分（NPS）≤1且鼻塞VAS≤1。</w:t>
            </w:r>
          </w:p>
        </w:tc>
      </w:tr>
      <w:tr>
        <w:tc>
          <w:tcPr>
            <w:tcW w:type="dxa" w:w="4946"/>
          </w:tcPr>
          <w:p>
            <w:r>
              <w:t>治疗条件</w:t>
            </w:r>
          </w:p>
        </w:tc>
        <w:tc>
          <w:tcPr>
            <w:tcW w:type="dxa" w:w="4946"/>
          </w:tcPr>
          <w:p>
            <w:r>
              <w:t>随机分配的治疗；合成药X 150 mg/1.0 mL皮下给药方案（负荷期第1、8、15、22天每周一次共4次；维持期第36天起每两周一次至第24周（末次给药））或安慰剂（生理盐水1.0 mL皮下注射，同体积同途径同频率）。</w:t>
            </w:r>
          </w:p>
        </w:tc>
      </w:tr>
      <w:tr>
        <w:tc>
          <w:tcPr>
            <w:tcW w:type="dxa" w:w="4946"/>
          </w:tcPr>
          <w:p>
            <w:r>
              <w:t>主要分析方法</w:t>
            </w:r>
          </w:p>
        </w:tc>
        <w:tc>
          <w:tcPr>
            <w:tcW w:type="dxa" w:w="4946"/>
          </w:tcPr>
          <w:p>
            <w:r>
              <w:t>按中心分层的CMH检验；双侧α=0.05；效应量为风险差及95%CI。</w:t>
            </w:r>
          </w:p>
        </w:tc>
      </w:tr>
      <w:tr>
        <w:tc>
          <w:tcPr>
            <w:tcW w:type="dxa" w:w="4946"/>
          </w:tcPr>
          <w:p>
            <w:r>
              <w:t>主要比较/效应量</w:t>
            </w:r>
          </w:p>
        </w:tc>
        <w:tc>
          <w:tcPr>
            <w:tcW w:type="dxa" w:w="4946"/>
          </w:tcPr>
          <w:p>
            <w:r>
              <w:t>合成药X组相对安慰剂组第24周临床缓解率的风险差；95%CI。</w:t>
            </w:r>
          </w:p>
        </w:tc>
      </w:tr>
      <w:tr>
        <w:tc>
          <w:tcPr>
            <w:tcW w:type="dxa" w:w="4946"/>
          </w:tcPr>
          <w:p>
            <w:r>
              <w:t>伴发事件策略</w:t>
            </w:r>
          </w:p>
        </w:tc>
        <w:tc>
          <w:tcPr>
            <w:tcW w:type="dxa" w:w="4946"/>
          </w:tcPr>
          <w:p>
            <w:r>
              <w:t>ICE按治疗策略（treatment policy）处理。事件包括鼻塞加重需全身激素或手术干预、因不良事件停药、失访；救援治疗定义为因鼻塞加重使用全身激素或鼻窦手术。</w:t>
            </w:r>
          </w:p>
        </w:tc>
      </w:tr>
      <w:tr>
        <w:tc>
          <w:tcPr>
            <w:tcW w:type="dxa" w:w="4946"/>
          </w:tcPr>
          <w:p>
            <w:r>
              <w:t>缺失数据</w:t>
            </w:r>
          </w:p>
        </w:tc>
        <w:tc>
          <w:tcPr>
            <w:tcW w:type="dxa" w:w="4946"/>
          </w:tcPr>
          <w:p>
            <w:r>
              <w:t>第24周缺失主要终点采用无应答插补（NRI）；敏感性分析采用tipping point。</w:t>
            </w:r>
          </w:p>
        </w:tc>
      </w:tr>
      <w:tr>
        <w:tc>
          <w:tcPr>
            <w:tcW w:type="dxa" w:w="4946"/>
          </w:tcPr>
          <w:p>
            <w:r>
              <w:t>估计目标链接</w:t>
            </w:r>
          </w:p>
        </w:tc>
        <w:tc>
          <w:tcPr>
            <w:tcW w:type="dxa" w:w="4946"/>
          </w:tcPr>
          <w:p>
            <w:r>
              <w:t>主要分析直接对应主要估计目标：人群为成人慢性鼻窦炎伴鼻息肉患者FAS（ITT），变量为第24周临床缓解，治疗条件为合成药X 150 mg/1.0 mL皮下给药方案 vs 安慰剂，汇总指标为第24周临床缓解率（比例）、风险差及95%CI，ICE按治疗策略处理。</w:t>
            </w:r>
          </w:p>
        </w:tc>
      </w:tr>
      <w:tr>
        <w:tc>
          <w:tcPr>
            <w:tcW w:type="dxa" w:w="4946"/>
          </w:tcPr>
          <w:p>
            <w:r>
              <w:t>设计与SOA一致性</w:t>
            </w:r>
          </w:p>
        </w:tc>
        <w:tc>
          <w:tcPr>
            <w:tcW w:type="dxa" w:w="4946"/>
          </w:tcPr>
          <w:p>
            <w:r>
              <w:t>主要终点在第24周评估，与SoA中第24周评估时点一致；末次给药至第24周；无期中分析。主要分析按随机分配的治疗组比较，不因实际接受剂量或救援治疗改变分组。</w:t>
            </w:r>
          </w:p>
        </w:tc>
      </w:tr>
    </w:tbl>
    <w:p>
      <w:r>
        <w:t>伴发事件（ICE）按治疗策略（treatment policy）处理。ICE事件包括鼻塞加重需全身激素或手术干预、因不良事件停药和失访；救援治疗定义为因鼻塞加重使用全身激素或鼻窦手术。第24周缺失主要终点采用无应答插补（NRI）；敏感性分析采用tipping point。</w:t>
      </w:r>
    </w:p>
    <w:p>
      <w:r>
        <w:t>与设计和SoA一致性：主要终点在第24周评估，与SoA中第162天（第24周/末次给药）评估时点一致，该访视评估双侧鼻息肉评分（NPS）和鼻塞VAS；末次给药至第24周，无期中分析。主要分析按随机分配的治疗组比较，合成药X组对应150 mg/1.0 mL皮下给药方案，安慰剂组对应生理盐水1.0 mL同途径同频率；不因实际接受剂量或救援治疗改变分组。上述方法、终点、分析集、剂量和SoA事实保持一致。</w:t>
      </w:r>
    </w:p>
    <w:p>
      <w:bookmarkStart w:id="65790" w:name="chap_v2_n_11_4_3_2"/>
      <w:pPr>
        <w:pStyle w:val="4"/>
      </w:pPr>
      <w:r>
        <w:t>主要估计目标的敏感性分析</w:t>
      </w:r>
      <w:bookmarkEnd w:id="65790"/>
    </w:p>
    <w:p>
      <w:r>
        <w:t>本节针对主要估计目标开展敏感性分析。主要分析采用NRI，即第24周缺失主要终点视为无应答；敏感性分析采用tipping point分析，在缺失主要终点的不同插补假设下重复主要分析，确定使优效性结论发生改变的tipping point。</w:t>
      </w:r>
    </w:p>
    <w:p>
      <w:bookmarkStart w:id="85028" w:name="tbl_54"/>
      <w:r>
        <w:t>表54 主要估计目标的敏感性分析</w:t>
      </w:r>
      <w:bookmarkEnd w:id="85028"/>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w:t>
            </w:r>
          </w:p>
        </w:tc>
        <w:tc>
          <w:tcPr>
            <w:tcW w:type="dxa" w:w="4946"/>
          </w:tcPr>
          <w:p>
            <w:r>
              <w:rPr>
                <w:b/>
              </w:rPr>
              <w:t>内容</w:t>
            </w:r>
          </w:p>
        </w:tc>
      </w:tr>
      <w:tr>
        <w:tc>
          <w:tcPr>
            <w:tcW w:type="dxa" w:w="4946"/>
          </w:tcPr>
          <w:p>
            <w:r>
              <w:t>方法</w:t>
            </w:r>
          </w:p>
        </w:tc>
        <w:tc>
          <w:tcPr>
            <w:tcW w:type="dxa" w:w="4946"/>
          </w:tcPr>
          <w:p>
            <w:r>
              <w:t>采用tipping point分析；在缺失主要终点的不同插补假设下重复主要分析，确定使优效性结论发生改变的tipping point。</w:t>
            </w:r>
          </w:p>
        </w:tc>
      </w:tr>
      <w:tr>
        <w:tc>
          <w:tcPr>
            <w:tcW w:type="dxa" w:w="4946"/>
          </w:tcPr>
          <w:p>
            <w:r>
              <w:t>假设</w:t>
            </w:r>
          </w:p>
        </w:tc>
        <w:tc>
          <w:tcPr>
            <w:tcW w:type="dxa" w:w="4946"/>
          </w:tcPr>
          <w:p>
            <w:r>
              <w:t>主要分析采用NRI，即第24周缺失主要终点视为无应答；敏感性分析通过tipping point探索缺失结局偏离NRI假设时对结论的影响。</w:t>
            </w:r>
          </w:p>
        </w:tc>
      </w:tr>
      <w:tr>
        <w:tc>
          <w:tcPr>
            <w:tcW w:type="dxa" w:w="4946"/>
          </w:tcPr>
          <w:p>
            <w:r>
              <w:t>估计目标一致性</w:t>
            </w:r>
          </w:p>
        </w:tc>
        <w:tc>
          <w:tcPr>
            <w:tcW w:type="dxa" w:w="4946"/>
          </w:tcPr>
          <w:p>
            <w:r>
              <w:t>敏感性分析保持与主要估计目标一致：FAS、按随机分组、第24周临床缓解、ICE按治疗策略、风险差及95%CI。</w:t>
            </w:r>
          </w:p>
        </w:tc>
      </w:tr>
      <w:tr>
        <w:tc>
          <w:tcPr>
            <w:tcW w:type="dxa" w:w="4946"/>
          </w:tcPr>
          <w:p>
            <w:r>
              <w:t>缺失数据处理</w:t>
            </w:r>
          </w:p>
        </w:tc>
        <w:tc>
          <w:tcPr>
            <w:tcW w:type="dxa" w:w="4946"/>
          </w:tcPr>
          <w:p>
            <w:r>
              <w:t>采用tipping point处理第24周缺失主要终点；探索不同缺失值假设下的结果稳健性。</w:t>
            </w:r>
          </w:p>
        </w:tc>
      </w:tr>
      <w:tr>
        <w:tc>
          <w:tcPr>
            <w:tcW w:type="dxa" w:w="4946"/>
          </w:tcPr>
          <w:p>
            <w:r>
              <w:t>主要分析方法链接</w:t>
            </w:r>
          </w:p>
        </w:tc>
        <w:tc>
          <w:tcPr>
            <w:tcW w:type="dxa" w:w="4946"/>
          </w:tcPr>
          <w:p>
            <w:r>
              <w:t>沿用主要分析的按中心分层CMH检验、FAS和风险差及95%CI。</w:t>
            </w:r>
          </w:p>
        </w:tc>
      </w:tr>
      <w:tr>
        <w:tc>
          <w:tcPr>
            <w:tcW w:type="dxa" w:w="4946"/>
          </w:tcPr>
          <w:p>
            <w:r>
              <w:t>结果解释</w:t>
            </w:r>
          </w:p>
        </w:tc>
        <w:tc>
          <w:tcPr>
            <w:tcW w:type="dxa" w:w="4946"/>
          </w:tcPr>
          <w:p>
            <w:r>
              <w:t>若在不同合理缺失假设下优效性结论保持稳健，则支持主要分析结果；若结论仅在极端假设下维持，应谨慎解读。</w:t>
            </w:r>
          </w:p>
        </w:tc>
      </w:tr>
    </w:tbl>
    <w:p>
      <w:r>
        <w:t>结果解释：若在不同合理缺失假设下优效性结论保持稳健，则支持主要分析结果；若结论仅在极端假设下维持，应谨慎解读。</w:t>
      </w:r>
    </w:p>
    <w:p>
      <w:bookmarkStart w:id="54142" w:name="chap_v2_n_11_4_4"/>
      <w:pPr>
        <w:pStyle w:val="3"/>
      </w:pPr>
      <w:r>
        <w:t>次要终点的统计分析</w:t>
      </w:r>
      <w:bookmarkEnd w:id="54142"/>
    </w:p>
    <w:p>
      <w:r>
        <w:t>次要终点的统计分析</w:t>
      </w:r>
    </w:p>
    <w:p>
      <w:r>
        <w:t>本章描述次要终点的统计分析。统计结论应与已确认的研究设计、终点定义、分析集、数据定义及多重性策略一致。</w:t>
      </w:r>
    </w:p>
    <w:p>
      <w:r>
        <w:t>次要终点包括：关键次要终点为第24周SNOT-22较基线变化；次要终点为第24周Lund-Kennedy内镜评分较基线变化。</w:t>
      </w:r>
    </w:p>
    <w:p>
      <w:r>
        <w:t>分析方法：SNOT-22采用固定序列检验控制多重性；Lund-Kennedy内镜评分为描述性分析，不控制多重性。固定序列检验顺序为：首先检验主要终点，若显著则检验关键次要终点SNOT-22。</w:t>
      </w:r>
    </w:p>
    <w:p>
      <w:r>
        <w:t>数据定义与分析集：基线为首次给药前，变化为第24周值较基线变化值，时点为第24周；分析集为FAS（ITT原则），按随机分组分析。</w:t>
      </w:r>
    </w:p>
    <w:p>
      <w:bookmarkStart w:id="3033" w:name="tbl_55"/>
      <w:r>
        <w:t>表55 次要终点的统计分析</w:t>
      </w:r>
      <w:bookmarkEnd w:id="3033"/>
    </w:p>
    <w:tbl>
      <w:tblPr>
        <w:tblStyle w:val="28"/>
        <w:tblW w:type="auto" w:w="0"/>
        <w:tblLook w:firstColumn="1" w:firstRow="1" w:lastColumn="0" w:lastRow="0" w:noHBand="0" w:noVBand="1" w:val="04A0"/>
      </w:tblPr>
      <w:tblGrid>
        <w:gridCol w:w="1978"/>
        <w:gridCol w:w="1978"/>
        <w:gridCol w:w="1978"/>
        <w:gridCol w:w="1978"/>
        <w:gridCol w:w="1978"/>
      </w:tblGrid>
      <w:tr>
        <w:trPr>
          <w:tblHeader w:val="true"/>
        </w:trPr>
        <w:tc>
          <w:tcPr>
            <w:tcW w:type="dxa" w:w="1978"/>
          </w:tcPr>
          <w:p>
            <w:r>
              <w:rPr>
                <w:b/>
              </w:rPr>
              <w:t>终点</w:t>
            </w:r>
          </w:p>
        </w:tc>
        <w:tc>
          <w:tcPr>
            <w:tcW w:type="dxa" w:w="1978"/>
          </w:tcPr>
          <w:p>
            <w:r>
              <w:rPr>
                <w:b/>
              </w:rPr>
              <w:t>终点定义</w:t>
            </w:r>
          </w:p>
        </w:tc>
        <w:tc>
          <w:tcPr>
            <w:tcW w:type="dxa" w:w="1978"/>
          </w:tcPr>
          <w:p>
            <w:r>
              <w:rPr>
                <w:b/>
              </w:rPr>
              <w:t>统计方法</w:t>
            </w:r>
          </w:p>
        </w:tc>
        <w:tc>
          <w:tcPr>
            <w:tcW w:type="dxa" w:w="1978"/>
          </w:tcPr>
          <w:p>
            <w:r>
              <w:rPr>
                <w:b/>
              </w:rPr>
              <w:t>数据定义</w:t>
            </w:r>
          </w:p>
        </w:tc>
        <w:tc>
          <w:tcPr>
            <w:tcW w:type="dxa" w:w="1978"/>
          </w:tcPr>
          <w:p>
            <w:r>
              <w:rPr>
                <w:b/>
              </w:rPr>
              <w:t>分析集</w:t>
            </w:r>
          </w:p>
        </w:tc>
      </w:tr>
      <w:tr>
        <w:tc>
          <w:tcPr>
            <w:tcW w:type="dxa" w:w="1978"/>
          </w:tcPr>
          <w:p>
            <w:r>
              <w:t>关键次要终点</w:t>
            </w:r>
          </w:p>
        </w:tc>
        <w:tc>
          <w:tcPr>
            <w:tcW w:type="dxa" w:w="1978"/>
          </w:tcPr>
          <w:p>
            <w:r>
              <w:t>第24周SNOT-22较基线变化。</w:t>
            </w:r>
          </w:p>
        </w:tc>
        <w:tc>
          <w:tcPr>
            <w:tcW w:type="dxa" w:w="1978"/>
          </w:tcPr>
          <w:p>
            <w:r>
              <w:t>SNOT-22采用固定序列检验控制多重性。固定序列检验顺序：首先检验主要终点，若显著则检验关键次要终点SNOT-22。</w:t>
            </w:r>
          </w:p>
        </w:tc>
        <w:tc>
          <w:tcPr>
            <w:tcW w:type="dxa" w:w="1978"/>
          </w:tcPr>
          <w:p>
            <w:r>
              <w:t>基线：首次给药前；变化：第24周值较基线变化值；时点：第24周。</w:t>
            </w:r>
          </w:p>
        </w:tc>
        <w:tc>
          <w:tcPr>
            <w:tcW w:type="dxa" w:w="1978"/>
          </w:tcPr>
          <w:p>
            <w:r>
              <w:t>FAS（ITT原则），按随机分组分析。</w:t>
            </w:r>
          </w:p>
        </w:tc>
      </w:tr>
      <w:tr>
        <w:tc>
          <w:tcPr>
            <w:tcW w:type="dxa" w:w="1978"/>
          </w:tcPr>
          <w:p>
            <w:r>
              <w:t>次要终点</w:t>
            </w:r>
          </w:p>
        </w:tc>
        <w:tc>
          <w:tcPr>
            <w:tcW w:type="dxa" w:w="1978"/>
          </w:tcPr>
          <w:p>
            <w:r>
              <w:t>第24周Lund-Kennedy内镜评分较基线变化。</w:t>
            </w:r>
          </w:p>
        </w:tc>
        <w:tc>
          <w:tcPr>
            <w:tcW w:type="dxa" w:w="1978"/>
          </w:tcPr>
          <w:p>
            <w:r>
              <w:t>Lund-Kennedy为描述性分析，不控制多重性。</w:t>
            </w:r>
          </w:p>
        </w:tc>
        <w:tc>
          <w:tcPr>
            <w:tcW w:type="dxa" w:w="1978"/>
          </w:tcPr>
          <w:p>
            <w:r>
              <w:t>基线：首次给药前；变化：第24周值较基线变化值；时点：第24周。</w:t>
            </w:r>
          </w:p>
        </w:tc>
        <w:tc>
          <w:tcPr>
            <w:tcW w:type="dxa" w:w="1978"/>
          </w:tcPr>
          <w:p>
            <w:r>
              <w:t>FAS（ITT原则），按随机分组分析。</w:t>
            </w:r>
          </w:p>
        </w:tc>
      </w:tr>
    </w:tbl>
    <w:p>
      <w:r>
        <w:t>缺失数据处理：已确认事实载明，主要终点缺失采用无应答插补（NRI），敏感性分析采用tipping point；本节点未获得可独立引用的次要终点缺失数据处理规则，故不自行采用模板默认值。</w:t>
      </w:r>
    </w:p>
    <w:p>
      <w:bookmarkStart w:id="91692" w:name="chap_v2_n_11_4_5"/>
      <w:pPr>
        <w:pStyle w:val="3"/>
      </w:pPr>
      <w:r>
        <w:t>安全性分析</w:t>
      </w:r>
      <w:bookmarkEnd w:id="91692"/>
    </w:p>
    <w:p>
      <w:r>
        <w:t>本节说明安全性分析的终点、分析人群、观察期间、汇总方法和数据定义。安全性分析基于实际事件、观察期及安全性分析集，按实际接受的治疗组进行描述性汇总。</w:t>
      </w:r>
    </w:p>
    <w:p>
      <w:r>
        <w:t>主要安全性终点为不良事件（AE）发生率、严重程度和相关性，严重不良事件（SAE）发生率，以及治疗期出现的不良事件（TEAE）发生率。其他安全性终点包括注射部位反应，生命体征、体格检查、实验室检查、12导联心电图较基线的变化，因不良事件导致的停药，以及合并用药使用情况。</w:t>
      </w:r>
    </w:p>
    <w:p>
      <w:r>
        <w:t>安全性分析集（Safety Set）包括所有至少接受一次研究药物（合成药X或安慰剂）给药的随机试验参与者，并按实际接受的治疗分组。安全性分析不采用意向性治疗（ITT）或全分析集（FAS）原则。安全性观察期间从首次给予研究药物开始，至第24周末次给药后研究结束；不良事件从首次给药至第24周末次给药/研究结束期间收集，严重不良事件按法规要求报告。</w:t>
      </w:r>
    </w:p>
    <w:p>
      <w:bookmarkStart w:id="61833" w:name="tbl_56"/>
      <w:r>
        <w:t>表56 安全性分析</w:t>
      </w:r>
      <w:bookmarkEnd w:id="61833"/>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要素</w:t>
            </w:r>
          </w:p>
        </w:tc>
        <w:tc>
          <w:tcPr>
            <w:tcW w:type="dxa" w:w="4946"/>
          </w:tcPr>
          <w:p>
            <w:r>
              <w:rPr>
                <w:b/>
              </w:rPr>
              <w:t>项目特异内容</w:t>
            </w:r>
          </w:p>
        </w:tc>
      </w:tr>
      <w:tr>
        <w:tc>
          <w:tcPr>
            <w:tcW w:type="dxa" w:w="4946"/>
          </w:tcPr>
          <w:p>
            <w:r>
              <w:t>安全性终点</w:t>
            </w:r>
          </w:p>
        </w:tc>
        <w:tc>
          <w:tcPr>
            <w:tcW w:type="dxa" w:w="4946"/>
          </w:tcPr>
          <w:p>
            <w:r>
              <w:t>主要安全性终点：不良事件（AE）发生率、严重程度和相关性；严重不良事件（SAE）发生率；治疗期出现的不良事件（TEAE）发生率。其他安全性终点：注射部位反应；生命体征、体格检查、实验室检查、12导联心电图较基线的变化；因不良事件导致的停药；合并用药使用情况。</w:t>
            </w:r>
          </w:p>
        </w:tc>
      </w:tr>
      <w:tr>
        <w:tc>
          <w:tcPr>
            <w:tcW w:type="dxa" w:w="4946"/>
          </w:tcPr>
          <w:p>
            <w:r>
              <w:t>安全性分析人群</w:t>
            </w:r>
          </w:p>
        </w:tc>
        <w:tc>
          <w:tcPr>
            <w:tcW w:type="dxa" w:w="4946"/>
          </w:tcPr>
          <w:p>
            <w:r>
              <w:t>安全性分析集（Safety Set）：所有至少接受一次研究药物（合成药X或安慰剂）给药的随机试验参与者。按实际接受的治疗组分析；安全性分析不采用ITT或FAS原则。</w:t>
            </w:r>
          </w:p>
        </w:tc>
      </w:tr>
      <w:tr>
        <w:tc>
          <w:tcPr>
            <w:tcW w:type="dxa" w:w="4946"/>
          </w:tcPr>
          <w:p>
            <w:r>
              <w:t>观察期间</w:t>
            </w:r>
          </w:p>
        </w:tc>
        <w:tc>
          <w:tcPr>
            <w:tcW w:type="dxa" w:w="4946"/>
          </w:tcPr>
          <w:p>
            <w:r>
              <w:t>从首次给予研究药物开始，至第24周末次给药后研究结束。不良事件从首次给药至第24周末次给药/研究结束期间收集；严重不良事件按法规要求报告。</w:t>
            </w:r>
          </w:p>
        </w:tc>
      </w:tr>
      <w:tr>
        <w:tc>
          <w:tcPr>
            <w:tcW w:type="dxa" w:w="4946"/>
          </w:tcPr>
          <w:p>
            <w:r>
              <w:t>汇总方法</w:t>
            </w:r>
          </w:p>
        </w:tc>
        <w:tc>
          <w:tcPr>
            <w:tcW w:type="dxa" w:w="4946"/>
          </w:tcPr>
          <w:p>
            <w:r>
              <w:t>安全性数据以描述性统计为主，不进行正式假设检验。不良事件按治疗组汇总发生例数、发生率、严重程度、与药物的相关性、导致停药的情况；按MedDRA系统器官分类和首选术语分层。连续变量报告例数、均值、标准差、中位数、最小值和最大值，以及较基线的变化；分类变量报告频数和百分比。注射部位反应按预先定义的类别汇总；严重不良事件单独列表。</w:t>
            </w:r>
          </w:p>
        </w:tc>
      </w:tr>
      <w:tr>
        <w:tc>
          <w:tcPr>
            <w:tcW w:type="dxa" w:w="4946"/>
          </w:tcPr>
          <w:p>
            <w:r>
              <w:t>数据定义</w:t>
            </w:r>
          </w:p>
        </w:tc>
        <w:tc>
          <w:tcPr>
            <w:tcW w:type="dxa" w:w="4946"/>
          </w:tcPr>
          <w:p>
            <w:r>
              <w:t>安全性数据来源：不良事件记录、严重不良事件记录、生命体征、体格检查、实验室检查、12导联心电图、注射部位评估、合并用药记录。不良事件和合并用药分别采用MedDRA和WHO Drug词典编码。安全性分析集包括所有至少接受一次研究药物（合成药X或安慰剂）给药的随机试验参与者，按实际接受的治疗分组。</w:t>
            </w:r>
          </w:p>
        </w:tc>
      </w:tr>
    </w:tbl>
    <w:p>
      <w:r>
        <w:t>安全性数据以描述性统计为主，不进行正式假设检验。不良事件按治疗组汇总发生例数、发生率、严重程度、与药物的相关性、导致停药的情况，并按MedDRA系统器官分类和首选术语分层。连续变量报告例数、均值、标准差、中位数、最小值和最大值，以及较基线的变化；分类变量报告频数和百分比。注射部位反应按预先定义的类别汇总；严重不良事件单独列表。</w:t>
      </w:r>
    </w:p>
    <w:p>
      <w:r>
        <w:t>安全性数据来源于不良事件记录、严重不良事件记录、生命体征、体格检查、实验室检查、12导联心电图、注射部位评估和合并用药记录。不良事件和合并用药分别采用MedDRA和WHO Drug词典编码。</w:t>
      </w:r>
    </w:p>
    <w:p>
      <w:bookmarkStart w:id="66597" w:name="chap_v2_n_11_4_6"/>
      <w:pPr>
        <w:pStyle w:val="3"/>
      </w:pPr>
      <w:r>
        <w:t>探索性终点的统计分析</w:t>
      </w:r>
      <w:bookmarkEnd w:id="66597"/>
    </w:p>
    <w:p>
      <w:r>
        <w:t>探索性终点的统计分析</w:t>
      </w:r>
    </w:p>
    <w:p>
      <w:r>
        <w:t>本研究未预设探索性终点，预设探索性终点列表为空；因此未预设探索性终点分析，探索性分析方法不适用。</w:t>
      </w:r>
    </w:p>
    <w:p>
      <w:r>
        <w:t>若开展任何事后探索性分析，将明确标注为探索性，仅采用描述性统计和图形展示，不控制多重性；探索性分析基于FAS或符合方案集（PPS），视具体终点而定。探索性分析结果不用于确证性结论，也不得将确证性PK、PD或暴露-效应分析改标为探索性分析。</w:t>
      </w:r>
    </w:p>
    <w:p>
      <w:r>
        <w:t>PK分析适用性：否；PD分析适用性：否；暴露-效应分析适用性：否。PK确证性用途：否；PD确证性用途：否；暴露-效应确证性用途：否。</w:t>
      </w:r>
    </w:p>
    <w:p>
      <w:bookmarkStart w:id="53903" w:name="tbl_57"/>
      <w:r>
        <w:t>表57 探索性终点的统计分析</w:t>
      </w:r>
      <w:bookmarkEnd w:id="53903"/>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探索性终点</w:t>
            </w:r>
          </w:p>
        </w:tc>
        <w:tc>
          <w:tcPr>
            <w:tcW w:type="dxa" w:w="3297"/>
          </w:tcPr>
          <w:p>
            <w:r>
              <w:rPr>
                <w:b/>
              </w:rPr>
              <w:t>未预设；预设探索性终点列表为空。</w:t>
            </w:r>
          </w:p>
        </w:tc>
        <w:tc>
          <w:tcPr>
            <w:tcW w:type="dxa" w:w="3297"/>
          </w:tcPr>
          <w:p>
            <w:r>
              <w:rPr>
                <w:b/>
              </w:rPr>
              <w:t>本研究未预设探索性终点。</w:t>
            </w:r>
          </w:p>
        </w:tc>
      </w:tr>
      <w:tr>
        <w:tc>
          <w:tcPr>
            <w:tcW w:type="dxa" w:w="3297"/>
          </w:tcPr>
          <w:p>
            <w:r>
              <w:t>探索性分析方法</w:t>
            </w:r>
          </w:p>
        </w:tc>
        <w:tc>
          <w:tcPr>
            <w:tcW w:type="dxa" w:w="3297"/>
          </w:tcPr>
          <w:p>
            <w:r>
              <w:t>不适用。</w:t>
            </w:r>
          </w:p>
        </w:tc>
        <w:tc>
          <w:tcPr>
            <w:tcW w:type="dxa" w:w="3297"/>
          </w:tcPr>
          <w:p>
            <w:r>
              <w:t>未预设探索性终点分析；若开展探索性分析，仅采用描述性统计和图形展示，不控制多重性。</w:t>
            </w:r>
          </w:p>
        </w:tc>
      </w:tr>
      <w:tr>
        <w:tc>
          <w:tcPr>
            <w:tcW w:type="dxa" w:w="3297"/>
          </w:tcPr>
          <w:p>
            <w:r>
              <w:t>探索性分析数据定义</w:t>
            </w:r>
          </w:p>
        </w:tc>
        <w:tc>
          <w:tcPr>
            <w:tcW w:type="dxa" w:w="3297"/>
          </w:tcPr>
          <w:p>
            <w:r>
              <w:t>基于FAS或符合方案集（PPS），视具体终点而定。</w:t>
            </w:r>
          </w:p>
        </w:tc>
        <w:tc>
          <w:tcPr>
            <w:tcW w:type="dxa" w:w="3297"/>
          </w:tcPr>
          <w:p>
            <w:r>
              <w:t>本研究未另行预设探索性终点分析；任何事后探索性分析将明确标注为探索性，不用于确证性结论。</w:t>
            </w:r>
          </w:p>
        </w:tc>
      </w:tr>
      <w:tr>
        <w:tc>
          <w:tcPr>
            <w:tcW w:type="dxa" w:w="3297"/>
          </w:tcPr>
          <w:p>
            <w:r>
              <w:t>PK分析</w:t>
            </w:r>
          </w:p>
        </w:tc>
        <w:tc>
          <w:tcPr>
            <w:tcW w:type="dxa" w:w="3297"/>
          </w:tcPr>
          <w:p>
            <w:r>
              <w:t>适用性：否；确证性用途：否。</w:t>
            </w:r>
          </w:p>
        </w:tc>
        <w:tc>
          <w:tcPr>
            <w:tcW w:type="dxa" w:w="3297"/>
          </w:tcPr>
          <w:p>
            <w:r>
              <w:t>PK分析不适用。</w:t>
            </w:r>
          </w:p>
        </w:tc>
      </w:tr>
      <w:tr>
        <w:tc>
          <w:tcPr>
            <w:tcW w:type="dxa" w:w="3297"/>
          </w:tcPr>
          <w:p>
            <w:r>
              <w:t>PD分析</w:t>
            </w:r>
          </w:p>
        </w:tc>
        <w:tc>
          <w:tcPr>
            <w:tcW w:type="dxa" w:w="3297"/>
          </w:tcPr>
          <w:p>
            <w:r>
              <w:t>适用性：否；确证性用途：否。</w:t>
            </w:r>
          </w:p>
        </w:tc>
        <w:tc>
          <w:tcPr>
            <w:tcW w:type="dxa" w:w="3297"/>
          </w:tcPr>
          <w:p>
            <w:r>
              <w:t>PD分析不适用。</w:t>
            </w:r>
          </w:p>
        </w:tc>
      </w:tr>
      <w:tr>
        <w:tc>
          <w:tcPr>
            <w:tcW w:type="dxa" w:w="3297"/>
          </w:tcPr>
          <w:p>
            <w:r>
              <w:t>暴露-效应分析</w:t>
            </w:r>
          </w:p>
        </w:tc>
        <w:tc>
          <w:tcPr>
            <w:tcW w:type="dxa" w:w="3297"/>
          </w:tcPr>
          <w:p>
            <w:r>
              <w:t>适用性：否；确证性用途：否。</w:t>
            </w:r>
          </w:p>
        </w:tc>
        <w:tc>
          <w:tcPr>
            <w:tcW w:type="dxa" w:w="3297"/>
          </w:tcPr>
          <w:p>
            <w:r>
              <w:t>暴露-效应分析不适用。</w:t>
            </w:r>
          </w:p>
        </w:tc>
      </w:tr>
    </w:tbl>
    <w:p>
      <w:bookmarkStart w:id="5535" w:name="chap_v2_n_11_4_7"/>
      <w:pPr>
        <w:pStyle w:val="3"/>
      </w:pPr>
      <w:r>
        <w:t>亚组分析</w:t>
      </w:r>
      <w:bookmarkEnd w:id="5535"/>
    </w:p>
    <w:p>
      <w:r>
        <w:t>本研究未预设亚组分析，也未预设亚组因素。因此，本节不设定亚组分析方法，不进行交互作用或异质性检验，也不形成预设的亚组解释。</w:t>
      </w:r>
    </w:p>
    <w:p>
      <w:bookmarkStart w:id="97747" w:name="tbl_58"/>
      <w:r>
        <w:t>表58 亚组分析</w:t>
      </w:r>
      <w:bookmarkEnd w:id="97747"/>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亚组分析要素</w:t>
            </w:r>
          </w:p>
        </w:tc>
        <w:tc>
          <w:tcPr>
            <w:tcW w:type="dxa" w:w="4946"/>
          </w:tcPr>
          <w:p>
            <w:r>
              <w:rPr>
                <w:b/>
              </w:rPr>
              <w:t>项目定义与说明</w:t>
            </w:r>
          </w:p>
        </w:tc>
      </w:tr>
      <w:tr>
        <w:tc>
          <w:tcPr>
            <w:tcW w:type="dxa" w:w="4946"/>
          </w:tcPr>
          <w:p>
            <w:r>
              <w:t>预设亚组因素</w:t>
            </w:r>
          </w:p>
        </w:tc>
        <w:tc>
          <w:tcPr>
            <w:tcW w:type="dxa" w:w="4946"/>
          </w:tcPr>
          <w:p>
            <w:r>
              <w:t>未预设亚组因素。本研究未计划亚组分析；预设因素列表为空。</w:t>
            </w:r>
          </w:p>
        </w:tc>
      </w:tr>
      <w:tr>
        <w:tc>
          <w:tcPr>
            <w:tcW w:type="dxa" w:w="4946"/>
          </w:tcPr>
          <w:p>
            <w:r>
              <w:t>分析方法</w:t>
            </w:r>
          </w:p>
        </w:tc>
        <w:tc>
          <w:tcPr>
            <w:tcW w:type="dxa" w:w="4946"/>
          </w:tcPr>
          <w:p>
            <w:r>
              <w:t>未预设亚组分析方法；因本研究未预设亚组分析，方法不适用。</w:t>
            </w:r>
          </w:p>
        </w:tc>
      </w:tr>
      <w:tr>
        <w:tc>
          <w:tcPr>
            <w:tcW w:type="dxa" w:w="4946"/>
          </w:tcPr>
          <w:p>
            <w:r>
              <w:t>交互/异质性</w:t>
            </w:r>
          </w:p>
        </w:tc>
        <w:tc>
          <w:tcPr>
            <w:tcW w:type="dxa" w:w="4946"/>
          </w:tcPr>
          <w:p>
            <w:r>
              <w:t>无预设亚组分析，故不进行交互作用或异质性检验。</w:t>
            </w:r>
          </w:p>
        </w:tc>
      </w:tr>
      <w:tr>
        <w:tc>
          <w:tcPr>
            <w:tcW w:type="dxa" w:w="4946"/>
          </w:tcPr>
          <w:p>
            <w:r>
              <w:t>数据定义</w:t>
            </w:r>
          </w:p>
        </w:tc>
        <w:tc>
          <w:tcPr>
            <w:tcW w:type="dxa" w:w="4946"/>
          </w:tcPr>
          <w:p>
            <w:r>
              <w:t>如进行亚组分析，将基于 FAS；本研究未预设亚组分析，故无预设亚组时点、分组变量及样本量门槛。</w:t>
            </w:r>
          </w:p>
        </w:tc>
      </w:tr>
      <w:tr>
        <w:tc>
          <w:tcPr>
            <w:tcW w:type="dxa" w:w="4946"/>
          </w:tcPr>
          <w:p>
            <w:r>
              <w:t>解释范围</w:t>
            </w:r>
          </w:p>
        </w:tc>
        <w:tc>
          <w:tcPr>
            <w:tcW w:type="dxa" w:w="4946"/>
          </w:tcPr>
          <w:p>
            <w:r>
              <w:t>不进行亚组分析，因此无预设亚组解释；任何事后亚组分析仅作探索性展示。</w:t>
            </w:r>
          </w:p>
        </w:tc>
      </w:tr>
    </w:tbl>
    <w:p>
      <w:r>
        <w:t>关于数据定义，如进行亚组分析，将基于 FAS；但本研究未预设亚组分析，上述 FAS 表述不构成预设亚组分析计划。任何事后亚组分析仅作探索性展示。</w:t>
      </w:r>
    </w:p>
    <w:p>
      <w:bookmarkStart w:id="57273" w:name="chap_v2_n_11_4_8"/>
      <w:pPr>
        <w:pStyle w:val="3"/>
      </w:pPr>
      <w:r>
        <w:t>多重性问题考量</w:t>
      </w:r>
      <w:bookmarkEnd w:id="57273"/>
    </w:p>
    <w:p>
      <w:r>
        <w:t>多重性问题考量：本项目确证性检验家族为主要终点（第24周临床缓解率）与关键次要终点（第24周SNOT-22较基线变化），采用固定序列（hierarchical/gatekeeping）检验控制总I类错误率在双侧0.05。无需调整适用性状态记录为是（no_adjustment_applicable=true），且该状态绑定于上述确证性家族的实际适用性处置，不作为默认句使用。</w:t>
      </w:r>
    </w:p>
    <w:p>
      <w:r>
        <w:t>家族、顺序、α分配和依赖关系必须一起绑定：先检验主要终点，主要终点达到统计学显著性后方可正式检验关键次要终点SNOT-22；若主要终点未达到，则SNOT-22不作确证性检验。Lund-Kennedy内镜评分和安全性分析等不纳入多重性调整。</w:t>
      </w:r>
    </w:p>
    <w:p>
      <w:bookmarkStart w:id="47352" w:name="tbl_59"/>
      <w:r>
        <w:t>表59 多重性问题考量</w:t>
      </w:r>
      <w:bookmarkEnd w:id="47352"/>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确证性检验家族</w:t>
            </w:r>
          </w:p>
        </w:tc>
        <w:tc>
          <w:tcPr>
            <w:tcW w:type="dxa" w:w="4946"/>
          </w:tcPr>
          <w:p>
            <w:r>
              <w:rPr>
                <w:b/>
              </w:rPr>
              <w:t>主要终点和第24周SNOT-22关键次要终点构成确证性检验家族；家族α为双侧0.05。</w:t>
            </w:r>
          </w:p>
        </w:tc>
      </w:tr>
      <w:tr>
        <w:tc>
          <w:tcPr>
            <w:tcW w:type="dxa" w:w="4946"/>
          </w:tcPr>
          <w:p>
            <w:r>
              <w:t>多重性程序</w:t>
            </w:r>
          </w:p>
        </w:tc>
        <w:tc>
          <w:tcPr>
            <w:tcW w:type="dxa" w:w="4946"/>
          </w:tcPr>
          <w:p>
            <w:r>
              <w:t>固定序列（hierarchical/gatekeeping）检验；双侧α=0.05；主要终点P&lt;0.05则继续检验SNOT-22；SNOT-22 P&lt;0.05则声明该关键次要终点具有统计学意义；否则停止确证性检验；无期中分析，不涉及α消耗。</w:t>
            </w:r>
          </w:p>
        </w:tc>
      </w:tr>
      <w:tr>
        <w:tc>
          <w:tcPr>
            <w:tcW w:type="dxa" w:w="4946"/>
          </w:tcPr>
          <w:p>
            <w:r>
              <w:t>检验顺序</w:t>
            </w:r>
          </w:p>
        </w:tc>
        <w:tc>
          <w:tcPr>
            <w:tcW w:type="dxa" w:w="4946"/>
          </w:tcPr>
          <w:p>
            <w:r>
              <w:t>固定序列：先检验主要终点（第24周临床缓解率），成功后检验关键次要终点（第24周SNOT-22较基线变化）。</w:t>
            </w:r>
          </w:p>
        </w:tc>
      </w:tr>
      <w:tr>
        <w:tc>
          <w:tcPr>
            <w:tcW w:type="dxa" w:w="4946"/>
          </w:tcPr>
          <w:p>
            <w:r>
              <w:t>α分配</w:t>
            </w:r>
          </w:p>
        </w:tc>
        <w:tc>
          <w:tcPr>
            <w:tcW w:type="dxa" w:w="4946"/>
          </w:tcPr>
          <w:p>
            <w:r>
              <w:t>总体双侧α=0.05用于主要终点（第24周临床缓解率）的优效性检验；若主要终点检验成功，则将同一双侧α=0.05用于关键次要终点（第24周SNOT-22较基线变化）的固定序列检验；Lund-Kennedy内镜评分及其他次要/探索性分析不分配确证性α，仅描述性分析。</w:t>
            </w:r>
          </w:p>
        </w:tc>
      </w:tr>
      <w:tr>
        <w:tc>
          <w:tcPr>
            <w:tcW w:type="dxa" w:w="4946"/>
          </w:tcPr>
          <w:p>
            <w:r>
              <w:t>依赖关系</w:t>
            </w:r>
          </w:p>
        </w:tc>
        <w:tc>
          <w:tcPr>
            <w:tcW w:type="dxa" w:w="4946"/>
          </w:tcPr>
          <w:p>
            <w:r>
              <w:t>关键次要终点SNOT-22的正式检验仅当主要终点达到统计学显著性后方可进行；若主要终点未达到，则SNOT-22不作确证性检验。不进行α回收或重新分配。</w:t>
            </w:r>
          </w:p>
        </w:tc>
      </w:tr>
      <w:tr>
        <w:tc>
          <w:tcPr>
            <w:tcW w:type="dxa" w:w="4946"/>
          </w:tcPr>
          <w:p>
            <w:r>
              <w:t>适用性处置</w:t>
            </w:r>
          </w:p>
        </w:tc>
        <w:tc>
          <w:tcPr>
            <w:tcW w:type="dxa" w:w="4946"/>
          </w:tcPr>
          <w:p>
            <w:r>
              <w:t>主要终点和第24周SNOT-22关键次要终点构成确证性检验家族；采用固定序列检验控制总I类错误率在双侧0.05；Lund-Kennedy内镜评分和安全性分析等不纳入多重性调整。无需调整适用性状态：是（no_adjustment_applicable=true）。</w:t>
            </w:r>
          </w:p>
        </w:tc>
      </w:tr>
    </w:tbl>
    <w:p>
      <w:bookmarkStart w:id="82660" w:name="chap_v2_n_11_4_9"/>
      <w:pPr>
        <w:pStyle w:val="3"/>
      </w:pPr>
      <w:r>
        <w:t>期中分析</w:t>
      </w:r>
      <w:bookmarkEnd w:id="82660"/>
    </w:p>
    <w:p>
      <w:r>
        <w:t>依据已确认研究事实，本研究不适用期中分析。因此，方案未计划设置期中分析时点、期中信息量评估、与期中分析相关的 alpha 消耗调整或基于期中结果的提前终止安排。</w:t>
      </w:r>
    </w:p>
    <w:p>
      <w:bookmarkStart w:id="43411" w:name="chap_v2_n_12_1"/>
      <w:pPr>
        <w:pStyle w:val="2"/>
      </w:pPr>
      <w:r>
        <w:t>数据收集和管理职责</w:t>
      </w:r>
      <w:bookmarkEnd w:id="43411"/>
    </w:p>
    <w:p>
      <w:r>
        <w:t>本章节依据已确认研究事实描述本项目数据收集和管理职责。下列角色、源数据识别、质疑与更正控制及相关责任边界仅使用已确认事实；未在已确认事实中出现的伦理审查、隐私保护、数据未来使用和补偿安排，列入待补/建议解决事项。</w:t>
      </w:r>
    </w:p>
    <w:p>
      <w:bookmarkStart w:id="31174" w:name="tbl_60"/>
      <w:r>
        <w:t>表60 数据收集和管理职责</w:t>
      </w:r>
      <w:bookmarkEnd w:id="31174"/>
    </w:p>
    <w:tbl>
      <w:tblPr>
        <w:tblStyle w:val="28"/>
        <w:tblW w:type="auto" w:w="0"/>
        <w:tblLook w:firstColumn="1" w:firstRow="1" w:lastColumn="0" w:lastRow="0" w:noHBand="0" w:noVBand="1" w:val="04A0"/>
      </w:tblPr>
      <w:tblGrid>
        <w:gridCol w:w="2473"/>
        <w:gridCol w:w="2473"/>
        <w:gridCol w:w="2473"/>
        <w:gridCol w:w="2473"/>
      </w:tblGrid>
      <w:tr>
        <w:tc>
          <w:tcPr>
            <w:tcW w:type="dxa" w:w="2473"/>
          </w:tcPr>
          <w:p>
            <w:r>
              <w:t>源数据采集、录入与核查</w:t>
            </w:r>
          </w:p>
        </w:tc>
        <w:tc>
          <w:tcPr>
            <w:tcW w:type="dxa" w:w="2473"/>
          </w:tcPr>
          <w:p>
            <w:r>
              <w:t>研究者或授权人员；监查员</w:t>
            </w:r>
          </w:p>
        </w:tc>
        <w:tc>
          <w:tcPr>
            <w:tcW w:type="dxa" w:w="2473"/>
          </w:tcPr>
          <w:p>
            <w:r>
              <w:t>源数据识别计划/源数据映射；门诊/住院病历、实验室报告、心电图报告、内镜报告、VAS评分表、药物发放记录；若变量直接录入eCRF且无独立源文件，需在源数据识别计划中注明并符合ALCOA+原则。</w:t>
            </w:r>
          </w:p>
        </w:tc>
        <w:tc>
          <w:tcPr>
            <w:tcW w:type="dxa" w:w="2473"/>
          </w:tcPr>
          <w:p>
            <w:r>
              <w:t>研究者负责源数据采集、eCRF录入、质疑答复和数据的医学准确性；监查员负责源数据核查和方案依从性监查。</w:t>
            </w:r>
          </w:p>
        </w:tc>
      </w:tr>
      <w:tr>
        <w:tc>
          <w:tcPr>
            <w:tcW w:type="dxa" w:w="2473"/>
          </w:tcPr>
          <w:p>
            <w:r>
              <w:t>数据管理</w:t>
            </w:r>
          </w:p>
        </w:tc>
        <w:tc>
          <w:tcPr>
            <w:tcW w:type="dxa" w:w="2473"/>
          </w:tcPr>
          <w:p>
            <w:r>
              <w:t>数据管理员</w:t>
            </w:r>
          </w:p>
        </w:tc>
        <w:tc>
          <w:tcPr>
            <w:tcW w:type="dxa" w:w="2473"/>
          </w:tcPr>
          <w:p>
            <w:r>
              <w:t>源数据识别计划/源数据映射、eCRF、数据管理记录</w:t>
            </w:r>
          </w:p>
        </w:tc>
        <w:tc>
          <w:tcPr>
            <w:tcW w:type="dxa" w:w="2473"/>
          </w:tcPr>
          <w:p>
            <w:r>
              <w:t>数据管理员负责数据清理、质疑管理和数据库锁定准备；申办者负责整体数据管理、数据库建立、数据质量控制及统计分析。</w:t>
            </w:r>
          </w:p>
        </w:tc>
      </w:tr>
      <w:tr>
        <w:tc>
          <w:tcPr>
            <w:tcW w:type="dxa" w:w="2473"/>
          </w:tcPr>
          <w:p>
            <w:r>
              <w:t>数据库锁定</w:t>
            </w:r>
          </w:p>
        </w:tc>
        <w:tc>
          <w:tcPr>
            <w:tcW w:type="dxa" w:w="2473"/>
          </w:tcPr>
          <w:p>
            <w:r>
              <w:t>数据管理员发起，申办者批准</w:t>
            </w:r>
          </w:p>
        </w:tc>
        <w:tc>
          <w:tcPr>
            <w:tcW w:type="dxa" w:w="2473"/>
          </w:tcPr>
          <w:p>
            <w:r>
              <w:t>已确认的数据库锁定发起/批准角色安排</w:t>
            </w:r>
          </w:p>
        </w:tc>
        <w:tc>
          <w:tcPr>
            <w:tcW w:type="dxa" w:w="2473"/>
          </w:tcPr>
          <w:p>
            <w:r>
              <w:t>数据库锁定由数据管理员发起、申办者批准；其他控制记录待项目事实补充。</w:t>
            </w:r>
          </w:p>
        </w:tc>
      </w:tr>
      <w:tr>
        <w:tc>
          <w:tcPr>
            <w:tcW w:type="dxa" w:w="2473"/>
          </w:tcPr>
          <w:p>
            <w:r>
              <w:t>医学审核</w:t>
            </w:r>
          </w:p>
        </w:tc>
        <w:tc>
          <w:tcPr>
            <w:tcW w:type="dxa" w:w="2473"/>
          </w:tcPr>
          <w:p>
            <w:r>
              <w:t>医学监查员/研究者</w:t>
            </w:r>
          </w:p>
        </w:tc>
        <w:tc>
          <w:tcPr>
            <w:tcW w:type="dxa" w:w="2473"/>
          </w:tcPr>
          <w:p>
            <w:r>
              <w:t>源数据、eCRF；医学审核具体记录待补</w:t>
            </w:r>
          </w:p>
        </w:tc>
        <w:tc>
          <w:tcPr>
            <w:tcW w:type="dxa" w:w="2473"/>
          </w:tcPr>
          <w:p>
            <w:r>
              <w:t>医学审理由医学监查员/研究者承担；具体医学审核流程和记录由项目事实补充。</w:t>
            </w:r>
          </w:p>
        </w:tc>
      </w:tr>
      <w:tr>
        <w:tc>
          <w:tcPr>
            <w:tcW w:type="dxa" w:w="2473"/>
          </w:tcPr>
          <w:p>
            <w:r>
              <w:t>统计分析</w:t>
            </w:r>
          </w:p>
        </w:tc>
        <w:tc>
          <w:tcPr>
            <w:tcW w:type="dxa" w:w="2473"/>
          </w:tcPr>
          <w:p>
            <w:r>
              <w:t>统计师</w:t>
            </w:r>
          </w:p>
        </w:tc>
        <w:tc>
          <w:tcPr>
            <w:tcW w:type="dxa" w:w="2473"/>
          </w:tcPr>
          <w:p>
            <w:r>
              <w:t>统计分析计划；分析数据集和统计记录待补</w:t>
            </w:r>
          </w:p>
        </w:tc>
        <w:tc>
          <w:tcPr>
            <w:tcW w:type="dxa" w:w="2473"/>
          </w:tcPr>
          <w:p>
            <w:r>
              <w:t>统计师负责统计分析计划制定和统计分析。</w:t>
            </w:r>
          </w:p>
        </w:tc>
      </w:tr>
      <w:tr>
        <w:tc>
          <w:tcPr>
            <w:tcW w:type="dxa" w:w="2473"/>
          </w:tcPr>
          <w:p>
            <w:r>
              <w:t>数据更正与审核</w:t>
            </w:r>
          </w:p>
        </w:tc>
        <w:tc>
          <w:tcPr>
            <w:tcW w:type="dxa" w:w="2473"/>
          </w:tcPr>
          <w:p>
            <w:r>
              <w:t>研究者或授权人员；数据管理员；监查员</w:t>
            </w:r>
          </w:p>
        </w:tc>
        <w:tc>
          <w:tcPr>
            <w:tcW w:type="dxa" w:w="2473"/>
          </w:tcPr>
          <w:p>
            <w:r>
              <w:t>源文件、eCRF、稽查轨迹</w:t>
            </w:r>
          </w:p>
        </w:tc>
        <w:tc>
          <w:tcPr>
            <w:tcW w:type="dxa" w:w="2473"/>
          </w:tcPr>
          <w:p>
            <w:r>
              <w:t>研究者或授权人员负责在源文件和eCRF中更正数据，并记录更正原因和日期；数据管理员负责审核数据更正和质疑答复；监查员负责源数据核查；所有数据更正和审核活动保留稽查轨迹。</w:t>
            </w:r>
          </w:p>
        </w:tc>
      </w:tr>
      <w:tr>
        <w:tc>
          <w:tcPr>
            <w:tcW w:type="dxa" w:w="2473"/>
          </w:tcPr>
          <w:p>
            <w:r>
              <w:t>质疑管理</w:t>
            </w:r>
          </w:p>
        </w:tc>
        <w:tc>
          <w:tcPr>
            <w:tcW w:type="dxa" w:w="2473"/>
          </w:tcPr>
          <w:p>
            <w:r>
              <w:t>数据管理员；研究者或其授权的临床人员；数据管理员和监查员；研究者、申办者医学监查员</w:t>
            </w:r>
          </w:p>
        </w:tc>
        <w:tc>
          <w:tcPr>
            <w:tcW w:type="dxa" w:w="2473"/>
          </w:tcPr>
          <w:p>
            <w:r>
              <w:t>质疑发放、解决、审核和升级角色安排；具体记录待补</w:t>
            </w:r>
          </w:p>
        </w:tc>
        <w:tc>
          <w:tcPr>
            <w:tcW w:type="dxa" w:w="2473"/>
          </w:tcPr>
          <w:p>
            <w:r>
              <w:t>数据管理员负责发放质疑；研究者或其授权的临床人员负责解决质疑；数据管理员和监查员负责审核；研究者、申办者医学监查员负责升级。</w:t>
            </w:r>
          </w:p>
        </w:tc>
      </w:tr>
      <w:tr>
        <w:tc>
          <w:tcPr>
            <w:tcW w:type="dxa" w:w="2473"/>
          </w:tcPr>
          <w:p>
            <w:r>
              <w:t>源数据识别计划/源数据映射</w:t>
            </w:r>
          </w:p>
        </w:tc>
        <w:tc>
          <w:tcPr>
            <w:tcW w:type="dxa" w:w="2473"/>
          </w:tcPr>
          <w:p>
            <w:r>
              <w:t>待补：已确认事实未指定建立和维护责任人</w:t>
            </w:r>
          </w:p>
        </w:tc>
        <w:tc>
          <w:tcPr>
            <w:tcW w:type="dxa" w:w="2473"/>
          </w:tcPr>
          <w:p>
            <w:r>
              <w:t>源数据识别计划/源数据映射</w:t>
            </w:r>
          </w:p>
        </w:tc>
        <w:tc>
          <w:tcPr>
            <w:tcW w:type="dxa" w:w="2473"/>
          </w:tcPr>
          <w:p>
            <w:r>
              <w:t>在研究启动前建立源数据识别计划/源数据映射，明确每个eCRF变量对应的源文件、采集方式和责任人；若变量直接录入eCRF且无独立源文件，需在源数据识别计划中注明并符合ALCOA+原则。</w:t>
            </w:r>
          </w:p>
        </w:tc>
      </w:tr>
    </w:tbl>
    <w:p>
      <w:pPr/>
      <w:r>
        <w:t xml:space="preserve"> 源数据识别计划/源数据映射应在研究启动前建立，明确每个eCRF变量对应的源文件、采集方式和责任人；若变量直接录入eCRF且无独立源文件，需在源数据识别计划中注明并符合ALCOA+原则。</w:t>
      </w:r>
    </w:p>
    <w:p>
      <w:r>
        <w:t>责任主体：研究者负责源数据采集、eCRF录入、质疑答复和数据的医学准确性；监查员负责源数据核查和方案依从性监查；数据管理员负责数据清理、质疑管理和数据库锁定准备；申办者负责整体数据管理、数据库建立、数据质量控制及统计分析；统计师负责统计分析计划制定和统计分析。</w:t>
      </w:r>
    </w:p>
    <w:p>
      <w:r>
        <w:t>角色安排：数据管理由数据管理员负责；数据库锁定由数据管理员发起、申办者批准；医学审理由医学监查员/研究者承担；源数据录入由研究者或授权人员承担；源数据核查由监查员承担；统计分析由统计师承担。</w:t>
      </w:r>
    </w:p>
    <w:p>
      <w:r>
        <w:t>源数据识别计划：在研究启动前建立源数据识别计划/源数据映射，明确每个eCRF变量对应的源文件、采集方式和责任人。若变量直接录入eCRF且无独立源文件，需在源数据识别计划中注明并符合ALCOA+原则。源文件包括门诊/住院病历、实验室报告、心电图报告、内镜报告、VAS评分表、药物发放记录。</w:t>
      </w:r>
    </w:p>
    <w:p>
      <w:r>
        <w:t>质疑与更正控制：数据管理员负责发放质疑；研究者或其授权的临床人员负责解决质疑；数据管理员和监查员负责审核；研究者、申办者医学监查员负责升级。研究者或授权人员负责在源文件和eCRF中更正数据，并记录更正原因和日期；数据管理员负责审核数据更正和质疑答复；监查员负责源数据核查；所有数据更正和审核活动保留稽查轨迹。</w:t>
      </w:r>
    </w:p>
    <w:p>
      <w:r>
        <w:t>待补/建议解决：伦理审查、隐私保护、数据未来使用和补偿安排的边界需由项目事实补充，包括适用责任方、记录、协议和审批/知情安排；不得以“不适用”替代强制内容。</w:t>
      </w:r>
    </w:p>
    <w:p>
      <w:bookmarkStart w:id="34450" w:name="chap_v2_n_12_2"/>
      <w:pPr>
        <w:pStyle w:val="2"/>
      </w:pPr>
      <w:r>
        <w:t>数据采集与方式</w:t>
      </w:r>
      <w:bookmarkEnd w:id="34450"/>
    </w:p>
    <w:p>
      <w:r>
        <w:t>数据采集与方式</w:t>
      </w:r>
    </w:p>
    <w:p>
      <w:r>
        <w:t>本试验采用电子数据采集（EDC/eCRF）系统进行数据采集。数据由研究者或授权人员录入；必要时使用纸质源文件。不良事件和合并用药采用标准词典编码。</w:t>
      </w:r>
    </w:p>
    <w:p>
      <w:r>
        <w:t>数据来源通过源数据识别计划/源数据映射表定义每个变量的来源，类别包括直接录入eCRF、从源文件转录、由外部供应商传输（如中心实验室）。所有源数据需可溯源、清晰、同步、原始、准确、完整、一致、持久、可获取（ALCOA+）。</w:t>
      </w:r>
    </w:p>
    <w:p>
      <w:r>
        <w:t>直接以eCRF作为源数据的情形，如试验参与者自评量表或研究者直接录入的评估，需在源数据识别计划中预先规定，并确保符合ALCOA+原则。</w:t>
      </w:r>
    </w:p>
    <w:p>
      <w:r>
        <w:t>从源文件转录至eCRF的数据，如实验室检查、心电图等，转录数据需经源数据核查，确保与源文件一致；更正保留稽查轨迹。</w:t>
      </w:r>
    </w:p>
    <w:p>
      <w:r>
        <w:t>监查员按监查计划进行源数据核查，比较源文件与eCRF；发现差异时发起质疑并跟踪至解决。源数据核查活动记录在监查报告中。</w:t>
      </w:r>
    </w:p>
    <w:p>
      <w:bookmarkStart w:id="40057" w:name="tbl_61"/>
      <w:r>
        <w:t>表61 数据采集与方式</w:t>
      </w:r>
      <w:bookmarkEnd w:id="40057"/>
    </w:p>
    <w:tbl>
      <w:tblPr>
        <w:tblStyle w:val="28"/>
        <w:tblW w:type="auto" w:w="0"/>
        <w:tblLook w:firstColumn="1" w:firstRow="1" w:lastColumn="0" w:lastRow="0" w:noHBand="0" w:noVBand="1" w:val="04A0"/>
      </w:tblPr>
      <w:tblGrid>
        <w:gridCol w:w="2473"/>
        <w:gridCol w:w="2473"/>
        <w:gridCol w:w="2473"/>
        <w:gridCol w:w="2473"/>
      </w:tblGrid>
      <w:tr>
        <w:trPr>
          <w:tblHeader w:val="true"/>
        </w:trPr>
        <w:tc>
          <w:tcPr>
            <w:tcW w:type="dxa" w:w="2473"/>
          </w:tcPr>
          <w:p>
            <w:r>
              <w:rPr>
                <w:b/>
              </w:rPr>
              <w:t>直接录入eCRF</w:t>
            </w:r>
          </w:p>
        </w:tc>
        <w:tc>
          <w:tcPr>
            <w:tcW w:type="dxa" w:w="2473"/>
          </w:tcPr>
          <w:p>
            <w:r>
              <w:rPr>
                <w:b/>
              </w:rPr>
              <w:t>直接以eCRF作为源数据的情形，如试验参与者自评量表或研究者直接录入的评估。</w:t>
            </w:r>
          </w:p>
        </w:tc>
        <w:tc>
          <w:tcPr>
            <w:tcW w:type="dxa" w:w="2473"/>
          </w:tcPr>
          <w:p>
            <w:r>
              <w:rPr>
                <w:b/>
              </w:rPr>
              <w:t>由研究者或授权人员直接录入eCRF；采用电子数据采集（EDC/eCRF）系统。</w:t>
            </w:r>
          </w:p>
        </w:tc>
        <w:tc>
          <w:tcPr>
            <w:tcW w:type="dxa" w:w="2473"/>
          </w:tcPr>
          <w:p>
            <w:r>
              <w:rPr>
                <w:b/>
              </w:rPr>
              <w:t>需在源数据识别计划中预先规定，并确保符合ALCOA+原则。</w:t>
            </w:r>
          </w:p>
        </w:tc>
      </w:tr>
      <w:tr>
        <w:tc>
          <w:tcPr>
            <w:tcW w:type="dxa" w:w="2473"/>
          </w:tcPr>
          <w:p>
            <w:r>
              <w:t>从源文件转录</w:t>
            </w:r>
          </w:p>
        </w:tc>
        <w:tc>
          <w:tcPr>
            <w:tcW w:type="dxa" w:w="2473"/>
          </w:tcPr>
          <w:p>
            <w:r>
              <w:t>从源文件转录至eCRF的数据，如实验室检查、心电图等。</w:t>
            </w:r>
          </w:p>
        </w:tc>
        <w:tc>
          <w:tcPr>
            <w:tcW w:type="dxa" w:w="2473"/>
          </w:tcPr>
          <w:p>
            <w:r>
              <w:t>由研究者或授权人员录入；转录数据需经源数据核查，确保与源文件一致；更正保留稽查轨迹。</w:t>
            </w:r>
          </w:p>
        </w:tc>
        <w:tc>
          <w:tcPr>
            <w:tcW w:type="dxa" w:w="2473"/>
          </w:tcPr>
          <w:p>
            <w:r>
              <w:t>监查员按监查计划比较源文件与eCRF；发现差异时发起质疑并跟踪至解决；源数据核查活动记录在监查报告中。</w:t>
            </w:r>
          </w:p>
        </w:tc>
      </w:tr>
      <w:tr>
        <w:tc>
          <w:tcPr>
            <w:tcW w:type="dxa" w:w="2473"/>
          </w:tcPr>
          <w:p>
            <w:r>
              <w:t>由外部供应商传输（如中心实验室）</w:t>
            </w:r>
          </w:p>
        </w:tc>
        <w:tc>
          <w:tcPr>
            <w:tcW w:type="dxa" w:w="2473"/>
          </w:tcPr>
          <w:p>
            <w:r>
              <w:t>外部供应商传输的数据来源，具体变量来源由源数据识别计划/源数据映射表定义。</w:t>
            </w:r>
          </w:p>
        </w:tc>
        <w:tc>
          <w:tcPr>
            <w:tcW w:type="dxa" w:w="2473"/>
          </w:tcPr>
          <w:p>
            <w:r>
              <w:t>按源数据识别计划/源数据映射表接收；所有源数据需符合ALCOA+原则。</w:t>
            </w:r>
          </w:p>
        </w:tc>
        <w:tc>
          <w:tcPr>
            <w:tcW w:type="dxa" w:w="2473"/>
          </w:tcPr>
          <w:p>
            <w:r>
              <w:t>源数据核查按监查计划执行；具体传输与核查安排由源数据识别计划/源数据映射表定义。</w:t>
            </w:r>
          </w:p>
        </w:tc>
      </w:tr>
    </w:tbl>
    <w:p>
      <w:pPr/>
      <w:r>
        <w:t xml:space="preserve"> 源数据识别通过源数据识别计划/源数据映射表定义每个变量的来源；所有源数据需可溯源、清晰、同步、原始、准确、完整、一致、持久、可获取（ALCOA+）。</w:t>
      </w:r>
    </w:p>
    <w:p>
      <w:r>
        <w:t>本章节仅覆盖本试验数据采集与方式及其源数据识别、录入和核查安排；伦理审查、隐私保护、未来使用和补偿安排如涉及本试验，应由相应章节或项目事实源单独确认，本章节不作否定性结论。</w:t>
      </w:r>
    </w:p>
    <w:p>
      <w:bookmarkStart w:id="16449" w:name="chap_v2_n_12_3"/>
      <w:pPr>
        <w:pStyle w:val="2"/>
      </w:pPr>
      <w:r>
        <w:t>数据清理与质疑解决</w:t>
      </w:r>
      <w:bookmarkEnd w:id="16449"/>
    </w:p>
    <w:p>
      <w:r>
        <w:t>数据清理与质疑解决涵盖质疑发出、答复、更正、关闭、升级以及数据清理审查的责任和控制安排。以下安排仅依据已确认项目事实描述；未提供项目事实的内容进入待补/建议解决，不以不适用替代。</w:t>
      </w:r>
    </w:p>
    <w:p>
      <w:r>
        <w:t>质疑由数据管理员或授权人员通过EDC系统或质疑管理工具发放。触发条件包括缺失数据、逻辑不一致、超出范围值、违反方案的数据，以及源数据与eCRF不一致。</w:t>
      </w:r>
    </w:p>
    <w:p>
      <w:r>
        <w:t>质疑由研究者或授权人员解决。解决方式包括答复质疑、更正eCRF或提供解释；数据管理员审核后关闭质疑。所有质疑、答复、更正和关闭均保留稽查轨迹。</w:t>
      </w:r>
    </w:p>
    <w:p>
      <w:bookmarkStart w:id="20039" w:name="tbl_62"/>
      <w:r>
        <w:t>表62 数据清理与质疑解决</w:t>
      </w:r>
      <w:bookmarkEnd w:id="20039"/>
    </w:p>
    <w:tbl>
      <w:tblPr>
        <w:tblStyle w:val="28"/>
        <w:tblW w:type="auto" w:w="0"/>
        <w:tblLook w:firstColumn="1" w:firstRow="1" w:lastColumn="0" w:lastRow="0" w:noHBand="0" w:noVBand="1" w:val="04A0"/>
      </w:tblPr>
      <w:tblGrid>
        <w:gridCol w:w="2473"/>
        <w:gridCol w:w="2473"/>
        <w:gridCol w:w="2473"/>
        <w:gridCol w:w="2473"/>
      </w:tblGrid>
      <w:tr>
        <w:tc>
          <w:tcPr>
            <w:tcW w:type="dxa" w:w="2473"/>
          </w:tcPr>
          <w:p>
            <w:r>
              <w:t>质疑发出</w:t>
            </w:r>
          </w:p>
        </w:tc>
        <w:tc>
          <w:tcPr>
            <w:tcW w:type="dxa" w:w="2473"/>
          </w:tcPr>
          <w:p>
            <w:r>
              <w:t>数据管理员或授权人员</w:t>
            </w:r>
          </w:p>
        </w:tc>
        <w:tc>
          <w:tcPr>
            <w:tcW w:type="dxa" w:w="2473"/>
          </w:tcPr>
          <w:p>
            <w:r>
              <w:t>通过EDC系统或质疑管理工具发放质疑。</w:t>
            </w:r>
          </w:p>
        </w:tc>
        <w:tc>
          <w:tcPr>
            <w:tcW w:type="dxa" w:w="2473"/>
          </w:tcPr>
          <w:p>
            <w:r>
              <w:t>触发条件包括缺失数据、逻辑不一致、超出范围值、违反方案的数据、源数据与eCRF不一致。</w:t>
            </w:r>
          </w:p>
        </w:tc>
      </w:tr>
      <w:tr>
        <w:tc>
          <w:tcPr>
            <w:tcW w:type="dxa" w:w="2473"/>
          </w:tcPr>
          <w:p>
            <w:r>
              <w:t>质疑解决</w:t>
            </w:r>
          </w:p>
        </w:tc>
        <w:tc>
          <w:tcPr>
            <w:tcW w:type="dxa" w:w="2473"/>
          </w:tcPr>
          <w:p>
            <w:r>
              <w:t>研究者或授权人员</w:t>
            </w:r>
          </w:p>
        </w:tc>
        <w:tc>
          <w:tcPr>
            <w:tcW w:type="dxa" w:w="2473"/>
          </w:tcPr>
          <w:p>
            <w:r>
              <w:t>所有质疑、答复、更正和关闭均保留稽查轨迹。</w:t>
            </w:r>
          </w:p>
        </w:tc>
        <w:tc>
          <w:tcPr>
            <w:tcW w:type="dxa" w:w="2473"/>
          </w:tcPr>
          <w:p>
            <w:r>
              <w:t>答复质疑、更正eCRF或提供解释；数据管理员审核后关闭质疑。</w:t>
            </w:r>
          </w:p>
        </w:tc>
      </w:tr>
      <w:tr>
        <w:tc>
          <w:tcPr>
            <w:tcW w:type="dxa" w:w="2473"/>
          </w:tcPr>
          <w:p>
            <w:r>
              <w:t>数据清理与审查</w:t>
            </w:r>
          </w:p>
        </w:tc>
        <w:tc>
          <w:tcPr>
            <w:tcW w:type="dxa" w:w="2473"/>
          </w:tcPr>
          <w:p>
            <w:r>
              <w:t>数据管理员</w:t>
            </w:r>
          </w:p>
        </w:tc>
        <w:tc>
          <w:tcPr>
            <w:tcW w:type="dxa" w:w="2473"/>
          </w:tcPr>
          <w:p>
            <w:r>
              <w:t>数据清理活动记录包括数据清理计划、质疑日志、数据更正记录、数据库锁定检查表和稽查轨迹。</w:t>
            </w:r>
          </w:p>
        </w:tc>
        <w:tc>
          <w:tcPr>
            <w:tcW w:type="dxa" w:w="2473"/>
          </w:tcPr>
          <w:p>
            <w:r>
              <w:t>定期审查数据完整性、逻辑一致性、缺失值和异常值。</w:t>
            </w:r>
          </w:p>
        </w:tc>
      </w:tr>
      <w:tr>
        <w:tc>
          <w:tcPr>
            <w:tcW w:type="dxa" w:w="2473"/>
          </w:tcPr>
          <w:p>
            <w:r>
              <w:t>质疑升级</w:t>
            </w:r>
          </w:p>
        </w:tc>
        <w:tc>
          <w:tcPr>
            <w:tcW w:type="dxa" w:w="2473"/>
          </w:tcPr>
          <w:p>
            <w:r>
              <w:t>数据管理员→监查员→研究者/主要研究者→申办者医学监查员</w:t>
            </w:r>
          </w:p>
        </w:tc>
        <w:tc>
          <w:tcPr>
            <w:tcW w:type="dxa" w:w="2473"/>
          </w:tcPr>
          <w:p>
            <w:r>
              <w:t>升级和解决过程记录在质疑管理系统中。</w:t>
            </w:r>
          </w:p>
        </w:tc>
        <w:tc>
          <w:tcPr>
            <w:tcW w:type="dxa" w:w="2473"/>
          </w:tcPr>
          <w:p>
            <w:r>
              <w:t>升级触发条件包括超时未答复、关键数据缺失或严重方案违背。</w:t>
            </w:r>
          </w:p>
        </w:tc>
      </w:tr>
    </w:tbl>
    <w:p>
      <w:r>
        <w:t>未解决的质疑按预设时限逐级升级：数据管理员→监查员→研究者/主要研究者→申办者医学监查员。升级触发条件包括超时未答复、关键数据缺失或严重方案违背。升级和解决过程记录在质疑管理系统中。</w:t>
      </w:r>
    </w:p>
    <w:p>
      <w:r>
        <w:t>数据清理活动记录包括数据清理计划、质疑日志、数据更正记录、数据库锁定检查表和稽查轨迹。数据管理员定期审查数据完整性、逻辑一致性、缺失值和异常值。</w:t>
      </w:r>
    </w:p>
    <w:p>
      <w:r>
        <w:t>对于本节点涉及的数据管理、伦理、隐私、未来使用、补偿以及试验参与者相关安排，当前输入未提供项目事实的其他内容应保留为待补/建议解决事项；不得以不适用替代，也不得将模板示例、未确认安排、合成测试值或审批结论作为项目事实或项目批准。</w:t>
      </w:r>
    </w:p>
    <w:p>
      <w:bookmarkStart w:id="48159" w:name="chap_v2_n_12_4"/>
      <w:pPr>
        <w:pStyle w:val="2"/>
      </w:pPr>
      <w:r>
        <w:t>数据的修改和审核</w:t>
      </w:r>
      <w:bookmarkEnd w:id="48159"/>
    </w:p>
    <w:p>
      <w:r>
        <w:t>数据的修改和审核</w:t>
      </w:r>
    </w:p>
    <w:p>
      <w:r>
        <w:t>数据修改须通过经验证的数据管理系统或书面更正流程进行，不直接覆盖原始记录。更正需附源文件依据，由授权人员录入或审核，并保留原值、修改值和修改原因。</w:t>
      </w:r>
    </w:p>
    <w:p>
      <w:r>
        <w:t>所有数据更正均须记录修改原因，并与源文件、质疑答复或方案偏离记录关联；原因记录作为审计轨迹和源数据的一部分保存。</w:t>
      </w:r>
    </w:p>
    <w:p>
      <w:r>
        <w:t>电子数据系统保留完整审计轨迹，记录数据创建、修改、审核、锁定等操作的操作者、时间、原值、新值和修改原因；审计轨迹不可删除或关闭，并可供监查、稽查和监管检查使用。</w:t>
      </w:r>
    </w:p>
    <w:p>
      <w:r>
        <w:t>数据修改由研究者或授权研究者确认，数据管理员审核；涉及主要终点、安全性或关键疗效数据的重要修改需经研究者及申办者数据管理负责人批准，并在数据库锁定前完成。</w:t>
      </w:r>
    </w:p>
    <w:p>
      <w:bookmarkStart w:id="18165" w:name="tbl_63"/>
      <w:r>
        <w:t>表63 数据的修改和审核</w:t>
      </w:r>
      <w:bookmarkEnd w:id="18165"/>
    </w:p>
    <w:tbl>
      <w:tblPr>
        <w:tblStyle w:val="28"/>
        <w:tblW w:type="auto" w:w="0"/>
        <w:tblLook w:firstColumn="1" w:firstRow="1" w:lastColumn="0" w:lastRow="0" w:noHBand="0" w:noVBand="1" w:val="04A0"/>
      </w:tblPr>
      <w:tblGrid>
        <w:gridCol w:w="3297"/>
        <w:gridCol w:w="3297"/>
        <w:gridCol w:w="3297"/>
      </w:tblGrid>
      <w:tr>
        <w:tc>
          <w:tcPr>
            <w:tcW w:type="dxa" w:w="3297"/>
          </w:tcPr>
          <w:p>
            <w:r>
              <w:t>数据修改流程</w:t>
            </w:r>
          </w:p>
        </w:tc>
        <w:tc>
          <w:tcPr>
            <w:tcW w:type="dxa" w:w="3297"/>
          </w:tcPr>
          <w:p>
            <w:r>
              <w:t>数据修改须通过经验证的数据管理系统或书面更正流程进行；不直接覆盖原始记录。更正需附源文件依据，由授权人员录入或审核，并保留原值、修改值和修改原因。</w:t>
            </w:r>
          </w:p>
        </w:tc>
        <w:tc>
          <w:tcPr>
            <w:tcW w:type="dxa" w:w="3297"/>
          </w:tcPr>
          <w:p>
            <w:r>
              <w:t>更正需附源文件依据；保留原值、修改值和修改原因。</w:t>
            </w:r>
          </w:p>
        </w:tc>
      </w:tr>
      <w:tr>
        <w:tc>
          <w:tcPr>
            <w:tcW w:type="dxa" w:w="3297"/>
          </w:tcPr>
          <w:p>
            <w:r>
              <w:t>更正原因记录</w:t>
            </w:r>
          </w:p>
        </w:tc>
        <w:tc>
          <w:tcPr>
            <w:tcW w:type="dxa" w:w="3297"/>
          </w:tcPr>
          <w:p>
            <w:r>
              <w:t>所有数据更正均须记录修改原因，并与源文件、质疑答复或方案偏离记录关联；原因记录作为审计轨迹和源数据的一部分保存。</w:t>
            </w:r>
          </w:p>
        </w:tc>
        <w:tc>
          <w:tcPr>
            <w:tcW w:type="dxa" w:w="3297"/>
          </w:tcPr>
          <w:p>
            <w:r>
              <w:t>修改原因与源文件、质疑答复或方案偏离记录关联，并作为审计轨迹和源数据的一部分保存。</w:t>
            </w:r>
          </w:p>
        </w:tc>
      </w:tr>
      <w:tr>
        <w:tc>
          <w:tcPr>
            <w:tcW w:type="dxa" w:w="3297"/>
          </w:tcPr>
          <w:p>
            <w:r>
              <w:t>审计轨迹</w:t>
            </w:r>
          </w:p>
        </w:tc>
        <w:tc>
          <w:tcPr>
            <w:tcW w:type="dxa" w:w="3297"/>
          </w:tcPr>
          <w:p>
            <w:r>
              <w:t>电子数据系统保留完整审计轨迹，记录数据创建、修改、审核、锁定等操作的操作者、时间、原值、新值和修改原因；审计轨迹不可删除或关闭，并可供监查、稽查和监管检查使用。</w:t>
            </w:r>
          </w:p>
        </w:tc>
        <w:tc>
          <w:tcPr>
            <w:tcW w:type="dxa" w:w="3297"/>
          </w:tcPr>
          <w:p>
            <w:r>
              <w:t>审计轨迹不可删除或关闭，并可供监查、稽查和监管检查使用。</w:t>
            </w:r>
          </w:p>
        </w:tc>
      </w:tr>
      <w:tr>
        <w:tc>
          <w:tcPr>
            <w:tcW w:type="dxa" w:w="3297"/>
          </w:tcPr>
          <w:p>
            <w:r>
              <w:t>审核与批准</w:t>
            </w:r>
          </w:p>
        </w:tc>
        <w:tc>
          <w:tcPr>
            <w:tcW w:type="dxa" w:w="3297"/>
          </w:tcPr>
          <w:p>
            <w:r>
              <w:t>数据修改由研究者或授权研究者确认，数据管理员审核；涉及主要终点、安全性或关键疗效数据的重要修改需经研究者及申办者数据管理负责人批准，并在数据库锁定前完成。</w:t>
            </w:r>
          </w:p>
        </w:tc>
        <w:tc>
          <w:tcPr>
            <w:tcW w:type="dxa" w:w="3297"/>
          </w:tcPr>
          <w:p>
            <w:r>
              <w:t>由研究者或授权研究者确认，数据管理员审核；重要修改需经研究者及申办者数据管理负责人批准，并在数据库锁定前完成。</w:t>
            </w:r>
          </w:p>
        </w:tc>
      </w:tr>
    </w:tbl>
    <w:p>
      <w:r>
        <w:t>本章节的数据管理安排依据已确认项目事实描述；伦理、隐私、未来使用和补偿安排未引入已确认项目事实；上述缺失事项应保留至相应待补或建议解决路径，不以不适用替代。</w:t>
      </w:r>
    </w:p>
    <w:p>
      <w:bookmarkStart w:id="14887" w:name="chap_v2_n_12_5"/>
      <w:pPr>
        <w:pStyle w:val="2"/>
      </w:pPr>
      <w:r>
        <w:t>数据锁定及导出</w:t>
      </w:r>
      <w:bookmarkEnd w:id="14887"/>
    </w:p>
    <w:p>
      <w:r>
        <w:t>数据锁定及导出</w:t>
      </w:r>
    </w:p>
    <w:p>
      <w:r>
        <w:t>锁定前需完成数据清理、所有质疑关闭、严重不良事件与安全性数据库一致性核对、方案偏离审核、关键变量源数据核查、统计分析计划定稿及锁库前质量检查；确认无未决数据问题后方可锁定。</w:t>
      </w:r>
    </w:p>
    <w:p>
      <w:r>
        <w:t>数据库锁定由申办者数据管理部门发起，经研究者、数据管理员、统计师和申办者代表按职责审核并签署锁定批准后执行；盲态研究保持盲底安全。</w:t>
      </w:r>
    </w:p>
    <w:p>
      <w:r>
        <w:t>数据库锁定后按统计分析计划要求导出分析数据集、原始数据、元数据、审计轨迹和编盲或揭盲记录；导出格式采用申办者验证系统支持的CDISC SDTM/ADaM或经确认的等效格式。</w:t>
      </w:r>
    </w:p>
    <w:p>
      <w:r>
        <w:t>每次导出均生成导出回执或交接记录，记录导出日期时间、文件名称、格式、版本、校验码、接收方及授权人员签字；回执与导出文件一并归档。</w:t>
      </w:r>
    </w:p>
    <w:p>
      <w:bookmarkStart w:id="66630" w:name="tbl_64"/>
      <w:r>
        <w:t>表64 数据锁定及导出</w:t>
      </w:r>
      <w:bookmarkEnd w:id="66630"/>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项目事项</w:t>
            </w:r>
          </w:p>
        </w:tc>
        <w:tc>
          <w:tcPr>
            <w:tcW w:type="dxa" w:w="4946"/>
          </w:tcPr>
          <w:p>
            <w:r>
              <w:rPr>
                <w:b/>
              </w:rPr>
              <w:t>已确认安排</w:t>
            </w:r>
          </w:p>
        </w:tc>
      </w:tr>
      <w:tr>
        <w:tc>
          <w:tcPr>
            <w:tcW w:type="dxa" w:w="4946"/>
          </w:tcPr>
          <w:p>
            <w:r>
              <w:t>锁定前条件</w:t>
            </w:r>
          </w:p>
        </w:tc>
        <w:tc>
          <w:tcPr>
            <w:tcW w:type="dxa" w:w="4946"/>
          </w:tcPr>
          <w:p>
            <w:r>
              <w:t>锁定前需完成数据清理、所有质疑关闭、严重不良事件与安全性数据库一致性核对、方案偏离审核、关键变量源数据核查、统计分析计划定稿及锁库前质量检查；确认无未决数据问题后方可锁定。</w:t>
            </w:r>
          </w:p>
        </w:tc>
      </w:tr>
      <w:tr>
        <w:tc>
          <w:tcPr>
            <w:tcW w:type="dxa" w:w="4946"/>
          </w:tcPr>
          <w:p>
            <w:r>
              <w:t>锁定发起、审核与批准</w:t>
            </w:r>
          </w:p>
        </w:tc>
        <w:tc>
          <w:tcPr>
            <w:tcW w:type="dxa" w:w="4946"/>
          </w:tcPr>
          <w:p>
            <w:r>
              <w:t>数据库锁定由申办者数据管理部门发起，经研究者、数据管理员、统计师和申办者代表按职责审核并签署锁定批准后执行；盲态研究保持盲底安全。</w:t>
            </w:r>
          </w:p>
        </w:tc>
      </w:tr>
      <w:tr>
        <w:tc>
          <w:tcPr>
            <w:tcW w:type="dxa" w:w="4946"/>
          </w:tcPr>
          <w:p>
            <w:r>
              <w:t>导出内容与格式</w:t>
            </w:r>
          </w:p>
        </w:tc>
        <w:tc>
          <w:tcPr>
            <w:tcW w:type="dxa" w:w="4946"/>
          </w:tcPr>
          <w:p>
            <w:r>
              <w:t>数据库锁定后按统计分析计划要求导出分析数据集、原始数据、元数据、审计轨迹和编盲或揭盲记录；导出格式采用申办者验证系统支持的CDISC SDTM/ADaM或经确认的等效格式。</w:t>
            </w:r>
          </w:p>
        </w:tc>
      </w:tr>
      <w:tr>
        <w:tc>
          <w:tcPr>
            <w:tcW w:type="dxa" w:w="4946"/>
          </w:tcPr>
          <w:p>
            <w:r>
              <w:t>导出回执与归档</w:t>
            </w:r>
          </w:p>
        </w:tc>
        <w:tc>
          <w:tcPr>
            <w:tcW w:type="dxa" w:w="4946"/>
          </w:tcPr>
          <w:p>
            <w:r>
              <w:t>每次导出均生成导出回执或交接记录，记录导出日期时间、文件名称、格式、版本、校验码、接收方及授权人员签字；回执与导出文件一并归档。</w:t>
            </w:r>
          </w:p>
        </w:tc>
      </w:tr>
    </w:tbl>
    <w:p>
      <w:bookmarkStart w:id="70246" w:name="chap_v2_n_12_6"/>
      <w:pPr>
        <w:pStyle w:val="2"/>
      </w:pPr>
      <w:r>
        <w:t>数据治理与计算机化系统</w:t>
      </w:r>
      <w:bookmarkEnd w:id="70246"/>
    </w:p>
    <w:p>
      <w:r>
        <w:t>数据治理责任按项目角色划分：明确研究者、授权研究者、数据管理员、统计师、监查员、系统管理员、稽查员和申办者代表的系统角色与职责；角色权限与其职责匹配，关键操作分离。</w:t>
      </w:r>
    </w:p>
    <w:p>
      <w:bookmarkStart w:id="74662" w:name="tbl_65"/>
      <w:r>
        <w:t>表65 数据治理与计算机化系统</w:t>
      </w:r>
      <w:bookmarkEnd w:id="74662"/>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治理领域</w:t>
            </w:r>
          </w:p>
        </w:tc>
        <w:tc>
          <w:tcPr>
            <w:tcW w:type="dxa" w:w="3297"/>
          </w:tcPr>
          <w:p>
            <w:r>
              <w:rPr>
                <w:b/>
              </w:rPr>
              <w:t>系统记录与控制</w:t>
            </w:r>
          </w:p>
        </w:tc>
        <w:tc>
          <w:tcPr>
            <w:tcW w:type="dxa" w:w="3297"/>
          </w:tcPr>
          <w:p>
            <w:r>
              <w:rPr>
                <w:b/>
              </w:rPr>
              <w:t>治理负责人/职责</w:t>
            </w:r>
          </w:p>
        </w:tc>
      </w:tr>
      <w:tr>
        <w:tc>
          <w:tcPr>
            <w:tcW w:type="dxa" w:w="3297"/>
          </w:tcPr>
          <w:p>
            <w:r>
              <w:t>系统角色与职责</w:t>
            </w:r>
          </w:p>
        </w:tc>
        <w:tc>
          <w:tcPr>
            <w:tcW w:type="dxa" w:w="3297"/>
          </w:tcPr>
          <w:p>
            <w:r>
              <w:t>明确研究者、授权研究者、数据管理员、统计师、监查员、系统管理员、稽查员和申办者代表的系统角色与职责；角色权限与其职责匹配，关键操作分离。</w:t>
            </w:r>
          </w:p>
        </w:tc>
        <w:tc>
          <w:tcPr>
            <w:tcW w:type="dxa" w:w="3297"/>
          </w:tcPr>
          <w:p>
            <w:r>
              <w:t>研究者、授权研究者、数据管理员、统计师、监查员、系统管理员、稽查员和申办者代表按已明确职责承担相应角色责任；角色权限与其职责匹配，关键操作分离。</w:t>
            </w:r>
          </w:p>
        </w:tc>
      </w:tr>
      <w:tr>
        <w:tc>
          <w:tcPr>
            <w:tcW w:type="dxa" w:w="3297"/>
          </w:tcPr>
          <w:p>
            <w:r>
              <w:t>访问控制</w:t>
            </w:r>
          </w:p>
        </w:tc>
        <w:tc>
          <w:tcPr>
            <w:tcW w:type="dxa" w:w="3297"/>
          </w:tcPr>
          <w:p>
            <w:r>
              <w:t>计算机化系统采用基于角色的访问控制、唯一用户账号、强密码或多因素认证及权限最小化原则；权限授予、变更和撤销均需授权并记录，定期复核。</w:t>
            </w:r>
          </w:p>
        </w:tc>
        <w:tc>
          <w:tcPr>
            <w:tcW w:type="dxa" w:w="3297"/>
          </w:tcPr>
          <w:p>
            <w:r>
              <w:t>权限授予、变更和撤销均需授权并记录，定期复核；项目角色按职责执行授权与复核记录。</w:t>
            </w:r>
          </w:p>
        </w:tc>
      </w:tr>
      <w:tr>
        <w:tc>
          <w:tcPr>
            <w:tcW w:type="dxa" w:w="3297"/>
          </w:tcPr>
          <w:p>
            <w:r>
              <w:t>验证状态</w:t>
            </w:r>
          </w:p>
        </w:tc>
        <w:tc>
          <w:tcPr>
            <w:tcW w:type="dxa" w:w="3297"/>
          </w:tcPr>
          <w:p>
            <w:r>
              <w:t>用于本研究的计算机化系统在投入使用前完成基于风险的验证，并保持验证状态；验证计划、风险评估、测试脚本、偏差处理和验证总结报告归档备查。</w:t>
            </w:r>
          </w:p>
        </w:tc>
        <w:tc>
          <w:tcPr>
            <w:tcW w:type="dxa" w:w="3297"/>
          </w:tcPr>
          <w:p>
            <w:r>
              <w:t>验证计划、风险评估、测试脚本、偏差处理和验证总结报告归档备查；验证状态保持。</w:t>
            </w:r>
          </w:p>
        </w:tc>
      </w:tr>
      <w:tr>
        <w:tc>
          <w:tcPr>
            <w:tcW w:type="dxa" w:w="3297"/>
          </w:tcPr>
          <w:p>
            <w:r>
              <w:t>记录完整性</w:t>
            </w:r>
          </w:p>
        </w:tc>
        <w:tc>
          <w:tcPr>
            <w:tcW w:type="dxa" w:w="3297"/>
          </w:tcPr>
          <w:p>
            <w:r>
              <w:t>数据治理遵循ALCOA+原则，确保数据可归属、清晰、同步、原始、准确、完整、一致、持久和可获取；电子记录与签名符合适用法规要求。</w:t>
            </w:r>
          </w:p>
        </w:tc>
        <w:tc>
          <w:tcPr>
            <w:tcW w:type="dxa" w:w="3297"/>
          </w:tcPr>
          <w:p>
            <w:r>
              <w:t>电子记录与签名符合适用法规要求；记录完整性由项目角色按职责维护，并保留可追溯记录。</w:t>
            </w:r>
          </w:p>
        </w:tc>
      </w:tr>
      <w:tr>
        <w:tc>
          <w:tcPr>
            <w:tcW w:type="dxa" w:w="3297"/>
          </w:tcPr>
          <w:p>
            <w:r>
              <w:t>变更管理</w:t>
            </w:r>
          </w:p>
        </w:tc>
        <w:tc>
          <w:tcPr>
            <w:tcW w:type="dxa" w:w="3297"/>
          </w:tcPr>
          <w:p>
            <w:r>
              <w:t>系统变更须经变更申请、风险评估、验证或测试、批准和发布流程；紧急变更事后补审。变更记录、测试证据和版本历史归档保存，确保可追溯。</w:t>
            </w:r>
          </w:p>
        </w:tc>
        <w:tc>
          <w:tcPr>
            <w:tcW w:type="dxa" w:w="3297"/>
          </w:tcPr>
          <w:p>
            <w:r>
              <w:t>变更记录、测试证据和版本历史归档保存，确保可追溯；紧急变更事后补审。</w:t>
            </w:r>
          </w:p>
        </w:tc>
      </w:tr>
    </w:tbl>
    <w:p>
      <w:r>
        <w:t>计算机化系统采用基于角色的访问控制、唯一用户账号、强密码或多因素认证及权限最小化原则；权限授予、变更和撤销均需授权并记录，定期复核。数据治理遵循ALCOA+原则，确保数据可归属、清晰、同步、原始、准确、完整、一致、持久和可获取；电子记录与签名符合适用法规要求。用于本研究的计算机化系统在投入使用前完成基于风险的验证，并保持验证状态；验证计划、风险评估、测试脚本、偏差处理和验证总结报告归档备查。系统变更须经变更申请、风险评估、验证或测试、批准和发布流程；紧急变更事后补审。变更记录、测试证据和版本历史归档保存，确保可追溯。</w:t>
      </w:r>
    </w:p>
    <w:p>
      <w:bookmarkStart w:id="29128" w:name="chap_v2_n_12_7"/>
      <w:pPr>
        <w:pStyle w:val="2"/>
      </w:pPr>
      <w:r>
        <w:t>储备样本和数据的未来使用</w:t>
      </w:r>
      <w:bookmarkEnd w:id="29128"/>
    </w:p>
    <w:p>
      <w:r>
        <w:t>储备样本和数据的未来使用</w:t>
      </w:r>
    </w:p>
    <w:p>
      <w:r>
        <w:t>本研究预设的分析仅使用方案规定的临床、内镜和安全性数据。当前研究事实未将储备样本和数据的未来使用列为已确认的本研究预设分析安排；未来如开展其他研究，其样本和分析应与本研究预定义的主要及次要终点分析分离，并经相应伦理审查和授权。</w:t>
      </w:r>
    </w:p>
    <w:p>
      <w:bookmarkStart w:id="85261" w:name="chap_v2_n_12_8"/>
      <w:pPr>
        <w:pStyle w:val="2"/>
      </w:pPr>
      <w:r>
        <w:t>研究记录的保存</w:t>
      </w:r>
      <w:bookmarkEnd w:id="85261"/>
    </w:p>
    <w:p>
      <w:r>
        <w:t>本项目研究记录的保存安排按已确认的项目事实执行，覆盖需保存的记录类型、保存触发、保存期限、保存责任与控制边界、存储位置和保存期满处置。需保存的记录包括方案及修正案、知情同意书、伦理批件、病例报告表、源文件、随机化与盲底记录、试验用药品记录、安全性报告、监查或稽查记录、数据管理记录、审计轨迹、统计分析计划、分析数据集和临床研究报告。</w:t>
      </w:r>
    </w:p>
    <w:p>
      <w:bookmarkStart w:id="8954" w:name="tbl_66"/>
      <w:r>
        <w:t>表66 研究记录的保存</w:t>
      </w:r>
      <w:bookmarkEnd w:id="8954"/>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项目</w:t>
            </w:r>
          </w:p>
        </w:tc>
        <w:tc>
          <w:tcPr>
            <w:tcW w:type="dxa" w:w="4946"/>
          </w:tcPr>
          <w:p>
            <w:r>
              <w:rPr>
                <w:b/>
              </w:rPr>
              <w:t>本项目安排</w:t>
            </w:r>
          </w:p>
        </w:tc>
      </w:tr>
      <w:tr>
        <w:tc>
          <w:tcPr>
            <w:tcW w:type="dxa" w:w="4946"/>
          </w:tcPr>
          <w:p>
            <w:r>
              <w:t>需保存的记录类型</w:t>
            </w:r>
          </w:p>
        </w:tc>
        <w:tc>
          <w:tcPr>
            <w:tcW w:type="dxa" w:w="4946"/>
          </w:tcPr>
          <w:p>
            <w:r>
              <w:t>包括方案及修正案、知情同意书、伦理批件、病例报告表、源文件、随机化与盲底记录、试验用药品记录、安全性报告、监查或稽查记录、数据管理记录、审计轨迹、统计分析计划、分析数据集和临床研究报告。</w:t>
            </w:r>
          </w:p>
        </w:tc>
      </w:tr>
      <w:tr>
        <w:tc>
          <w:tcPr>
            <w:tcW w:type="dxa" w:w="4946"/>
          </w:tcPr>
          <w:p>
            <w:r>
              <w:t>保存触发/起算</w:t>
            </w:r>
          </w:p>
        </w:tc>
        <w:tc>
          <w:tcPr>
            <w:tcW w:type="dxa" w:w="4946"/>
          </w:tcPr>
          <w:p>
            <w:r>
              <w:t>保存期限自研究完成或终止时起算；以末例试验参与者末次访视、数据库锁定和最终研究报告归档完成中较晚者作为研究结束或终止的判定依据。</w:t>
            </w:r>
          </w:p>
        </w:tc>
      </w:tr>
      <w:tr>
        <w:tc>
          <w:tcPr>
            <w:tcW w:type="dxa" w:w="4946"/>
          </w:tcPr>
          <w:p>
            <w:r>
              <w:t>保存期限</w:t>
            </w:r>
          </w:p>
        </w:tc>
        <w:tc>
          <w:tcPr>
            <w:tcW w:type="dxa" w:w="4946"/>
          </w:tcPr>
          <w:p>
            <w:r>
              <w:t>研究记录按适用法规和申办者标准操作规程要求的最长期限保存；通常不少于研究结束后5年，或至申办者确认无进一步监管、法律和科学需要为止。</w:t>
            </w:r>
          </w:p>
        </w:tc>
      </w:tr>
      <w:tr>
        <w:tc>
          <w:tcPr>
            <w:tcW w:type="dxa" w:w="4946"/>
          </w:tcPr>
          <w:p>
            <w:r>
              <w:t>保存责任与控制边界</w:t>
            </w:r>
          </w:p>
        </w:tc>
        <w:tc>
          <w:tcPr>
            <w:tcW w:type="dxa" w:w="4946"/>
          </w:tcPr>
          <w:p>
            <w:r>
              <w:t>研究者或研究中心负责保存本中心研究记录和源文件；申办者负责保存其持有的方案、监管、监查、数据管理、统计和药物警戒记录。电子记录由验证系统管理员按权限保管。</w:t>
            </w:r>
          </w:p>
        </w:tc>
      </w:tr>
      <w:tr>
        <w:tc>
          <w:tcPr>
            <w:tcW w:type="dxa" w:w="4946"/>
          </w:tcPr>
          <w:p>
            <w:r>
              <w:t>存储位置</w:t>
            </w:r>
          </w:p>
        </w:tc>
        <w:tc>
          <w:tcPr>
            <w:tcW w:type="dxa" w:w="4946"/>
          </w:tcPr>
          <w:p>
            <w:r>
              <w:t>纸质记录保存于研究中心和申办者指定的安全档案设施，限制访问并防火防潮；电子记录保存于经验证的电子归档系统，具备访问控制、备份和灾难恢复。</w:t>
            </w:r>
          </w:p>
        </w:tc>
      </w:tr>
      <w:tr>
        <w:tc>
          <w:tcPr>
            <w:tcW w:type="dxa" w:w="4946"/>
          </w:tcPr>
          <w:p>
            <w:r>
              <w:t>保存期满处置</w:t>
            </w:r>
          </w:p>
        </w:tc>
        <w:tc>
          <w:tcPr>
            <w:tcW w:type="dxa" w:w="4946"/>
          </w:tcPr>
          <w:p>
            <w:r>
              <w:t>保存期满后，按申办者标准操作规程和适用法规处置记录；纸质记录销毁、电子记录安全删除或永久去标识化，并保留销毁或处置清单和批准记录。未经授权不得提前销毁。</w:t>
            </w:r>
          </w:p>
        </w:tc>
      </w:tr>
    </w:tbl>
    <w:p>
      <w:r>
        <w:t>保存责任、存储位置和期满处置按上表项目事实执行。表中“通常不少于研究结束后5年”系本项目保存期限安排的描述，不构成脱离本项目的普适法律规则。涉及参与者隐私、未来使用和补偿安排的记录保存边界，应与适用的知情同意、伦理批准及项目特定安排保持一致；本章未确认的具体安排不视为不适用，按待补/建议解决路径处理。涉及法规、GCP 条号或同意/保留法律措辞的引用仅作来源出处记录，适用性需由适用一手来源核验；本章不构成医学、伦理、法律或审批判断。</w:t>
      </w:r>
    </w:p>
    <w:p>
      <w:bookmarkStart w:id="53270" w:name="chap_v2_n_12_9"/>
      <w:pPr>
        <w:pStyle w:val="2"/>
      </w:pPr>
      <w:r>
        <w:t>研究发表和数据共享政策</w:t>
      </w:r>
      <w:bookmarkEnd w:id="53270"/>
    </w:p>
    <w:p>
      <w:r>
        <w:t>研究发表和数据共享政策</w:t>
      </w:r>
    </w:p>
    <w:p>
      <w:r>
        <w:t>本节说明本研究的发表、公开披露、数据共享及数据接收方控制安排。以下内容仅依据已确认项目事实；未由项目事实明确的边界事项列入待补/建议解决，不视为不适用。</w:t>
      </w:r>
    </w:p>
    <w:p>
      <w:r>
        <w:t>研究发表和数据共享按研究者与申办者签署的协议及适用法规执行；本方案未另行约定超出该协议的发表安排。</w:t>
      </w:r>
    </w:p>
    <w:p>
      <w:r>
        <w:t>作者资格依据国际医学期刊编辑委员会标准，基于实质性贡献确定；所有作者需审阅并批准最终稿件，对内容负责。申办者、统计师和研究者按贡献参与，不设荣誉作者。</w:t>
      </w:r>
    </w:p>
    <w:p>
      <w:r>
        <w:t>研究结果无论阳性或阴性，均按适用法规和申办者政策在公共临床试验注册平台和结果数据库公开，并争取在同行评议期刊发表；方案和统计分析计划按适用要求公开。</w:t>
      </w:r>
    </w:p>
    <w:p>
      <w:r>
        <w:t>在主要结果发表或监管提交后，可向合格研究者共享去标识化个体试验参与者数据及支持文件，用于经批准的研究目的；共享前需有方法学审查、伦理和监管符合性确认及数据共享协议。</w:t>
      </w:r>
    </w:p>
    <w:p>
      <w:r>
        <w:t>数据接收方须签署数据使用协议，承诺仅用于批准目的、不尝试再识别、遵守保密和数据安全要求，并接受申办者对数据使用的审核；违反协议时终止共享。</w:t>
      </w:r>
    </w:p>
    <w:p>
      <w:bookmarkStart w:id="30200" w:name="tbl_67"/>
      <w:r>
        <w:t>表67 研究发表和数据共享政策</w:t>
      </w:r>
      <w:bookmarkEnd w:id="30200"/>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发表与数据共享协议</w:t>
            </w:r>
          </w:p>
        </w:tc>
        <w:tc>
          <w:tcPr>
            <w:tcW w:type="dxa" w:w="3297"/>
          </w:tcPr>
          <w:p>
            <w:r>
              <w:rPr>
                <w:b/>
              </w:rPr>
              <w:t>研究发表和数据共享按研究者与申办者签署的协议及适用法规执行；本方案未另行约定超出该协议的发表安排。</w:t>
            </w:r>
          </w:p>
        </w:tc>
        <w:tc>
          <w:tcPr>
            <w:tcW w:type="dxa" w:w="3297"/>
          </w:tcPr>
          <w:p>
            <w:r>
              <w:rPr>
                <w:b/>
              </w:rPr>
              <w:t>发表和数据共享安排以签署协议及适用法规为边界；未在本方案另行约定超出该协议的安排。</w:t>
            </w:r>
          </w:p>
        </w:tc>
      </w:tr>
      <w:tr>
        <w:tc>
          <w:tcPr>
            <w:tcW w:type="dxa" w:w="3297"/>
          </w:tcPr>
          <w:p>
            <w:r>
              <w:t>作者资格与责任</w:t>
            </w:r>
          </w:p>
        </w:tc>
        <w:tc>
          <w:tcPr>
            <w:tcW w:type="dxa" w:w="3297"/>
          </w:tcPr>
          <w:p>
            <w:r>
              <w:t>作者资格依据国际医学期刊编辑委员会标准，基于实质性贡献确定；所有作者需审阅并批准最终稿件，对内容负责。申办者、统计师和研究者按贡献参与，不设荣誉作者。</w:t>
            </w:r>
          </w:p>
        </w:tc>
        <w:tc>
          <w:tcPr>
            <w:tcW w:type="dxa" w:w="3297"/>
          </w:tcPr>
          <w:p>
            <w:r>
              <w:t>作者对最终稿件内容负责；不设荣誉作者。</w:t>
            </w:r>
          </w:p>
        </w:tc>
      </w:tr>
      <w:tr>
        <w:tc>
          <w:tcPr>
            <w:tcW w:type="dxa" w:w="3297"/>
          </w:tcPr>
          <w:p>
            <w:r>
              <w:t>公开披露</w:t>
            </w:r>
          </w:p>
        </w:tc>
        <w:tc>
          <w:tcPr>
            <w:tcW w:type="dxa" w:w="3297"/>
          </w:tcPr>
          <w:p>
            <w:r>
              <w:t>研究结果无论阳性或阴性，均按适用法规和申办者政策在公共临床试验注册平台和结果数据库公开，并争取在同行评议期刊发表；方案和统计分析计划按适用要求公开。</w:t>
            </w:r>
          </w:p>
        </w:tc>
        <w:tc>
          <w:tcPr>
            <w:tcW w:type="dxa" w:w="3297"/>
          </w:tcPr>
          <w:p>
            <w:r>
              <w:t>公开义务覆盖阳性或阴性结果；方案和统计分析计划按适用要求公开。</w:t>
            </w:r>
          </w:p>
        </w:tc>
      </w:tr>
      <w:tr>
        <w:tc>
          <w:tcPr>
            <w:tcW w:type="dxa" w:w="3297"/>
          </w:tcPr>
          <w:p>
            <w:r>
              <w:t>数据共享条件</w:t>
            </w:r>
          </w:p>
        </w:tc>
        <w:tc>
          <w:tcPr>
            <w:tcW w:type="dxa" w:w="3297"/>
          </w:tcPr>
          <w:p>
            <w:r>
              <w:t>在主要结果发表或监管提交后，可向合格研究者共享去标识化个体试验参与者数据及支持文件，用于经批准的研究目的；共享前需有方法学审查、伦理和监管符合性确认及数据共享协议。</w:t>
            </w:r>
          </w:p>
        </w:tc>
        <w:tc>
          <w:tcPr>
            <w:tcW w:type="dxa" w:w="3297"/>
          </w:tcPr>
          <w:p>
            <w:r>
              <w:t>共享范围限于去标识化个体试验参与者数据及支持文件；未来使用限于经批准的研究目的；共享前需完成方法学审查、伦理和监管符合性确认及数据共享协议。</w:t>
            </w:r>
          </w:p>
        </w:tc>
      </w:tr>
      <w:tr>
        <w:tc>
          <w:tcPr>
            <w:tcW w:type="dxa" w:w="3297"/>
          </w:tcPr>
          <w:p>
            <w:r>
              <w:t>数据接收方控制</w:t>
            </w:r>
          </w:p>
        </w:tc>
        <w:tc>
          <w:tcPr>
            <w:tcW w:type="dxa" w:w="3297"/>
          </w:tcPr>
          <w:p>
            <w:r>
              <w:t>数据接收方须签署数据使用协议，承诺仅用于批准目的、不尝试再识别、遵守保密和数据安全要求，并接受申办者对数据使用的审核；违反协议时终止共享。</w:t>
            </w:r>
          </w:p>
        </w:tc>
        <w:tc>
          <w:tcPr>
            <w:tcW w:type="dxa" w:w="3297"/>
          </w:tcPr>
          <w:p>
            <w:r>
              <w:t>接收方控制包括批准目的限制、不再识别、保密、数据安全、申办者审核和违约终止。</w:t>
            </w:r>
          </w:p>
        </w:tc>
      </w:tr>
      <w:tr>
        <w:tc>
          <w:tcPr>
            <w:tcW w:type="dxa" w:w="3297"/>
          </w:tcPr>
          <w:p>
            <w:r>
              <w:t>待补/建议解决边界</w:t>
            </w:r>
          </w:p>
        </w:tc>
        <w:tc>
          <w:tcPr>
            <w:tcW w:type="dxa" w:w="3297"/>
          </w:tcPr>
          <w:p>
            <w:r>
              <w:t>参与者相关补偿安排，以及数据共享、伦理、隐私和未来使用相关具体执行责任主体，如未由已确认项目事实明确，应作为待补/建议解决事项。</w:t>
            </w:r>
          </w:p>
        </w:tc>
        <w:tc>
          <w:tcPr>
            <w:tcW w:type="dxa" w:w="3297"/>
          </w:tcPr>
          <w:p>
            <w:r>
              <w:t>不得降级为不适用；不得以模板示例、未确认安排或审批结论替代项目事实。</w:t>
            </w:r>
          </w:p>
        </w:tc>
      </w:tr>
    </w:tbl>
    <w:p>
      <w:pPr/>
      <w:r>
        <w:t xml:space="preserve"> 表中待补/建议解决事项不得以“不适用”替代；需由项目团队补充确认后纳入最终方案。</w:t>
      </w:r>
    </w:p>
    <w:p>
      <w:r>
        <w:t>上述安排保留数据管理、伦理、隐私、未来使用和补偿安排的边界：共享数据限于去标识化个体试验参与者数据及支持文件，未来使用限于经批准的研究目的，接收方须遵守保密、数据安全和不尝试再识别要求；参与者相关补偿安排如未由已确认项目事实明确，应进入待补/建议解决，不得视为不适用。</w:t>
      </w:r>
    </w:p>
    <w:p>
      <w:bookmarkStart w:id="85174" w:name="chap_v2_n_13_1"/>
      <w:pPr>
        <w:pStyle w:val="2"/>
      </w:pPr>
      <w:r>
        <w:t>伦理规范</w:t>
      </w:r>
      <w:bookmarkEnd w:id="85174"/>
    </w:p>
    <w:p>
      <w:r>
        <w:t>本章节说明本研究的伦理审查与伦理规范安排。以下内容依据已确认的项目事实整理。</w:t>
      </w:r>
    </w:p>
    <w:p>
      <w:bookmarkStart w:id="77810" w:name="tbl_68"/>
      <w:r>
        <w:t>表68 伦理规范</w:t>
      </w:r>
      <w:bookmarkEnd w:id="77810"/>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伦理事项</w:t>
            </w:r>
          </w:p>
        </w:tc>
        <w:tc>
          <w:tcPr>
            <w:tcW w:type="dxa" w:w="4946"/>
          </w:tcPr>
          <w:p>
            <w:r>
              <w:rPr>
                <w:b/>
              </w:rPr>
              <w:t>项目事实/安排</w:t>
            </w:r>
          </w:p>
        </w:tc>
      </w:tr>
      <w:tr>
        <w:tc>
          <w:tcPr>
            <w:tcW w:type="dxa" w:w="4946"/>
          </w:tcPr>
          <w:p>
            <w:r>
              <w:t>审查程序</w:t>
            </w:r>
          </w:p>
        </w:tc>
        <w:tc>
          <w:tcPr>
            <w:tcW w:type="dxa" w:w="4946"/>
          </w:tcPr>
          <w:p>
            <w:r>
              <w:t>研究采用初始审查、修正案审查和定期继续审查；方案修正案在实施前获得伦理委员会批准，除非为消除对试验参与者的紧急危害。审查记录和沟通文件归档。</w:t>
            </w:r>
          </w:p>
        </w:tc>
      </w:tr>
      <w:tr>
        <w:tc>
          <w:tcPr>
            <w:tcW w:type="dxa" w:w="4946"/>
          </w:tcPr>
          <w:p>
            <w:r>
              <w:t>批准状态</w:t>
            </w:r>
          </w:p>
        </w:tc>
        <w:tc>
          <w:tcPr>
            <w:tcW w:type="dxa" w:w="4946"/>
          </w:tcPr>
          <w:p>
            <w:r>
              <w:t>研究开始前，方案、知情同意书、招募材料及其他试验参与者相关文件须获得伦理委员会批准；批准文件和成员名单归档。研究期间按伦理委员会要求提交继续审查和修正案审查。</w:t>
            </w:r>
          </w:p>
        </w:tc>
      </w:tr>
      <w:tr>
        <w:tc>
          <w:tcPr>
            <w:tcW w:type="dxa" w:w="4946"/>
          </w:tcPr>
          <w:p>
            <w:r>
              <w:t>责任角色</w:t>
            </w:r>
          </w:p>
        </w:tc>
        <w:tc>
          <w:tcPr>
            <w:tcW w:type="dxa" w:w="4946"/>
          </w:tcPr>
          <w:p>
            <w:r>
              <w:t>主要研究者负责本中心伦理审查申请、伦理委员会沟通、方案依从和安全性报告；申办者负责提供必要文件并确保多中心研究按统一伦理要求管理。</w:t>
            </w:r>
          </w:p>
        </w:tc>
      </w:tr>
      <w:tr>
        <w:tc>
          <w:tcPr>
            <w:tcW w:type="dxa" w:w="4946"/>
          </w:tcPr>
          <w:p>
            <w:r>
              <w:t>版本控制</w:t>
            </w:r>
          </w:p>
        </w:tc>
        <w:tc>
          <w:tcPr>
            <w:tcW w:type="dxa" w:w="4946"/>
          </w:tcPr>
          <w:p>
            <w:r>
              <w:t>方案和知情同意书采用版本号和日期控制；研究中心仅使用伦理委员会批准的最新版本，版本变更、批准日期和生效日期记录在文件控制清单和试验参与者文件中。</w:t>
            </w:r>
          </w:p>
        </w:tc>
      </w:tr>
      <w:tr>
        <w:tc>
          <w:tcPr>
            <w:tcW w:type="dxa" w:w="4946"/>
          </w:tcPr>
          <w:p>
            <w:r>
              <w:t>新信息处理</w:t>
            </w:r>
          </w:p>
        </w:tc>
        <w:tc>
          <w:tcPr>
            <w:tcW w:type="dxa" w:w="4946"/>
          </w:tcPr>
          <w:p>
            <w:r>
              <w:t>出现可能影响试验参与者安全、权益或研究继续开展的新信息时，研究者或申办者及时评估并报告伦理委员会和监管机构；必要时暂停研究、修改方案或知情同意书并重新取得同意。</w:t>
            </w:r>
          </w:p>
        </w:tc>
      </w:tr>
      <w:tr>
        <w:tc>
          <w:tcPr>
            <w:tcW w:type="dxa" w:w="4946"/>
          </w:tcPr>
          <w:p>
            <w:r>
              <w:t>程序前确认</w:t>
            </w:r>
          </w:p>
        </w:tc>
        <w:tc>
          <w:tcPr>
            <w:tcW w:type="dxa" w:w="4946"/>
          </w:tcPr>
          <w:p>
            <w:r>
              <w:t>在获得伦理委员会批准和试验参与者签署知情同意书前，不得进行任何研究相关程序；筛选评估仅在签署知情同意后按方案执行。</w:t>
            </w:r>
          </w:p>
        </w:tc>
      </w:tr>
    </w:tbl>
    <w:p>
      <w:r>
        <w:t>研究采用初始审查、修正案审查和定期继续审查；方案修正案在实施前获得伦理委员会批准，除非为消除对试验参与者的紧急危害。审查记录和沟通文件归档。</w:t>
      </w:r>
    </w:p>
    <w:p>
      <w:r>
        <w:t>研究开始前，方案、知情同意书、招募材料及其他试验参与者相关文件须获得伦理委员会批准；批准文件和成员名单归档。研究期间按伦理委员会要求提交继续审查和修正案审查。</w:t>
      </w:r>
    </w:p>
    <w:p>
      <w:r>
        <w:t>主要研究者负责本中心伦理审查申请、伦理委员会沟通、方案依从和安全性报告；申办者负责提供必要文件并确保多中心研究按统一伦理要求管理。</w:t>
      </w:r>
    </w:p>
    <w:p>
      <w:r>
        <w:t>方案和知情同意书采用版本号和日期控制；研究中心仅使用伦理委员会批准的最新版本，版本变更、批准日期和生效日期记录在文件控制清单和试验参与者文件中。</w:t>
      </w:r>
    </w:p>
    <w:p>
      <w:r>
        <w:t>出现可能影响试验参与者安全、权益或研究继续开展的新信息时，研究者或申办者及时评估并报告伦理委员会和监管机构；必要时暂停研究、修改方案或知情同意书并重新取得同意。</w:t>
      </w:r>
    </w:p>
    <w:p>
      <w:r>
        <w:t>在获得伦理委员会批准和试验参与者签署知情同意书前，不得进行任何研究相关程序；筛选评估仅在签署知情同意后按方案执行。</w:t>
      </w:r>
    </w:p>
    <w:p>
      <w:bookmarkStart w:id="11782" w:name="chap_v2_n_13_2"/>
      <w:pPr>
        <w:pStyle w:val="2"/>
      </w:pPr>
      <w:r>
        <w:t>知情同意</w:t>
      </w:r>
      <w:bookmarkEnd w:id="11782"/>
    </w:p>
    <w:p>
      <w:r>
        <w:t>试验参与者在接受任何研究相关筛选、给药、评估或样本采集前，必须签署并注明日期的知情同意书。研究使用伦理委员会批准的最新版知情同意书；版本号和日期记录于知情同意书、源文件和病例报告表。</w:t>
      </w:r>
    </w:p>
    <w:p>
      <w:r>
        <w:t>主要研究者对知情同意过程负总体责任；经培训并获授权的指定人员可执行知情同意，授权和培训记录归档。</w:t>
      </w:r>
    </w:p>
    <w:p>
      <w:r>
        <w:t>由主要研究者或授权研究人员向试验参与者充分说明研究目的、程序、风险、获益、替代治疗、保密、补偿、自愿参与和退出权利；给予提问和考虑时间，试验参与者签署并注明日期，获得签名副本，过程记录于源文件。</w:t>
      </w:r>
    </w:p>
    <w:p>
      <w:r>
        <w:t>本研究纳入成人患者，原则上由具有完全民事行为能力的试验参与者本人签署知情同意书；如适用法规允许且试验参与者丧失同意能力，可由法定代理人签署，并在可能时取得试验参与者同意。</w:t>
      </w:r>
    </w:p>
    <w:p>
      <w:r>
        <w:t>如试验参与者不能阅读或存在阅读障碍，由与本研究无关的公正见证人观察知情同意过程，见证人签署并注明日期；见证人不得参与本研究。见证人安排仅在适用情形使用，不作为普遍替代。</w:t>
      </w:r>
    </w:p>
    <w:p>
      <w:r>
        <w:t>知情同意书或研究信息发生可能影响试验参与者继续参与意愿的更新时，及时获得伦理批准并向试验参与者提供新信息，必要时重新签署知情同意书。</w:t>
      </w:r>
    </w:p>
    <w:p>
      <w:bookmarkStart w:id="83661" w:name="tbl_69"/>
      <w:r>
        <w:t>表69 知情同意</w:t>
      </w:r>
      <w:bookmarkEnd w:id="83661"/>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知情同意书版本</w:t>
            </w:r>
          </w:p>
        </w:tc>
        <w:tc>
          <w:tcPr>
            <w:tcW w:type="dxa" w:w="3297"/>
          </w:tcPr>
          <w:p>
            <w:r>
              <w:rPr>
                <w:b/>
              </w:rPr>
              <w:t>使用伦理委员会批准的最新版知情同意书；版本号和日期记录于知情同意书、源文件和病例报告表。</w:t>
            </w:r>
          </w:p>
        </w:tc>
        <w:tc>
          <w:tcPr>
            <w:tcW w:type="dxa" w:w="3297"/>
          </w:tcPr>
          <w:p>
            <w:r>
              <w:rPr>
                <w:b/>
              </w:rPr>
              <w:t>伦理批准的具体记录、备案信息和核验路径待项目事实补充；不得以模板或结构检查结论替代。</w:t>
            </w:r>
          </w:p>
        </w:tc>
      </w:tr>
      <w:tr>
        <w:tc>
          <w:tcPr>
            <w:tcW w:type="dxa" w:w="3297"/>
          </w:tcPr>
          <w:p>
            <w:r>
              <w:t>签署时机</w:t>
            </w:r>
          </w:p>
        </w:tc>
        <w:tc>
          <w:tcPr>
            <w:tcW w:type="dxa" w:w="3297"/>
          </w:tcPr>
          <w:p>
            <w:r>
              <w:t>试验参与者在接受任何研究相关筛选、给药、评估或样本采集前，必须签署并注明日期的知情同意书。</w:t>
            </w:r>
          </w:p>
        </w:tc>
        <w:tc>
          <w:tcPr>
            <w:tcW w:type="dxa" w:w="3297"/>
          </w:tcPr>
          <w:p>
            <w:r>
              <w:t>具体研究相关筛选、给药、评估或样本采集节点需由方案流程事实逐项绑定。</w:t>
            </w:r>
          </w:p>
        </w:tc>
      </w:tr>
      <w:tr>
        <w:tc>
          <w:tcPr>
            <w:tcW w:type="dxa" w:w="3297"/>
          </w:tcPr>
          <w:p>
            <w:r>
              <w:t>责任与授权</w:t>
            </w:r>
          </w:p>
        </w:tc>
        <w:tc>
          <w:tcPr>
            <w:tcW w:type="dxa" w:w="3297"/>
          </w:tcPr>
          <w:p>
            <w:r>
              <w:t>主要研究者对知情同意过程负总体责任；经培训并获授权的指定人员可执行知情同意，授权和培训记录归档。</w:t>
            </w:r>
          </w:p>
        </w:tc>
        <w:tc>
          <w:tcPr>
            <w:tcW w:type="dxa" w:w="3297"/>
          </w:tcPr>
          <w:p>
            <w:r>
              <w:t>授权人员名单、培训记录编号或归档位置待项目事实补充。</w:t>
            </w:r>
          </w:p>
        </w:tc>
      </w:tr>
      <w:tr>
        <w:tc>
          <w:tcPr>
            <w:tcW w:type="dxa" w:w="3297"/>
          </w:tcPr>
          <w:p>
            <w:r>
              <w:t>知情同意过程</w:t>
            </w:r>
          </w:p>
        </w:tc>
        <w:tc>
          <w:tcPr>
            <w:tcW w:type="dxa" w:w="3297"/>
          </w:tcPr>
          <w:p>
            <w:r>
              <w:t>由主要研究者或授权研究人员向试验参与者充分说明研究目的、程序、风险、获益、替代治疗、保密、补偿、自愿参与和退出权利；给予提问和考虑时间，试验参与者签署并注明日期，获得签名副本，过程记录于源文件。</w:t>
            </w:r>
          </w:p>
        </w:tc>
        <w:tc>
          <w:tcPr>
            <w:tcW w:type="dxa" w:w="3297"/>
          </w:tcPr>
          <w:p>
            <w:r>
              <w:t>数据管理、隐私、补偿的具体安排未在本表已确认事实中展开；缺失事实进入待补/建议解决。</w:t>
            </w:r>
          </w:p>
        </w:tc>
      </w:tr>
      <w:tr>
        <w:tc>
          <w:tcPr>
            <w:tcW w:type="dxa" w:w="3297"/>
          </w:tcPr>
          <w:p>
            <w:r>
              <w:t>能力与代理人</w:t>
            </w:r>
          </w:p>
        </w:tc>
        <w:tc>
          <w:tcPr>
            <w:tcW w:type="dxa" w:w="3297"/>
          </w:tcPr>
          <w:p>
            <w:r>
              <w:t>本研究纳入成人患者，原则上由具有完全民事行为能力的试验参与者本人签署知情同意书；如适用法规允许且试验参与者丧失同意能力，可由法定代理人签署，并在可能时取得试验参与者同意。</w:t>
            </w:r>
          </w:p>
        </w:tc>
        <w:tc>
          <w:tcPr>
            <w:tcW w:type="dxa" w:w="3297"/>
          </w:tcPr>
          <w:p>
            <w:r>
              <w:t>代理人签署的具体文件要求和试验参与者同意的记录方式待项目事实补充。</w:t>
            </w:r>
          </w:p>
        </w:tc>
      </w:tr>
      <w:tr>
        <w:tc>
          <w:tcPr>
            <w:tcW w:type="dxa" w:w="3297"/>
          </w:tcPr>
          <w:p>
            <w:r>
              <w:t>见证</w:t>
            </w:r>
          </w:p>
        </w:tc>
        <w:tc>
          <w:tcPr>
            <w:tcW w:type="dxa" w:w="3297"/>
          </w:tcPr>
          <w:p>
            <w:r>
              <w:t>如试验参与者不能阅读或存在阅读障碍，由与本研究无关的公正见证人观察知情同意过程，见证人签署并注明日期；见证人不得参与本研究。</w:t>
            </w:r>
          </w:p>
        </w:tc>
        <w:tc>
          <w:tcPr>
            <w:tcW w:type="dxa" w:w="3297"/>
          </w:tcPr>
          <w:p>
            <w:r>
              <w:t>见证人安排仅在适用情形使用，不作为普遍替代。</w:t>
            </w:r>
          </w:p>
        </w:tc>
      </w:tr>
      <w:tr>
        <w:tc>
          <w:tcPr>
            <w:tcW w:type="dxa" w:w="3297"/>
          </w:tcPr>
          <w:p>
            <w:r>
              <w:t>新信息处理</w:t>
            </w:r>
          </w:p>
        </w:tc>
        <w:tc>
          <w:tcPr>
            <w:tcW w:type="dxa" w:w="3297"/>
          </w:tcPr>
          <w:p>
            <w:r>
              <w:t>知情同意书或研究信息发生可能影响试验参与者继续参与意愿的更新时，及时获得伦理批准并向试验参与者提供新信息，必要时重新签署知情同意书。</w:t>
            </w:r>
          </w:p>
        </w:tc>
        <w:tc>
          <w:tcPr>
            <w:tcW w:type="dxa" w:w="3297"/>
          </w:tcPr>
          <w:p>
            <w:r>
              <w:t>重新签署的判断标准与记录路径待项目事实补充。</w:t>
            </w:r>
          </w:p>
        </w:tc>
      </w:tr>
    </w:tbl>
    <w:p>
      <w:pPr/>
      <w:r>
        <w:t xml:space="preserve"> 数据管理、隐私、未来使用及补偿的具体安排如未在本章已确认事实中给出，应进入待补/建议解决；不得标记为不适用。</w:t>
      </w:r>
    </w:p>
    <w:p>
      <w:pPr/>
      <w:r>
        <w:t xml:space="preserve"> 未来使用授权不得由本章普通知情同意推定；如涉及未来使用，需依据适用法规、伦理要求和单独确认安排处理。</w:t>
      </w:r>
    </w:p>
    <w:p>
      <w:bookmarkStart w:id="14347" w:name="chap_v2_n_13_3"/>
      <w:pPr>
        <w:pStyle w:val="2"/>
      </w:pPr>
      <w:r>
        <w:t>保密和隐私</w:t>
      </w:r>
      <w:bookmarkEnd w:id="14347"/>
    </w:p>
    <w:p>
      <w:r>
        <w:t>本试验对试验参与者相关数据、样本及身份标识关联信息采取保密与隐私保护措施。</w:t>
      </w:r>
    </w:p>
    <w:p>
      <w:r>
        <w:t>试验参与者数据使用唯一试验参与者编号进行编码，分析数据库、统计分析报告和出版物中不包含姓名、身份证号等直接身份标识。</w:t>
      </w:r>
    </w:p>
    <w:p>
      <w:r>
        <w:t>样本和试验参与者数据均使用唯一试验参与者编号进行编码；编码与身份标识的关联信息由研究中心按适用法规和伦理要求保存，分析数据库、统计分析报告和出版物中不包含姓名、身份证号等直接身份标识。</w:t>
      </w:r>
    </w:p>
    <w:p>
      <w:r>
        <w:t>试验参与者数据仅在适用法规和伦理要求允许的范围内向申办者、监查员、稽查员、伦理委员会和监管机构等授权方披露。</w:t>
      </w:r>
    </w:p>
    <w:p>
      <w:r>
        <w:t>仅经授权的研究者、申办者代表、监查员、稽查员、伦理委员会和监管机构人员可在履行职责必需范围内访问试验参与者相关记录；访问权限按最小化原则控制，并采取保密措施。</w:t>
      </w:r>
    </w:p>
    <w:p>
      <w:r>
        <w:t>数据转移应符合适用隐私和数据保护法规；向申办者或第三方转移数据时，应使用去标识化数据，必要时签署数据传输协议。</w:t>
      </w:r>
    </w:p>
    <w:p>
      <w:r>
        <w:t>编码与试验参与者身份标识的关联信息由研究中心按适用法规和伦理要求保存，并在保存期限届满后按规定销毁或去标识化。</w:t>
      </w:r>
    </w:p>
    <w:p>
      <w:bookmarkStart w:id="69070" w:name="tbl_70"/>
      <w:r>
        <w:t>表70 保密和隐私</w:t>
      </w:r>
      <w:bookmarkEnd w:id="69070"/>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数据编码</w:t>
            </w:r>
          </w:p>
        </w:tc>
        <w:tc>
          <w:tcPr>
            <w:tcW w:type="dxa" w:w="4946"/>
          </w:tcPr>
          <w:p>
            <w:r>
              <w:rPr>
                <w:b/>
              </w:rPr>
              <w:t>试验参与者数据使用唯一试验参与者编号进行编码，分析数据库、统计分析报告和出版物中不包含姓名、身份证号等直接身份标识。</w:t>
            </w:r>
          </w:p>
        </w:tc>
      </w:tr>
      <w:tr>
        <w:tc>
          <w:tcPr>
            <w:tcW w:type="dxa" w:w="4946"/>
          </w:tcPr>
          <w:p>
            <w:r>
              <w:t>样本编码</w:t>
            </w:r>
          </w:p>
        </w:tc>
        <w:tc>
          <w:tcPr>
            <w:tcW w:type="dxa" w:w="4946"/>
          </w:tcPr>
          <w:p>
            <w:r>
              <w:t>样本和试验参与者数据均使用唯一试验参与者编号进行编码；编码与身份标识的关联信息由研究中心按适用法规和伦理要求保存，分析数据库、统计分析报告和出版物中不包含姓名、身份证号等直接身份标识。</w:t>
            </w:r>
          </w:p>
        </w:tc>
      </w:tr>
      <w:tr>
        <w:tc>
          <w:tcPr>
            <w:tcW w:type="dxa" w:w="4946"/>
          </w:tcPr>
          <w:p>
            <w:r>
              <w:t>数据接收方</w:t>
            </w:r>
          </w:p>
        </w:tc>
        <w:tc>
          <w:tcPr>
            <w:tcW w:type="dxa" w:w="4946"/>
          </w:tcPr>
          <w:p>
            <w:r>
              <w:t>试验参与者数据仅在适用法规和伦理要求允许的范围内向申办者、监查员、稽查员、伦理委员会和监管机构等授权方披露。</w:t>
            </w:r>
          </w:p>
        </w:tc>
      </w:tr>
      <w:tr>
        <w:tc>
          <w:tcPr>
            <w:tcW w:type="dxa" w:w="4946"/>
          </w:tcPr>
          <w:p>
            <w:r>
              <w:t>访问控制</w:t>
            </w:r>
          </w:p>
        </w:tc>
        <w:tc>
          <w:tcPr>
            <w:tcW w:type="dxa" w:w="4946"/>
          </w:tcPr>
          <w:p>
            <w:r>
              <w:t>仅经授权的研究者、申办者代表、监查员、稽查员、伦理委员会和监管机构人员可在履行职责必需范围内访问试验参与者相关记录；访问权限按最小化原则控制，并采取保密措施。</w:t>
            </w:r>
          </w:p>
        </w:tc>
      </w:tr>
      <w:tr>
        <w:tc>
          <w:tcPr>
            <w:tcW w:type="dxa" w:w="4946"/>
          </w:tcPr>
          <w:p>
            <w:r>
              <w:t>数据转移</w:t>
            </w:r>
          </w:p>
        </w:tc>
        <w:tc>
          <w:tcPr>
            <w:tcW w:type="dxa" w:w="4946"/>
          </w:tcPr>
          <w:p>
            <w:r>
              <w:t>数据转移应符合适用隐私和数据保护法规；向申办者或第三方转移数据时，应使用去标识化数据，必要时签署数据传输协议。</w:t>
            </w:r>
          </w:p>
        </w:tc>
      </w:tr>
      <w:tr>
        <w:tc>
          <w:tcPr>
            <w:tcW w:type="dxa" w:w="4946"/>
          </w:tcPr>
          <w:p>
            <w:r>
              <w:t>保存与关联信息</w:t>
            </w:r>
          </w:p>
        </w:tc>
        <w:tc>
          <w:tcPr>
            <w:tcW w:type="dxa" w:w="4946"/>
          </w:tcPr>
          <w:p>
            <w:r>
              <w:t>编码与试验参与者身份标识的关联信息由研究中心按适用法规和伦理要求保存，并在保存期限届满后按规定销毁或去标识化。</w:t>
            </w:r>
          </w:p>
        </w:tc>
      </w:tr>
    </w:tbl>
    <w:p>
      <w:bookmarkStart w:id="98347" w:name="chap_v2_n_13_4"/>
      <w:pPr>
        <w:pStyle w:val="2"/>
      </w:pPr>
      <w:r>
        <w:t>试验参与者的补偿、赔偿与保险</w:t>
      </w:r>
      <w:bookmarkEnd w:id="98347"/>
    </w:p>
    <w:p>
      <w:r>
        <w:t>试验参与者的补偿、赔偿与保险安排按以下已确认项目事实执行。</w:t>
      </w:r>
    </w:p>
    <w:p>
      <w:bookmarkStart w:id="42483" w:name="tbl_71"/>
      <w:r>
        <w:t>表71 试验参与者的补偿、赔偿与保险</w:t>
      </w:r>
      <w:bookmarkEnd w:id="42483"/>
    </w:p>
    <w:tbl>
      <w:tblPr>
        <w:tblStyle w:val="28"/>
        <w:tblW w:type="auto" w:w="0"/>
        <w:tblLook w:firstColumn="1" w:firstRow="1" w:lastColumn="0" w:lastRow="0" w:noHBand="0" w:noVBand="1" w:val="04A0"/>
      </w:tblPr>
      <w:tblGrid>
        <w:gridCol w:w="4946"/>
        <w:gridCol w:w="4946"/>
      </w:tblGrid>
      <w:tr>
        <w:trPr>
          <w:tblHeader w:val="true"/>
        </w:trPr>
        <w:tc>
          <w:tcPr>
            <w:tcW w:type="dxa" w:w="4946"/>
          </w:tcPr>
          <w:p>
            <w:r>
              <w:rPr>
                <w:b/>
              </w:rPr>
              <w:t>事项</w:t>
            </w:r>
          </w:p>
        </w:tc>
        <w:tc>
          <w:tcPr>
            <w:tcW w:type="dxa" w:w="4946"/>
          </w:tcPr>
          <w:p>
            <w:r>
              <w:rPr>
                <w:b/>
              </w:rPr>
              <w:t>已确认项目事实</w:t>
            </w:r>
          </w:p>
        </w:tc>
      </w:tr>
      <w:tr>
        <w:tc>
          <w:tcPr>
            <w:tcW w:type="dxa" w:w="4946"/>
          </w:tcPr>
          <w:p>
            <w:r>
              <w:t>补偿安排</w:t>
            </w:r>
          </w:p>
        </w:tc>
        <w:tc>
          <w:tcPr>
            <w:tcW w:type="dxa" w:w="4946"/>
          </w:tcPr>
          <w:p>
            <w:r>
              <w:t>试验相关损害由申办方依法承担赔偿责任并提供相应补偿</w:t>
            </w:r>
          </w:p>
        </w:tc>
      </w:tr>
      <w:tr>
        <w:tc>
          <w:tcPr>
            <w:tcW w:type="dxa" w:w="4946"/>
          </w:tcPr>
          <w:p>
            <w:r>
              <w:t>试验相关损害处理程序</w:t>
            </w:r>
          </w:p>
        </w:tc>
        <w:tc>
          <w:tcPr>
            <w:tcW w:type="dxa" w:w="4946"/>
          </w:tcPr>
          <w:p>
            <w:r>
              <w:t>研究者立即处置并记录试验相关损害；申办方承担治疗费用并依法补偿</w:t>
            </w:r>
          </w:p>
        </w:tc>
      </w:tr>
      <w:tr>
        <w:tc>
          <w:tcPr>
            <w:tcW w:type="dxa" w:w="4946"/>
          </w:tcPr>
          <w:p>
            <w:r>
              <w:t>保险或保障</w:t>
            </w:r>
          </w:p>
        </w:tc>
        <w:tc>
          <w:tcPr>
            <w:tcW w:type="dxa" w:w="4946"/>
          </w:tcPr>
          <w:p>
            <w:r>
              <w:t>申办方为本试验购买临床试验责任保险</w:t>
            </w:r>
          </w:p>
        </w:tc>
      </w:tr>
      <w:tr>
        <w:tc>
          <w:tcPr>
            <w:tcW w:type="dxa" w:w="4946"/>
          </w:tcPr>
          <w:p>
            <w:r>
              <w:t>责任联系人</w:t>
            </w:r>
          </w:p>
        </w:tc>
        <w:tc>
          <w:tcPr>
            <w:tcW w:type="dxa" w:w="4946"/>
          </w:tcPr>
          <w:p>
            <w:r>
              <w:t>申办方医学监察员及药物安全负责人（联系方式见中心启动资料）</w:t>
            </w:r>
          </w:p>
        </w:tc>
      </w:tr>
      <w:tr>
        <w:tc>
          <w:tcPr>
            <w:tcW w:type="dxa" w:w="4946"/>
          </w:tcPr>
          <w:p>
            <w:r>
              <w:t>缺失事实解决</w:t>
            </w:r>
          </w:p>
        </w:tc>
        <w:tc>
          <w:tcPr>
            <w:tcW w:type="dxa" w:w="4946"/>
          </w:tcPr>
          <w:p>
            <w:r>
              <w:t>补偿与损害处理条款以临床试验协议为准</w:t>
            </w:r>
          </w:p>
        </w:tc>
      </w:tr>
    </w:tbl>
    <w:p>
      <w:r>
        <w:t>试验相关损害的处理程序、补偿责任和保险安排以已确认项目事实为准；补偿与损害处理条款以临床试验协议为准。</w:t>
      </w:r>
    </w:p>
    <w:p>
      <w:bookmarkStart w:id="3381" w:name="chap_v2_n_14_1"/>
      <w:pPr>
        <w:pStyle w:val="2"/>
      </w:pPr>
      <w:r>
        <w:t>质量源于设计与风险管理</w:t>
      </w:r>
      <w:bookmarkEnd w:id="3381"/>
    </w:p>
    <w:p>
      <w:r>
        <w:t>本试验适用质量源于设计与风险管理。风险管理计划与关键质量因素覆盖主要终点临床缓解评估、随机化与盲法维持、FAS分析集完整性、缺失数据处理、ICE处理、SNOT-22固定序列检验及Lund-Kennedy描述性分析等。</w:t>
      </w:r>
    </w:p>
    <w:p>
      <w:r>
        <w:t>质量决策应与数据审查关联：定期审查关键风险指标（如缺失率、ICE发生率、方案偏离、盲法破坏、中心间终点评估差异），并据此调整监查、培训或数据核查计划。</w:t>
      </w:r>
    </w:p>
    <w:p>
      <w:bookmarkStart w:id="78248" w:name="tbl_72"/>
      <w:r>
        <w:t>表72 质量源于设计与风险管理</w:t>
      </w:r>
      <w:bookmarkEnd w:id="78248"/>
    </w:p>
    <w:tbl>
      <w:tblPr>
        <w:tblStyle w:val="28"/>
        <w:tblW w:type="auto" w:w="0"/>
        <w:tblLook w:firstColumn="1" w:firstRow="1" w:lastColumn="0" w:lastRow="0" w:noHBand="0" w:noVBand="1" w:val="04A0"/>
      </w:tblPr>
      <w:tblGrid>
        <w:gridCol w:w="1978"/>
        <w:gridCol w:w="1978"/>
        <w:gridCol w:w="1978"/>
        <w:gridCol w:w="1978"/>
        <w:gridCol w:w="1978"/>
      </w:tblGrid>
      <w:tr>
        <w:trPr>
          <w:tblHeader w:val="true"/>
        </w:trPr>
        <w:tc>
          <w:tcPr>
            <w:tcW w:type="dxa" w:w="1978"/>
          </w:tcPr>
          <w:p>
            <w:r>
              <w:rPr>
                <w:b/>
              </w:rPr>
              <w:t>关键质量因素</w:t>
            </w:r>
          </w:p>
        </w:tc>
        <w:tc>
          <w:tcPr>
            <w:tcW w:type="dxa" w:w="1978"/>
          </w:tcPr>
          <w:p>
            <w:r>
              <w:rPr>
                <w:b/>
              </w:rPr>
              <w:t>关联风险</w:t>
            </w:r>
          </w:p>
        </w:tc>
        <w:tc>
          <w:tcPr>
            <w:tcW w:type="dxa" w:w="1978"/>
          </w:tcPr>
          <w:p>
            <w:r>
              <w:rPr>
                <w:b/>
              </w:rPr>
              <w:t>相称控制</w:t>
            </w:r>
          </w:p>
        </w:tc>
        <w:tc>
          <w:tcPr>
            <w:tcW w:type="dxa" w:w="1978"/>
          </w:tcPr>
          <w:p>
            <w:r>
              <w:rPr>
                <w:b/>
              </w:rPr>
              <w:t>责任角色</w:t>
            </w:r>
          </w:p>
        </w:tc>
        <w:tc>
          <w:tcPr>
            <w:tcW w:type="dxa" w:w="1978"/>
          </w:tcPr>
          <w:p>
            <w:r>
              <w:rPr>
                <w:b/>
              </w:rPr>
              <w:t>重要决策/数据复核联动</w:t>
            </w:r>
          </w:p>
        </w:tc>
      </w:tr>
      <w:tr>
        <w:tc>
          <w:tcPr>
            <w:tcW w:type="dxa" w:w="1978"/>
          </w:tcPr>
          <w:p>
            <w:r>
              <w:t>主要终点临床缓解的准确评估（双侧NPS≤1且鼻塞VAS≤1）</w:t>
            </w:r>
          </w:p>
        </w:tc>
        <w:tc>
          <w:tcPr>
            <w:tcW w:type="dxa" w:w="1978"/>
          </w:tcPr>
          <w:p>
            <w:r>
              <w:t>主要终点临床缓解（NPS≤1且鼻塞VAS≤1）评估的测量偏倚和中心间差异</w:t>
            </w:r>
          </w:p>
        </w:tc>
        <w:tc>
          <w:tcPr>
            <w:tcW w:type="dxa" w:w="1978"/>
          </w:tcPr>
          <w:p>
            <w:r>
              <w:t>研究者培训、关键终点评估培训、现场和中心化监查、源数据核查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定期审查中心间终点评估差异，并据此调整监查、培训或数据核查计划。</w:t>
            </w:r>
          </w:p>
        </w:tc>
      </w:tr>
      <w:tr>
        <w:tc>
          <w:tcPr>
            <w:tcW w:type="dxa" w:w="1978"/>
          </w:tcPr>
          <w:p>
            <w:r>
              <w:t>随机化与盲法维持</w:t>
            </w:r>
          </w:p>
        </w:tc>
        <w:tc>
          <w:tcPr>
            <w:tcW w:type="dxa" w:w="1978"/>
          </w:tcPr>
          <w:p>
            <w:r>
              <w:t>随机化和双盲维持不当导致偏倚；方案偏离；研究药物给药错误</w:t>
            </w:r>
          </w:p>
        </w:tc>
        <w:tc>
          <w:tcPr>
            <w:tcW w:type="dxa" w:w="1978"/>
          </w:tcPr>
          <w:p>
            <w:r>
              <w:t>研究者培训、现场和中心化监查、源数据核查、药物管理核查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定期审查盲法破坏和方案偏离，并据此调整监查、培训或数据核查计划。</w:t>
            </w:r>
          </w:p>
        </w:tc>
      </w:tr>
      <w:tr>
        <w:tc>
          <w:tcPr>
            <w:tcW w:type="dxa" w:w="1978"/>
          </w:tcPr>
          <w:p>
            <w:r>
              <w:t>FAS分析集的完整性和缺失数据处理（NRI及tipping point敏感性分析）</w:t>
            </w:r>
          </w:p>
        </w:tc>
        <w:tc>
          <w:tcPr>
            <w:tcW w:type="dxa" w:w="1978"/>
          </w:tcPr>
          <w:p>
            <w:r>
              <w:t>8%失访及ICE事件处理不当影响主要分析；数据记录不完整或错误</w:t>
            </w:r>
          </w:p>
        </w:tc>
        <w:tc>
          <w:tcPr>
            <w:tcW w:type="dxa" w:w="1978"/>
          </w:tcPr>
          <w:p>
            <w:r>
              <w:t>数据管理和统计分析中的核查、源数据核查、现场和中心化监查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定期审查缺失率、ICE发生率和数据记录完整性，并据此调整监查、培训或数据核查计划。</w:t>
            </w:r>
          </w:p>
        </w:tc>
      </w:tr>
      <w:tr>
        <w:tc>
          <w:tcPr>
            <w:tcW w:type="dxa" w:w="1978"/>
          </w:tcPr>
          <w:p>
            <w:r>
              <w:t>ICE按治疗策略处理</w:t>
            </w:r>
          </w:p>
        </w:tc>
        <w:tc>
          <w:tcPr>
            <w:tcW w:type="dxa" w:w="1978"/>
          </w:tcPr>
          <w:p>
            <w:r>
              <w:t>ICE事件处理不当影响主要分析</w:t>
            </w:r>
          </w:p>
        </w:tc>
        <w:tc>
          <w:tcPr>
            <w:tcW w:type="dxa" w:w="1978"/>
          </w:tcPr>
          <w:p>
            <w:r>
              <w:t>研究者培训、现场和中心化监查、源数据核查、数据管理和统计分析中的核查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定期审查ICE发生率，并据此调整监查、培训或数据核查计划。</w:t>
            </w:r>
          </w:p>
        </w:tc>
      </w:tr>
      <w:tr>
        <w:tc>
          <w:tcPr>
            <w:tcW w:type="dxa" w:w="1978"/>
          </w:tcPr>
          <w:p>
            <w:r>
              <w:t>SNOT-22作为关键次要终点的固定序列检验</w:t>
            </w:r>
          </w:p>
        </w:tc>
        <w:tc>
          <w:tcPr>
            <w:tcW w:type="dxa" w:w="1978"/>
          </w:tcPr>
          <w:p>
            <w:r>
              <w:t>SNOT-22和Lund-Kennedy评估不一致；数据记录不完整或错误</w:t>
            </w:r>
          </w:p>
        </w:tc>
        <w:tc>
          <w:tcPr>
            <w:tcW w:type="dxa" w:w="1978"/>
          </w:tcPr>
          <w:p>
            <w:r>
              <w:t>关键终点评估培训、现场和中心化监查、源数据核查、数据管理和统计分析中的核查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定期审查SNOT-22评估差异和数据记录完整性，并据此调整监查、培训或数据核查计划。</w:t>
            </w:r>
          </w:p>
        </w:tc>
      </w:tr>
      <w:tr>
        <w:tc>
          <w:tcPr>
            <w:tcW w:type="dxa" w:w="1978"/>
          </w:tcPr>
          <w:p>
            <w:r>
              <w:t>Lund-Kennedy内镜评分的描述性分析</w:t>
            </w:r>
          </w:p>
        </w:tc>
        <w:tc>
          <w:tcPr>
            <w:tcW w:type="dxa" w:w="1978"/>
          </w:tcPr>
          <w:p>
            <w:r>
              <w:t>SNOT-22和Lund-Kennedy评估不一致；数据记录不完整或错误</w:t>
            </w:r>
          </w:p>
        </w:tc>
        <w:tc>
          <w:tcPr>
            <w:tcW w:type="dxa" w:w="1978"/>
          </w:tcPr>
          <w:p>
            <w:r>
              <w:t>关键终点评估培训、现场和中心化监查、源数据核查、数据管理和统计分析中的核查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定期审查Lund-Kennedy评估差异和数据记录完整性，并据此调整监查、培训或数据核查计划。</w:t>
            </w:r>
          </w:p>
        </w:tc>
      </w:tr>
      <w:tr>
        <w:tc>
          <w:tcPr>
            <w:tcW w:type="dxa" w:w="1978"/>
          </w:tcPr>
          <w:p>
            <w:r>
              <w:t>背景鼻用激素的稳定使用记录</w:t>
            </w:r>
          </w:p>
        </w:tc>
        <w:tc>
          <w:tcPr>
            <w:tcW w:type="dxa" w:w="1978"/>
          </w:tcPr>
          <w:p>
            <w:r>
              <w:t>方案偏离；数据记录不完整或错误</w:t>
            </w:r>
          </w:p>
        </w:tc>
        <w:tc>
          <w:tcPr>
            <w:tcW w:type="dxa" w:w="1978"/>
          </w:tcPr>
          <w:p>
            <w:r>
              <w:t>研究者培训、现场和中心化监查、源数据核查、数据管理和统计分析中的核查</w:t>
            </w:r>
          </w:p>
        </w:tc>
        <w:tc>
          <w:tcPr>
            <w:tcW w:type="dxa" w:w="1978"/>
          </w:tcPr>
          <w:p>
            <w:r>
              <w:t>申办者负责建立质量体系并确保与风险相称的质量控制；研究者负责研究中心现场的数据质量、方案依从和试验参与者安全。</w:t>
            </w:r>
          </w:p>
        </w:tc>
        <w:tc>
          <w:tcPr>
            <w:tcW w:type="dxa" w:w="1978"/>
          </w:tcPr>
          <w:p>
            <w:r>
              <w:t>定期审查背景鼻用激素稳定使用记录相关方案偏离和数据记录完整性，并据此调整监查、培训或数据核查计划。</w:t>
            </w:r>
          </w:p>
        </w:tc>
      </w:tr>
    </w:tbl>
    <w:p>
      <w:r>
        <w:t>上述控制措施与所对应风险相称，并由申办者与研究者按责任角色落实；质量活动与试验重要决策及数据复核保持联动。</w:t>
      </w:r>
    </w:p>
    <w:p>
      <w:bookmarkStart w:id="76901" w:name="chap_v2_n_14_2"/>
      <w:pPr>
        <w:pStyle w:val="2"/>
      </w:pPr>
      <w:r>
        <w:t>对申办者的要求</w:t>
      </w:r>
      <w:bookmarkEnd w:id="76901"/>
    </w:p>
    <w:p>
      <w:r>
        <w:t>14.2 申办者责任、监督、委派与记录</w:t>
      </w:r>
    </w:p>
    <w:p>
      <w:r>
        <w:t>本节依据已确认的项目事实，对申办者责任、监督与委派、质量体系、记录与报告以及培训义务进行逐项登记。下列内容为项目事实登记，不构成方案接受已签署、培训已完成或质量体系已批准的声明。</w:t>
      </w:r>
    </w:p>
    <w:p>
      <w:bookmarkStart w:id="79335" w:name="tbl_73"/>
      <w:r>
        <w:t>表73 对申办者的要求</w:t>
      </w:r>
      <w:bookmarkEnd w:id="79335"/>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试验实施</w:t>
            </w:r>
          </w:p>
        </w:tc>
        <w:tc>
          <w:tcPr>
            <w:tcW w:type="dxa" w:w="3297"/>
          </w:tcPr>
          <w:p>
            <w:r>
              <w:rPr>
                <w:b/>
              </w:rPr>
              <w:t>申办者负责发起、管理和资助本试验，确保试验按照已批准方案、GCP和适用法规实施。</w:t>
            </w:r>
          </w:p>
        </w:tc>
        <w:tc>
          <w:tcPr>
            <w:tcW w:type="dxa" w:w="3297"/>
          </w:tcPr>
          <w:p>
            <w:r>
              <w:rPr>
                <w:b/>
              </w:rPr>
              <w:t>登记为项目事实；不表示方案接受已签署。</w:t>
            </w:r>
          </w:p>
        </w:tc>
      </w:tr>
      <w:tr>
        <w:tc>
          <w:tcPr>
            <w:tcW w:type="dxa" w:w="3297"/>
          </w:tcPr>
          <w:p>
            <w:r>
              <w:t>监督与委派</w:t>
            </w:r>
          </w:p>
        </w:tc>
        <w:tc>
          <w:tcPr>
            <w:tcW w:type="dxa" w:w="3297"/>
          </w:tcPr>
          <w:p>
            <w:r>
              <w:t>申办者可将部分试验任务委派给有资质的第三方，但应进行监督并确保被委派方遵守方案、GCP和适用法规；委派应有书面记录。</w:t>
            </w:r>
          </w:p>
        </w:tc>
        <w:tc>
          <w:tcPr>
            <w:tcW w:type="dxa" w:w="3297"/>
          </w:tcPr>
          <w:p>
            <w:r>
              <w:t>登记为项目事实；不表示委派记录已存在或监督已完成。</w:t>
            </w:r>
          </w:p>
        </w:tc>
      </w:tr>
      <w:tr>
        <w:tc>
          <w:tcPr>
            <w:tcW w:type="dxa" w:w="3297"/>
          </w:tcPr>
          <w:p>
            <w:r>
              <w:t>质量体系</w:t>
            </w:r>
          </w:p>
        </w:tc>
        <w:tc>
          <w:tcPr>
            <w:tcW w:type="dxa" w:w="3297"/>
          </w:tcPr>
          <w:p>
            <w:r>
              <w:t>申办者应建立并维护质量体系，包括书面标准操作规程、培训、质量控制和质量保证活动，以确保试验质量和数据可靠性。</w:t>
            </w:r>
          </w:p>
        </w:tc>
        <w:tc>
          <w:tcPr>
            <w:tcW w:type="dxa" w:w="3297"/>
          </w:tcPr>
          <w:p>
            <w:r>
              <w:t>登记为项目事实；不表示质量体系已批准。</w:t>
            </w:r>
          </w:p>
        </w:tc>
      </w:tr>
      <w:tr>
        <w:tc>
          <w:tcPr>
            <w:tcW w:type="dxa" w:w="3297"/>
          </w:tcPr>
          <w:p>
            <w:r>
              <w:t>记录与报告</w:t>
            </w:r>
          </w:p>
        </w:tc>
        <w:tc>
          <w:tcPr>
            <w:tcW w:type="dxa" w:w="3297"/>
          </w:tcPr>
          <w:p>
            <w:r>
              <w:t>申办者应保存与试验相关的记录和报告，并按规定向监管机构、伦理委员会和其他相关方报告安全性信息和试验进展。</w:t>
            </w:r>
          </w:p>
        </w:tc>
        <w:tc>
          <w:tcPr>
            <w:tcW w:type="dxa" w:w="3297"/>
          </w:tcPr>
          <w:p>
            <w:r>
              <w:t>登记为项目事实；不表示记录已实际保存或报告已提交。</w:t>
            </w:r>
          </w:p>
        </w:tc>
      </w:tr>
      <w:tr>
        <w:tc>
          <w:tcPr>
            <w:tcW w:type="dxa" w:w="3297"/>
          </w:tcPr>
          <w:p>
            <w:r>
              <w:t>培训义务</w:t>
            </w:r>
          </w:p>
        </w:tc>
        <w:tc>
          <w:tcPr>
            <w:tcW w:type="dxa" w:w="3297"/>
          </w:tcPr>
          <w:p>
            <w:r>
              <w:t>申办者应确保参与试验的所有人员接受与其职责相适应的培训，包括方案、GCP、保密和安全性报告要求。</w:t>
            </w:r>
          </w:p>
        </w:tc>
        <w:tc>
          <w:tcPr>
            <w:tcW w:type="dxa" w:w="3297"/>
          </w:tcPr>
          <w:p>
            <w:r>
              <w:t>登记为项目事实；不表示培训已完成。</w:t>
            </w:r>
          </w:p>
        </w:tc>
      </w:tr>
    </w:tbl>
    <w:p>
      <w:r>
        <w:t>申办者、监查员与研究者责任分别登记；本节仅登记申办者责任，不代写或推导14.3监查员责任及14.4研究者责任。</w:t>
      </w:r>
    </w:p>
    <w:p>
      <w:bookmarkStart w:id="31124" w:name="chap_v2_n_14_3"/>
      <w:pPr>
        <w:pStyle w:val="2"/>
      </w:pPr>
      <w:r>
        <w:t>申办者或其代表委派的监查员职责</w:t>
      </w:r>
      <w:bookmarkEnd w:id="31124"/>
    </w:p>
    <w:p>
      <w:r>
        <w:t>本节监查安排如下：监查应基于风险，范围与频率应与试验的复杂性、关键终点和潜在风险相称；监查范围包括知情同意、试验参与者合格性、主要终点和次要终点评估（NPS、鼻塞VAS、SNOT-22、Lund-Kennedy）、随机化和盲法、研究药物管理、方案依从性、源数据与病例报告表一致性、安全性报告和试验记录保存。</w:t>
      </w:r>
    </w:p>
    <w:p>
      <w:bookmarkStart w:id="73012" w:name="tbl_74"/>
      <w:r>
        <w:t>表74 申办者或其代表委派的监查员职责</w:t>
      </w:r>
      <w:bookmarkEnd w:id="73012"/>
    </w:p>
    <w:tbl>
      <w:tblPr>
        <w:tblStyle w:val="28"/>
        <w:tblW w:type="auto" w:w="0"/>
        <w:tblLook w:firstColumn="1" w:firstRow="1" w:lastColumn="0" w:lastRow="0" w:noHBand="0" w:noVBand="1" w:val="04A0"/>
      </w:tblPr>
      <w:tblGrid>
        <w:gridCol w:w="3297"/>
        <w:gridCol w:w="3297"/>
        <w:gridCol w:w="3297"/>
      </w:tblGrid>
      <w:tr>
        <w:tc>
          <w:tcPr>
            <w:tcW w:type="dxa" w:w="3297"/>
          </w:tcPr>
          <w:p>
            <w:r>
              <w:t>监查范围与程度</w:t>
            </w:r>
          </w:p>
        </w:tc>
        <w:tc>
          <w:tcPr>
            <w:tcW w:type="dxa" w:w="3297"/>
          </w:tcPr>
          <w:p>
            <w:r>
              <w:t>监查范围包括知情同意、试验参与者合格性、主要终点和次要终点评估（NPS、鼻塞VAS、SNOT-22、Lund-Kennedy）、随机化和盲法、研究药物管理、方案依从性、源数据与病例报告表一致性、安全性报告和试验记录保存。</w:t>
            </w:r>
          </w:p>
        </w:tc>
        <w:tc>
          <w:tcPr>
            <w:tcW w:type="dxa" w:w="3297"/>
          </w:tcPr>
          <w:p>
            <w:r>
              <w:t>监查活动应形成书面记录，包括监查计划、监查报告、沟通记录和措施跟踪记录；上述记录纳入监查记录保存范围。</w:t>
            </w:r>
          </w:p>
        </w:tc>
      </w:tr>
      <w:tr>
        <w:tc>
          <w:tcPr>
            <w:tcW w:type="dxa" w:w="3297"/>
          </w:tcPr>
          <w:p>
            <w:r>
              <w:t>比例化方式</w:t>
            </w:r>
          </w:p>
        </w:tc>
        <w:tc>
          <w:tcPr>
            <w:tcW w:type="dxa" w:w="3297"/>
          </w:tcPr>
          <w:p>
            <w:r>
              <w:t>监查应基于风险，范围与频率应与试验的复杂性、关键终点和潜在风险相称。</w:t>
            </w:r>
          </w:p>
        </w:tc>
        <w:tc>
          <w:tcPr>
            <w:tcW w:type="dxa" w:w="3297"/>
          </w:tcPr>
          <w:p>
            <w:r>
              <w:t>比例化方式及相应监查活动按监查计划、监查报告和措施跟踪记录留存。</w:t>
            </w:r>
          </w:p>
        </w:tc>
      </w:tr>
      <w:tr>
        <w:tc>
          <w:tcPr>
            <w:tcW w:type="dxa" w:w="3297"/>
          </w:tcPr>
          <w:p>
            <w:r>
              <w:t>监查方法</w:t>
            </w:r>
          </w:p>
        </w:tc>
        <w:tc>
          <w:tcPr>
            <w:tcW w:type="dxa" w:w="3297"/>
          </w:tcPr>
          <w:p>
            <w:r>
              <w:t>监查方法包括现场监查和中心化监查等，具体方法应基于风险确定。</w:t>
            </w:r>
          </w:p>
        </w:tc>
        <w:tc>
          <w:tcPr>
            <w:tcW w:type="dxa" w:w="3297"/>
          </w:tcPr>
          <w:p>
            <w:r>
              <w:t>具体方法及选择依据纳入监查计划与监查报告。</w:t>
            </w:r>
          </w:p>
        </w:tc>
      </w:tr>
      <w:tr>
        <w:tc>
          <w:tcPr>
            <w:tcW w:type="dxa" w:w="3297"/>
          </w:tcPr>
          <w:p>
            <w:r>
              <w:t>远程监查</w:t>
            </w:r>
          </w:p>
        </w:tc>
        <w:tc>
          <w:tcPr>
            <w:tcW w:type="dxa" w:w="3297"/>
          </w:tcPr>
          <w:p>
            <w:r>
              <w:t>本试验远程监查适用；远程监查活动应形成书面记录，包括监查计划、监查报告、沟通记录和措施跟踪记录。</w:t>
            </w:r>
          </w:p>
        </w:tc>
        <w:tc>
          <w:tcPr>
            <w:tcW w:type="dxa" w:w="3297"/>
          </w:tcPr>
          <w:p>
            <w:r>
              <w:t>远程监查记录纳入监查记录保存范围，其留存边界随试验记录保存安排执行，具体期限以相应记录保存要求为准。</w:t>
            </w:r>
          </w:p>
        </w:tc>
      </w:tr>
      <w:tr>
        <w:tc>
          <w:tcPr>
            <w:tcW w:type="dxa" w:w="3297"/>
          </w:tcPr>
          <w:p>
            <w:r>
              <w:t>监查发现与跟进</w:t>
            </w:r>
          </w:p>
        </w:tc>
        <w:tc>
          <w:tcPr>
            <w:tcW w:type="dxa" w:w="3297"/>
          </w:tcPr>
          <w:p>
            <w:r>
              <w:t>监查员应记录监查发现，及时向研究者和申办者报告，并跟踪纠正和预防措施直至解决。</w:t>
            </w:r>
          </w:p>
        </w:tc>
        <w:tc>
          <w:tcPr>
            <w:tcW w:type="dxa" w:w="3297"/>
          </w:tcPr>
          <w:p>
            <w:r>
              <w:t>监查发现、沟通和措施跟踪记录应可追溯；缺失信息按待补/建议解决流程处理。</w:t>
            </w:r>
          </w:p>
        </w:tc>
      </w:tr>
      <w:tr>
        <w:tc>
          <w:tcPr>
            <w:tcW w:type="dxa" w:w="3297"/>
          </w:tcPr>
          <w:p>
            <w:r>
              <w:t>监查员资格与授权</w:t>
            </w:r>
          </w:p>
        </w:tc>
        <w:tc>
          <w:tcPr>
            <w:tcW w:type="dxa" w:w="3297"/>
          </w:tcPr>
          <w:p>
            <w:r>
              <w:t>监查员应具备医学、药学、生物科学或相关领域背景，并应接受GCP和方案培训，有能力评估试验实施和数据质量；监查员资格与授权应登记为项目实际安排。</w:t>
            </w:r>
          </w:p>
        </w:tc>
        <w:tc>
          <w:tcPr>
            <w:tcW w:type="dxa" w:w="3297"/>
          </w:tcPr>
          <w:p>
            <w:r>
              <w:t>培训完成状态以项目记录为准，不在本节由职责意图推断为已完成。</w:t>
            </w:r>
          </w:p>
        </w:tc>
      </w:tr>
      <w:tr>
        <w:tc>
          <w:tcPr>
            <w:tcW w:type="dxa" w:w="3297"/>
          </w:tcPr>
          <w:p>
            <w:r>
              <w:t>监查记录</w:t>
            </w:r>
          </w:p>
        </w:tc>
        <w:tc>
          <w:tcPr>
            <w:tcW w:type="dxa" w:w="3297"/>
          </w:tcPr>
          <w:p>
            <w:r>
              <w:t>监查活动应形成书面记录，包括监查计划、监查报告、沟通记录和措施跟踪记录。</w:t>
            </w:r>
          </w:p>
        </w:tc>
        <w:tc>
          <w:tcPr>
            <w:tcW w:type="dxa" w:w="3297"/>
          </w:tcPr>
          <w:p>
            <w:r>
              <w:t>记录应可追溯；不以模板示例记录替代项目记录。</w:t>
            </w:r>
          </w:p>
        </w:tc>
      </w:tr>
    </w:tbl>
    <w:p>
      <w:r>
        <w:t>本试验远程监查适用。远程监查活动应形成书面记录，包括监查计划、监查报告、沟通记录和措施跟踪记录；远程监查记录纳入监查记录保存范围，其留存边界随试验记录保存安排执行，具体期限以相应记录保存要求为准。</w:t>
      </w:r>
    </w:p>
    <w:p>
      <w:r>
        <w:t>监查员应记录监查发现，及时向研究者和申办者报告，并跟踪纠正和预防措施直至解决。监查发现、跟进与记录应可追溯；缺失信息按待补/建议解决流程处理，不以模板示例记录替代项目记录。监查发现涉及试验参与者安全或权益时，应进入项目沟通与记录，不得留白。</w:t>
      </w:r>
    </w:p>
    <w:p>
      <w:r>
        <w:t>监查员应具备医学、药学、生物科学或相关领域背景，并应接受GCP和方案培训，有能力评估试验实施和数据质量。监查员资格与授权应登记为项目实际安排；培训完成状态以项目记录为准，不在本节由职责意图推断为已完成。</w:t>
      </w:r>
    </w:p>
    <w:p>
      <w:bookmarkStart w:id="30023" w:name="chap_v2_n_14_4"/>
      <w:pPr>
        <w:pStyle w:val="2"/>
      </w:pPr>
      <w:r>
        <w:t>对研究者的要求</w:t>
      </w:r>
      <w:bookmarkEnd w:id="30023"/>
    </w:p>
    <w:p>
      <w:r>
        <w:t>研究者负责按照已批准方案和GCP实施试验；可将部分任务委派给有资质的人员，但应有书面委派记录并保留监督责任。</w:t>
      </w:r>
    </w:p>
    <w:p>
      <w:r>
        <w:t>研究者应监督研究团队和试验相关医疗决策，确保试验参与者安全和数据质量。</w:t>
      </w:r>
    </w:p>
    <w:p>
      <w:r>
        <w:t>研究者应遵守方案要求，获取知情同意，按方案完成访视和评估，并及时报告方案偏离。</w:t>
      </w:r>
    </w:p>
    <w:p>
      <w:r>
        <w:t>研究者应保存源数据、病例报告表、知情同意文件、药物管理记录和其他试验相关记录，并确保数据可溯源。</w:t>
      </w:r>
    </w:p>
    <w:p>
      <w:r>
        <w:t>研究者应具备足够的时间、人员、设施和设备，以安全、规范地实施本试验，包括终点评估和内镜检查所需条件。</w:t>
      </w:r>
    </w:p>
    <w:p>
      <w:bookmarkStart w:id="4528" w:name="chap_v2_n_14_5"/>
      <w:pPr>
        <w:pStyle w:val="2"/>
      </w:pPr>
      <w:r>
        <w:t>稽查和视察</w:t>
      </w:r>
      <w:bookmarkEnd w:id="4528"/>
    </w:p>
    <w:p>
      <w:r>
        <w:t>稽查与视察是两类不同的程序，应分别安排、记录和沟通，不得合并为同一程序或相互替代。稽查是申办者或其委托方对试验相关活动和记录进行的独立质量保证活动；视察是监管机构对试验相关活动和记录进行的官方检查。</w:t>
      </w:r>
    </w:p>
    <w:p>
      <w:r>
        <w:t>申办者应建立独立于试验实施的质量保证稽查程序，稽查应基于风险，并覆盖关键数据和关键流程。稽查应保存稽查计划、稽查报告、沟通记录和纠正预防措施记录。稽查发现应形成书面报告，向申办者管理层和相关方沟通，并跟踪纠正和预防措施。</w:t>
      </w:r>
    </w:p>
    <w:p>
      <w:r>
        <w:t>视察时，监管机构应可访问试验设施、源数据、试验记录和人员；研究者和申办者应配合视察，并按适用法规通知相关方。视察访问、通知与配合安排应作为项目事实登记；涉及试验参与者记录时，相关安排应在项目事实中登记。视察特定记录、发现与整改沟通的项目细节尚待补充，相关事项按待补/建议解决处理。</w:t>
      </w:r>
    </w:p>
    <w:p>
      <w:bookmarkStart w:id="11865" w:name="tbl_75"/>
      <w:r>
        <w:t>表75 稽查和视察</w:t>
      </w:r>
      <w:bookmarkEnd w:id="11865"/>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维度</w:t>
            </w:r>
          </w:p>
        </w:tc>
        <w:tc>
          <w:tcPr>
            <w:tcW w:type="dxa" w:w="3297"/>
          </w:tcPr>
          <w:p>
            <w:r>
              <w:rPr>
                <w:b/>
              </w:rPr>
              <w:t>稽查</w:t>
            </w:r>
          </w:p>
        </w:tc>
        <w:tc>
          <w:tcPr>
            <w:tcW w:type="dxa" w:w="3297"/>
          </w:tcPr>
          <w:p>
            <w:r>
              <w:rPr>
                <w:b/>
              </w:rPr>
              <w:t>视察</w:t>
            </w:r>
          </w:p>
        </w:tc>
      </w:tr>
      <w:tr>
        <w:tc>
          <w:tcPr>
            <w:tcW w:type="dxa" w:w="3297"/>
          </w:tcPr>
          <w:p>
            <w:r>
              <w:t>程序性质</w:t>
            </w:r>
          </w:p>
        </w:tc>
        <w:tc>
          <w:tcPr>
            <w:tcW w:type="dxa" w:w="3297"/>
          </w:tcPr>
          <w:p>
            <w:r>
              <w:t>申办者或其委托方对试验相关活动和记录进行的独立质量保证活动。</w:t>
            </w:r>
          </w:p>
        </w:tc>
        <w:tc>
          <w:tcPr>
            <w:tcW w:type="dxa" w:w="3297"/>
          </w:tcPr>
          <w:p>
            <w:r>
              <w:t>监管机构对试验相关活动和记录进行的官方检查。</w:t>
            </w:r>
          </w:p>
        </w:tc>
      </w:tr>
      <w:tr>
        <w:tc>
          <w:tcPr>
            <w:tcW w:type="dxa" w:w="3297"/>
          </w:tcPr>
          <w:p>
            <w:r>
              <w:t>安排与独立性</w:t>
            </w:r>
          </w:p>
        </w:tc>
        <w:tc>
          <w:tcPr>
            <w:tcW w:type="dxa" w:w="3297"/>
          </w:tcPr>
          <w:p>
            <w:r>
              <w:t>申办者应建立独立于试验实施的质量保证稽查程序；稽查应基于风险，并覆盖关键数据和关键流程。</w:t>
            </w:r>
          </w:p>
        </w:tc>
        <w:tc>
          <w:tcPr>
            <w:tcW w:type="dxa" w:w="3297"/>
          </w:tcPr>
          <w:p>
            <w:r>
              <w:t>监管机构应可访问试验设施、源数据、试验记录和人员；研究者和申办者应配合视察，并按适用法规通知相关方。</w:t>
            </w:r>
          </w:p>
        </w:tc>
      </w:tr>
      <w:tr>
        <w:tc>
          <w:tcPr>
            <w:tcW w:type="dxa" w:w="3297"/>
          </w:tcPr>
          <w:p>
            <w:r>
              <w:t>记录</w:t>
            </w:r>
          </w:p>
        </w:tc>
        <w:tc>
          <w:tcPr>
            <w:tcW w:type="dxa" w:w="3297"/>
          </w:tcPr>
          <w:p>
            <w:r>
              <w:t>应保存稽查计划、稽查报告、沟通记录和纠正预防措施记录。</w:t>
            </w:r>
          </w:p>
        </w:tc>
        <w:tc>
          <w:tcPr>
            <w:tcW w:type="dxa" w:w="3297"/>
          </w:tcPr>
          <w:p>
            <w:r>
              <w:t>视察特定记录、发现与整改沟通的项目细节尚待补充，按待补/建议解决处理；涉及试验参与者记录时，相关安排应在项目事实中登记。</w:t>
            </w:r>
          </w:p>
        </w:tc>
      </w:tr>
      <w:tr>
        <w:tc>
          <w:tcPr>
            <w:tcW w:type="dxa" w:w="3297"/>
          </w:tcPr>
          <w:p>
            <w:r>
              <w:t>发现与沟通</w:t>
            </w:r>
          </w:p>
        </w:tc>
        <w:tc>
          <w:tcPr>
            <w:tcW w:type="dxa" w:w="3297"/>
          </w:tcPr>
          <w:p>
            <w:r>
              <w:t>稽查发现应形成书面报告，向申办者管理层和相关方沟通，并跟踪纠正和预防措施。</w:t>
            </w:r>
          </w:p>
        </w:tc>
        <w:tc>
          <w:tcPr>
            <w:tcW w:type="dxa" w:w="3297"/>
          </w:tcPr>
          <w:p>
            <w:r>
              <w:t>研究者和申办者应配合视察，并按适用法规通知相关方；视察访问、通知与配合安排应作为项目事实登记。</w:t>
            </w:r>
          </w:p>
        </w:tc>
      </w:tr>
    </w:tbl>
    <w:p>
      <w:bookmarkStart w:id="81182" w:name="chap_v2_n_14_6"/>
      <w:pPr>
        <w:pStyle w:val="2"/>
      </w:pPr>
      <w:r>
        <w:t>方案偏离</w:t>
      </w:r>
      <w:bookmarkEnd w:id="81182"/>
    </w:p>
    <w:p>
      <w:r>
        <w:t>本节规定方案偏离的定义、分级、处理流程、记录、影响评估和沟通要求。</w:t>
      </w:r>
    </w:p>
    <w:p>
      <w:r>
        <w:t>方案偏离是指任何未按已批准方案实施试验的行为或事件。一般方案偏离与重要方案偏离应分开登记和判定。重要方案偏离是指可能显著影响试验参与者安全、权益或试验数据完整性的偏离。一般方案偏离适用于未达到重要方案偏离定义条件的情形；最终分级应结合影响评估确定，不得仅以标题或模板句代替。</w:t>
      </w:r>
    </w:p>
    <w:p>
      <w:r>
        <w:t>紧急危害例外是指为消除对试验参与者的紧急危害而偏离方案的情况。其适用边界仅限消除对试验参与者的紧急危害；研究者应尽快报告此类偏离。该例外不构成通用豁免，也不免除已确认的方案偏离管理义务；仍需按识别、记录、评估、报告、纠正和预防流程处理。</w:t>
      </w:r>
    </w:p>
    <w:p>
      <w:r>
        <w:t>方案偏离管理包括识别、记录、评估、报告、纠正和预防；重要偏离应进行根本原因分析并采取措施防止再次发生。</w:t>
      </w:r>
    </w:p>
    <w:p>
      <w:r>
        <w:t>所有方案偏离及其评估、报告和措施均应记录并保存。发现方案偏离后，研究者应及时记录并按规定向申办者报告；重要偏离可能还需报告伦理委员会和监管机构。</w:t>
      </w:r>
    </w:p>
    <w:p>
      <w:r>
        <w:t>应评估方案偏离对试验参与者安全、权益和试验数据完整性的影响，并确定是否需采取纠正措施或调整分析。影响评估应逐项覆盖相应偏离类别；涉及试验参与者安全或权益时必须留痕并沟通，不得以“无影响”模板句代替评估。</w:t>
      </w:r>
    </w:p>
    <w:p>
      <w:bookmarkStart w:id="52131" w:name="tbl_76"/>
      <w:r>
        <w:t>表76 方案偏离</w:t>
      </w:r>
      <w:bookmarkEnd w:id="52131"/>
    </w:p>
    <w:tbl>
      <w:tblPr>
        <w:tblStyle w:val="28"/>
        <w:tblW w:type="auto" w:w="0"/>
        <w:tblLook w:firstColumn="1" w:firstRow="1" w:lastColumn="0" w:lastRow="0" w:noHBand="0" w:noVBand="1" w:val="04A0"/>
      </w:tblPr>
      <w:tblGrid>
        <w:gridCol w:w="1649"/>
        <w:gridCol w:w="1649"/>
        <w:gridCol w:w="1649"/>
        <w:gridCol w:w="1649"/>
        <w:gridCol w:w="1649"/>
        <w:gridCol w:w="1649"/>
      </w:tblGrid>
      <w:tr>
        <w:trPr>
          <w:tblHeader w:val="true"/>
        </w:trPr>
        <w:tc>
          <w:tcPr>
            <w:tcW w:type="dxa" w:w="1649"/>
          </w:tcPr>
          <w:p>
            <w:r>
              <w:rPr>
                <w:b/>
              </w:rPr>
              <w:t>一般方案偏离</w:t>
            </w:r>
          </w:p>
        </w:tc>
        <w:tc>
          <w:tcPr>
            <w:tcW w:type="dxa" w:w="1649"/>
          </w:tcPr>
          <w:p>
            <w:r>
              <w:rPr>
                <w:b/>
              </w:rPr>
              <w:t>方案偏离是指任何未按已批准方案实施试验的行为或事件。</w:t>
            </w:r>
          </w:p>
        </w:tc>
        <w:tc>
          <w:tcPr>
            <w:tcW w:type="dxa" w:w="1649"/>
          </w:tcPr>
          <w:p>
            <w:r>
              <w:rPr>
                <w:b/>
              </w:rPr>
              <w:t>用于登记未达到重要方案偏离定义条件的偏离。判定时不得仅以标题或模板句代替；若影响评估表明可能显著影响试验参与者安全、权益或试验数据完整性，应按重要方案偏离处理。</w:t>
            </w:r>
          </w:p>
        </w:tc>
        <w:tc>
          <w:tcPr>
            <w:tcW w:type="dxa" w:w="1649"/>
          </w:tcPr>
          <w:p>
            <w:r>
              <w:rPr>
                <w:b/>
              </w:rPr>
              <w:t>研究者应及时记录；所有方案偏离及其评估、报告和措施均应记录并保存。</w:t>
            </w:r>
          </w:p>
        </w:tc>
        <w:tc>
          <w:tcPr>
            <w:tcW w:type="dxa" w:w="1649"/>
          </w:tcPr>
          <w:p>
            <w:r>
              <w:rPr>
                <w:b/>
              </w:rPr>
              <w:t>评估该偏离对试验参与者安全、权益和试验数据完整性的影响，并确定是否需采取纠正措施或调整分析。</w:t>
            </w:r>
          </w:p>
        </w:tc>
        <w:tc>
          <w:tcPr>
            <w:tcW w:type="dxa" w:w="1649"/>
          </w:tcPr>
          <w:p>
            <w:r>
              <w:rPr>
                <w:b/>
              </w:rPr>
              <w:t>发现方案偏离后，按规定向申办者报告。</w:t>
            </w:r>
          </w:p>
        </w:tc>
      </w:tr>
      <w:tr>
        <w:tc>
          <w:tcPr>
            <w:tcW w:type="dxa" w:w="1649"/>
          </w:tcPr>
          <w:p>
            <w:r>
              <w:t>重要方案偏离</w:t>
            </w:r>
          </w:p>
        </w:tc>
        <w:tc>
          <w:tcPr>
            <w:tcW w:type="dxa" w:w="1649"/>
          </w:tcPr>
          <w:p>
            <w:r>
              <w:t>重要方案偏离是指可能显著影响试验参与者安全、权益或试验数据完整性的偏离。</w:t>
            </w:r>
          </w:p>
        </w:tc>
        <w:tc>
          <w:tcPr>
            <w:tcW w:type="dxa" w:w="1649"/>
          </w:tcPr>
          <w:p>
            <w:r>
              <w:t>依据偏离是否可能显著影响试验参与者安全、权益或试验数据完整性判定；应进行根本原因分析并采取措施防止再次发生。</w:t>
            </w:r>
          </w:p>
        </w:tc>
        <w:tc>
          <w:tcPr>
            <w:tcW w:type="dxa" w:w="1649"/>
          </w:tcPr>
          <w:p>
            <w:r>
              <w:t>所有方案偏离及其评估、报告和措施均应记录并保存；根本原因分析、纠正和预防措施应留痕。</w:t>
            </w:r>
          </w:p>
        </w:tc>
        <w:tc>
          <w:tcPr>
            <w:tcW w:type="dxa" w:w="1649"/>
          </w:tcPr>
          <w:p>
            <w:r>
              <w:t>评估该偏离对试验参与者安全、权益和试验数据完整性的影响，并确定是否需采取纠正措施或调整分析。</w:t>
            </w:r>
          </w:p>
        </w:tc>
        <w:tc>
          <w:tcPr>
            <w:tcW w:type="dxa" w:w="1649"/>
          </w:tcPr>
          <w:p>
            <w:r>
              <w:t>研究者应及时记录并按规定向申办者报告；重要偏离可能还需报告伦理委员会和监管机构。</w:t>
            </w:r>
          </w:p>
        </w:tc>
      </w:tr>
      <w:tr>
        <w:tc>
          <w:tcPr>
            <w:tcW w:type="dxa" w:w="1649"/>
          </w:tcPr>
          <w:p>
            <w:r>
              <w:t>紧急危害例外</w:t>
            </w:r>
          </w:p>
        </w:tc>
        <w:tc>
          <w:tcPr>
            <w:tcW w:type="dxa" w:w="1649"/>
          </w:tcPr>
          <w:p>
            <w:r>
              <w:t>紧急危害例外是指为消除对试验参与者的紧急危害而偏离方案的情况。</w:t>
            </w:r>
          </w:p>
        </w:tc>
        <w:tc>
          <w:tcPr>
            <w:tcW w:type="dxa" w:w="1649"/>
          </w:tcPr>
          <w:p>
            <w:r>
              <w:t>适用边界仅限为消除对试验参与者的紧急危害而偏离方案。该例外不构成通用豁免，也不免除已确认的方案偏离管理义务；应进行识别、记录、评估、报告、纠正和预防。</w:t>
            </w:r>
          </w:p>
        </w:tc>
        <w:tc>
          <w:tcPr>
            <w:tcW w:type="dxa" w:w="1649"/>
          </w:tcPr>
          <w:p>
            <w:r>
              <w:t>研究者应尽快报告此类偏离；所有方案偏离及其评估、报告和措施均应记录并保存。</w:t>
            </w:r>
          </w:p>
        </w:tc>
        <w:tc>
          <w:tcPr>
            <w:tcW w:type="dxa" w:w="1649"/>
          </w:tcPr>
          <w:p>
            <w:r>
              <w:t>仍应评估该偏离对试验参与者安全、权益和试验数据完整性的影响，并确定是否需采取纠正措施或调整分析。</w:t>
            </w:r>
          </w:p>
        </w:tc>
        <w:tc>
          <w:tcPr>
            <w:tcW w:type="dxa" w:w="1649"/>
          </w:tcPr>
          <w:p>
            <w:r>
              <w:t>研究者应尽快报告此类偏离，并按发现偏离后的规定向申办者报告；如同时符合重要偏离定义，可能还需报告伦理委员会和监管机构。</w:t>
            </w:r>
          </w:p>
        </w:tc>
      </w:tr>
    </w:tbl>
    <w:p>
      <w:pPr/>
      <w:r>
        <w:t xml:space="preserve"> 紧急危害例外仅适用于为消除对试验参与者的紧急危害而偏离方案；不得将其写成通用豁免，也不得替代重要/一般方案偏离的定义与判定。</w:t>
      </w:r>
    </w:p>
    <w:p>
      <w:pPr/>
      <w:r>
        <w:t xml:space="preserve"> 每类偏离均需完成影响评估并声明沟通对象；不得以“无影响”模板句代替评估。</w:t>
      </w:r>
    </w:p>
    <w:p>
      <w:bookmarkStart w:id="59288" w:name="chap_v2_n_14_7"/>
      <w:pPr>
        <w:pStyle w:val="2"/>
      </w:pPr>
      <w:r>
        <w:t>安全性监督</w:t>
      </w:r>
      <w:bookmarkEnd w:id="59288"/>
    </w:p>
    <w:p>
      <w:r>
        <w:t>14.7 安全性监督</w:t>
      </w:r>
    </w:p>
    <w:p>
      <w:r>
        <w:t>本试验未设立独立数据监查委员会（IDMC）。本试验的安全性监督主体为研究者及其授权研究团队、申办者药物警戒/安全报告部门、医学监查员，以及伦理委员会和药品监督管理部门等外部监督机构。上述主体按各自职责承担安全性监督，不相互替代；该安排与其他委员会类型保持区分，DSMB、SMC、独立安全性监查员或终点评审委员会（IRC）等安排如存在，均不得自动替代本试验实际安全性监督主体。</w:t>
      </w:r>
    </w:p>
    <w:p>
      <w:bookmarkStart w:id="16697" w:name="tbl_77"/>
      <w:r>
        <w:t>表77 安全性监督</w:t>
      </w:r>
      <w:bookmarkEnd w:id="16697"/>
    </w:p>
    <w:tbl>
      <w:tblPr>
        <w:tblStyle w:val="28"/>
        <w:tblW w:type="auto" w:w="0"/>
        <w:tblLook w:firstColumn="1" w:firstRow="1" w:lastColumn="0" w:lastRow="0" w:noHBand="0" w:noVBand="1" w:val="04A0"/>
      </w:tblPr>
      <w:tblGrid>
        <w:gridCol w:w="3297"/>
        <w:gridCol w:w="3297"/>
        <w:gridCol w:w="3297"/>
      </w:tblGrid>
      <w:tr>
        <w:trPr>
          <w:tblHeader w:val="true"/>
        </w:trPr>
        <w:tc>
          <w:tcPr>
            <w:tcW w:type="dxa" w:w="3297"/>
          </w:tcPr>
          <w:p>
            <w:r>
              <w:rPr>
                <w:b/>
              </w:rPr>
              <w:t>研究者及其授权研究团队</w:t>
            </w:r>
          </w:p>
        </w:tc>
        <w:tc>
          <w:tcPr>
            <w:tcW w:type="dxa" w:w="3297"/>
          </w:tcPr>
          <w:p>
            <w:r>
              <w:rPr>
                <w:b/>
              </w:rPr>
              <w:t>研究者负责试验参与者安全、AE/SAE识别、记录、因果关系评估和向申办者报告；授权研究团队按授权参与研究安全性相关工作。</w:t>
            </w:r>
          </w:p>
        </w:tc>
        <w:tc>
          <w:tcPr>
            <w:tcW w:type="dxa" w:w="3297"/>
          </w:tcPr>
          <w:p>
            <w:r>
              <w:rPr>
                <w:b/>
              </w:rPr>
              <w:t>研究者识别并记录AE/SAE后立即向申办者或其委托的药物警戒/安全报告接收部门报告；在筛选期、基线、负荷给药期、维持给药期至第24周末次给药及安全性随访期间持续监测和记录AE/SAE。</w:t>
            </w:r>
          </w:p>
        </w:tc>
      </w:tr>
      <w:tr>
        <w:tc>
          <w:tcPr>
            <w:tcW w:type="dxa" w:w="3297"/>
          </w:tcPr>
          <w:p>
            <w:r>
              <w:t>申办者药物警戒/安全报告部门</w:t>
            </w:r>
          </w:p>
        </w:tc>
        <w:tc>
          <w:tcPr>
            <w:tcW w:type="dxa" w:w="3297"/>
          </w:tcPr>
          <w:p>
            <w:r>
              <w:t>负责SUSAR和其他潜在严重安全性风险的识别、评估和报告；收集、评估安全性信息。</w:t>
            </w:r>
          </w:p>
        </w:tc>
        <w:tc>
          <w:tcPr>
            <w:tcW w:type="dxa" w:w="3297"/>
          </w:tcPr>
          <w:p>
            <w:r>
              <w:t>收集、评估和快速报告SUSAR及其他潜在严重安全性风险；申办者评估后按法规要求向药品监督管理部门、卫生健康主管部门和伦理委员会报告；对于SUSAR，还应通知所有参加临床试验的研究者/机构。</w:t>
            </w:r>
          </w:p>
        </w:tc>
      </w:tr>
      <w:tr>
        <w:tc>
          <w:tcPr>
            <w:tcW w:type="dxa" w:w="3297"/>
          </w:tcPr>
          <w:p>
            <w:r>
              <w:t>医学监查员</w:t>
            </w:r>
          </w:p>
        </w:tc>
        <w:tc>
          <w:tcPr>
            <w:tcW w:type="dxa" w:w="3297"/>
          </w:tcPr>
          <w:p>
            <w:r>
              <w:t>负责医学审核。</w:t>
            </w:r>
          </w:p>
        </w:tc>
        <w:tc>
          <w:tcPr>
            <w:tcW w:type="dxa" w:w="3297"/>
          </w:tcPr>
          <w:p>
            <w:r>
              <w:t>对安全性信息提供医学审核；审核结果用于支持安全性评估与报告流程。</w:t>
            </w:r>
          </w:p>
        </w:tc>
      </w:tr>
      <w:tr>
        <w:tc>
          <w:tcPr>
            <w:tcW w:type="dxa" w:w="3297"/>
          </w:tcPr>
          <w:p>
            <w:r>
              <w:t>伦理委员会</w:t>
            </w:r>
          </w:p>
        </w:tc>
        <w:tc>
          <w:tcPr>
            <w:tcW w:type="dxa" w:w="3297"/>
          </w:tcPr>
          <w:p>
            <w:r>
              <w:t>负责审查和监督。</w:t>
            </w:r>
          </w:p>
        </w:tc>
        <w:tc>
          <w:tcPr>
            <w:tcW w:type="dxa" w:w="3297"/>
          </w:tcPr>
          <w:p>
            <w:r>
              <w:t>接收申办者按法规要求提交的安全性报告，并按照职责进行审查和监督。</w:t>
            </w:r>
          </w:p>
        </w:tc>
      </w:tr>
      <w:tr>
        <w:tc>
          <w:tcPr>
            <w:tcW w:type="dxa" w:w="3297"/>
          </w:tcPr>
          <w:p>
            <w:r>
              <w:t>药品监督管理部门、卫生健康主管部门等监管机构</w:t>
            </w:r>
          </w:p>
        </w:tc>
        <w:tc>
          <w:tcPr>
            <w:tcW w:type="dxa" w:w="3297"/>
          </w:tcPr>
          <w:p>
            <w:r>
              <w:t>负责审查和监督。</w:t>
            </w:r>
          </w:p>
        </w:tc>
        <w:tc>
          <w:tcPr>
            <w:tcW w:type="dxa" w:w="3297"/>
          </w:tcPr>
          <w:p>
            <w:r>
              <w:t>接收申办者按法规要求提交的安全性报告，并按照职责进行审查和监督；对于SUSAR相关信息，按法规要求接收报告。</w:t>
            </w:r>
          </w:p>
        </w:tc>
      </w:tr>
    </w:tbl>
    <w:p>
      <w:pPr/>
      <w:r>
        <w:t xml:space="preserve"> 本试验未设立独立数据监查委员会（IDMC）。本表所列参与方共同实施安全性监督；终点评审委员会（IRC）或其他委员会类型如适用，不自动替代本表所列安全性监督主体。</w:t>
      </w:r>
    </w:p>
    <w:p>
      <w:pPr/>
      <w:r>
        <w:t xml:space="preserve"> 本试验不适用独立的安全性监督章程；该不适用不豁免上述安全性监督义务。</w:t>
      </w:r>
    </w:p>
    <w:p>
      <w:r>
        <w:t>安全性监督贯穿筛选期、基线、负荷给药期、维持给药期至第24周末次给药及安全性随访。研究者持续监测和记录AE/SAE；申办者药物警戒部门对SAE/SUSAR和其他潜在严重安全性风险进行及时评估和报告，必要时与伦理委员会和监管机构沟通。</w:t>
      </w:r>
    </w:p>
    <w:p>
      <w:r>
        <w:t>升级与报告路径为：研究者识别并记录AE/SAE后立即向申办者或其委托的药物警戒/安全报告接收部门报告；申办者评估后按法规要求向药品监督管理部门、卫生健康主管部门和伦理委员会报告；对于SUSAR，还应通知所有参加临床试验的研究者/机构。</w:t>
      </w:r>
    </w:p>
    <w:p>
      <w:r>
        <w:t>本试验不适用独立的安全性监督章程；上述安全性监督职责仍按本方案及法规要求执行。</w:t>
      </w:r>
    </w:p>
    <w:p>
      <w:bookmarkStart w:id="23879" w:name="chap_v2_n_15"/>
      <w:pPr>
        <w:pStyle w:val="3"/>
      </w:pPr>
      <w:r>
        <w:t>参考文献</w:t>
      </w:r>
      <w:bookmarkEnd w:id="23879"/>
    </w:p>
    <w:p>
      <w:r>
        <w:t>参考文献</w:t>
      </w:r>
    </w:p>
    <w:p>
      <w:bookmarkStart w:id="96373" w:name="chap_v2_n_16"/>
      <w:pPr>
        <w:pStyle w:val="3"/>
      </w:pPr>
      <w:r>
        <w:t>附录</w:t>
      </w:r>
      <w:bookmarkEnd w:id="96373"/>
    </w:p>
    <w:p>
      <w:r>
        <w:t>附录</w:t>
      </w:r>
    </w:p>
    <w:p>
      <w:r>
        <w:t>本附录容器汇总方案附录。依据章节树及已确认研究事实，容器汇总范围包含附录3“中心实验室信息和样本销毁公司信息”；该范围用于声明容器边界，不替代或吸收各附录叶子（v2_n_16_x1、v2_n_16_x2、v2_n_16_x3）的独立覆盖义务。</w:t>
      </w:r>
    </w:p>
    <w:p>
      <w:r>
        <w:t>实际适用附件索引：本次研究暂无正式来源文件，来源引用留空；已确认研究事实未列出需纳入的附件索引，当前无已确认需纳入的正式实际适用附件条目。因此，本容器只汇总实际适用附件并说明收录依据，不默认收录模板全部附件，也不将占位或模板示例附件作为最终内容。</w:t>
      </w:r>
    </w:p>
    <w:p>
      <w:r>
        <w:t>逐项收录决定依据：仅纳入与已确认研究设计、安全性、数据管理或操作相关的附录；已确认中心实验室不适用，未确认的附件不编造纳入。对附录3“中心实验室信息和样本销毁公司信息”，中心实验室信息已确认不适用；其余未确认内容不得据模板或占位内容自动收录，缺失时应进入待补/建议解决。</w:t>
      </w:r>
    </w:p>
    <w:p>
      <w:bookmarkStart w:id="17287" w:name="chap_v2_n_16_x3"/>
      <w:pPr>
        <w:pStyle w:val="3"/>
      </w:pPr>
      <w:r>
        <w:t>附录 3 中心实验室信息和样本销毁公司信息</w:t>
      </w:r>
      <w:bookmarkEnd w:id="17287"/>
    </w:p>
    <w:p>
      <w:r>
        <w:t>本方案未设置中心实验室，也未指定样本销毁公司。常规安全性实验室检查包括血常规、血生化、肝肾功能、电解质等，按当地实验室和方案要求执行；标本按当地实验室和方案要求采集、处理、储存和运输。</w:t>
      </w:r>
    </w:p>
    <w:p>
      <w:bookmarkStart w:id="21170" w:name="tbl_78"/>
      <w:r>
        <w:t>表78 附录 3 中心实验室信息和样本销毁公司信息</w:t>
      </w:r>
      <w:bookmarkEnd w:id="21170"/>
    </w:p>
    <w:tbl>
      <w:tblPr>
        <w:tblStyle w:val="28"/>
        <w:tblW w:type="auto" w:w="0"/>
        <w:tblLook w:firstColumn="1" w:firstRow="1" w:lastColumn="0" w:lastRow="0" w:noHBand="0" w:noVBand="1" w:val="04A0"/>
      </w:tblPr>
      <w:tblGrid>
        <w:gridCol w:w="2473"/>
        <w:gridCol w:w="2473"/>
        <w:gridCol w:w="2473"/>
        <w:gridCol w:w="2473"/>
      </w:tblGrid>
      <w:tr>
        <w:tc>
          <w:tcPr>
            <w:tcW w:type="dxa" w:w="2473"/>
          </w:tcPr>
          <w:p>
            <w:r>
              <w:t>中心实验室</w:t>
            </w:r>
          </w:p>
        </w:tc>
        <w:tc>
          <w:tcPr>
            <w:tcW w:type="dxa" w:w="2473"/>
          </w:tcPr>
          <w:p>
            <w:r>
              <w:t>本研究未设置中心实验室。</w:t>
            </w:r>
          </w:p>
        </w:tc>
        <w:tc>
          <w:tcPr>
            <w:tcW w:type="dxa" w:w="2473"/>
          </w:tcPr>
          <w:p>
            <w:r>
              <w:t>无中心实验室识别信息；安全性实验室检查按当地实验室和方案要求执行。</w:t>
            </w:r>
          </w:p>
        </w:tc>
        <w:tc>
          <w:tcPr>
            <w:tcW w:type="dxa" w:w="2473"/>
          </w:tcPr>
          <w:p>
            <w:r>
              <w:t>不设置中心实验室；常规安全性实验室检查包括血常规、血生化、肝肾功能、电解质等，按当地实验室和方案要求执行。</w:t>
            </w:r>
          </w:p>
        </w:tc>
      </w:tr>
      <w:tr>
        <w:tc>
          <w:tcPr>
            <w:tcW w:type="dxa" w:w="2473"/>
          </w:tcPr>
          <w:p>
            <w:r>
              <w:t>样本销毁公司</w:t>
            </w:r>
          </w:p>
        </w:tc>
        <w:tc>
          <w:tcPr>
            <w:tcW w:type="dxa" w:w="2473"/>
          </w:tcPr>
          <w:p>
            <w:r>
              <w:t>本方案未指定样本销毁公司。</w:t>
            </w:r>
          </w:p>
        </w:tc>
        <w:tc>
          <w:tcPr>
            <w:tcW w:type="dxa" w:w="2473"/>
          </w:tcPr>
          <w:p>
            <w:r>
              <w:t>未指定样本销毁公司及其识别信息；本方案未计划采集或保存用于未来研究的额外储备样本或数据。</w:t>
            </w:r>
          </w:p>
        </w:tc>
        <w:tc>
          <w:tcPr>
            <w:tcW w:type="dxa" w:w="2473"/>
          </w:tcPr>
          <w:p>
            <w:r>
              <w:t>未指定样本销毁公司及其职责；方案规定标本按当地实验室和方案要求采集、处理、储存和运输。</w:t>
            </w:r>
          </w:p>
        </w:tc>
      </w:tr>
    </w:tbl>
    <w:sectPr>
      <w:pgSz w:w="11910" w:h="16840"/>
      <w:pgMar w:top="1440" w:right="1009" w:bottom="1440" w:left="1009" w:header="578" w:footer="57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Yu Mincho">
    <w:altName w:val="Yu Gothic"/>
    <w:panose1 w:val="00000000000000000000"/>
    <w:charset w:val="80"/>
    <w:family w:val="roman"/>
    <w:pitch w:val="default"/>
    <w:sig w:usb0="00000000" w:usb1="00000000" w:usb2="00000012" w:usb3="00000000" w:csb0="0002009F"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8636285"/>
      <w:docPartObj>
        <w:docPartGallery w:val="autotext"/>
      </w:docPartObj>
    </w:sdtPr>
    <w:sdtEndPr>
      <w:rPr>
        <w:sz w:val="20"/>
        <w:szCs w:val="20"/>
      </w:rPr>
    </w:sdtEndPr>
    <w:sdtContent>
      <w:p w14:paraId="30F222D9">
        <w:pPr>
          <w:pStyle w:val="16"/>
          <w:rPr>
            <w:bCs/>
            <w:sz w:val="20"/>
            <w:szCs w:val="20"/>
            <w:lang w:eastAsia="zh-CN"/>
          </w:rPr>
        </w:pPr>
        <w:r>
          <w:rPr>
            <w:rFonts w:cs="Times New Roman"/>
            <w:sz w:val="20"/>
            <w:lang w:eastAsia="zh-CN"/>
          </w:rPr>
          <w:t xml:space="preserve">TP-MA-07                                                      </w:t>
        </w:r>
        <w:r>
          <w:rPr>
            <w:rFonts w:cs="Times New Roman"/>
            <w:sz w:val="20"/>
            <w:szCs w:val="20"/>
            <w:lang w:eastAsia="zh-CN"/>
          </w:rPr>
          <w:t xml:space="preserve">    </w:t>
        </w:r>
        <w:r>
          <w:rPr>
            <w:rFonts w:hint="eastAsia" w:cs="Times New Roman"/>
            <w:sz w:val="20"/>
            <w:szCs w:val="20"/>
            <w:lang w:eastAsia="zh-CN"/>
          </w:rPr>
          <w:t xml:space="preserve">第 </w:t>
        </w:r>
        <w:r>
          <w:rPr>
            <w:sz w:val="20"/>
            <w:szCs w:val="20"/>
          </w:rPr>
          <w:fldChar w:fldCharType="begin"/>
        </w:r>
        <w:r>
          <w:rPr>
            <w:sz w:val="20"/>
            <w:szCs w:val="20"/>
          </w:rPr>
          <w:instrText xml:space="preserve">PAGE  \* Arabic  \* MERGEFORMAT</w:instrText>
        </w:r>
        <w:r>
          <w:rPr>
            <w:sz w:val="20"/>
            <w:szCs w:val="20"/>
          </w:rPr>
          <w:fldChar w:fldCharType="separate"/>
        </w:r>
        <w:r>
          <w:rPr>
            <w:sz w:val="20"/>
            <w:szCs w:val="20"/>
          </w:rPr>
          <w:t>1</w:t>
        </w:r>
        <w:r>
          <w:rPr>
            <w:sz w:val="20"/>
            <w:szCs w:val="20"/>
          </w:rPr>
          <w:fldChar w:fldCharType="end"/>
        </w:r>
        <w:r>
          <w:rPr>
            <w:sz w:val="20"/>
            <w:szCs w:val="20"/>
          </w:rPr>
          <w:t xml:space="preserve"> </w:t>
        </w:r>
        <w:r>
          <w:rPr>
            <w:rFonts w:hint="eastAsia"/>
            <w:sz w:val="20"/>
            <w:szCs w:val="20"/>
            <w:lang w:eastAsia="zh-CN"/>
          </w:rPr>
          <w:t>页</w:t>
        </w:r>
        <w:r>
          <w:rPr>
            <w:sz w:val="20"/>
            <w:szCs w:val="20"/>
            <w:lang w:val="zh-CN"/>
          </w:rPr>
          <w:t xml:space="preserve"> / </w:t>
        </w:r>
        <w:r>
          <w:rPr>
            <w:rFonts w:hint="eastAsia"/>
            <w:sz w:val="20"/>
            <w:szCs w:val="20"/>
            <w:lang w:val="zh-CN" w:eastAsia="zh-CN"/>
          </w:rPr>
          <w:t xml:space="preserve">共 </w:t>
        </w:r>
        <w:r>
          <w:rPr>
            <w:sz w:val="20"/>
            <w:szCs w:val="20"/>
          </w:rPr>
          <w:fldChar w:fldCharType="begin"/>
        </w:r>
        <w:r>
          <w:rPr>
            <w:sz w:val="20"/>
            <w:szCs w:val="20"/>
          </w:rPr>
          <w:instrText xml:space="preserve">NUMPAGES  \* Arabic  \* MERGEFORMAT</w:instrText>
        </w:r>
        <w:r>
          <w:rPr>
            <w:sz w:val="20"/>
            <w:szCs w:val="20"/>
          </w:rPr>
          <w:fldChar w:fldCharType="separate"/>
        </w:r>
        <w:r>
          <w:rPr>
            <w:sz w:val="20"/>
            <w:szCs w:val="20"/>
          </w:rPr>
          <w:t>16</w:t>
        </w:r>
        <w:r>
          <w:rPr>
            <w:sz w:val="20"/>
            <w:szCs w:val="20"/>
          </w:rPr>
          <w:fldChar w:fldCharType="end"/>
        </w:r>
        <w:r>
          <w:rPr>
            <w:sz w:val="20"/>
            <w:szCs w:val="20"/>
          </w:rPr>
          <w:t xml:space="preserve">  </w:t>
        </w:r>
        <w:r>
          <w:rPr>
            <w:rFonts w:hint="eastAsia"/>
            <w:sz w:val="20"/>
            <w:szCs w:val="20"/>
            <w:lang w:eastAsia="zh-CN"/>
          </w:rPr>
          <w:t>页</w:t>
        </w:r>
        <w:r>
          <w:rPr>
            <w:rFonts w:cs="Times New Roman"/>
            <w:sz w:val="20"/>
            <w:szCs w:val="20"/>
            <w:lang w:eastAsia="zh-CN"/>
          </w:rPr>
          <w:t xml:space="preserve">       </w:t>
        </w:r>
        <w:r>
          <w:rPr>
            <w:rFonts w:cs="Times New Roman"/>
            <w:sz w:val="20"/>
            <w:lang w:eastAsia="zh-CN"/>
          </w:rPr>
          <w:t xml:space="preserve">                                    </w:t>
        </w:r>
        <w:bookmarkStart w:id="318" w:name="_GoBack"/>
        <w:bookmarkEnd w:id="318"/>
      </w:p>
    </w:sdtContent>
  </w:sdt>
  <w:p w14:paraId="7592EAFA">
    <w:pPr>
      <w:pStyle w:val="16"/>
      <w:ind w:firstLine="40"/>
      <w:jc w:val="center"/>
      <w:rPr>
        <w:sz w:val="2"/>
        <w:lang w:eastAsia="zh-CN"/>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AD106">
    <w:pPr>
      <w:pStyle w:val="17"/>
      <w:tabs>
        <w:tab w:val="center" w:pos="4153"/>
        <w:tab w:val="right" w:pos="8306"/>
        <w:tab w:val="clear" w:pos="4513"/>
        <w:tab w:val="clear" w:pos="9026"/>
      </w:tabs>
      <w:snapToGrid w:val="0"/>
      <w:spacing w:before="0"/>
      <w:jc w:val="left"/>
      <w:rPr>
        <w:rFonts w:cs="Times New Roman"/>
        <w:sz w:val="22"/>
        <w:lang w:val="en-US" w:eastAsia="zh-CN"/>
      </w:rPr>
    </w:pPr>
    <w:bookmarkStart w:id="316" w:name="_Hlk89462645"/>
    <w:r>
      <w:rPr>
        <w:rFonts w:cs="Times New Roman"/>
        <w:sz w:val="22"/>
        <w:lang w:val="en-US" w:eastAsia="zh-CN"/>
      </w:rPr>
      <w:t xml:space="preserve"> (康哲)                                                                                                                              版本号：1.0版</w:t>
    </w:r>
    <w:r>
      <w:rPr>
        <w:rFonts w:hint="eastAsia" w:cs="Times New Roman"/>
        <w:sz w:val="22"/>
        <w:lang w:val="en-US" w:eastAsia="zh-CN"/>
      </w:rPr>
    </w:r>
    <w:r>
      <w:rPr>
        <w:rFonts w:cs="Times New Roman"/>
        <w:sz w:val="22"/>
        <w:lang w:val="en-US" w:eastAsia="zh-CN"/>
      </w:rPr>
    </w:r>
    <w:r>
      <w:rPr>
        <w:rFonts w:hint="eastAsia" w:cs="Times New Roman"/>
        <w:sz w:val="22"/>
        <w:lang w:val="en-US" w:eastAsia="zh-CN"/>
      </w:rPr>
    </w:r>
    <w:r>
      <w:rPr>
        <w:rFonts w:cs="Times New Roman"/>
        <w:sz w:val="22"/>
        <w:lang w:val="en-US" w:eastAsia="zh-CN"/>
      </w:rPr>
    </w:r>
    <w:r>
      <w:rPr>
        <w:rFonts w:hint="eastAsia" w:cs="Times New Roman"/>
        <w:sz w:val="22"/>
        <w:lang w:val="en-US" w:eastAsia="zh-CN"/>
      </w:rPr>
    </w:r>
    <w:r>
      <w:rPr>
        <w:rFonts w:cs="Times New Roman"/>
        <w:sz w:val="22"/>
        <w:lang w:val="en-US" w:eastAsia="zh-CN"/>
      </w:rPr>
    </w:r>
    <w:r>
      <w:rPr>
        <w:rFonts w:hint="eastAsia" w:cs="Times New Roman"/>
        <w:sz w:val="22"/>
        <w:lang w:val="en-US" w:eastAsia="zh-CN"/>
      </w:rPr>
    </w:r>
    <w:r>
      <w:rPr>
        <w:rFonts w:cs="Times New Roman"/>
        <w:sz w:val="22"/>
        <w:lang w:val="en-US" w:eastAsia="zh-CN"/>
      </w:rPr>
    </w:r>
    <w:r>
      <w:rPr>
        <w:rFonts w:hint="eastAsia" w:cs="Times New Roman"/>
        <w:sz w:val="22"/>
        <w:lang w:val="en-US" w:eastAsia="zh-CN"/>
      </w:rPr>
    </w:r>
    <w:r>
      <w:rPr>
        <w:rFonts w:cs="Times New Roman"/>
        <w:sz w:val="22"/>
        <w:lang w:val="en-US" w:eastAsia="zh-CN"/>
      </w:rPr>
    </w:r>
  </w:p>
  <w:p w14:paraId="784056FD">
    <w:pPr>
      <w:pStyle w:val="17"/>
      <w:pBdr>
        <w:bottom w:val="single" w:color="auto" w:sz="4" w:space="1"/>
      </w:pBdr>
      <w:tabs>
        <w:tab w:val="center" w:pos="4153"/>
        <w:tab w:val="right" w:pos="8306"/>
        <w:tab w:val="clear" w:pos="4513"/>
        <w:tab w:val="clear" w:pos="9026"/>
      </w:tabs>
      <w:snapToGrid w:val="0"/>
      <w:spacing w:before="0"/>
      <w:jc w:val="left"/>
      <w:rPr>
        <w:rFonts w:cs="Times New Roman"/>
        <w:sz w:val="22"/>
        <w:lang w:val="en-US" w:eastAsia="zh-CN"/>
      </w:rPr>
    </w:pPr>
    <w:r>
      <w:rPr>
        <w:rFonts w:cs="Times New Roman"/>
        <w:sz w:val="22"/>
        <w:lang w:val="en-US" w:eastAsia="zh-CN"/>
      </w:rPr>
      <w:t>方案编号：PV3-69F53457                                       临床试验方案                                  版本日期：2026-09-19</w:t>
    </w:r>
    <w:r>
      <w:rPr>
        <w:rFonts w:hint="eastAsia" w:cs="Times New Roman"/>
        <w:sz w:val="22"/>
        <w:lang w:val="en-US" w:eastAsia="zh-CN"/>
      </w:rPr>
    </w:r>
    <w:r>
      <w:rPr>
        <w:rFonts w:cs="Times New Roman"/>
        <w:sz w:val="22"/>
        <w:lang w:val="en-US" w:eastAsia="zh-CN"/>
      </w:rPr>
    </w:r>
    <w:r>
      <w:rPr>
        <w:rFonts w:hint="eastAsia" w:cs="Times New Roman"/>
        <w:sz w:val="22"/>
        <w:lang w:val="en-US" w:eastAsia="zh-CN"/>
      </w:rPr>
    </w:r>
    <w:r>
      <w:rPr>
        <w:rFonts w:cs="Times New Roman"/>
        <w:sz w:val="22"/>
        <w:lang w:val="en-US" w:eastAsia="zh-CN"/>
      </w:rPr>
    </w:r>
  </w:p>
  <w:bookmarkEnd w:id="316"/>
  <w:p w14:paraId="0CF8CF0E">
    <w:pPr>
      <w:pStyle w:val="11"/>
      <w:spacing w:line="14" w:lineRule="auto"/>
      <w:rPr>
        <w:sz w:val="2"/>
        <w:lang w:val="en-US" w:eastAsia="zh-CN"/>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9"/>
    <w:multiLevelType w:val="multilevel"/>
    <w:tmpl w:val="00000029"/>
    <w:lvl w:ilvl="0" w:tentative="0">
      <w:start w:val="1"/>
      <w:numFmt w:val="decimal"/>
      <w:lvlText w:val="%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8F1A37"/>
    <w:multiLevelType w:val="multilevel"/>
    <w:tmpl w:val="008F1A37"/>
    <w:lvl w:ilvl="0" w:tentative="0">
      <w:start w:val="1"/>
      <w:numFmt w:val="decimal"/>
      <w:lvlText w:val="2.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2C1296"/>
    <w:multiLevelType w:val="multilevel"/>
    <w:tmpl w:val="022C1296"/>
    <w:lvl w:ilvl="0" w:tentative="0">
      <w:start w:val="1"/>
      <w:numFmt w:val="decimal"/>
      <w:lvlText w:val="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2813519"/>
    <w:multiLevelType w:val="multilevel"/>
    <w:tmpl w:val="0281351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
    <w:nsid w:val="0545683C"/>
    <w:multiLevelType w:val="multilevel"/>
    <w:tmpl w:val="0545683C"/>
    <w:lvl w:ilvl="0" w:tentative="0">
      <w:start w:val="1"/>
      <w:numFmt w:val="decimal"/>
      <w:lvlText w:val="1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85A2685"/>
    <w:multiLevelType w:val="multilevel"/>
    <w:tmpl w:val="085A2685"/>
    <w:lvl w:ilvl="0" w:tentative="0">
      <w:start w:val="1"/>
      <w:numFmt w:val="decimal"/>
      <w:lvlText w:val="3.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8A70E16"/>
    <w:multiLevelType w:val="multilevel"/>
    <w:tmpl w:val="08A70E16"/>
    <w:lvl w:ilvl="0" w:tentative="0">
      <w:start w:val="1"/>
      <w:numFmt w:val="decimal"/>
      <w:lvlText w:val="1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F611BFA"/>
    <w:multiLevelType w:val="multilevel"/>
    <w:tmpl w:val="0F611BFA"/>
    <w:lvl w:ilvl="0" w:tentative="0">
      <w:start w:val="1"/>
      <w:numFmt w:val="bullet"/>
      <w:suff w:val="space"/>
      <w:lvlText w:val=""/>
      <w:lvlJc w:val="left"/>
      <w:pPr>
        <w:ind w:left="57" w:hanging="57"/>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0F666CC3"/>
    <w:multiLevelType w:val="multilevel"/>
    <w:tmpl w:val="0F666CC3"/>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11243622"/>
    <w:multiLevelType w:val="multilevel"/>
    <w:tmpl w:val="11243622"/>
    <w:lvl w:ilvl="0" w:tentative="0">
      <w:start w:val="1"/>
      <w:numFmt w:val="bullet"/>
      <w:lvlText w:val="•"/>
      <w:lvlJc w:val="left"/>
      <w:pPr>
        <w:ind w:left="880" w:hanging="420"/>
      </w:pPr>
      <w:rPr>
        <w:rFonts w:hint="eastAsia" w:ascii="宋体" w:hAnsi="宋体" w:eastAsia="宋体"/>
      </w:rPr>
    </w:lvl>
    <w:lvl w:ilvl="1" w:tentative="0">
      <w:start w:val="1"/>
      <w:numFmt w:val="bullet"/>
      <w:lvlText w:val=""/>
      <w:lvlJc w:val="left"/>
      <w:pPr>
        <w:ind w:left="1300" w:hanging="420"/>
      </w:pPr>
      <w:rPr>
        <w:rFonts w:hint="default" w:ascii="Wingdings" w:hAnsi="Wingdings"/>
      </w:rPr>
    </w:lvl>
    <w:lvl w:ilvl="2" w:tentative="0">
      <w:start w:val="1"/>
      <w:numFmt w:val="bullet"/>
      <w:lvlText w:val=""/>
      <w:lvlJc w:val="left"/>
      <w:pPr>
        <w:ind w:left="1720" w:hanging="420"/>
      </w:pPr>
      <w:rPr>
        <w:rFonts w:hint="default" w:ascii="Wingdings" w:hAnsi="Wingdings"/>
      </w:rPr>
    </w:lvl>
    <w:lvl w:ilvl="3" w:tentative="0">
      <w:start w:val="1"/>
      <w:numFmt w:val="bullet"/>
      <w:lvlText w:val=""/>
      <w:lvlJc w:val="left"/>
      <w:pPr>
        <w:ind w:left="2140" w:hanging="420"/>
      </w:pPr>
      <w:rPr>
        <w:rFonts w:hint="default" w:ascii="Wingdings" w:hAnsi="Wingdings"/>
      </w:rPr>
    </w:lvl>
    <w:lvl w:ilvl="4" w:tentative="0">
      <w:start w:val="1"/>
      <w:numFmt w:val="bullet"/>
      <w:lvlText w:val=""/>
      <w:lvlJc w:val="left"/>
      <w:pPr>
        <w:ind w:left="2560" w:hanging="420"/>
      </w:pPr>
      <w:rPr>
        <w:rFonts w:hint="default" w:ascii="Wingdings" w:hAnsi="Wingdings"/>
      </w:rPr>
    </w:lvl>
    <w:lvl w:ilvl="5" w:tentative="0">
      <w:start w:val="1"/>
      <w:numFmt w:val="bullet"/>
      <w:lvlText w:val=""/>
      <w:lvlJc w:val="left"/>
      <w:pPr>
        <w:ind w:left="2980" w:hanging="420"/>
      </w:pPr>
      <w:rPr>
        <w:rFonts w:hint="default" w:ascii="Wingdings" w:hAnsi="Wingdings"/>
      </w:rPr>
    </w:lvl>
    <w:lvl w:ilvl="6" w:tentative="0">
      <w:start w:val="1"/>
      <w:numFmt w:val="bullet"/>
      <w:lvlText w:val=""/>
      <w:lvlJc w:val="left"/>
      <w:pPr>
        <w:ind w:left="3400" w:hanging="420"/>
      </w:pPr>
      <w:rPr>
        <w:rFonts w:hint="default" w:ascii="Wingdings" w:hAnsi="Wingdings"/>
      </w:rPr>
    </w:lvl>
    <w:lvl w:ilvl="7" w:tentative="0">
      <w:start w:val="1"/>
      <w:numFmt w:val="bullet"/>
      <w:lvlText w:val=""/>
      <w:lvlJc w:val="left"/>
      <w:pPr>
        <w:ind w:left="3820" w:hanging="420"/>
      </w:pPr>
      <w:rPr>
        <w:rFonts w:hint="default" w:ascii="Wingdings" w:hAnsi="Wingdings"/>
      </w:rPr>
    </w:lvl>
    <w:lvl w:ilvl="8" w:tentative="0">
      <w:start w:val="1"/>
      <w:numFmt w:val="bullet"/>
      <w:lvlText w:val=""/>
      <w:lvlJc w:val="left"/>
      <w:pPr>
        <w:ind w:left="4240" w:hanging="420"/>
      </w:pPr>
      <w:rPr>
        <w:rFonts w:hint="default" w:ascii="Wingdings" w:hAnsi="Wingdings"/>
      </w:rPr>
    </w:lvl>
  </w:abstractNum>
  <w:abstractNum w:abstractNumId="10">
    <w:nsid w:val="131840AE"/>
    <w:multiLevelType w:val="multilevel"/>
    <w:tmpl w:val="131840AE"/>
    <w:lvl w:ilvl="0" w:tentative="0">
      <w:start w:val="1"/>
      <w:numFmt w:val="decimal"/>
      <w:lvlText w:val="6.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3294185"/>
    <w:multiLevelType w:val="multilevel"/>
    <w:tmpl w:val="13294185"/>
    <w:lvl w:ilvl="0" w:tentative="0">
      <w:start w:val="1"/>
      <w:numFmt w:val="decimal"/>
      <w:lvlText w:val="1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4355DFA"/>
    <w:multiLevelType w:val="multilevel"/>
    <w:tmpl w:val="14355DF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56F7D57"/>
    <w:multiLevelType w:val="multilevel"/>
    <w:tmpl w:val="156F7D57"/>
    <w:lvl w:ilvl="0" w:tentative="0">
      <w:start w:val="1"/>
      <w:numFmt w:val="decimal"/>
      <w:lvlText w:val="6.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5C31359"/>
    <w:multiLevelType w:val="multilevel"/>
    <w:tmpl w:val="15C31359"/>
    <w:lvl w:ilvl="0" w:tentative="0">
      <w:start w:val="1"/>
      <w:numFmt w:val="decimal"/>
      <w:lvlText w:val="6.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DB0218E"/>
    <w:multiLevelType w:val="multilevel"/>
    <w:tmpl w:val="1DB0218E"/>
    <w:lvl w:ilvl="0" w:tentative="0">
      <w:start w:val="1"/>
      <w:numFmt w:val="bullet"/>
      <w:lvlText w:val="•"/>
      <w:lvlJc w:val="left"/>
      <w:pPr>
        <w:ind w:left="3965" w:hanging="420"/>
      </w:pPr>
      <w:rPr>
        <w:rFonts w:hint="eastAsia" w:ascii="宋体" w:hAnsi="宋体" w:eastAsia="宋体"/>
        <w:color w:val="auto"/>
      </w:rPr>
    </w:lvl>
    <w:lvl w:ilvl="1" w:tentative="0">
      <w:start w:val="1"/>
      <w:numFmt w:val="bullet"/>
      <w:lvlText w:val=""/>
      <w:lvlJc w:val="left"/>
      <w:pPr>
        <w:ind w:left="1300" w:hanging="420"/>
      </w:pPr>
      <w:rPr>
        <w:rFonts w:hint="default" w:ascii="Wingdings" w:hAnsi="Wingdings"/>
      </w:rPr>
    </w:lvl>
    <w:lvl w:ilvl="2" w:tentative="0">
      <w:start w:val="1"/>
      <w:numFmt w:val="bullet"/>
      <w:lvlText w:val=""/>
      <w:lvlJc w:val="left"/>
      <w:pPr>
        <w:ind w:left="1720" w:hanging="420"/>
      </w:pPr>
      <w:rPr>
        <w:rFonts w:hint="default" w:ascii="Wingdings" w:hAnsi="Wingdings"/>
      </w:rPr>
    </w:lvl>
    <w:lvl w:ilvl="3" w:tentative="0">
      <w:start w:val="1"/>
      <w:numFmt w:val="bullet"/>
      <w:lvlText w:val=""/>
      <w:lvlJc w:val="left"/>
      <w:pPr>
        <w:ind w:left="2140" w:hanging="420"/>
      </w:pPr>
      <w:rPr>
        <w:rFonts w:hint="default" w:ascii="Wingdings" w:hAnsi="Wingdings"/>
      </w:rPr>
    </w:lvl>
    <w:lvl w:ilvl="4" w:tentative="0">
      <w:start w:val="1"/>
      <w:numFmt w:val="bullet"/>
      <w:lvlText w:val=""/>
      <w:lvlJc w:val="left"/>
      <w:pPr>
        <w:ind w:left="2560" w:hanging="420"/>
      </w:pPr>
      <w:rPr>
        <w:rFonts w:hint="default" w:ascii="Wingdings" w:hAnsi="Wingdings"/>
      </w:rPr>
    </w:lvl>
    <w:lvl w:ilvl="5" w:tentative="0">
      <w:start w:val="1"/>
      <w:numFmt w:val="bullet"/>
      <w:lvlText w:val=""/>
      <w:lvlJc w:val="left"/>
      <w:pPr>
        <w:ind w:left="2980" w:hanging="420"/>
      </w:pPr>
      <w:rPr>
        <w:rFonts w:hint="default" w:ascii="Wingdings" w:hAnsi="Wingdings"/>
      </w:rPr>
    </w:lvl>
    <w:lvl w:ilvl="6" w:tentative="0">
      <w:start w:val="1"/>
      <w:numFmt w:val="bullet"/>
      <w:lvlText w:val=""/>
      <w:lvlJc w:val="left"/>
      <w:pPr>
        <w:ind w:left="3400" w:hanging="420"/>
      </w:pPr>
      <w:rPr>
        <w:rFonts w:hint="default" w:ascii="Wingdings" w:hAnsi="Wingdings"/>
      </w:rPr>
    </w:lvl>
    <w:lvl w:ilvl="7" w:tentative="0">
      <w:start w:val="1"/>
      <w:numFmt w:val="bullet"/>
      <w:lvlText w:val=""/>
      <w:lvlJc w:val="left"/>
      <w:pPr>
        <w:ind w:left="3820" w:hanging="420"/>
      </w:pPr>
      <w:rPr>
        <w:rFonts w:hint="default" w:ascii="Wingdings" w:hAnsi="Wingdings"/>
      </w:rPr>
    </w:lvl>
    <w:lvl w:ilvl="8" w:tentative="0">
      <w:start w:val="1"/>
      <w:numFmt w:val="bullet"/>
      <w:lvlText w:val=""/>
      <w:lvlJc w:val="left"/>
      <w:pPr>
        <w:ind w:left="4240" w:hanging="420"/>
      </w:pPr>
      <w:rPr>
        <w:rFonts w:hint="default" w:ascii="Wingdings" w:hAnsi="Wingdings"/>
      </w:rPr>
    </w:lvl>
  </w:abstractNum>
  <w:abstractNum w:abstractNumId="16">
    <w:nsid w:val="1E097EFE"/>
    <w:multiLevelType w:val="multilevel"/>
    <w:tmpl w:val="1E097EFE"/>
    <w:lvl w:ilvl="0" w:tentative="0">
      <w:start w:val="1"/>
      <w:numFmt w:val="decimal"/>
      <w:suff w:val="space"/>
      <w:lvlText w:val="（%1）"/>
      <w:lvlJc w:val="left"/>
      <w:pPr>
        <w:ind w:left="0" w:firstLine="340"/>
      </w:pPr>
      <w:rPr>
        <w:rFonts w:hint="default"/>
      </w:rPr>
    </w:lvl>
    <w:lvl w:ilvl="1" w:tentative="0">
      <w:start w:val="1"/>
      <w:numFmt w:val="decimal"/>
      <w:lvlText w:val="%2）"/>
      <w:lvlJc w:val="left"/>
      <w:pPr>
        <w:ind w:left="1260" w:hanging="360"/>
      </w:pPr>
      <w:rPr>
        <w:rFonts w:hint="default"/>
      </w:rPr>
    </w:lvl>
    <w:lvl w:ilvl="2" w:tentative="0">
      <w:start w:val="1"/>
      <w:numFmt w:val="lowerLetter"/>
      <w:suff w:val="space"/>
      <w:lvlText w:val="（%3）"/>
      <w:lvlJc w:val="left"/>
      <w:pPr>
        <w:ind w:left="0" w:firstLine="340"/>
      </w:pPr>
      <w:rPr>
        <w:rFonts w:hint="default"/>
      </w:rPr>
    </w:lvl>
    <w:lvl w:ilvl="3" w:tentative="0">
      <w:start w:val="1"/>
      <w:numFmt w:val="lowerLetter"/>
      <w:lvlText w:val="%4."/>
      <w:lvlJc w:val="left"/>
      <w:pPr>
        <w:ind w:left="2100" w:hanging="360"/>
      </w:pPr>
      <w:rPr>
        <w:rFonts w:hint="default"/>
      </w:r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
    <w:nsid w:val="1FD154A9"/>
    <w:multiLevelType w:val="multilevel"/>
    <w:tmpl w:val="1FD154A9"/>
    <w:lvl w:ilvl="0" w:tentative="0">
      <w:start w:val="1"/>
      <w:numFmt w:val="decimal"/>
      <w:lvlText w:val="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0DF3261"/>
    <w:multiLevelType w:val="multilevel"/>
    <w:tmpl w:val="20DF3261"/>
    <w:lvl w:ilvl="0" w:tentative="0">
      <w:start w:val="1"/>
      <w:numFmt w:val="decimal"/>
      <w:lvlText w:val="3.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5281BA3"/>
    <w:multiLevelType w:val="multilevel"/>
    <w:tmpl w:val="25281BA3"/>
    <w:lvl w:ilvl="0" w:tentative="0">
      <w:start w:val="1"/>
      <w:numFmt w:val="decimal"/>
      <w:pStyle w:val="68"/>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0">
    <w:nsid w:val="257406B2"/>
    <w:multiLevelType w:val="multilevel"/>
    <w:tmpl w:val="257406B2"/>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62A52E6"/>
    <w:multiLevelType w:val="multilevel"/>
    <w:tmpl w:val="262A52E6"/>
    <w:lvl w:ilvl="0" w:tentative="0">
      <w:start w:val="1"/>
      <w:numFmt w:val="decimal"/>
      <w:lvlText w:val="10.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297405FC"/>
    <w:multiLevelType w:val="multilevel"/>
    <w:tmpl w:val="297405F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299B64BD"/>
    <w:multiLevelType w:val="multilevel"/>
    <w:tmpl w:val="299B64BD"/>
    <w:lvl w:ilvl="0" w:tentative="0">
      <w:start w:val="1"/>
      <w:numFmt w:val="decimal"/>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DAC6E20"/>
    <w:multiLevelType w:val="multilevel"/>
    <w:tmpl w:val="2DAC6E20"/>
    <w:lvl w:ilvl="0" w:tentative="0">
      <w:start w:val="1"/>
      <w:numFmt w:val="decimal"/>
      <w:lvlText w:val="%1."/>
      <w:lvlJc w:val="left"/>
      <w:pPr>
        <w:ind w:left="425" w:hanging="425"/>
      </w:pPr>
    </w:lvl>
    <w:lvl w:ilvl="1" w:tentative="0">
      <w:start w:val="1"/>
      <w:numFmt w:val="decimal"/>
      <w:lvlText w:val="3.%2"/>
      <w:lvlJc w:val="left"/>
      <w:pPr>
        <w:ind w:left="567" w:hanging="567"/>
      </w:pPr>
      <w:rPr>
        <w:rFonts w:hint="eastAsia"/>
        <w:lang w:val="en-IN"/>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5">
    <w:nsid w:val="2F162A4E"/>
    <w:multiLevelType w:val="multilevel"/>
    <w:tmpl w:val="2F162A4E"/>
    <w:lvl w:ilvl="0" w:tentative="0">
      <w:start w:val="1"/>
      <w:numFmt w:val="decimal"/>
      <w:lvlText w:val="3.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1D14953"/>
    <w:multiLevelType w:val="multilevel"/>
    <w:tmpl w:val="31D14953"/>
    <w:lvl w:ilvl="0" w:tentative="0">
      <w:start w:val="1"/>
      <w:numFmt w:val="bullet"/>
      <w:lvlText w:val="•"/>
      <w:lvlJc w:val="left"/>
      <w:pPr>
        <w:ind w:left="420" w:hanging="420"/>
      </w:pPr>
      <w:rPr>
        <w:rFonts w:hint="eastAsia" w:ascii="宋体" w:hAnsi="宋体" w:eastAsia="宋体"/>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color w:val="auto"/>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34E45F07"/>
    <w:multiLevelType w:val="multilevel"/>
    <w:tmpl w:val="34E45F07"/>
    <w:lvl w:ilvl="0" w:tentative="0">
      <w:start w:val="1"/>
      <w:numFmt w:val="bullet"/>
      <w:lvlText w:val="•"/>
      <w:lvlJc w:val="left"/>
      <w:pPr>
        <w:ind w:left="1129" w:hanging="420"/>
      </w:pPr>
      <w:rPr>
        <w:rFonts w:hint="eastAsia" w:ascii="宋体" w:hAnsi="宋体" w:eastAsia="宋体"/>
        <w:color w:val="auto"/>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28">
    <w:nsid w:val="3A3824F2"/>
    <w:multiLevelType w:val="multilevel"/>
    <w:tmpl w:val="3A3824F2"/>
    <w:lvl w:ilvl="0" w:tentative="0">
      <w:start w:val="1"/>
      <w:numFmt w:val="bullet"/>
      <w:lvlText w:val="•"/>
      <w:lvlJc w:val="left"/>
      <w:pPr>
        <w:ind w:left="840" w:hanging="420"/>
      </w:pPr>
      <w:rPr>
        <w:rFonts w:hint="eastAsia" w:ascii="宋体" w:hAnsi="宋体" w:eastAsia="宋体"/>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9">
    <w:nsid w:val="3B3116A8"/>
    <w:multiLevelType w:val="multilevel"/>
    <w:tmpl w:val="3B3116A8"/>
    <w:lvl w:ilvl="0" w:tentative="0">
      <w:start w:val="1"/>
      <w:numFmt w:val="bullet"/>
      <w:lvlText w:val=""/>
      <w:lvlJc w:val="left"/>
      <w:pPr>
        <w:ind w:left="1068" w:hanging="420"/>
      </w:pPr>
      <w:rPr>
        <w:rFonts w:hint="default" w:ascii="Wingdings" w:hAnsi="Wingdings"/>
      </w:rPr>
    </w:lvl>
    <w:lvl w:ilvl="1" w:tentative="0">
      <w:start w:val="1"/>
      <w:numFmt w:val="bullet"/>
      <w:lvlText w:val=""/>
      <w:lvlJc w:val="left"/>
      <w:pPr>
        <w:ind w:left="1488" w:hanging="420"/>
      </w:pPr>
      <w:rPr>
        <w:rFonts w:hint="default" w:ascii="Wingdings" w:hAnsi="Wingdings"/>
      </w:rPr>
    </w:lvl>
    <w:lvl w:ilvl="2" w:tentative="0">
      <w:start w:val="1"/>
      <w:numFmt w:val="bullet"/>
      <w:lvlText w:val=""/>
      <w:lvlJc w:val="left"/>
      <w:pPr>
        <w:ind w:left="1908" w:hanging="420"/>
      </w:pPr>
      <w:rPr>
        <w:rFonts w:hint="default" w:ascii="Wingdings" w:hAnsi="Wingdings"/>
      </w:rPr>
    </w:lvl>
    <w:lvl w:ilvl="3" w:tentative="0">
      <w:start w:val="1"/>
      <w:numFmt w:val="bullet"/>
      <w:lvlText w:val=""/>
      <w:lvlJc w:val="left"/>
      <w:pPr>
        <w:ind w:left="2328" w:hanging="420"/>
      </w:pPr>
      <w:rPr>
        <w:rFonts w:hint="default" w:ascii="Wingdings" w:hAnsi="Wingdings"/>
      </w:rPr>
    </w:lvl>
    <w:lvl w:ilvl="4" w:tentative="0">
      <w:start w:val="1"/>
      <w:numFmt w:val="bullet"/>
      <w:lvlText w:val=""/>
      <w:lvlJc w:val="left"/>
      <w:pPr>
        <w:ind w:left="2748" w:hanging="420"/>
      </w:pPr>
      <w:rPr>
        <w:rFonts w:hint="default" w:ascii="Wingdings" w:hAnsi="Wingdings"/>
      </w:rPr>
    </w:lvl>
    <w:lvl w:ilvl="5" w:tentative="0">
      <w:start w:val="1"/>
      <w:numFmt w:val="bullet"/>
      <w:lvlText w:val=""/>
      <w:lvlJc w:val="left"/>
      <w:pPr>
        <w:ind w:left="3168" w:hanging="420"/>
      </w:pPr>
      <w:rPr>
        <w:rFonts w:hint="default" w:ascii="Wingdings" w:hAnsi="Wingdings"/>
      </w:rPr>
    </w:lvl>
    <w:lvl w:ilvl="6" w:tentative="0">
      <w:start w:val="1"/>
      <w:numFmt w:val="bullet"/>
      <w:lvlText w:val=""/>
      <w:lvlJc w:val="left"/>
      <w:pPr>
        <w:ind w:left="3588" w:hanging="420"/>
      </w:pPr>
      <w:rPr>
        <w:rFonts w:hint="default" w:ascii="Wingdings" w:hAnsi="Wingdings"/>
      </w:rPr>
    </w:lvl>
    <w:lvl w:ilvl="7" w:tentative="0">
      <w:start w:val="1"/>
      <w:numFmt w:val="bullet"/>
      <w:lvlText w:val=""/>
      <w:lvlJc w:val="left"/>
      <w:pPr>
        <w:ind w:left="4008" w:hanging="420"/>
      </w:pPr>
      <w:rPr>
        <w:rFonts w:hint="default" w:ascii="Wingdings" w:hAnsi="Wingdings"/>
      </w:rPr>
    </w:lvl>
    <w:lvl w:ilvl="8" w:tentative="0">
      <w:start w:val="1"/>
      <w:numFmt w:val="bullet"/>
      <w:lvlText w:val=""/>
      <w:lvlJc w:val="left"/>
      <w:pPr>
        <w:ind w:left="4428" w:hanging="420"/>
      </w:pPr>
      <w:rPr>
        <w:rFonts w:hint="default" w:ascii="Wingdings" w:hAnsi="Wingdings"/>
      </w:rPr>
    </w:lvl>
  </w:abstractNum>
  <w:abstractNum w:abstractNumId="30">
    <w:nsid w:val="43DB7579"/>
    <w:multiLevelType w:val="multilevel"/>
    <w:tmpl w:val="43DB7579"/>
    <w:lvl w:ilvl="0" w:tentative="0">
      <w:start w:val="2"/>
      <w:numFmt w:val="decimal"/>
      <w:lvlText w:val="3.%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47A831E2"/>
    <w:multiLevelType w:val="multilevel"/>
    <w:tmpl w:val="47A831E2"/>
    <w:lvl w:ilvl="0" w:tentative="0">
      <w:start w:val="1"/>
      <w:numFmt w:val="bullet"/>
      <w:lvlText w:val=""/>
      <w:lvlJc w:val="left"/>
      <w:pPr>
        <w:ind w:left="0" w:firstLine="454"/>
      </w:pPr>
      <w:rPr>
        <w:rFonts w:hint="default" w:ascii="Wingdings" w:hAnsi="Wingdings"/>
      </w:rPr>
    </w:lvl>
    <w:lvl w:ilvl="1" w:tentative="0">
      <w:start w:val="1"/>
      <w:numFmt w:val="decimal"/>
      <w:lvlText w:val="%2）"/>
      <w:lvlJc w:val="left"/>
      <w:pPr>
        <w:ind w:left="1260" w:hanging="360"/>
      </w:pPr>
      <w:rPr>
        <w:rFonts w:hint="default"/>
      </w:rPr>
    </w:lvl>
    <w:lvl w:ilvl="2" w:tentative="0">
      <w:start w:val="1"/>
      <w:numFmt w:val="lowerLetter"/>
      <w:suff w:val="space"/>
      <w:lvlText w:val="（%3）"/>
      <w:lvlJc w:val="left"/>
      <w:pPr>
        <w:ind w:left="0" w:firstLine="340"/>
      </w:pPr>
      <w:rPr>
        <w:rFonts w:hint="default"/>
      </w:r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2">
    <w:nsid w:val="487D2198"/>
    <w:multiLevelType w:val="multilevel"/>
    <w:tmpl w:val="487D219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3">
    <w:nsid w:val="493F2DC2"/>
    <w:multiLevelType w:val="multilevel"/>
    <w:tmpl w:val="493F2DC2"/>
    <w:lvl w:ilvl="0" w:tentative="0">
      <w:start w:val="1"/>
      <w:numFmt w:val="decimal"/>
      <w:lvlText w:val="11.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C1508B1"/>
    <w:multiLevelType w:val="multilevel"/>
    <w:tmpl w:val="4C1508B1"/>
    <w:lvl w:ilvl="0" w:tentative="0">
      <w:start w:val="1"/>
      <w:numFmt w:val="decimal"/>
      <w:suff w:val="space"/>
      <w:lvlText w:val="（%1）"/>
      <w:lvlJc w:val="left"/>
      <w:pPr>
        <w:ind w:left="0" w:firstLine="340"/>
      </w:pPr>
      <w:rPr>
        <w:rFonts w:hint="default"/>
      </w:rPr>
    </w:lvl>
    <w:lvl w:ilvl="1" w:tentative="0">
      <w:start w:val="1"/>
      <w:numFmt w:val="decimal"/>
      <w:lvlText w:val="%2）"/>
      <w:lvlJc w:val="left"/>
      <w:pPr>
        <w:ind w:left="1260" w:hanging="360"/>
      </w:pPr>
      <w:rPr>
        <w:rFonts w:hint="default"/>
      </w:rPr>
    </w:lvl>
    <w:lvl w:ilvl="2" w:tentative="0">
      <w:start w:val="1"/>
      <w:numFmt w:val="lowerLetter"/>
      <w:suff w:val="space"/>
      <w:lvlText w:val="（%3）"/>
      <w:lvlJc w:val="left"/>
      <w:pPr>
        <w:ind w:left="0" w:firstLine="340"/>
      </w:pPr>
      <w:rPr>
        <w:rFonts w:hint="default"/>
      </w:rPr>
    </w:lvl>
    <w:lvl w:ilvl="3" w:tentative="0">
      <w:start w:val="1"/>
      <w:numFmt w:val="lowerLetter"/>
      <w:lvlText w:val="%4."/>
      <w:lvlJc w:val="left"/>
      <w:pPr>
        <w:ind w:left="2100" w:hanging="360"/>
      </w:pPr>
      <w:rPr>
        <w:rFonts w:hint="default"/>
      </w:r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5">
    <w:nsid w:val="4C1F7630"/>
    <w:multiLevelType w:val="multilevel"/>
    <w:tmpl w:val="4C1F7630"/>
    <w:lvl w:ilvl="0" w:tentative="0">
      <w:start w:val="1"/>
      <w:numFmt w:val="decimal"/>
      <w:lvlText w:val="%1."/>
      <w:lvlJc w:val="left"/>
      <w:pPr>
        <w:ind w:left="425" w:hanging="425"/>
      </w:pPr>
    </w:lvl>
    <w:lvl w:ilvl="1" w:tentative="0">
      <w:start w:val="1"/>
      <w:numFmt w:val="decimal"/>
      <w:lvlText w:val="4.%2"/>
      <w:lvlJc w:val="left"/>
      <w:pPr>
        <w:ind w:left="567" w:hanging="567"/>
      </w:pPr>
      <w:rPr>
        <w:rFonts w:hint="eastAsia"/>
        <w:lang w:val="en-IN"/>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6">
    <w:nsid w:val="4C9D76C1"/>
    <w:multiLevelType w:val="multilevel"/>
    <w:tmpl w:val="4C9D76C1"/>
    <w:lvl w:ilvl="0" w:tentative="0">
      <w:start w:val="1"/>
      <w:numFmt w:val="japaneseCounting"/>
      <w:lvlText w:val="（%1）"/>
      <w:lvlJc w:val="left"/>
      <w:pPr>
        <w:ind w:left="1400" w:hanging="84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7">
    <w:nsid w:val="4CA46DA1"/>
    <w:multiLevelType w:val="multilevel"/>
    <w:tmpl w:val="4CA46DA1"/>
    <w:lvl w:ilvl="0" w:tentative="0">
      <w:start w:val="1"/>
      <w:numFmt w:val="decimal"/>
      <w:lvlText w:val="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4FEE1640"/>
    <w:multiLevelType w:val="multilevel"/>
    <w:tmpl w:val="4FEE1640"/>
    <w:lvl w:ilvl="0" w:tentative="0">
      <w:start w:val="1"/>
      <w:numFmt w:val="decimal"/>
      <w:lvlText w:val="7.%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0296EFE"/>
    <w:multiLevelType w:val="multilevel"/>
    <w:tmpl w:val="50296EFE"/>
    <w:lvl w:ilvl="0" w:tentative="0">
      <w:start w:val="1"/>
      <w:numFmt w:val="bullet"/>
      <w:lvlText w:val=""/>
      <w:lvlJc w:val="left"/>
      <w:pPr>
        <w:ind w:left="794" w:hanging="227"/>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0">
    <w:nsid w:val="51C10CE7"/>
    <w:multiLevelType w:val="multilevel"/>
    <w:tmpl w:val="51C10CE7"/>
    <w:lvl w:ilvl="0" w:tentative="0">
      <w:start w:val="1"/>
      <w:numFmt w:val="decimal"/>
      <w:lvlText w:val="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32213C4"/>
    <w:multiLevelType w:val="multilevel"/>
    <w:tmpl w:val="532213C4"/>
    <w:lvl w:ilvl="0" w:tentative="0">
      <w:start w:val="1"/>
      <w:numFmt w:val="decimal"/>
      <w:lvlText w:val="%1."/>
      <w:lvlJc w:val="left"/>
      <w:pPr>
        <w:ind w:left="425" w:hanging="425"/>
      </w:pPr>
    </w:lvl>
    <w:lvl w:ilvl="1" w:tentative="0">
      <w:start w:val="1"/>
      <w:numFmt w:val="decimal"/>
      <w:lvlText w:val="3.%2"/>
      <w:lvlJc w:val="left"/>
      <w:pPr>
        <w:ind w:left="567" w:hanging="567"/>
      </w:pPr>
      <w:rPr>
        <w:rFonts w:hint="eastAsia"/>
        <w:lang w:val="en-IN"/>
      </w:rPr>
    </w:lvl>
    <w:lvl w:ilvl="2" w:tentative="0">
      <w:start w:val="1"/>
      <w:numFmt w:val="decimal"/>
      <w:lvlText w:val="2.2.%3"/>
      <w:lvlJc w:val="left"/>
      <w:pPr>
        <w:ind w:left="709" w:hanging="709"/>
      </w:pPr>
      <w:rPr>
        <w:rFonts w:hint="eastAsia"/>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2">
    <w:nsid w:val="5682792D"/>
    <w:multiLevelType w:val="multilevel"/>
    <w:tmpl w:val="5682792D"/>
    <w:lvl w:ilvl="0" w:tentative="0">
      <w:start w:val="1"/>
      <w:numFmt w:val="decimal"/>
      <w:suff w:val="space"/>
      <w:lvlText w:val="%1."/>
      <w:lvlJc w:val="left"/>
      <w:pPr>
        <w:ind w:left="0" w:firstLine="0"/>
      </w:pPr>
      <w:rPr>
        <w:rFonts w:hint="eastAsia"/>
        <w:b/>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3">
    <w:nsid w:val="5EF074B3"/>
    <w:multiLevelType w:val="multilevel"/>
    <w:tmpl w:val="5EF074B3"/>
    <w:lvl w:ilvl="0" w:tentative="0">
      <w:start w:val="1"/>
      <w:numFmt w:val="japaneseCounting"/>
      <w:lvlText w:val="（%1）"/>
      <w:lvlJc w:val="left"/>
      <w:pPr>
        <w:ind w:left="840" w:hanging="840"/>
      </w:pPr>
      <w:rPr>
        <w:rFonts w:hint="default"/>
        <w:sz w:val="24"/>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1721E50"/>
    <w:multiLevelType w:val="multilevel"/>
    <w:tmpl w:val="61721E50"/>
    <w:lvl w:ilvl="0" w:tentative="0">
      <w:start w:val="1"/>
      <w:numFmt w:val="decimal"/>
      <w:lvlText w:val="%1)"/>
      <w:lvlJc w:val="left"/>
      <w:pPr>
        <w:ind w:left="1080" w:hanging="420"/>
      </w:pPr>
    </w:lvl>
    <w:lvl w:ilvl="1" w:tentative="0">
      <w:start w:val="1"/>
      <w:numFmt w:val="lowerLetter"/>
      <w:lvlText w:val="%2)"/>
      <w:lvlJc w:val="left"/>
      <w:pPr>
        <w:ind w:left="1500" w:hanging="420"/>
      </w:p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abstractNum w:abstractNumId="45">
    <w:nsid w:val="62970A3A"/>
    <w:multiLevelType w:val="multilevel"/>
    <w:tmpl w:val="62970A3A"/>
    <w:lvl w:ilvl="0" w:tentative="0">
      <w:start w:val="1"/>
      <w:numFmt w:val="bullet"/>
      <w:lvlText w:val="•"/>
      <w:lvlJc w:val="left"/>
      <w:pPr>
        <w:ind w:left="880" w:hanging="420"/>
      </w:pPr>
      <w:rPr>
        <w:rFonts w:hint="eastAsia" w:ascii="宋体" w:hAnsi="宋体" w:eastAsia="宋体"/>
      </w:rPr>
    </w:lvl>
    <w:lvl w:ilvl="1" w:tentative="0">
      <w:start w:val="1"/>
      <w:numFmt w:val="bullet"/>
      <w:lvlText w:val=""/>
      <w:lvlJc w:val="left"/>
      <w:pPr>
        <w:ind w:left="1300" w:hanging="420"/>
      </w:pPr>
      <w:rPr>
        <w:rFonts w:hint="default" w:ascii="Wingdings" w:hAnsi="Wingdings"/>
      </w:rPr>
    </w:lvl>
    <w:lvl w:ilvl="2" w:tentative="0">
      <w:start w:val="1"/>
      <w:numFmt w:val="bullet"/>
      <w:lvlText w:val=""/>
      <w:lvlJc w:val="left"/>
      <w:pPr>
        <w:ind w:left="1720" w:hanging="420"/>
      </w:pPr>
      <w:rPr>
        <w:rFonts w:hint="default" w:ascii="Wingdings" w:hAnsi="Wingdings"/>
      </w:rPr>
    </w:lvl>
    <w:lvl w:ilvl="3" w:tentative="0">
      <w:start w:val="1"/>
      <w:numFmt w:val="bullet"/>
      <w:lvlText w:val=""/>
      <w:lvlJc w:val="left"/>
      <w:pPr>
        <w:ind w:left="2140" w:hanging="420"/>
      </w:pPr>
      <w:rPr>
        <w:rFonts w:hint="default" w:ascii="Wingdings" w:hAnsi="Wingdings"/>
      </w:rPr>
    </w:lvl>
    <w:lvl w:ilvl="4" w:tentative="0">
      <w:start w:val="1"/>
      <w:numFmt w:val="bullet"/>
      <w:lvlText w:val=""/>
      <w:lvlJc w:val="left"/>
      <w:pPr>
        <w:ind w:left="2560" w:hanging="420"/>
      </w:pPr>
      <w:rPr>
        <w:rFonts w:hint="default" w:ascii="Wingdings" w:hAnsi="Wingdings"/>
      </w:rPr>
    </w:lvl>
    <w:lvl w:ilvl="5" w:tentative="0">
      <w:start w:val="1"/>
      <w:numFmt w:val="bullet"/>
      <w:lvlText w:val=""/>
      <w:lvlJc w:val="left"/>
      <w:pPr>
        <w:ind w:left="2980" w:hanging="420"/>
      </w:pPr>
      <w:rPr>
        <w:rFonts w:hint="default" w:ascii="Wingdings" w:hAnsi="Wingdings"/>
      </w:rPr>
    </w:lvl>
    <w:lvl w:ilvl="6" w:tentative="0">
      <w:start w:val="1"/>
      <w:numFmt w:val="bullet"/>
      <w:lvlText w:val=""/>
      <w:lvlJc w:val="left"/>
      <w:pPr>
        <w:ind w:left="3400" w:hanging="420"/>
      </w:pPr>
      <w:rPr>
        <w:rFonts w:hint="default" w:ascii="Wingdings" w:hAnsi="Wingdings"/>
      </w:rPr>
    </w:lvl>
    <w:lvl w:ilvl="7" w:tentative="0">
      <w:start w:val="1"/>
      <w:numFmt w:val="bullet"/>
      <w:lvlText w:val=""/>
      <w:lvlJc w:val="left"/>
      <w:pPr>
        <w:ind w:left="3820" w:hanging="420"/>
      </w:pPr>
      <w:rPr>
        <w:rFonts w:hint="default" w:ascii="Wingdings" w:hAnsi="Wingdings"/>
      </w:rPr>
    </w:lvl>
    <w:lvl w:ilvl="8" w:tentative="0">
      <w:start w:val="1"/>
      <w:numFmt w:val="bullet"/>
      <w:lvlText w:val=""/>
      <w:lvlJc w:val="left"/>
      <w:pPr>
        <w:ind w:left="4240" w:hanging="420"/>
      </w:pPr>
      <w:rPr>
        <w:rFonts w:hint="default" w:ascii="Wingdings" w:hAnsi="Wingdings"/>
      </w:rPr>
    </w:lvl>
  </w:abstractNum>
  <w:abstractNum w:abstractNumId="46">
    <w:nsid w:val="684972D2"/>
    <w:multiLevelType w:val="multilevel"/>
    <w:tmpl w:val="684972D2"/>
    <w:lvl w:ilvl="0" w:tentative="0">
      <w:start w:val="1"/>
      <w:numFmt w:val="decimal"/>
      <w:lvlText w:val="3.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69E0766D"/>
    <w:multiLevelType w:val="multilevel"/>
    <w:tmpl w:val="69E0766D"/>
    <w:lvl w:ilvl="0" w:tentative="0">
      <w:start w:val="1"/>
      <w:numFmt w:val="decimal"/>
      <w:lvlText w:val="10.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A545F7B"/>
    <w:multiLevelType w:val="multilevel"/>
    <w:tmpl w:val="6A545F7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9">
    <w:nsid w:val="6B027A4F"/>
    <w:multiLevelType w:val="multilevel"/>
    <w:tmpl w:val="6B027A4F"/>
    <w:lvl w:ilvl="0" w:tentative="0">
      <w:start w:val="1"/>
      <w:numFmt w:val="lowerLetter"/>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lowerLetter"/>
      <w:lvlText w:val="%4."/>
      <w:lvlJc w:val="left"/>
      <w:pPr>
        <w:ind w:left="567" w:hanging="57"/>
      </w:pPr>
      <w:rPr>
        <w:rFonts w:hint="eastAsia"/>
      </w:r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0">
    <w:nsid w:val="6E9F0EA5"/>
    <w:multiLevelType w:val="multilevel"/>
    <w:tmpl w:val="6E9F0EA5"/>
    <w:lvl w:ilvl="0" w:tentative="0">
      <w:start w:val="1"/>
      <w:numFmt w:val="decimal"/>
      <w:lvlText w:val="2.2.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6ECA0A95"/>
    <w:multiLevelType w:val="multilevel"/>
    <w:tmpl w:val="6ECA0A95"/>
    <w:lvl w:ilvl="0" w:tentative="0">
      <w:start w:val="1"/>
      <w:numFmt w:val="bullet"/>
      <w:lvlText w:val="•"/>
      <w:lvlJc w:val="left"/>
      <w:pPr>
        <w:ind w:left="883" w:hanging="420"/>
      </w:pPr>
      <w:rPr>
        <w:rFonts w:hint="eastAsia" w:ascii="宋体" w:hAnsi="宋体" w:eastAsia="宋体"/>
        <w:color w:val="auto"/>
      </w:rPr>
    </w:lvl>
    <w:lvl w:ilvl="1" w:tentative="0">
      <w:start w:val="1"/>
      <w:numFmt w:val="bullet"/>
      <w:lvlText w:val=""/>
      <w:lvlJc w:val="left"/>
      <w:pPr>
        <w:ind w:left="1303" w:hanging="420"/>
      </w:pPr>
      <w:rPr>
        <w:rFonts w:hint="default" w:ascii="Wingdings" w:hAnsi="Wingdings"/>
      </w:rPr>
    </w:lvl>
    <w:lvl w:ilvl="2" w:tentative="0">
      <w:start w:val="1"/>
      <w:numFmt w:val="bullet"/>
      <w:lvlText w:val=""/>
      <w:lvlJc w:val="left"/>
      <w:pPr>
        <w:ind w:left="1723" w:hanging="420"/>
      </w:pPr>
      <w:rPr>
        <w:rFonts w:hint="default" w:ascii="Wingdings" w:hAnsi="Wingdings"/>
      </w:rPr>
    </w:lvl>
    <w:lvl w:ilvl="3" w:tentative="0">
      <w:start w:val="1"/>
      <w:numFmt w:val="bullet"/>
      <w:lvlText w:val=""/>
      <w:lvlJc w:val="left"/>
      <w:pPr>
        <w:ind w:left="2143" w:hanging="420"/>
      </w:pPr>
      <w:rPr>
        <w:rFonts w:hint="default" w:ascii="Wingdings" w:hAnsi="Wingdings"/>
      </w:rPr>
    </w:lvl>
    <w:lvl w:ilvl="4" w:tentative="0">
      <w:start w:val="1"/>
      <w:numFmt w:val="bullet"/>
      <w:lvlText w:val=""/>
      <w:lvlJc w:val="left"/>
      <w:pPr>
        <w:ind w:left="2563" w:hanging="420"/>
      </w:pPr>
      <w:rPr>
        <w:rFonts w:hint="default" w:ascii="Wingdings" w:hAnsi="Wingdings"/>
      </w:rPr>
    </w:lvl>
    <w:lvl w:ilvl="5" w:tentative="0">
      <w:start w:val="1"/>
      <w:numFmt w:val="bullet"/>
      <w:lvlText w:val=""/>
      <w:lvlJc w:val="left"/>
      <w:pPr>
        <w:ind w:left="2983" w:hanging="420"/>
      </w:pPr>
      <w:rPr>
        <w:rFonts w:hint="default" w:ascii="Wingdings" w:hAnsi="Wingdings"/>
      </w:rPr>
    </w:lvl>
    <w:lvl w:ilvl="6" w:tentative="0">
      <w:start w:val="1"/>
      <w:numFmt w:val="bullet"/>
      <w:lvlText w:val=""/>
      <w:lvlJc w:val="left"/>
      <w:pPr>
        <w:ind w:left="3403" w:hanging="420"/>
      </w:pPr>
      <w:rPr>
        <w:rFonts w:hint="default" w:ascii="Wingdings" w:hAnsi="Wingdings"/>
      </w:rPr>
    </w:lvl>
    <w:lvl w:ilvl="7" w:tentative="0">
      <w:start w:val="1"/>
      <w:numFmt w:val="bullet"/>
      <w:lvlText w:val=""/>
      <w:lvlJc w:val="left"/>
      <w:pPr>
        <w:ind w:left="3823" w:hanging="420"/>
      </w:pPr>
      <w:rPr>
        <w:rFonts w:hint="default" w:ascii="Wingdings" w:hAnsi="Wingdings"/>
      </w:rPr>
    </w:lvl>
    <w:lvl w:ilvl="8" w:tentative="0">
      <w:start w:val="1"/>
      <w:numFmt w:val="bullet"/>
      <w:lvlText w:val=""/>
      <w:lvlJc w:val="left"/>
      <w:pPr>
        <w:ind w:left="4243" w:hanging="420"/>
      </w:pPr>
      <w:rPr>
        <w:rFonts w:hint="default" w:ascii="Wingdings" w:hAnsi="Wingdings"/>
      </w:rPr>
    </w:lvl>
  </w:abstractNum>
  <w:abstractNum w:abstractNumId="52">
    <w:nsid w:val="74C46161"/>
    <w:multiLevelType w:val="multilevel"/>
    <w:tmpl w:val="74C4616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3">
    <w:nsid w:val="74FF2183"/>
    <w:multiLevelType w:val="multilevel"/>
    <w:tmpl w:val="74FF2183"/>
    <w:lvl w:ilvl="0" w:tentative="0">
      <w:start w:val="1"/>
      <w:numFmt w:val="decimal"/>
      <w:lvlText w:val="1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780075CA"/>
    <w:multiLevelType w:val="multilevel"/>
    <w:tmpl w:val="780075CA"/>
    <w:lvl w:ilvl="0" w:tentative="0">
      <w:start w:val="1"/>
      <w:numFmt w:val="lowerLetter"/>
      <w:lvlText w:val="%1."/>
      <w:lvlJc w:val="left"/>
      <w:pPr>
        <w:ind w:left="0" w:firstLine="28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792011C2"/>
    <w:multiLevelType w:val="multilevel"/>
    <w:tmpl w:val="792011C2"/>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7C244231"/>
    <w:multiLevelType w:val="multilevel"/>
    <w:tmpl w:val="7C244231"/>
    <w:lvl w:ilvl="0" w:tentative="0">
      <w:start w:val="1"/>
      <w:numFmt w:val="decimal"/>
      <w:lvlText w:val="10.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7F1F0E5B"/>
    <w:multiLevelType w:val="multilevel"/>
    <w:tmpl w:val="7F1F0E5B"/>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num w:numId="1">
    <w:abstractNumId w:val="19"/>
  </w:num>
  <w:num w:numId="2">
    <w:abstractNumId w:val="0"/>
  </w:num>
  <w:num w:numId="3">
    <w:abstractNumId w:val="17"/>
  </w:num>
  <w:num w:numId="4">
    <w:abstractNumId w:val="7"/>
  </w:num>
  <w:num w:numId="5">
    <w:abstractNumId w:val="42"/>
  </w:num>
  <w:num w:numId="6">
    <w:abstractNumId w:val="24"/>
  </w:num>
  <w:num w:numId="7">
    <w:abstractNumId w:val="20"/>
  </w:num>
  <w:num w:numId="8">
    <w:abstractNumId w:val="50"/>
  </w:num>
  <w:num w:numId="9">
    <w:abstractNumId w:val="1"/>
  </w:num>
  <w:num w:numId="10">
    <w:abstractNumId w:val="41"/>
  </w:num>
  <w:num w:numId="11">
    <w:abstractNumId w:val="25"/>
  </w:num>
  <w:num w:numId="12">
    <w:abstractNumId w:val="57"/>
  </w:num>
  <w:num w:numId="13">
    <w:abstractNumId w:val="30"/>
  </w:num>
  <w:num w:numId="14">
    <w:abstractNumId w:val="5"/>
  </w:num>
  <w:num w:numId="15">
    <w:abstractNumId w:val="52"/>
  </w:num>
  <w:num w:numId="16">
    <w:abstractNumId w:val="18"/>
  </w:num>
  <w:num w:numId="17">
    <w:abstractNumId w:val="46"/>
  </w:num>
  <w:num w:numId="18">
    <w:abstractNumId w:val="35"/>
  </w:num>
  <w:num w:numId="19">
    <w:abstractNumId w:val="28"/>
  </w:num>
  <w:num w:numId="20">
    <w:abstractNumId w:val="55"/>
  </w:num>
  <w:num w:numId="21">
    <w:abstractNumId w:val="23"/>
  </w:num>
  <w:num w:numId="22">
    <w:abstractNumId w:val="10"/>
  </w:num>
  <w:num w:numId="23">
    <w:abstractNumId w:val="13"/>
  </w:num>
  <w:num w:numId="24">
    <w:abstractNumId w:val="36"/>
  </w:num>
  <w:num w:numId="25">
    <w:abstractNumId w:val="43"/>
  </w:num>
  <w:num w:numId="26">
    <w:abstractNumId w:val="14"/>
  </w:num>
  <w:num w:numId="27">
    <w:abstractNumId w:val="38"/>
  </w:num>
  <w:num w:numId="28">
    <w:abstractNumId w:val="37"/>
  </w:num>
  <w:num w:numId="29">
    <w:abstractNumId w:val="9"/>
  </w:num>
  <w:num w:numId="30">
    <w:abstractNumId w:val="27"/>
  </w:num>
  <w:num w:numId="31">
    <w:abstractNumId w:val="26"/>
  </w:num>
  <w:num w:numId="32">
    <w:abstractNumId w:val="2"/>
  </w:num>
  <w:num w:numId="33">
    <w:abstractNumId w:val="15"/>
  </w:num>
  <w:num w:numId="34">
    <w:abstractNumId w:val="51"/>
  </w:num>
  <w:num w:numId="35">
    <w:abstractNumId w:val="6"/>
  </w:num>
  <w:num w:numId="36">
    <w:abstractNumId w:val="47"/>
  </w:num>
  <w:num w:numId="37">
    <w:abstractNumId w:val="31"/>
  </w:num>
  <w:num w:numId="38">
    <w:abstractNumId w:val="49"/>
  </w:num>
  <w:num w:numId="39">
    <w:abstractNumId w:val="22"/>
  </w:num>
  <w:num w:numId="40">
    <w:abstractNumId w:val="54"/>
  </w:num>
  <w:num w:numId="41">
    <w:abstractNumId w:val="3"/>
  </w:num>
  <w:num w:numId="42">
    <w:abstractNumId w:val="39"/>
  </w:num>
  <w:num w:numId="43">
    <w:abstractNumId w:val="32"/>
  </w:num>
  <w:num w:numId="44">
    <w:abstractNumId w:val="56"/>
  </w:num>
  <w:num w:numId="45">
    <w:abstractNumId w:val="12"/>
  </w:num>
  <w:num w:numId="46">
    <w:abstractNumId w:val="21"/>
  </w:num>
  <w:num w:numId="47">
    <w:abstractNumId w:val="16"/>
  </w:num>
  <w:num w:numId="48">
    <w:abstractNumId w:val="29"/>
  </w:num>
  <w:num w:numId="49">
    <w:abstractNumId w:val="34"/>
  </w:num>
  <w:num w:numId="50">
    <w:abstractNumId w:val="40"/>
  </w:num>
  <w:num w:numId="51">
    <w:abstractNumId w:val="45"/>
  </w:num>
  <w:num w:numId="52">
    <w:abstractNumId w:val="33"/>
  </w:num>
  <w:num w:numId="53">
    <w:abstractNumId w:val="4"/>
  </w:num>
  <w:num w:numId="54">
    <w:abstractNumId w:val="11"/>
  </w:num>
  <w:num w:numId="55">
    <w:abstractNumId w:val="53"/>
  </w:num>
  <w:num w:numId="56">
    <w:abstractNumId w:val="48"/>
  </w:num>
  <w:num w:numId="57">
    <w:abstractNumId w:val="8"/>
  </w:num>
  <w:num w:numId="58">
    <w:abstractNumId w:val="44"/>
  </w:num>
</w:numbering>
</file>

<file path=word/people.xml><?xml version="1.0" encoding="utf-8"?>
<w15:people xmlns:w15="http://schemas.microsoft.com/office/word/2012/wordml">
  <w15:person w15:author="AI修订">
    <w15:presenceInfo w15:providerId="None" w15:userId="AI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documentProtection w:enforcement="0"/>
  <w:updateFields w:val="true"/>
  <w:defaultTabStop w:val="720"/>
  <w:characterSpacingControl w:val="doNotCompress"/>
  <w:footnotePr>
    <w:footnote w:id="0"/>
    <w:footnote w:id="1"/>
  </w:footnotePr>
  <w:endnotePr>
    <w:endnote w:id="0"/>
    <w:endnote w:id="1"/>
  </w:endnotePr>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BC1"/>
    <w:rsid w:val="00000879"/>
    <w:rsid w:val="000012B5"/>
    <w:rsid w:val="00002B04"/>
    <w:rsid w:val="000041C6"/>
    <w:rsid w:val="00006828"/>
    <w:rsid w:val="00006D39"/>
    <w:rsid w:val="000171B1"/>
    <w:rsid w:val="000175D3"/>
    <w:rsid w:val="0002002A"/>
    <w:rsid w:val="000219EE"/>
    <w:rsid w:val="0002589E"/>
    <w:rsid w:val="000259B1"/>
    <w:rsid w:val="0003220D"/>
    <w:rsid w:val="000353DC"/>
    <w:rsid w:val="000406D7"/>
    <w:rsid w:val="00043F14"/>
    <w:rsid w:val="00051155"/>
    <w:rsid w:val="000519CD"/>
    <w:rsid w:val="00054D3A"/>
    <w:rsid w:val="00063189"/>
    <w:rsid w:val="000646C1"/>
    <w:rsid w:val="000705F0"/>
    <w:rsid w:val="000807E6"/>
    <w:rsid w:val="0008400F"/>
    <w:rsid w:val="00094E2C"/>
    <w:rsid w:val="000A1BCC"/>
    <w:rsid w:val="000A34C4"/>
    <w:rsid w:val="000B1043"/>
    <w:rsid w:val="000C5274"/>
    <w:rsid w:val="000D5CD7"/>
    <w:rsid w:val="000D63C5"/>
    <w:rsid w:val="000D7154"/>
    <w:rsid w:val="000E1737"/>
    <w:rsid w:val="000E4724"/>
    <w:rsid w:val="000E6842"/>
    <w:rsid w:val="000E6EDD"/>
    <w:rsid w:val="000F3629"/>
    <w:rsid w:val="000F581E"/>
    <w:rsid w:val="000F7A9C"/>
    <w:rsid w:val="000F7C6D"/>
    <w:rsid w:val="00103E27"/>
    <w:rsid w:val="00106929"/>
    <w:rsid w:val="001149C7"/>
    <w:rsid w:val="00115AD3"/>
    <w:rsid w:val="00125BDA"/>
    <w:rsid w:val="001260D2"/>
    <w:rsid w:val="001273AA"/>
    <w:rsid w:val="00134C07"/>
    <w:rsid w:val="001414A3"/>
    <w:rsid w:val="001444A5"/>
    <w:rsid w:val="00146250"/>
    <w:rsid w:val="001502B2"/>
    <w:rsid w:val="00151C76"/>
    <w:rsid w:val="001556C5"/>
    <w:rsid w:val="001576CB"/>
    <w:rsid w:val="00162473"/>
    <w:rsid w:val="00162B92"/>
    <w:rsid w:val="00166E1A"/>
    <w:rsid w:val="001908C9"/>
    <w:rsid w:val="00192575"/>
    <w:rsid w:val="001975D2"/>
    <w:rsid w:val="001A1018"/>
    <w:rsid w:val="001A2576"/>
    <w:rsid w:val="001A318E"/>
    <w:rsid w:val="001A48A7"/>
    <w:rsid w:val="001B1B35"/>
    <w:rsid w:val="001B6E2A"/>
    <w:rsid w:val="001B7C14"/>
    <w:rsid w:val="001B7C3D"/>
    <w:rsid w:val="001C5CD1"/>
    <w:rsid w:val="001D2094"/>
    <w:rsid w:val="001D570A"/>
    <w:rsid w:val="001E20EE"/>
    <w:rsid w:val="001F0082"/>
    <w:rsid w:val="001F6A61"/>
    <w:rsid w:val="001F735E"/>
    <w:rsid w:val="002135AB"/>
    <w:rsid w:val="00213B65"/>
    <w:rsid w:val="00214A1D"/>
    <w:rsid w:val="0022082D"/>
    <w:rsid w:val="00220F15"/>
    <w:rsid w:val="00227588"/>
    <w:rsid w:val="002301F9"/>
    <w:rsid w:val="0023287F"/>
    <w:rsid w:val="002337AD"/>
    <w:rsid w:val="00234D00"/>
    <w:rsid w:val="00237FD6"/>
    <w:rsid w:val="0024086A"/>
    <w:rsid w:val="00242823"/>
    <w:rsid w:val="00245715"/>
    <w:rsid w:val="00250F7B"/>
    <w:rsid w:val="0025578B"/>
    <w:rsid w:val="00260503"/>
    <w:rsid w:val="002634DD"/>
    <w:rsid w:val="00263AF7"/>
    <w:rsid w:val="002708A6"/>
    <w:rsid w:val="00272FDC"/>
    <w:rsid w:val="00275C47"/>
    <w:rsid w:val="00276E7F"/>
    <w:rsid w:val="00277C6F"/>
    <w:rsid w:val="00281E5B"/>
    <w:rsid w:val="00284995"/>
    <w:rsid w:val="00285548"/>
    <w:rsid w:val="0029133B"/>
    <w:rsid w:val="002A2DD7"/>
    <w:rsid w:val="002A4B88"/>
    <w:rsid w:val="002B0BC1"/>
    <w:rsid w:val="002B2C1B"/>
    <w:rsid w:val="002B41A8"/>
    <w:rsid w:val="002B49EB"/>
    <w:rsid w:val="002B515D"/>
    <w:rsid w:val="002B6E32"/>
    <w:rsid w:val="002C7B79"/>
    <w:rsid w:val="002D14C4"/>
    <w:rsid w:val="002D20CE"/>
    <w:rsid w:val="002D532E"/>
    <w:rsid w:val="002E0517"/>
    <w:rsid w:val="002E2237"/>
    <w:rsid w:val="002F269C"/>
    <w:rsid w:val="0030061F"/>
    <w:rsid w:val="003068FA"/>
    <w:rsid w:val="00315572"/>
    <w:rsid w:val="00317009"/>
    <w:rsid w:val="003243D1"/>
    <w:rsid w:val="00326B2F"/>
    <w:rsid w:val="00326FD3"/>
    <w:rsid w:val="00332950"/>
    <w:rsid w:val="0033323B"/>
    <w:rsid w:val="0033422E"/>
    <w:rsid w:val="003353D5"/>
    <w:rsid w:val="0033719E"/>
    <w:rsid w:val="00344494"/>
    <w:rsid w:val="00351BD6"/>
    <w:rsid w:val="003537AC"/>
    <w:rsid w:val="00356184"/>
    <w:rsid w:val="003635BC"/>
    <w:rsid w:val="00364FCB"/>
    <w:rsid w:val="0036543B"/>
    <w:rsid w:val="00367225"/>
    <w:rsid w:val="00383B9F"/>
    <w:rsid w:val="00390F90"/>
    <w:rsid w:val="00395FA6"/>
    <w:rsid w:val="003A0DDC"/>
    <w:rsid w:val="003B5362"/>
    <w:rsid w:val="003C0091"/>
    <w:rsid w:val="003C3DD1"/>
    <w:rsid w:val="003C4333"/>
    <w:rsid w:val="003D1943"/>
    <w:rsid w:val="003E2E70"/>
    <w:rsid w:val="003E4B82"/>
    <w:rsid w:val="003E4E4C"/>
    <w:rsid w:val="003E7E8C"/>
    <w:rsid w:val="003F01BD"/>
    <w:rsid w:val="003F5EE0"/>
    <w:rsid w:val="003F6F38"/>
    <w:rsid w:val="003F736F"/>
    <w:rsid w:val="0040401E"/>
    <w:rsid w:val="00406747"/>
    <w:rsid w:val="00410EE9"/>
    <w:rsid w:val="004111F1"/>
    <w:rsid w:val="00412038"/>
    <w:rsid w:val="00413AAA"/>
    <w:rsid w:val="0041454A"/>
    <w:rsid w:val="00415DA8"/>
    <w:rsid w:val="00422DA1"/>
    <w:rsid w:val="0042385C"/>
    <w:rsid w:val="004302D9"/>
    <w:rsid w:val="00430735"/>
    <w:rsid w:val="00430E90"/>
    <w:rsid w:val="00433250"/>
    <w:rsid w:val="004352F5"/>
    <w:rsid w:val="00441302"/>
    <w:rsid w:val="004422FA"/>
    <w:rsid w:val="00442D6D"/>
    <w:rsid w:val="0044778B"/>
    <w:rsid w:val="00454B4D"/>
    <w:rsid w:val="00457A3C"/>
    <w:rsid w:val="004639FE"/>
    <w:rsid w:val="00465E20"/>
    <w:rsid w:val="0046635A"/>
    <w:rsid w:val="00470559"/>
    <w:rsid w:val="00472F92"/>
    <w:rsid w:val="00475426"/>
    <w:rsid w:val="00475444"/>
    <w:rsid w:val="00481F30"/>
    <w:rsid w:val="00482DA4"/>
    <w:rsid w:val="00483E7E"/>
    <w:rsid w:val="004853DE"/>
    <w:rsid w:val="004978E4"/>
    <w:rsid w:val="004A1AA6"/>
    <w:rsid w:val="004A4B5F"/>
    <w:rsid w:val="004A5145"/>
    <w:rsid w:val="004A620F"/>
    <w:rsid w:val="004A6C13"/>
    <w:rsid w:val="004B040C"/>
    <w:rsid w:val="004B2607"/>
    <w:rsid w:val="004C27D2"/>
    <w:rsid w:val="004C2870"/>
    <w:rsid w:val="004D228E"/>
    <w:rsid w:val="004D37BC"/>
    <w:rsid w:val="004D4CA9"/>
    <w:rsid w:val="004D65E0"/>
    <w:rsid w:val="004E0143"/>
    <w:rsid w:val="004E717A"/>
    <w:rsid w:val="004F0D35"/>
    <w:rsid w:val="005050FA"/>
    <w:rsid w:val="00517EC0"/>
    <w:rsid w:val="00523E40"/>
    <w:rsid w:val="00526DEC"/>
    <w:rsid w:val="00527488"/>
    <w:rsid w:val="00527826"/>
    <w:rsid w:val="00531C8F"/>
    <w:rsid w:val="00532508"/>
    <w:rsid w:val="00533DFD"/>
    <w:rsid w:val="0053772F"/>
    <w:rsid w:val="00541151"/>
    <w:rsid w:val="005416C1"/>
    <w:rsid w:val="005510D2"/>
    <w:rsid w:val="00551447"/>
    <w:rsid w:val="00554FAE"/>
    <w:rsid w:val="00563E7E"/>
    <w:rsid w:val="00567639"/>
    <w:rsid w:val="00567F13"/>
    <w:rsid w:val="00571D51"/>
    <w:rsid w:val="00581C72"/>
    <w:rsid w:val="005852DE"/>
    <w:rsid w:val="00585F92"/>
    <w:rsid w:val="0058617B"/>
    <w:rsid w:val="0058716E"/>
    <w:rsid w:val="00590C8A"/>
    <w:rsid w:val="00594AB6"/>
    <w:rsid w:val="00597083"/>
    <w:rsid w:val="005A3FF4"/>
    <w:rsid w:val="005A58FE"/>
    <w:rsid w:val="005B1FF1"/>
    <w:rsid w:val="005B5F20"/>
    <w:rsid w:val="005C0F4D"/>
    <w:rsid w:val="005C3EA8"/>
    <w:rsid w:val="005C7509"/>
    <w:rsid w:val="005D3F4A"/>
    <w:rsid w:val="005D5F6A"/>
    <w:rsid w:val="005E735A"/>
    <w:rsid w:val="005F169F"/>
    <w:rsid w:val="005F1E7C"/>
    <w:rsid w:val="0060614F"/>
    <w:rsid w:val="00610627"/>
    <w:rsid w:val="00610657"/>
    <w:rsid w:val="006110B1"/>
    <w:rsid w:val="00611667"/>
    <w:rsid w:val="00615629"/>
    <w:rsid w:val="00615D5A"/>
    <w:rsid w:val="006225A6"/>
    <w:rsid w:val="00625541"/>
    <w:rsid w:val="00626B77"/>
    <w:rsid w:val="0062793E"/>
    <w:rsid w:val="00631168"/>
    <w:rsid w:val="00631567"/>
    <w:rsid w:val="0063669C"/>
    <w:rsid w:val="00636D79"/>
    <w:rsid w:val="0065145F"/>
    <w:rsid w:val="006532C6"/>
    <w:rsid w:val="00655D81"/>
    <w:rsid w:val="00666DAD"/>
    <w:rsid w:val="006671CD"/>
    <w:rsid w:val="00667A10"/>
    <w:rsid w:val="00667E52"/>
    <w:rsid w:val="006720F7"/>
    <w:rsid w:val="0067698C"/>
    <w:rsid w:val="00676A86"/>
    <w:rsid w:val="00686042"/>
    <w:rsid w:val="0069212A"/>
    <w:rsid w:val="006969E4"/>
    <w:rsid w:val="006A076C"/>
    <w:rsid w:val="006B356D"/>
    <w:rsid w:val="006B4DBF"/>
    <w:rsid w:val="006B598D"/>
    <w:rsid w:val="006B719A"/>
    <w:rsid w:val="006C2D14"/>
    <w:rsid w:val="006C32DC"/>
    <w:rsid w:val="006C538F"/>
    <w:rsid w:val="006E09CA"/>
    <w:rsid w:val="006E532E"/>
    <w:rsid w:val="006E5466"/>
    <w:rsid w:val="006F0FAC"/>
    <w:rsid w:val="006F43B2"/>
    <w:rsid w:val="007001C0"/>
    <w:rsid w:val="007005F7"/>
    <w:rsid w:val="00701237"/>
    <w:rsid w:val="00702A30"/>
    <w:rsid w:val="0070642C"/>
    <w:rsid w:val="00706691"/>
    <w:rsid w:val="0070699E"/>
    <w:rsid w:val="00707915"/>
    <w:rsid w:val="00714F09"/>
    <w:rsid w:val="007175A6"/>
    <w:rsid w:val="007213C7"/>
    <w:rsid w:val="00722F77"/>
    <w:rsid w:val="007246D7"/>
    <w:rsid w:val="00732409"/>
    <w:rsid w:val="007346D1"/>
    <w:rsid w:val="00734939"/>
    <w:rsid w:val="00737439"/>
    <w:rsid w:val="0074081E"/>
    <w:rsid w:val="00745E27"/>
    <w:rsid w:val="00745F59"/>
    <w:rsid w:val="00747842"/>
    <w:rsid w:val="00747C08"/>
    <w:rsid w:val="00750463"/>
    <w:rsid w:val="0075257B"/>
    <w:rsid w:val="00753EB0"/>
    <w:rsid w:val="007613C0"/>
    <w:rsid w:val="007617D0"/>
    <w:rsid w:val="00762E14"/>
    <w:rsid w:val="0076557A"/>
    <w:rsid w:val="0077059F"/>
    <w:rsid w:val="00770D76"/>
    <w:rsid w:val="00773519"/>
    <w:rsid w:val="00774819"/>
    <w:rsid w:val="00774C48"/>
    <w:rsid w:val="00775422"/>
    <w:rsid w:val="007757DA"/>
    <w:rsid w:val="00781289"/>
    <w:rsid w:val="00781E57"/>
    <w:rsid w:val="00784E6D"/>
    <w:rsid w:val="00785EBD"/>
    <w:rsid w:val="00793A1B"/>
    <w:rsid w:val="007960F6"/>
    <w:rsid w:val="00796542"/>
    <w:rsid w:val="00796F67"/>
    <w:rsid w:val="007976C6"/>
    <w:rsid w:val="00797718"/>
    <w:rsid w:val="007A3C7E"/>
    <w:rsid w:val="007B0F92"/>
    <w:rsid w:val="007B0FC4"/>
    <w:rsid w:val="007B4D41"/>
    <w:rsid w:val="007B5414"/>
    <w:rsid w:val="007B6F84"/>
    <w:rsid w:val="007B75F3"/>
    <w:rsid w:val="007C23AC"/>
    <w:rsid w:val="007C4387"/>
    <w:rsid w:val="007D4260"/>
    <w:rsid w:val="007E1C4D"/>
    <w:rsid w:val="007E22F9"/>
    <w:rsid w:val="007E45C9"/>
    <w:rsid w:val="007E77FA"/>
    <w:rsid w:val="0080000A"/>
    <w:rsid w:val="008004E8"/>
    <w:rsid w:val="008008E8"/>
    <w:rsid w:val="00813445"/>
    <w:rsid w:val="00821B6D"/>
    <w:rsid w:val="008242D8"/>
    <w:rsid w:val="0082596A"/>
    <w:rsid w:val="0083118E"/>
    <w:rsid w:val="0083271A"/>
    <w:rsid w:val="00841E68"/>
    <w:rsid w:val="00842AD6"/>
    <w:rsid w:val="00845808"/>
    <w:rsid w:val="00846B58"/>
    <w:rsid w:val="00846CD0"/>
    <w:rsid w:val="00846E5C"/>
    <w:rsid w:val="00852B29"/>
    <w:rsid w:val="00857F0C"/>
    <w:rsid w:val="00860B90"/>
    <w:rsid w:val="00860E0E"/>
    <w:rsid w:val="00880999"/>
    <w:rsid w:val="00880BC0"/>
    <w:rsid w:val="0088399F"/>
    <w:rsid w:val="00895F7D"/>
    <w:rsid w:val="00897EF2"/>
    <w:rsid w:val="008A12BF"/>
    <w:rsid w:val="008A1463"/>
    <w:rsid w:val="008A21A9"/>
    <w:rsid w:val="008A5607"/>
    <w:rsid w:val="008A58BF"/>
    <w:rsid w:val="008B1550"/>
    <w:rsid w:val="008B3061"/>
    <w:rsid w:val="008C3061"/>
    <w:rsid w:val="008C65E0"/>
    <w:rsid w:val="008D2913"/>
    <w:rsid w:val="008D37F8"/>
    <w:rsid w:val="008D3FC9"/>
    <w:rsid w:val="008E01D1"/>
    <w:rsid w:val="008E1969"/>
    <w:rsid w:val="008F01B3"/>
    <w:rsid w:val="008F1AD6"/>
    <w:rsid w:val="008F27F2"/>
    <w:rsid w:val="00901320"/>
    <w:rsid w:val="009013C0"/>
    <w:rsid w:val="009060A0"/>
    <w:rsid w:val="00907B2E"/>
    <w:rsid w:val="009145F8"/>
    <w:rsid w:val="00917CA9"/>
    <w:rsid w:val="009248EB"/>
    <w:rsid w:val="00930868"/>
    <w:rsid w:val="00935EA9"/>
    <w:rsid w:val="009376A4"/>
    <w:rsid w:val="0094247A"/>
    <w:rsid w:val="00943339"/>
    <w:rsid w:val="00943B6D"/>
    <w:rsid w:val="0094546A"/>
    <w:rsid w:val="00945A95"/>
    <w:rsid w:val="00945B10"/>
    <w:rsid w:val="009475E7"/>
    <w:rsid w:val="009501A3"/>
    <w:rsid w:val="00952F95"/>
    <w:rsid w:val="00954DAF"/>
    <w:rsid w:val="00955306"/>
    <w:rsid w:val="00960230"/>
    <w:rsid w:val="00974AAB"/>
    <w:rsid w:val="009804B1"/>
    <w:rsid w:val="00981475"/>
    <w:rsid w:val="00982173"/>
    <w:rsid w:val="00983084"/>
    <w:rsid w:val="00990FA0"/>
    <w:rsid w:val="00992656"/>
    <w:rsid w:val="009932BC"/>
    <w:rsid w:val="009A12A9"/>
    <w:rsid w:val="009A16C5"/>
    <w:rsid w:val="009A7079"/>
    <w:rsid w:val="009B464F"/>
    <w:rsid w:val="009C15A5"/>
    <w:rsid w:val="009C17FC"/>
    <w:rsid w:val="009C1CC8"/>
    <w:rsid w:val="009C21AF"/>
    <w:rsid w:val="009D4DEF"/>
    <w:rsid w:val="009E2659"/>
    <w:rsid w:val="009E34B1"/>
    <w:rsid w:val="009F4EEC"/>
    <w:rsid w:val="00A005F4"/>
    <w:rsid w:val="00A1206B"/>
    <w:rsid w:val="00A13D9D"/>
    <w:rsid w:val="00A157CC"/>
    <w:rsid w:val="00A176A4"/>
    <w:rsid w:val="00A2211C"/>
    <w:rsid w:val="00A23263"/>
    <w:rsid w:val="00A30FF4"/>
    <w:rsid w:val="00A312F7"/>
    <w:rsid w:val="00A31959"/>
    <w:rsid w:val="00A32376"/>
    <w:rsid w:val="00A33A6C"/>
    <w:rsid w:val="00A40541"/>
    <w:rsid w:val="00A411C0"/>
    <w:rsid w:val="00A431E1"/>
    <w:rsid w:val="00A4352C"/>
    <w:rsid w:val="00A435D6"/>
    <w:rsid w:val="00A45AD6"/>
    <w:rsid w:val="00A46E67"/>
    <w:rsid w:val="00A47FF6"/>
    <w:rsid w:val="00A519A7"/>
    <w:rsid w:val="00A53BD3"/>
    <w:rsid w:val="00A53DE2"/>
    <w:rsid w:val="00A566B9"/>
    <w:rsid w:val="00A6257E"/>
    <w:rsid w:val="00A73030"/>
    <w:rsid w:val="00A7698D"/>
    <w:rsid w:val="00A81455"/>
    <w:rsid w:val="00A9077B"/>
    <w:rsid w:val="00A94900"/>
    <w:rsid w:val="00A96AB5"/>
    <w:rsid w:val="00A9724A"/>
    <w:rsid w:val="00AB1F13"/>
    <w:rsid w:val="00AB5003"/>
    <w:rsid w:val="00AB5183"/>
    <w:rsid w:val="00AC2A41"/>
    <w:rsid w:val="00AC6DC5"/>
    <w:rsid w:val="00AD06BF"/>
    <w:rsid w:val="00AD48C3"/>
    <w:rsid w:val="00AD4A49"/>
    <w:rsid w:val="00AD56FA"/>
    <w:rsid w:val="00AD595B"/>
    <w:rsid w:val="00AE24AD"/>
    <w:rsid w:val="00AE3462"/>
    <w:rsid w:val="00AE3EA7"/>
    <w:rsid w:val="00AE4ACA"/>
    <w:rsid w:val="00AF004B"/>
    <w:rsid w:val="00AF3B30"/>
    <w:rsid w:val="00B01087"/>
    <w:rsid w:val="00B03949"/>
    <w:rsid w:val="00B07676"/>
    <w:rsid w:val="00B11848"/>
    <w:rsid w:val="00B16B02"/>
    <w:rsid w:val="00B24DF9"/>
    <w:rsid w:val="00B265BD"/>
    <w:rsid w:val="00B30660"/>
    <w:rsid w:val="00B30A01"/>
    <w:rsid w:val="00B31DEB"/>
    <w:rsid w:val="00B35E3B"/>
    <w:rsid w:val="00B362D3"/>
    <w:rsid w:val="00B36ED4"/>
    <w:rsid w:val="00B42179"/>
    <w:rsid w:val="00B44411"/>
    <w:rsid w:val="00B44B89"/>
    <w:rsid w:val="00B4600E"/>
    <w:rsid w:val="00B46D4E"/>
    <w:rsid w:val="00B4737A"/>
    <w:rsid w:val="00B52221"/>
    <w:rsid w:val="00B61B55"/>
    <w:rsid w:val="00B6236D"/>
    <w:rsid w:val="00B62D04"/>
    <w:rsid w:val="00B64497"/>
    <w:rsid w:val="00B666D7"/>
    <w:rsid w:val="00B726E1"/>
    <w:rsid w:val="00B7314E"/>
    <w:rsid w:val="00B7401F"/>
    <w:rsid w:val="00B74110"/>
    <w:rsid w:val="00B8574C"/>
    <w:rsid w:val="00BA4344"/>
    <w:rsid w:val="00BA6920"/>
    <w:rsid w:val="00BB0FD4"/>
    <w:rsid w:val="00BB1AC3"/>
    <w:rsid w:val="00BB238E"/>
    <w:rsid w:val="00BC2679"/>
    <w:rsid w:val="00BC3CDE"/>
    <w:rsid w:val="00BE1A8B"/>
    <w:rsid w:val="00BE441B"/>
    <w:rsid w:val="00BE6D5F"/>
    <w:rsid w:val="00BE6EF4"/>
    <w:rsid w:val="00BF2A5E"/>
    <w:rsid w:val="00BF5389"/>
    <w:rsid w:val="00BF58FF"/>
    <w:rsid w:val="00C02393"/>
    <w:rsid w:val="00C04034"/>
    <w:rsid w:val="00C06882"/>
    <w:rsid w:val="00C2186B"/>
    <w:rsid w:val="00C25800"/>
    <w:rsid w:val="00C26D0E"/>
    <w:rsid w:val="00C27F6E"/>
    <w:rsid w:val="00C30048"/>
    <w:rsid w:val="00C301D5"/>
    <w:rsid w:val="00C30AE1"/>
    <w:rsid w:val="00C315E0"/>
    <w:rsid w:val="00C35594"/>
    <w:rsid w:val="00C362BD"/>
    <w:rsid w:val="00C4482F"/>
    <w:rsid w:val="00C4515E"/>
    <w:rsid w:val="00C4596D"/>
    <w:rsid w:val="00C47FA9"/>
    <w:rsid w:val="00C47FB7"/>
    <w:rsid w:val="00C51436"/>
    <w:rsid w:val="00C60AFC"/>
    <w:rsid w:val="00C619C3"/>
    <w:rsid w:val="00C61DF0"/>
    <w:rsid w:val="00C61E25"/>
    <w:rsid w:val="00C852FF"/>
    <w:rsid w:val="00C86B1F"/>
    <w:rsid w:val="00C87370"/>
    <w:rsid w:val="00C87EE9"/>
    <w:rsid w:val="00C923C9"/>
    <w:rsid w:val="00C92D4F"/>
    <w:rsid w:val="00C93CD6"/>
    <w:rsid w:val="00C94641"/>
    <w:rsid w:val="00C95C39"/>
    <w:rsid w:val="00CA1C2C"/>
    <w:rsid w:val="00CA335C"/>
    <w:rsid w:val="00CA755F"/>
    <w:rsid w:val="00CB30EB"/>
    <w:rsid w:val="00CB3FF4"/>
    <w:rsid w:val="00CB6476"/>
    <w:rsid w:val="00CB74E5"/>
    <w:rsid w:val="00CB7C0D"/>
    <w:rsid w:val="00CC681E"/>
    <w:rsid w:val="00CD559D"/>
    <w:rsid w:val="00CD710D"/>
    <w:rsid w:val="00CE082F"/>
    <w:rsid w:val="00CE78C9"/>
    <w:rsid w:val="00CF12B4"/>
    <w:rsid w:val="00D01815"/>
    <w:rsid w:val="00D10957"/>
    <w:rsid w:val="00D177C4"/>
    <w:rsid w:val="00D17C6A"/>
    <w:rsid w:val="00D260FC"/>
    <w:rsid w:val="00D30C6C"/>
    <w:rsid w:val="00D34088"/>
    <w:rsid w:val="00D351E1"/>
    <w:rsid w:val="00D352EC"/>
    <w:rsid w:val="00D3604B"/>
    <w:rsid w:val="00D4507F"/>
    <w:rsid w:val="00D46C10"/>
    <w:rsid w:val="00D5472B"/>
    <w:rsid w:val="00D54B6B"/>
    <w:rsid w:val="00D54C8F"/>
    <w:rsid w:val="00D61972"/>
    <w:rsid w:val="00D72C17"/>
    <w:rsid w:val="00D75082"/>
    <w:rsid w:val="00D85ACA"/>
    <w:rsid w:val="00D860A8"/>
    <w:rsid w:val="00D93958"/>
    <w:rsid w:val="00D97620"/>
    <w:rsid w:val="00DA1E7F"/>
    <w:rsid w:val="00DB03E6"/>
    <w:rsid w:val="00DB39EC"/>
    <w:rsid w:val="00DB4281"/>
    <w:rsid w:val="00DB6B0A"/>
    <w:rsid w:val="00DC0265"/>
    <w:rsid w:val="00DC06D2"/>
    <w:rsid w:val="00DC2D59"/>
    <w:rsid w:val="00DD5AE7"/>
    <w:rsid w:val="00DE042B"/>
    <w:rsid w:val="00DE5DEE"/>
    <w:rsid w:val="00DF42BF"/>
    <w:rsid w:val="00DF551B"/>
    <w:rsid w:val="00DF588B"/>
    <w:rsid w:val="00DF5CEF"/>
    <w:rsid w:val="00DF62AA"/>
    <w:rsid w:val="00DF7995"/>
    <w:rsid w:val="00E0008C"/>
    <w:rsid w:val="00E013EC"/>
    <w:rsid w:val="00E027A3"/>
    <w:rsid w:val="00E045E9"/>
    <w:rsid w:val="00E103E4"/>
    <w:rsid w:val="00E13439"/>
    <w:rsid w:val="00E17C65"/>
    <w:rsid w:val="00E22A3F"/>
    <w:rsid w:val="00E22E4F"/>
    <w:rsid w:val="00E22ED1"/>
    <w:rsid w:val="00E33AED"/>
    <w:rsid w:val="00E346B2"/>
    <w:rsid w:val="00E45166"/>
    <w:rsid w:val="00E521B2"/>
    <w:rsid w:val="00E5778B"/>
    <w:rsid w:val="00E57EB3"/>
    <w:rsid w:val="00E6000E"/>
    <w:rsid w:val="00E668BD"/>
    <w:rsid w:val="00E676D0"/>
    <w:rsid w:val="00E70EC0"/>
    <w:rsid w:val="00E773E2"/>
    <w:rsid w:val="00E77839"/>
    <w:rsid w:val="00E82BF8"/>
    <w:rsid w:val="00E83597"/>
    <w:rsid w:val="00E87688"/>
    <w:rsid w:val="00E930EB"/>
    <w:rsid w:val="00E93D56"/>
    <w:rsid w:val="00E9728D"/>
    <w:rsid w:val="00EA4874"/>
    <w:rsid w:val="00EA48EC"/>
    <w:rsid w:val="00EB3EF3"/>
    <w:rsid w:val="00EC1346"/>
    <w:rsid w:val="00EC3CD6"/>
    <w:rsid w:val="00EC6D00"/>
    <w:rsid w:val="00EC6F1B"/>
    <w:rsid w:val="00ED0408"/>
    <w:rsid w:val="00ED1C9B"/>
    <w:rsid w:val="00EE31E8"/>
    <w:rsid w:val="00EE3E33"/>
    <w:rsid w:val="00EE4079"/>
    <w:rsid w:val="00EE4326"/>
    <w:rsid w:val="00EE67F7"/>
    <w:rsid w:val="00EE6D2D"/>
    <w:rsid w:val="00EF06F0"/>
    <w:rsid w:val="00EF3C2A"/>
    <w:rsid w:val="00EF441F"/>
    <w:rsid w:val="00EF5E36"/>
    <w:rsid w:val="00EF70B4"/>
    <w:rsid w:val="00F01997"/>
    <w:rsid w:val="00F02F2C"/>
    <w:rsid w:val="00F12087"/>
    <w:rsid w:val="00F126DE"/>
    <w:rsid w:val="00F20B11"/>
    <w:rsid w:val="00F224F4"/>
    <w:rsid w:val="00F248BE"/>
    <w:rsid w:val="00F25433"/>
    <w:rsid w:val="00F262D7"/>
    <w:rsid w:val="00F27878"/>
    <w:rsid w:val="00F40B4B"/>
    <w:rsid w:val="00F414A2"/>
    <w:rsid w:val="00F42796"/>
    <w:rsid w:val="00F449C9"/>
    <w:rsid w:val="00F4504D"/>
    <w:rsid w:val="00F4762D"/>
    <w:rsid w:val="00F50994"/>
    <w:rsid w:val="00F53B38"/>
    <w:rsid w:val="00F54E67"/>
    <w:rsid w:val="00F5599A"/>
    <w:rsid w:val="00F60DFA"/>
    <w:rsid w:val="00F60F0B"/>
    <w:rsid w:val="00F64101"/>
    <w:rsid w:val="00F66EAF"/>
    <w:rsid w:val="00F748E4"/>
    <w:rsid w:val="00F8748B"/>
    <w:rsid w:val="00F93199"/>
    <w:rsid w:val="00F9556A"/>
    <w:rsid w:val="00FB043D"/>
    <w:rsid w:val="00FB2893"/>
    <w:rsid w:val="00FB2BE2"/>
    <w:rsid w:val="00FB5A1B"/>
    <w:rsid w:val="00FB625D"/>
    <w:rsid w:val="00FC7E8A"/>
    <w:rsid w:val="00FD186B"/>
    <w:rsid w:val="00FD36FD"/>
    <w:rsid w:val="00FD408F"/>
    <w:rsid w:val="00FE0E32"/>
    <w:rsid w:val="00FE14CE"/>
    <w:rsid w:val="00FF1D98"/>
    <w:rsid w:val="00FF467E"/>
    <w:rsid w:val="00FF5C28"/>
    <w:rsid w:val="00FF6121"/>
    <w:rsid w:val="00FF65E0"/>
    <w:rsid w:val="00FF76AE"/>
    <w:rsid w:val="0152775F"/>
    <w:rsid w:val="040DF350"/>
    <w:rsid w:val="0B616C3D"/>
    <w:rsid w:val="0E1C40A0"/>
    <w:rsid w:val="135451A3"/>
    <w:rsid w:val="1E69383A"/>
    <w:rsid w:val="1FE4D99D"/>
    <w:rsid w:val="24BC78A5"/>
    <w:rsid w:val="28E556B6"/>
    <w:rsid w:val="2B371458"/>
    <w:rsid w:val="30E266C6"/>
    <w:rsid w:val="32F1439D"/>
    <w:rsid w:val="3403550E"/>
    <w:rsid w:val="38222B9C"/>
    <w:rsid w:val="3B622D6A"/>
    <w:rsid w:val="3EA69EA8"/>
    <w:rsid w:val="470A4FA3"/>
    <w:rsid w:val="489148ED"/>
    <w:rsid w:val="4A9D5285"/>
    <w:rsid w:val="57625EF2"/>
    <w:rsid w:val="581F4175"/>
    <w:rsid w:val="5900617A"/>
    <w:rsid w:val="61D16045"/>
    <w:rsid w:val="62088EC0"/>
    <w:rsid w:val="69522E64"/>
    <w:rsid w:val="6E2FC1C1"/>
    <w:rsid w:val="6F267D13"/>
    <w:rsid w:val="6F33909B"/>
    <w:rsid w:val="78E1068F"/>
    <w:rsid w:val="7A260FBC"/>
    <w:rsid w:val="27339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259" w:lineRule="auto"/>
      <w:jc w:val="both"/>
    </w:pPr>
    <w:rPr>
      <w:rFonts w:ascii="Times New Roman" w:hAnsi="Times New Roman" w:eastAsia="宋体" w:cstheme="minorBidi"/>
      <w:sz w:val="24"/>
      <w:szCs w:val="22"/>
      <w:lang w:val="en-IN" w:eastAsia="en-US" w:bidi="ar-SA"/>
    </w:rPr>
  </w:style>
  <w:style w:type="paragraph" w:styleId="2">
    <w:name w:val="heading 1"/>
    <w:basedOn w:val="1"/>
    <w:next w:val="1"/>
    <w:link w:val="35"/>
    <w:qFormat/>
    <w:uiPriority w:val="9"/>
    <w:pPr>
      <w:keepNext/>
      <w:keepLines/>
      <w:spacing w:before="0" w:line="360" w:lineRule="auto"/>
      <w:outlineLvl w:val="0"/>
    </w:pPr>
    <w:rPr>
      <w:rFonts w:cstheme="majorBidi"/>
      <w:b/>
      <w:sz w:val="22"/>
      <w:szCs w:val="32"/>
    </w:rPr>
  </w:style>
  <w:style w:type="paragraph" w:styleId="3">
    <w:name w:val="heading 2"/>
    <w:basedOn w:val="1"/>
    <w:next w:val="1"/>
    <w:link w:val="33"/>
    <w:unhideWhenUsed/>
    <w:qFormat/>
    <w:uiPriority w:val="9"/>
    <w:pPr>
      <w:keepNext/>
      <w:keepLines/>
      <w:spacing w:before="0" w:line="360" w:lineRule="auto"/>
      <w:outlineLvl w:val="1"/>
    </w:pPr>
    <w:rPr>
      <w:rFonts w:cs="Times New Roman"/>
      <w:b/>
      <w:bCs/>
      <w:color w:val="000000" w:themeColor="text1"/>
      <w:szCs w:val="24"/>
      <w:lang w:val="en-US" w:eastAsia="zh-CN"/>
      <w14:textFill>
        <w14:solidFill>
          <w14:schemeClr w14:val="tx1"/>
        </w14:solidFill>
      </w14:textFill>
    </w:rPr>
  </w:style>
  <w:style w:type="paragraph" w:styleId="4">
    <w:name w:val="heading 3"/>
    <w:basedOn w:val="1"/>
    <w:next w:val="1"/>
    <w:link w:val="34"/>
    <w:unhideWhenUsed/>
    <w:qFormat/>
    <w:uiPriority w:val="9"/>
    <w:pPr>
      <w:keepNext/>
      <w:keepLines/>
      <w:spacing w:line="260" w:lineRule="auto"/>
      <w:outlineLvl w:val="2"/>
    </w:pPr>
    <w:rPr>
      <w:b/>
      <w:bCs/>
      <w:szCs w:val="32"/>
      <w:lang w:val="en-US" w:eastAsia="zh-CN"/>
    </w:rPr>
  </w:style>
  <w:style w:type="paragraph" w:styleId="5">
    <w:name w:val="heading 4"/>
    <w:basedOn w:val="1"/>
    <w:next w:val="1"/>
    <w:link w:val="36"/>
    <w:unhideWhenUsed/>
    <w:qFormat/>
    <w:uiPriority w:val="9"/>
    <w:pPr>
      <w:keepNext/>
      <w:keepLines/>
      <w:outlineLvl w:val="3"/>
    </w:pPr>
    <w:rPr>
      <w:rFonts w:cstheme="majorBidi"/>
      <w:bCs/>
      <w:szCs w:val="28"/>
    </w:rPr>
  </w:style>
  <w:style w:type="paragraph" w:styleId="6">
    <w:name w:val="heading 5"/>
    <w:basedOn w:val="1"/>
    <w:next w:val="1"/>
    <w:link w:val="37"/>
    <w:unhideWhenUsed/>
    <w:qFormat/>
    <w:uiPriority w:val="9"/>
    <w:pPr>
      <w:keepNext/>
      <w:keepLines/>
      <w:outlineLvl w:val="4"/>
    </w:pPr>
    <w:rPr>
      <w:bCs/>
      <w:szCs w:val="28"/>
    </w:rPr>
  </w:style>
  <w:style w:type="character" w:default="1" w:styleId="29">
    <w:name w:val="Default Paragraph Font"/>
    <w:semiHidden/>
    <w:unhideWhenUsed/>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widowControl w:val="0"/>
      <w:spacing w:before="0" w:line="240" w:lineRule="auto"/>
      <w:ind w:left="2520" w:leftChars="1200"/>
    </w:pPr>
    <w:rPr>
      <w:rFonts w:asciiTheme="minorHAnsi" w:hAnsiTheme="minorHAnsi" w:eastAsiaTheme="minorEastAsia"/>
      <w:kern w:val="2"/>
      <w:sz w:val="21"/>
      <w:lang w:val="en-US" w:eastAsia="zh-CN"/>
    </w:rPr>
  </w:style>
  <w:style w:type="paragraph" w:styleId="8">
    <w:name w:val="caption"/>
    <w:basedOn w:val="1"/>
    <w:next w:val="1"/>
    <w:link w:val="62"/>
    <w:unhideWhenUsed/>
    <w:qFormat/>
    <w:uiPriority w:val="0"/>
    <w:pPr>
      <w:tabs>
        <w:tab w:val="left" w:pos="992"/>
      </w:tabs>
      <w:spacing w:before="0" w:beforeLines="50" w:after="120" w:line="280" w:lineRule="atLeast"/>
      <w:ind w:left="1418" w:hanging="1418" w:firstLineChars="200"/>
    </w:pPr>
    <w:rPr>
      <w:rFonts w:cs="Times New Roman"/>
      <w:b/>
      <w:bCs/>
      <w:szCs w:val="24"/>
      <w:lang w:val="en-US"/>
    </w:rPr>
  </w:style>
  <w:style w:type="paragraph" w:styleId="9">
    <w:name w:val="Document Map"/>
    <w:basedOn w:val="1"/>
    <w:link w:val="56"/>
    <w:semiHidden/>
    <w:unhideWhenUsed/>
    <w:qFormat/>
    <w:uiPriority w:val="99"/>
    <w:rPr>
      <w:rFonts w:ascii="宋体"/>
      <w:sz w:val="18"/>
      <w:szCs w:val="18"/>
    </w:rPr>
  </w:style>
  <w:style w:type="paragraph" w:styleId="10">
    <w:name w:val="annotation text"/>
    <w:basedOn w:val="1"/>
    <w:link w:val="42"/>
    <w:unhideWhenUsed/>
    <w:qFormat/>
    <w:uiPriority w:val="99"/>
    <w:pPr>
      <w:spacing w:line="240" w:lineRule="auto"/>
    </w:pPr>
    <w:rPr>
      <w:sz w:val="20"/>
      <w:szCs w:val="20"/>
    </w:rPr>
  </w:style>
  <w:style w:type="paragraph" w:styleId="11">
    <w:name w:val="Body Text"/>
    <w:basedOn w:val="1"/>
    <w:link w:val="66"/>
    <w:qFormat/>
    <w:uiPriority w:val="99"/>
    <w:rPr>
      <w:szCs w:val="24"/>
    </w:rPr>
  </w:style>
  <w:style w:type="paragraph" w:styleId="12">
    <w:name w:val="toc 5"/>
    <w:basedOn w:val="1"/>
    <w:next w:val="1"/>
    <w:autoRedefine/>
    <w:unhideWhenUsed/>
    <w:qFormat/>
    <w:uiPriority w:val="39"/>
    <w:pPr>
      <w:widowControl w:val="0"/>
      <w:spacing w:before="0" w:line="240" w:lineRule="auto"/>
      <w:ind w:left="1680" w:leftChars="800"/>
    </w:pPr>
    <w:rPr>
      <w:rFonts w:asciiTheme="minorHAnsi" w:hAnsiTheme="minorHAnsi" w:eastAsiaTheme="minorEastAsia"/>
      <w:kern w:val="2"/>
      <w:sz w:val="21"/>
      <w:lang w:val="en-US" w:eastAsia="zh-CN"/>
    </w:rPr>
  </w:style>
  <w:style w:type="paragraph" w:styleId="13">
    <w:name w:val="toc 3"/>
    <w:basedOn w:val="1"/>
    <w:next w:val="1"/>
    <w:unhideWhenUsed/>
    <w:qFormat/>
    <w:uiPriority w:val="39"/>
    <w:pPr>
      <w:ind w:left="440"/>
    </w:pPr>
    <w:rPr>
      <w:rFonts w:asciiTheme="minorHAnsi" w:hAnsiTheme="minorHAnsi" w:cstheme="minorHAnsi"/>
      <w:sz w:val="20"/>
      <w:szCs w:val="20"/>
    </w:rPr>
  </w:style>
  <w:style w:type="paragraph" w:styleId="14">
    <w:name w:val="toc 8"/>
    <w:basedOn w:val="1"/>
    <w:next w:val="1"/>
    <w:autoRedefine/>
    <w:unhideWhenUsed/>
    <w:qFormat/>
    <w:uiPriority w:val="39"/>
    <w:pPr>
      <w:widowControl w:val="0"/>
      <w:spacing w:before="0" w:line="240" w:lineRule="auto"/>
      <w:ind w:left="2940" w:leftChars="1400"/>
    </w:pPr>
    <w:rPr>
      <w:rFonts w:asciiTheme="minorHAnsi" w:hAnsiTheme="minorHAnsi" w:eastAsiaTheme="minorEastAsia"/>
      <w:kern w:val="2"/>
      <w:sz w:val="21"/>
      <w:lang w:val="en-US" w:eastAsia="zh-CN"/>
    </w:rPr>
  </w:style>
  <w:style w:type="paragraph" w:styleId="15">
    <w:name w:val="Balloon Text"/>
    <w:basedOn w:val="1"/>
    <w:link w:val="44"/>
    <w:semiHidden/>
    <w:unhideWhenUsed/>
    <w:qFormat/>
    <w:uiPriority w:val="99"/>
    <w:pPr>
      <w:spacing w:line="240" w:lineRule="auto"/>
    </w:pPr>
    <w:rPr>
      <w:rFonts w:ascii="Segoe UI" w:hAnsi="Segoe UI" w:cs="Segoe UI"/>
      <w:sz w:val="18"/>
      <w:szCs w:val="18"/>
    </w:rPr>
  </w:style>
  <w:style w:type="paragraph" w:styleId="16">
    <w:name w:val="footer"/>
    <w:basedOn w:val="1"/>
    <w:link w:val="39"/>
    <w:unhideWhenUsed/>
    <w:qFormat/>
    <w:uiPriority w:val="99"/>
    <w:pPr>
      <w:tabs>
        <w:tab w:val="center" w:pos="4513"/>
        <w:tab w:val="right" w:pos="9026"/>
      </w:tabs>
      <w:spacing w:line="240" w:lineRule="auto"/>
    </w:pPr>
  </w:style>
  <w:style w:type="paragraph" w:styleId="17">
    <w:name w:val="header"/>
    <w:basedOn w:val="1"/>
    <w:link w:val="38"/>
    <w:unhideWhenUsed/>
    <w:qFormat/>
    <w:uiPriority w:val="99"/>
    <w:pPr>
      <w:tabs>
        <w:tab w:val="center" w:pos="4513"/>
        <w:tab w:val="right" w:pos="9026"/>
      </w:tabs>
      <w:spacing w:line="240" w:lineRule="auto"/>
    </w:pPr>
  </w:style>
  <w:style w:type="paragraph" w:styleId="18">
    <w:name w:val="toc 1"/>
    <w:basedOn w:val="1"/>
    <w:next w:val="1"/>
    <w:unhideWhenUsed/>
    <w:qFormat/>
    <w:uiPriority w:val="39"/>
    <w:pPr>
      <w:spacing w:after="100"/>
    </w:pPr>
  </w:style>
  <w:style w:type="paragraph" w:styleId="19">
    <w:name w:val="toc 4"/>
    <w:basedOn w:val="1"/>
    <w:next w:val="1"/>
    <w:autoRedefine/>
    <w:unhideWhenUsed/>
    <w:qFormat/>
    <w:uiPriority w:val="39"/>
    <w:pPr>
      <w:widowControl w:val="0"/>
      <w:spacing w:before="0" w:line="240" w:lineRule="auto"/>
      <w:ind w:left="1260" w:leftChars="600"/>
    </w:pPr>
    <w:rPr>
      <w:rFonts w:asciiTheme="minorHAnsi" w:hAnsiTheme="minorHAnsi" w:eastAsiaTheme="minorEastAsia"/>
      <w:kern w:val="2"/>
      <w:sz w:val="21"/>
      <w:lang w:val="en-US" w:eastAsia="zh-CN"/>
    </w:rPr>
  </w:style>
  <w:style w:type="paragraph" w:styleId="20">
    <w:name w:val="toc 6"/>
    <w:basedOn w:val="1"/>
    <w:next w:val="1"/>
    <w:autoRedefine/>
    <w:unhideWhenUsed/>
    <w:qFormat/>
    <w:uiPriority w:val="39"/>
    <w:pPr>
      <w:widowControl w:val="0"/>
      <w:spacing w:before="0" w:line="240" w:lineRule="auto"/>
      <w:ind w:left="2100" w:leftChars="1000"/>
    </w:pPr>
    <w:rPr>
      <w:rFonts w:asciiTheme="minorHAnsi" w:hAnsiTheme="minorHAnsi" w:eastAsiaTheme="minorEastAsia"/>
      <w:kern w:val="2"/>
      <w:sz w:val="21"/>
      <w:lang w:val="en-US" w:eastAsia="zh-CN"/>
    </w:rPr>
  </w:style>
  <w:style w:type="paragraph" w:styleId="21">
    <w:name w:val="table of figures"/>
    <w:basedOn w:val="1"/>
    <w:next w:val="1"/>
    <w:unhideWhenUsed/>
    <w:qFormat/>
    <w:uiPriority w:val="99"/>
    <w:pPr>
      <w:ind w:left="200" w:leftChars="200" w:hanging="200" w:hangingChars="200"/>
    </w:pPr>
  </w:style>
  <w:style w:type="paragraph" w:styleId="22">
    <w:name w:val="toc 2"/>
    <w:basedOn w:val="1"/>
    <w:next w:val="1"/>
    <w:unhideWhenUsed/>
    <w:qFormat/>
    <w:uiPriority w:val="39"/>
    <w:pPr>
      <w:ind w:left="220"/>
    </w:pPr>
    <w:rPr>
      <w:rFonts w:asciiTheme="minorHAnsi" w:hAnsiTheme="minorHAnsi" w:cstheme="minorHAnsi"/>
      <w:b/>
      <w:bCs/>
    </w:rPr>
  </w:style>
  <w:style w:type="paragraph" w:styleId="23">
    <w:name w:val="toc 9"/>
    <w:basedOn w:val="1"/>
    <w:next w:val="1"/>
    <w:autoRedefine/>
    <w:unhideWhenUsed/>
    <w:qFormat/>
    <w:uiPriority w:val="39"/>
    <w:pPr>
      <w:widowControl w:val="0"/>
      <w:spacing w:before="0" w:line="240" w:lineRule="auto"/>
      <w:ind w:left="3360" w:leftChars="1600"/>
    </w:pPr>
    <w:rPr>
      <w:rFonts w:asciiTheme="minorHAnsi" w:hAnsiTheme="minorHAnsi" w:eastAsiaTheme="minorEastAsia"/>
      <w:kern w:val="2"/>
      <w:sz w:val="21"/>
      <w:lang w:val="en-US" w:eastAsia="zh-CN"/>
    </w:rPr>
  </w:style>
  <w:style w:type="paragraph" w:styleId="24">
    <w:name w:val="Normal (Web)"/>
    <w:basedOn w:val="1"/>
    <w:unhideWhenUsed/>
    <w:qFormat/>
    <w:uiPriority w:val="99"/>
    <w:pPr>
      <w:spacing w:before="100" w:beforeAutospacing="1" w:after="100" w:afterAutospacing="1" w:line="240" w:lineRule="auto"/>
    </w:pPr>
    <w:rPr>
      <w:rFonts w:eastAsia="Times New Roman" w:cs="Times New Roman"/>
      <w:szCs w:val="24"/>
      <w:lang w:eastAsia="en-IN"/>
    </w:rPr>
  </w:style>
  <w:style w:type="paragraph" w:styleId="25">
    <w:name w:val="Title"/>
    <w:basedOn w:val="1"/>
    <w:next w:val="1"/>
    <w:link w:val="47"/>
    <w:qFormat/>
    <w:uiPriority w:val="10"/>
    <w:pPr>
      <w:spacing w:before="240" w:after="60"/>
      <w:jc w:val="center"/>
      <w:outlineLvl w:val="0"/>
    </w:pPr>
    <w:rPr>
      <w:rFonts w:cstheme="majorBidi"/>
      <w:bCs/>
      <w:szCs w:val="32"/>
    </w:rPr>
  </w:style>
  <w:style w:type="paragraph" w:styleId="26">
    <w:name w:val="annotation subject"/>
    <w:basedOn w:val="10"/>
    <w:next w:val="10"/>
    <w:link w:val="43"/>
    <w:semiHidden/>
    <w:unhideWhenUsed/>
    <w:qFormat/>
    <w:uiPriority w:val="99"/>
    <w:rPr>
      <w:b/>
      <w:bCs/>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basedOn w:val="29"/>
    <w:unhideWhenUsed/>
    <w:qFormat/>
    <w:uiPriority w:val="0"/>
    <w:rPr>
      <w:sz w:val="16"/>
      <w:szCs w:val="16"/>
    </w:rPr>
  </w:style>
  <w:style w:type="character" w:customStyle="1" w:styleId="33">
    <w:name w:val="标题 2 字符"/>
    <w:basedOn w:val="29"/>
    <w:link w:val="3"/>
    <w:qFormat/>
    <w:uiPriority w:val="9"/>
    <w:rPr>
      <w:rFonts w:ascii="Times New Roman" w:hAnsi="Times New Roman" w:eastAsia="宋体" w:cs="Times New Roman"/>
      <w:b/>
      <w:bCs/>
      <w:color w:val="000000" w:themeColor="text1"/>
      <w:sz w:val="24"/>
      <w:szCs w:val="24"/>
      <w14:textFill>
        <w14:solidFill>
          <w14:schemeClr w14:val="tx1"/>
        </w14:solidFill>
      </w14:textFill>
    </w:rPr>
  </w:style>
  <w:style w:type="character" w:customStyle="1" w:styleId="34">
    <w:name w:val="标题 3 字符"/>
    <w:basedOn w:val="29"/>
    <w:link w:val="4"/>
    <w:qFormat/>
    <w:uiPriority w:val="9"/>
    <w:rPr>
      <w:rFonts w:ascii="Times New Roman" w:hAnsi="Times New Roman" w:eastAsia="宋体"/>
      <w:b/>
      <w:bCs/>
      <w:sz w:val="24"/>
      <w:szCs w:val="32"/>
    </w:rPr>
  </w:style>
  <w:style w:type="character" w:customStyle="1" w:styleId="35">
    <w:name w:val="标题 1 字符"/>
    <w:basedOn w:val="29"/>
    <w:link w:val="2"/>
    <w:qFormat/>
    <w:uiPriority w:val="9"/>
    <w:rPr>
      <w:rFonts w:ascii="Times New Roman" w:hAnsi="Times New Roman" w:eastAsia="宋体" w:cstheme="majorBidi"/>
      <w:b/>
      <w:sz w:val="22"/>
      <w:szCs w:val="32"/>
      <w:lang w:val="en-IN" w:eastAsia="en-US"/>
    </w:rPr>
  </w:style>
  <w:style w:type="character" w:customStyle="1" w:styleId="36">
    <w:name w:val="标题 4 字符"/>
    <w:basedOn w:val="29"/>
    <w:link w:val="5"/>
    <w:qFormat/>
    <w:uiPriority w:val="9"/>
    <w:rPr>
      <w:rFonts w:ascii="Times New Roman" w:hAnsi="Times New Roman" w:eastAsia="宋体" w:cstheme="majorBidi"/>
      <w:bCs/>
      <w:sz w:val="24"/>
      <w:szCs w:val="28"/>
      <w:lang w:val="en-IN" w:eastAsia="en-US"/>
    </w:rPr>
  </w:style>
  <w:style w:type="character" w:customStyle="1" w:styleId="37">
    <w:name w:val="标题 5 字符"/>
    <w:basedOn w:val="29"/>
    <w:link w:val="6"/>
    <w:qFormat/>
    <w:uiPriority w:val="9"/>
    <w:rPr>
      <w:rFonts w:ascii="Times New Roman" w:hAnsi="Times New Roman" w:eastAsia="宋体"/>
      <w:bCs/>
      <w:sz w:val="24"/>
      <w:szCs w:val="28"/>
      <w:lang w:val="en-IN" w:eastAsia="en-US"/>
    </w:rPr>
  </w:style>
  <w:style w:type="character" w:customStyle="1" w:styleId="38">
    <w:name w:val="页眉 字符"/>
    <w:basedOn w:val="29"/>
    <w:link w:val="17"/>
    <w:qFormat/>
    <w:uiPriority w:val="99"/>
  </w:style>
  <w:style w:type="character" w:customStyle="1" w:styleId="39">
    <w:name w:val="页脚 字符"/>
    <w:basedOn w:val="29"/>
    <w:link w:val="16"/>
    <w:qFormat/>
    <w:uiPriority w:val="99"/>
  </w:style>
  <w:style w:type="paragraph" w:customStyle="1" w:styleId="40">
    <w:name w:val="TOC 标题1"/>
    <w:basedOn w:val="2"/>
    <w:next w:val="1"/>
    <w:unhideWhenUsed/>
    <w:qFormat/>
    <w:uiPriority w:val="39"/>
    <w:pPr>
      <w:outlineLvl w:val="9"/>
    </w:pPr>
    <w:rPr>
      <w:lang w:val="en-US"/>
    </w:rPr>
  </w:style>
  <w:style w:type="paragraph" w:styleId="41">
    <w:name w:val="List Paragraph"/>
    <w:basedOn w:val="1"/>
    <w:link w:val="59"/>
    <w:qFormat/>
    <w:uiPriority w:val="34"/>
    <w:pPr>
      <w:ind w:left="720"/>
      <w:contextualSpacing/>
    </w:pPr>
  </w:style>
  <w:style w:type="character" w:customStyle="1" w:styleId="42">
    <w:name w:val="批注文字 字符"/>
    <w:basedOn w:val="29"/>
    <w:link w:val="10"/>
    <w:qFormat/>
    <w:uiPriority w:val="99"/>
    <w:rPr>
      <w:sz w:val="20"/>
      <w:szCs w:val="20"/>
    </w:rPr>
  </w:style>
  <w:style w:type="character" w:customStyle="1" w:styleId="43">
    <w:name w:val="批注主题 字符"/>
    <w:basedOn w:val="42"/>
    <w:link w:val="26"/>
    <w:semiHidden/>
    <w:qFormat/>
    <w:uiPriority w:val="99"/>
    <w:rPr>
      <w:b/>
      <w:bCs/>
      <w:sz w:val="20"/>
      <w:szCs w:val="20"/>
    </w:rPr>
  </w:style>
  <w:style w:type="character" w:customStyle="1" w:styleId="44">
    <w:name w:val="批注框文本 字符"/>
    <w:basedOn w:val="29"/>
    <w:link w:val="15"/>
    <w:semiHidden/>
    <w:qFormat/>
    <w:uiPriority w:val="99"/>
    <w:rPr>
      <w:rFonts w:ascii="Segoe UI" w:hAnsi="Segoe UI" w:cs="Segoe UI"/>
      <w:sz w:val="18"/>
      <w:szCs w:val="18"/>
    </w:rPr>
  </w:style>
  <w:style w:type="paragraph" w:customStyle="1" w:styleId="45">
    <w:name w:val="修订1"/>
    <w:hidden/>
    <w:semiHidden/>
    <w:qFormat/>
    <w:uiPriority w:val="99"/>
    <w:rPr>
      <w:rFonts w:asciiTheme="minorHAnsi" w:hAnsiTheme="minorHAnsi" w:eastAsiaTheme="minorEastAsia" w:cstheme="minorBidi"/>
      <w:sz w:val="22"/>
      <w:szCs w:val="22"/>
      <w:lang w:val="en-IN" w:eastAsia="en-US" w:bidi="ar-SA"/>
    </w:rPr>
  </w:style>
  <w:style w:type="paragraph" w:styleId="46">
    <w:name w:val="No Spacing"/>
    <w:qFormat/>
    <w:uiPriority w:val="1"/>
    <w:rPr>
      <w:rFonts w:asciiTheme="minorHAnsi" w:hAnsiTheme="minorHAnsi" w:eastAsiaTheme="minorEastAsia" w:cstheme="minorBidi"/>
      <w:sz w:val="22"/>
      <w:szCs w:val="22"/>
      <w:lang w:val="en-IN" w:eastAsia="en-US" w:bidi="ar-SA"/>
    </w:rPr>
  </w:style>
  <w:style w:type="character" w:customStyle="1" w:styleId="47">
    <w:name w:val="标题 字符"/>
    <w:basedOn w:val="29"/>
    <w:link w:val="25"/>
    <w:qFormat/>
    <w:uiPriority w:val="10"/>
    <w:rPr>
      <w:rFonts w:ascii="Times New Roman" w:hAnsi="Times New Roman" w:eastAsia="宋体" w:cstheme="majorBidi"/>
      <w:bCs/>
      <w:sz w:val="24"/>
      <w:szCs w:val="32"/>
    </w:rPr>
  </w:style>
  <w:style w:type="paragraph" w:customStyle="1" w:styleId="4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9">
    <w:name w:val="正文2"/>
    <w:qFormat/>
    <w:uiPriority w:val="0"/>
    <w:pPr>
      <w:jc w:val="both"/>
    </w:pPr>
    <w:rPr>
      <w:rFonts w:ascii="Calibri" w:hAnsi="Calibri" w:eastAsia="宋体" w:cs="Calibri"/>
      <w:kern w:val="2"/>
      <w:sz w:val="21"/>
      <w:szCs w:val="21"/>
      <w:lang w:val="en-US" w:eastAsia="zh-CN" w:bidi="ar-SA"/>
    </w:rPr>
  </w:style>
  <w:style w:type="paragraph" w:customStyle="1" w:styleId="50">
    <w:name w:val="Text"/>
    <w:basedOn w:val="1"/>
    <w:link w:val="63"/>
    <w:qFormat/>
    <w:uiPriority w:val="99"/>
    <w:rPr>
      <w:rFonts w:eastAsia="Times New Roman" w:cs="Times New Roman"/>
      <w:szCs w:val="20"/>
      <w:lang w:val="en-US" w:eastAsia="en-GB"/>
    </w:rPr>
  </w:style>
  <w:style w:type="paragraph" w:customStyle="1" w:styleId="51">
    <w:name w:val="！正文段落"/>
    <w:basedOn w:val="1"/>
    <w:qFormat/>
    <w:uiPriority w:val="0"/>
    <w:pPr>
      <w:snapToGrid w:val="0"/>
      <w:spacing w:line="360" w:lineRule="auto"/>
      <w:ind w:firstLine="480" w:firstLineChars="200"/>
    </w:pPr>
    <w:rPr>
      <w:rFonts w:cs="Times New Roman"/>
      <w:iCs/>
      <w:szCs w:val="24"/>
      <w:lang w:val="en-US"/>
    </w:rPr>
  </w:style>
  <w:style w:type="character" w:customStyle="1" w:styleId="52">
    <w:name w:val="Bayer Body text Full Zchn"/>
    <w:qFormat/>
    <w:locked/>
    <w:uiPriority w:val="0"/>
    <w:rPr>
      <w:rFonts w:ascii="Times New Roman" w:hAnsi="Times New Roman"/>
      <w:sz w:val="20"/>
      <w:lang w:val="zh-CN"/>
    </w:rPr>
  </w:style>
  <w:style w:type="paragraph" w:customStyle="1" w:styleId="53">
    <w:name w:val="Report Text"/>
    <w:basedOn w:val="1"/>
    <w:qFormat/>
    <w:uiPriority w:val="0"/>
    <w:pPr>
      <w:spacing w:after="180"/>
      <w:ind w:left="720"/>
    </w:pPr>
    <w:rPr>
      <w:rFonts w:ascii="Arial" w:hAnsi="Arial" w:cs="Times New Roman"/>
      <w:szCs w:val="20"/>
      <w:lang w:val="en-US"/>
    </w:rPr>
  </w:style>
  <w:style w:type="paragraph" w:customStyle="1" w:styleId="54">
    <w:name w:val="报告正文"/>
    <w:basedOn w:val="1"/>
    <w:qFormat/>
    <w:uiPriority w:val="0"/>
    <w:pPr>
      <w:spacing w:beforeLines="50" w:afterLines="50" w:line="300" w:lineRule="auto"/>
      <w:ind w:firstLine="200" w:firstLineChars="200"/>
    </w:pPr>
    <w:rPr>
      <w:rFonts w:asciiTheme="minorHAnsi" w:hAnsiTheme="minorHAnsi" w:eastAsiaTheme="minorEastAsia"/>
      <w:kern w:val="2"/>
      <w:szCs w:val="24"/>
      <w:lang w:val="en-US"/>
    </w:rPr>
  </w:style>
  <w:style w:type="paragraph" w:customStyle="1" w:styleId="55">
    <w:name w:val="Document Text"/>
    <w:basedOn w:val="1"/>
    <w:qFormat/>
    <w:uiPriority w:val="0"/>
    <w:pPr>
      <w:spacing w:after="240" w:line="300" w:lineRule="auto"/>
    </w:pPr>
    <w:rPr>
      <w:rFonts w:eastAsia="Times New Roman" w:cs="Times New Roman"/>
      <w:kern w:val="24"/>
      <w:szCs w:val="24"/>
      <w:lang w:val="en-US" w:eastAsia="ja-JP"/>
    </w:rPr>
  </w:style>
  <w:style w:type="character" w:customStyle="1" w:styleId="56">
    <w:name w:val="文档结构图 字符"/>
    <w:basedOn w:val="29"/>
    <w:link w:val="9"/>
    <w:semiHidden/>
    <w:qFormat/>
    <w:uiPriority w:val="99"/>
    <w:rPr>
      <w:rFonts w:ascii="宋体" w:hAnsi="Times New Roman" w:eastAsia="宋体"/>
      <w:sz w:val="18"/>
      <w:szCs w:val="18"/>
      <w:lang w:val="en-IN" w:eastAsia="en-US"/>
    </w:rPr>
  </w:style>
  <w:style w:type="paragraph" w:customStyle="1" w:styleId="57">
    <w:name w:val="！正文"/>
    <w:link w:val="58"/>
    <w:qFormat/>
    <w:uiPriority w:val="0"/>
    <w:pPr>
      <w:widowControl w:val="0"/>
      <w:topLinePunct/>
      <w:adjustRightInd w:val="0"/>
      <w:snapToGrid w:val="0"/>
      <w:spacing w:line="360" w:lineRule="auto"/>
      <w:ind w:firstLine="200" w:firstLineChars="200"/>
      <w:jc w:val="both"/>
    </w:pPr>
    <w:rPr>
      <w:rFonts w:ascii="Times New Roman" w:hAnsi="Times New Roman" w:eastAsia="宋体" w:cs="Times New Roman"/>
      <w:sz w:val="24"/>
      <w:szCs w:val="24"/>
      <w:lang w:val="en-US" w:eastAsia="zh-CN" w:bidi="ar-SA"/>
    </w:rPr>
  </w:style>
  <w:style w:type="character" w:customStyle="1" w:styleId="58">
    <w:name w:val="！正文 Char"/>
    <w:link w:val="57"/>
    <w:qFormat/>
    <w:uiPriority w:val="0"/>
    <w:rPr>
      <w:rFonts w:ascii="Times New Roman" w:hAnsi="Times New Roman" w:eastAsia="宋体" w:cs="Times New Roman"/>
      <w:sz w:val="24"/>
      <w:szCs w:val="24"/>
    </w:rPr>
  </w:style>
  <w:style w:type="character" w:customStyle="1" w:styleId="59">
    <w:name w:val="列表段落 字符"/>
    <w:link w:val="41"/>
    <w:qFormat/>
    <w:uiPriority w:val="34"/>
    <w:rPr>
      <w:rFonts w:ascii="Times New Roman" w:hAnsi="Times New Roman" w:eastAsia="宋体"/>
      <w:sz w:val="24"/>
      <w:szCs w:val="22"/>
      <w:lang w:val="en-IN" w:eastAsia="en-US"/>
    </w:rPr>
  </w:style>
  <w:style w:type="paragraph" w:customStyle="1" w:styleId="60">
    <w:name w:val="列出段落1"/>
    <w:basedOn w:val="1"/>
    <w:link w:val="61"/>
    <w:qFormat/>
    <w:uiPriority w:val="34"/>
    <w:pPr>
      <w:widowControl w:val="0"/>
      <w:spacing w:before="0" w:line="240" w:lineRule="auto"/>
      <w:ind w:firstLine="420" w:firstLineChars="200"/>
    </w:pPr>
    <w:rPr>
      <w:rFonts w:asciiTheme="minorHAnsi" w:hAnsiTheme="minorHAnsi" w:eastAsiaTheme="minorEastAsia"/>
      <w:kern w:val="2"/>
      <w:sz w:val="21"/>
      <w:lang w:val="en-US" w:eastAsia="zh-CN"/>
    </w:rPr>
  </w:style>
  <w:style w:type="character" w:customStyle="1" w:styleId="61">
    <w:name w:val="列出段落 Char"/>
    <w:basedOn w:val="29"/>
    <w:link w:val="60"/>
    <w:qFormat/>
    <w:uiPriority w:val="34"/>
    <w:rPr>
      <w:kern w:val="2"/>
      <w:sz w:val="21"/>
      <w:szCs w:val="22"/>
    </w:rPr>
  </w:style>
  <w:style w:type="character" w:customStyle="1" w:styleId="62">
    <w:name w:val="题注 字符"/>
    <w:link w:val="8"/>
    <w:qFormat/>
    <w:locked/>
    <w:uiPriority w:val="0"/>
    <w:rPr>
      <w:rFonts w:ascii="Times New Roman" w:hAnsi="Times New Roman" w:eastAsia="宋体" w:cs="Times New Roman"/>
      <w:b/>
      <w:bCs/>
      <w:sz w:val="24"/>
      <w:szCs w:val="24"/>
      <w:lang w:eastAsia="en-US"/>
    </w:rPr>
  </w:style>
  <w:style w:type="character" w:customStyle="1" w:styleId="63">
    <w:name w:val="Text Char1"/>
    <w:link w:val="50"/>
    <w:qFormat/>
    <w:locked/>
    <w:uiPriority w:val="99"/>
    <w:rPr>
      <w:rFonts w:ascii="Times New Roman" w:hAnsi="Times New Roman" w:eastAsia="Times New Roman" w:cs="Times New Roman"/>
      <w:sz w:val="24"/>
      <w:lang w:eastAsia="en-GB"/>
    </w:rPr>
  </w:style>
  <w:style w:type="character" w:customStyle="1" w:styleId="64">
    <w:name w:val="Unresolved Mention"/>
    <w:basedOn w:val="29"/>
    <w:semiHidden/>
    <w:unhideWhenUsed/>
    <w:qFormat/>
    <w:uiPriority w:val="99"/>
    <w:rPr>
      <w:color w:val="605E5C"/>
      <w:shd w:val="clear" w:color="auto" w:fill="E1DFDD"/>
    </w:rPr>
  </w:style>
  <w:style w:type="paragraph" w:customStyle="1" w:styleId="65">
    <w:name w:val="Revision"/>
    <w:hidden/>
    <w:semiHidden/>
    <w:uiPriority w:val="99"/>
    <w:rPr>
      <w:rFonts w:ascii="Times New Roman" w:hAnsi="Times New Roman" w:eastAsia="宋体" w:cstheme="minorBidi"/>
      <w:sz w:val="24"/>
      <w:szCs w:val="22"/>
      <w:lang w:val="en-IN" w:eastAsia="en-US" w:bidi="ar-SA"/>
    </w:rPr>
  </w:style>
  <w:style w:type="character" w:customStyle="1" w:styleId="66">
    <w:name w:val="正文文本 字符"/>
    <w:basedOn w:val="29"/>
    <w:link w:val="11"/>
    <w:qFormat/>
    <w:uiPriority w:val="99"/>
    <w:rPr>
      <w:rFonts w:ascii="Times New Roman" w:hAnsi="Times New Roman" w:eastAsia="宋体"/>
      <w:sz w:val="24"/>
      <w:szCs w:val="24"/>
      <w:lang w:val="en-IN" w:eastAsia="en-US"/>
    </w:rPr>
  </w:style>
  <w:style w:type="paragraph" w:customStyle="1" w:styleId="67">
    <w:name w:val="标题 2 1.1"/>
    <w:basedOn w:val="3"/>
    <w:qFormat/>
    <w:uiPriority w:val="0"/>
  </w:style>
  <w:style w:type="paragraph" w:customStyle="1" w:styleId="68">
    <w:name w:val="标题 1 1."/>
    <w:basedOn w:val="2"/>
    <w:qFormat/>
    <w:uiPriority w:val="0"/>
    <w:pPr>
      <w:numPr>
        <w:ilvl w:val="0"/>
        <w:numId w:val="1"/>
      </w:numPr>
      <w:spacing w:before="120" w:beforeLines="50"/>
    </w:pPr>
    <w:rPr>
      <w:sz w:val="24"/>
    </w:rPr>
  </w:style>
  <w:style w:type="paragraph" w:customStyle="1" w:styleId="69">
    <w:name w:val="标题 2 2.1"/>
    <w:basedOn w:val="67"/>
    <w:qFormat/>
    <w:uiPriority w:val="0"/>
  </w:style>
  <w:style w:type="table" w:customStyle="1" w:styleId="70">
    <w:name w:val="网格型1"/>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 Id="rId15" Type="http://schemas.microsoft.com/office/2011/relationships/people" Target="people.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38FBB9B38BCB47AF46D494241F123F" ma:contentTypeVersion="17" ma:contentTypeDescription="Create a new document." ma:contentTypeScope="" ma:versionID="97fb39fb008f29ca0b06ef0108e6a749">
  <xsd:schema xmlns:xsd="http://www.w3.org/2001/XMLSchema" xmlns:xs="http://www.w3.org/2001/XMLSchema" xmlns:p="http://schemas.microsoft.com/office/2006/metadata/properties" xmlns:ns2="a68fe43b-4f92-446d-947a-4942a6cb3c41" xmlns:ns3="2f9b7d55-d186-44b3-a046-f18cc2d3a9c2" targetNamespace="http://schemas.microsoft.com/office/2006/metadata/properties" ma:root="true" ma:fieldsID="573ce0b88938fed39f3fbcdf60451916" ns2:_="" ns3:_="">
    <xsd:import namespace="a68fe43b-4f92-446d-947a-4942a6cb3c41"/>
    <xsd:import namespace="2f9b7d55-d186-44b3-a046-f18cc2d3a9c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fe43b-4f92-446d-947a-4942a6cb3c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0f29cc-c4a0-4a85-9d47-27baeea99c8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9b7d55-d186-44b3-a046-f18cc2d3a9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25b9460-6b34-41c1-9b97-e06768e67ed9}" ma:internalName="TaxCatchAll" ma:showField="CatchAllData" ma:web="2f9b7d55-d186-44b3-a046-f18cc2d3a9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2f9b7d55-d186-44b3-a046-f18cc2d3a9c2" xsi:nil="true"/>
    <lcf76f155ced4ddcb4097134ff3c332f xmlns="a68fe43b-4f92-446d-947a-4942a6cb3c4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A8B534-1225-4321-A98B-BEABCF885A3C}">
  <ds:schemaRefs/>
</ds:datastoreItem>
</file>

<file path=customXml/itemProps3.xml><?xml version="1.0" encoding="utf-8"?>
<ds:datastoreItem xmlns:ds="http://schemas.openxmlformats.org/officeDocument/2006/customXml" ds:itemID="{7CD56BE8-ADFD-4BE7-9FF3-7300F1C3E5F7}">
  <ds:schemaRefs/>
</ds:datastoreItem>
</file>

<file path=customXml/itemProps4.xml><?xml version="1.0" encoding="utf-8"?>
<ds:datastoreItem xmlns:ds="http://schemas.openxmlformats.org/officeDocument/2006/customXml" ds:itemID="{6C9BF4AF-6C6D-448F-8385-DE4ABB130CC1}">
  <ds:schemaRefs/>
</ds:datastoreItem>
</file>

<file path=customXml/itemProps5.xml><?xml version="1.0" encoding="utf-8"?>
<ds:datastoreItem xmlns:ds="http://schemas.openxmlformats.org/officeDocument/2006/customXml" ds:itemID="{67984A34-573E-40D3-9A4A-2A57C1DCA2C8}">
  <ds:schemaRefs/>
</ds:datastoreItem>
</file>

<file path=docProps/app.xml><?xml version="1.0" encoding="utf-8"?>
<Properties xmlns="http://schemas.openxmlformats.org/officeDocument/2006/extended-properties" xmlns:vt="http://schemas.openxmlformats.org/officeDocument/2006/docPropsVTypes">
  <Template>Normal.dotm</Template>
  <Pages>61</Pages>
  <Words>5019</Words>
  <Characters>6422</Characters>
  <Lines>357</Lines>
  <Paragraphs>100</Paragraphs>
  <TotalTime>19</TotalTime>
  <ScaleCrop>false</ScaleCrop>
  <LinksUpToDate>false</LinksUpToDate>
  <CharactersWithSpaces>6818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2022-07-29T04:20:00Z</dcterms:created>
  <dc:creator>GGF</dc:creator>
  <cp:lastModifiedBy>GGF</cp:lastModifiedBy>
  <cp:lastPrinted>2023-11-17T05:55:00Z</cp:lastPrinted>
  <dcterms:modified xsi:type="dcterms:W3CDTF">2026-09-19T11:55:32Z</dcterms:modified>
  <dc:title>Template for Preparation of Procedures and Manuals</dc:title>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0x010100F838FBB9B38BCB47AF46D494241F123F</vt:lpwstr>
  </property>
  <property fmtid="{D5CDD505-2E9C-101B-9397-08002B2CF9AE}" pid="3" name="_dlc_DocIdItemGuid">
    <vt:lpwstr>5c7e1d99-946a-4e9d-a9d6-9d99e146c923</vt:lpwstr>
  </property>
  <property fmtid="{D5CDD505-2E9C-101B-9397-08002B2CF9AE}" pid="4" name="Order">
    <vt:r8>14524200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KSOProductBuildVer">
    <vt:lpwstr>2052-12.1.0.20305</vt:lpwstr>
  </property>
  <property fmtid="{D5CDD505-2E9C-101B-9397-08002B2CF9AE}" pid="12" name="ICV">
    <vt:lpwstr>4095AD2863444EDC910802C1C8EC5E64</vt:lpwstr>
  </property>
  <property fmtid="{D5CDD505-2E9C-101B-9397-08002B2CF9AE}" pid="13" name="MediaServiceImageTags">
    <vt:lpwstr/>
  </property>
  <property fmtid="{D5CDD505-2E9C-101B-9397-08002B2CF9AE}" pid="14" name="KSOTemplateDocerSaveRecord">
    <vt:lpwstr>eyJoZGlkIjoiYTcwZjRkNDM4ZjE5MzNlOWM4OTM1OTVlZmM3NjliZGIiLCJ1c2VySWQiOiIyNzE4MDY3MzAifQ==</vt:lpwstr>
  </property>
</Properties>
</file>