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pStyle w:val="Subtitle"/>
        <w:spacing w:before="160" w:after="720"/>
        <w:jc w:val="center"/>
      </w:pPr>
      <w:r>
        <w:rPr>
          <w:rFonts w:ascii="Times New Roman" w:hAnsi="Times New Roman" w:eastAsia="宋体" w:cs="Times New Roman"/>
          <w:b/>
          <w:i w:val="0"/>
          <w:color w:val="000000"/>
          <w:sz w:val="30"/>
        </w:rPr>
        <w:t>研究方案</w:t>
      </w:r>
    </w:p>
    <w:p>
      <w:pPr>
        <w:pStyle w:val="Title"/>
        <w:spacing w:before="240" w:after="1440"/>
        <w:jc w:val="center"/>
      </w:pPr>
      <w:r>
        <w:rPr>
          <w:rFonts w:ascii="Times New Roman" w:hAnsi="Times New Roman" w:eastAsia="宋体" w:cs="Times New Roman"/>
          <w:b/>
          <w:color w:val="000000"/>
          <w:sz w:val="28"/>
        </w:rPr>
        <w:t>合成药M8用于治疗复发缓解型多发性硬化的II期临床研究</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536"/>
        <w:gridCol w:w="4536"/>
      </w:tblGrid>
      <w:tr>
        <w:tc>
          <w:tcPr>
            <w:tcW w:type="dxa" w:w="2232"/>
            <w:vAlign w:val="center"/>
          </w:tcPr>
          <w:p>
            <w:pPr>
              <w:spacing w:before="30" w:after="30" w:line="360" w:lineRule="auto"/>
            </w:pPr>
            <w:r>
              <w:rPr>
                <w:rFonts w:ascii="Times New Roman" w:hAnsi="Times New Roman" w:eastAsia="宋体" w:cs="Times New Roman"/>
                <w:color w:val="000000"/>
                <w:sz w:val="24"/>
              </w:rPr>
              <w:t>研究药物：</w:t>
            </w:r>
          </w:p>
        </w:tc>
        <w:tc>
          <w:tcPr>
            <w:tcW w:type="dxa" w:w="6408"/>
            <w:vAlign w:val="center"/>
          </w:tcPr>
          <w:p>
            <w:pPr>
              <w:spacing w:before="30" w:after="30" w:line="360" w:lineRule="auto"/>
            </w:pPr>
            <w:r>
              <w:rPr>
                <w:rFonts w:ascii="Times New Roman" w:hAnsi="Times New Roman" w:eastAsia="宋体" w:cs="Times New Roman"/>
                <w:color w:val="000000"/>
                <w:sz w:val="24"/>
              </w:rPr>
              <w:t>合成药M8</w:t>
            </w:r>
          </w:p>
        </w:tc>
      </w:tr>
      <w:tr>
        <w:tc>
          <w:tcPr>
            <w:tcW w:type="dxa" w:w="2232"/>
            <w:vAlign w:val="center"/>
          </w:tcPr>
          <w:p>
            <w:pPr>
              <w:spacing w:before="30" w:after="30" w:line="360" w:lineRule="auto"/>
            </w:pPr>
            <w:r>
              <w:rPr>
                <w:rFonts w:ascii="Times New Roman" w:hAnsi="Times New Roman" w:eastAsia="宋体" w:cs="Times New Roman"/>
                <w:color w:val="000000"/>
                <w:sz w:val="24"/>
              </w:rPr>
              <w:t>研究阶段：</w:t>
            </w:r>
          </w:p>
        </w:tc>
        <w:tc>
          <w:tcPr>
            <w:tcW w:type="dxa" w:w="6408"/>
            <w:vAlign w:val="center"/>
          </w:tcPr>
          <w:p>
            <w:pPr>
              <w:spacing w:before="30" w:after="30" w:line="360" w:lineRule="auto"/>
            </w:pPr>
            <w:r>
              <w:rPr>
                <w:rFonts w:ascii="Times New Roman" w:hAnsi="Times New Roman" w:eastAsia="宋体" w:cs="Times New Roman"/>
                <w:color w:val="000000"/>
                <w:sz w:val="24"/>
              </w:rPr>
              <w:t>II期</w:t>
            </w:r>
          </w:p>
        </w:tc>
      </w:tr>
      <w:tr>
        <w:tc>
          <w:tcPr>
            <w:tcW w:type="dxa" w:w="2232"/>
            <w:vAlign w:val="center"/>
          </w:tcPr>
          <w:p>
            <w:pPr>
              <w:spacing w:before="30" w:after="30" w:line="360" w:lineRule="auto"/>
            </w:pPr>
            <w:r>
              <w:rPr>
                <w:rFonts w:ascii="Times New Roman" w:hAnsi="Times New Roman" w:eastAsia="宋体" w:cs="Times New Roman"/>
                <w:color w:val="000000"/>
                <w:sz w:val="24"/>
              </w:rPr>
              <w:t>方案/研究编号：</w:t>
            </w:r>
          </w:p>
        </w:tc>
        <w:tc>
          <w:tcPr>
            <w:tcW w:type="dxa" w:w="6408"/>
            <w:vAlign w:val="center"/>
          </w:tcPr>
          <w:p>
            <w:pPr>
              <w:spacing w:before="30" w:after="30" w:line="360" w:lineRule="auto"/>
            </w:pPr>
            <w:r>
              <w:rPr>
                <w:rFonts w:ascii="Times New Roman" w:hAnsi="Times New Roman" w:eastAsia="宋体" w:cs="Times New Roman"/>
                <w:color w:val="000000"/>
                <w:sz w:val="24"/>
              </w:rPr>
              <w:t>MW-II-00990781-DRAFT</w:t>
            </w:r>
          </w:p>
        </w:tc>
      </w:tr>
      <w:tr>
        <w:tc>
          <w:tcPr>
            <w:tcW w:type="dxa" w:w="2232"/>
            <w:vAlign w:val="center"/>
          </w:tcPr>
          <w:p>
            <w:pPr>
              <w:spacing w:before="30" w:after="30" w:line="360" w:lineRule="auto"/>
            </w:pPr>
            <w:r>
              <w:rPr>
                <w:rFonts w:ascii="Times New Roman" w:hAnsi="Times New Roman" w:eastAsia="宋体" w:cs="Times New Roman"/>
                <w:color w:val="000000"/>
                <w:sz w:val="24"/>
              </w:rPr>
              <w:t>版本号：</w:t>
            </w:r>
          </w:p>
        </w:tc>
        <w:tc>
          <w:tcPr>
            <w:tcW w:type="dxa" w:w="6408"/>
            <w:vAlign w:val="center"/>
          </w:tcPr>
          <w:p>
            <w:pPr>
              <w:spacing w:before="30" w:after="30" w:line="360" w:lineRule="auto"/>
            </w:pPr>
            <w:r>
              <w:rPr>
                <w:rFonts w:ascii="Times New Roman" w:hAnsi="Times New Roman" w:eastAsia="宋体" w:cs="Times New Roman"/>
                <w:color w:val="000000"/>
                <w:sz w:val="24"/>
              </w:rPr>
              <w:t>草案</w:t>
            </w:r>
          </w:p>
        </w:tc>
      </w:tr>
      <w:tr>
        <w:tc>
          <w:tcPr>
            <w:tcW w:type="dxa" w:w="2232"/>
            <w:vAlign w:val="center"/>
          </w:tcPr>
          <w:p>
            <w:pPr>
              <w:spacing w:before="30" w:after="30" w:line="360" w:lineRule="auto"/>
            </w:pPr>
            <w:r>
              <w:rPr>
                <w:rFonts w:ascii="Times New Roman" w:hAnsi="Times New Roman" w:eastAsia="宋体" w:cs="Times New Roman"/>
                <w:color w:val="000000"/>
                <w:sz w:val="24"/>
              </w:rPr>
              <w:t>版本日期：</w:t>
            </w:r>
          </w:p>
        </w:tc>
        <w:tc>
          <w:tcPr>
            <w:tcW w:type="dxa" w:w="6408"/>
            <w:vAlign w:val="center"/>
          </w:tcPr>
          <w:p>
            <w:pPr>
              <w:spacing w:before="30" w:after="30" w:line="360" w:lineRule="auto"/>
            </w:pPr>
            <w:r>
              <w:rPr>
                <w:rFonts w:ascii="Times New Roman" w:hAnsi="Times New Roman" w:eastAsia="宋体" w:cs="Times New Roman"/>
                <w:color w:val="000000"/>
                <w:sz w:val="24"/>
              </w:rPr>
              <w:t>2026-09-24</w:t>
            </w:r>
          </w:p>
        </w:tc>
      </w:tr>
      <w:tr>
        <w:tc>
          <w:tcPr>
            <w:tcW w:type="dxa" w:w="2232"/>
            <w:vAlign w:val="center"/>
          </w:tcPr>
          <w:p>
            <w:pPr>
              <w:spacing w:before="30" w:after="30" w:line="360" w:lineRule="auto"/>
            </w:pPr>
            <w:r>
              <w:rPr>
                <w:rFonts w:ascii="Times New Roman" w:hAnsi="Times New Roman" w:eastAsia="宋体" w:cs="Times New Roman"/>
                <w:color w:val="000000"/>
                <w:sz w:val="24"/>
              </w:rPr>
              <w:t>申办者：</w:t>
            </w:r>
          </w:p>
        </w:tc>
        <w:tc>
          <w:tcPr>
            <w:tcW w:type="dxa" w:w="6408"/>
            <w:vAlign w:val="center"/>
          </w:tcPr>
          <w:p>
            <w:pPr>
              <w:spacing w:before="30" w:after="30" w:line="360" w:lineRule="auto"/>
            </w:pPr>
            <w:r>
              <w:rPr>
                <w:rFonts w:ascii="Times New Roman" w:hAnsi="Times New Roman" w:eastAsia="宋体" w:cs="Times New Roman"/>
                <w:color w:val="000000"/>
                <w:sz w:val="24"/>
              </w:rPr>
              <w:t>深圳市康哲生物科技有限公司</w:t>
            </w:r>
          </w:p>
        </w:tc>
      </w:tr>
    </w:tbl>
    <w:p>
      <w:pPr>
        <w:spacing w:before="1680" w:line="360" w:lineRule="auto"/>
        <w:jc w:val="both"/>
      </w:pPr>
      <w:r>
        <w:rPr>
          <w:rFonts w:ascii="Times New Roman" w:hAnsi="Times New Roman" w:eastAsia="宋体" w:cs="Times New Roman"/>
          <w:b/>
          <w:color w:val="000000"/>
          <w:sz w:val="22"/>
        </w:rPr>
        <w:t>保密声明：</w:t>
      </w:r>
      <w:r>
        <w:rPr>
          <w:rFonts w:ascii="Times New Roman" w:hAnsi="Times New Roman" w:eastAsia="宋体" w:cs="Times New Roman"/>
          <w:color w:val="000000"/>
          <w:sz w:val="22"/>
        </w:rPr>
        <w:t>本文件中的信息保密，所有权归申办者。根据中国法律法规要求，本文件仅提供给研究者、伦理委员会、监管管理部门等相关机构审阅。除为研究实施所必需并获得申办者书面授权外，任何个人不得分发、复制、发表或披露本文件的任何内容。</w:t>
      </w:r>
    </w:p>
    <w:p>
      <w:pPr>
        <w:sectPr>
          <w:headerReference w:type="default" r:id="rId9"/>
          <w:footerReference w:type="default" r:id="rId10"/>
          <w:pgSz w:w="11906" w:h="16838"/>
          <w:pgMar w:top="1510" w:right="1417" w:bottom="1134" w:left="1417" w:header="720" w:footer="720" w:gutter="0"/>
          <w:cols w:space="720"/>
          <w:docGrid w:linePitch="360"/>
        </w:sectPr>
      </w:pPr>
    </w:p>
    <w:p>
      <w:pPr>
        <w:pStyle w:val="CMSDocumentControlHeading"/>
        <w:keepNext/>
        <w:pageBreakBefore/>
        <w:numPr>
          <w:ilvl w:val="0"/>
          <w:numId w:val="0"/>
        </w:numPr>
        <w:spacing w:line="360" w:lineRule="auto" w:before="50" w:after="50"/>
        <w:ind w:left="0" w:right="0" w:firstLine="0" w:firstLineChars="0"/>
      </w:pPr>
      <w:r>
        <w:rPr>
          <w:rFonts w:ascii="Times New Roman" w:hAnsi="Times New Roman" w:eastAsia="宋体" w:cs="Times New Roman"/>
          <w:b/>
          <w:color w:val="000000"/>
          <w:sz w:val="24"/>
        </w:rPr>
        <w:t>签字页</w:t>
      </w:r>
    </w:p>
    <w:tbl>
      <w:tblPr>
        <w:tblStyle w:val="TableGrid"/>
        <w:tblW w:type="dxa" w:w="10464"/>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616"/>
        <w:gridCol w:w="2616"/>
        <w:gridCol w:w="2616"/>
        <w:gridCol w:w="2616"/>
      </w:tblGrid>
      <w:tr>
        <w:trPr>
          <w:cantSplit/>
          <w:tblHeader/>
        </w:trPr>
        <w:tc>
          <w:tcPr>
            <w:tcW w:type="dxa" w:w="2616"/>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color w:val="000000"/>
                <w:sz w:val="21"/>
              </w:rPr>
              <w:t>签署角色</w:t>
            </w:r>
          </w:p>
        </w:tc>
        <w:tc>
          <w:tcPr>
            <w:tcW w:type="dxa" w:w="2616"/>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color w:val="000000"/>
                <w:sz w:val="21"/>
              </w:rPr>
              <w:t>姓名/职务</w:t>
            </w:r>
          </w:p>
        </w:tc>
        <w:tc>
          <w:tcPr>
            <w:tcW w:type="dxa" w:w="2616"/>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color w:val="000000"/>
                <w:sz w:val="21"/>
              </w:rPr>
              <w:t>签名</w:t>
            </w:r>
          </w:p>
        </w:tc>
        <w:tc>
          <w:tcPr>
            <w:tcW w:type="dxa" w:w="2616"/>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color w:val="000000"/>
                <w:sz w:val="21"/>
              </w:rPr>
              <w:t>日期</w:t>
            </w:r>
          </w:p>
        </w:tc>
      </w:tr>
      <w:tr>
        <w:trPr>
          <w:cantSplit/>
        </w:trPr>
        <w:tc>
          <w:tcPr>
            <w:tcW w:type="dxa" w:w="2616"/>
            <w:shd w:val="clear" w:color="auto" w:fill="FFFFFF"/>
            <w:tcMar>
              <w:top w:w="45" w:type="dxa"/>
              <w:start w:w="55" w:type="dxa"/>
              <w:bottom w:w="45" w:type="dxa"/>
              <w:end w:w="55" w:type="dxa"/>
            </w:tcMar>
            <w:vAlign w:val="center"/>
          </w:tcPr>
          <w:p>
            <w:pPr>
              <w:spacing w:before="0" w:after="0" w:line="240" w:lineRule="auto"/>
              <w:jc w:val="left"/>
            </w:pPr>
            <w:r>
              <w:rPr>
                <w:rFonts w:eastAsia="宋体" w:ascii="Times New Roman" w:hAnsi="Times New Roman" w:cs="Times New Roman"/>
              </w:rPr>
            </w:r>
            <w:r>
              <w:rPr>
                <w:rFonts w:ascii="Times New Roman" w:hAnsi="Times New Roman" w:eastAsia="宋体" w:cs="Times New Roman"/>
                <w:b w:val="0"/>
                <w:color w:val="000000"/>
                <w:sz w:val="21"/>
              </w:rPr>
              <w:t>申办者代表</w:t>
            </w:r>
          </w:p>
        </w:tc>
        <w:tc>
          <w:tcPr>
            <w:tcW w:type="dxa" w:w="2616"/>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val="0"/>
                <w:color w:val="000000"/>
                <w:sz w:val="21"/>
              </w:rPr>
              <w:t/>
            </w:r>
          </w:p>
        </w:tc>
        <w:tc>
          <w:tcPr>
            <w:tcW w:type="dxa" w:w="2616"/>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val="0"/>
                <w:color w:val="000000"/>
                <w:sz w:val="21"/>
              </w:rPr>
              <w:t/>
            </w:r>
          </w:p>
        </w:tc>
        <w:tc>
          <w:tcPr>
            <w:tcW w:type="dxa" w:w="2616"/>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val="0"/>
                <w:color w:val="000000"/>
                <w:sz w:val="21"/>
              </w:rPr>
              <w:t/>
            </w:r>
          </w:p>
        </w:tc>
      </w:tr>
      <w:tr>
        <w:trPr>
          <w:cantSplit/>
        </w:trPr>
        <w:tc>
          <w:tcPr>
            <w:tcW w:type="dxa" w:w="2616"/>
            <w:shd w:val="clear" w:color="auto" w:fill="FFFFFF"/>
            <w:tcMar>
              <w:top w:w="45" w:type="dxa"/>
              <w:start w:w="55" w:type="dxa"/>
              <w:bottom w:w="45" w:type="dxa"/>
              <w:end w:w="55" w:type="dxa"/>
            </w:tcMar>
            <w:vAlign w:val="center"/>
          </w:tcPr>
          <w:p>
            <w:pPr>
              <w:spacing w:before="0" w:after="0" w:line="240" w:lineRule="auto"/>
              <w:jc w:val="left"/>
            </w:pPr>
            <w:r>
              <w:rPr>
                <w:rFonts w:eastAsia="宋体" w:ascii="Times New Roman" w:hAnsi="Times New Roman" w:cs="Times New Roman"/>
              </w:rPr>
            </w:r>
            <w:r>
              <w:rPr>
                <w:rFonts w:ascii="Times New Roman" w:hAnsi="Times New Roman" w:eastAsia="宋体" w:cs="Times New Roman"/>
                <w:b w:val="0"/>
                <w:color w:val="000000"/>
                <w:sz w:val="21"/>
              </w:rPr>
              <w:t>主要研究者</w:t>
            </w:r>
          </w:p>
        </w:tc>
        <w:tc>
          <w:tcPr>
            <w:tcW w:type="dxa" w:w="2616"/>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val="0"/>
                <w:color w:val="000000"/>
                <w:sz w:val="21"/>
              </w:rPr>
              <w:t/>
            </w:r>
          </w:p>
        </w:tc>
        <w:tc>
          <w:tcPr>
            <w:tcW w:type="dxa" w:w="2616"/>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val="0"/>
                <w:color w:val="000000"/>
                <w:sz w:val="21"/>
              </w:rPr>
              <w:t/>
            </w:r>
          </w:p>
        </w:tc>
        <w:tc>
          <w:tcPr>
            <w:tcW w:type="dxa" w:w="2616"/>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val="0"/>
                <w:color w:val="000000"/>
                <w:sz w:val="21"/>
              </w:rPr>
              <w:t/>
            </w:r>
          </w:p>
        </w:tc>
      </w:tr>
    </w:tbl>
    <w:p>
      <w:pPr>
        <w:pStyle w:val="CMSDocumentControlHeading"/>
        <w:keepNext/>
        <w:pageBreakBefore/>
        <w:numPr>
          <w:ilvl w:val="0"/>
          <w:numId w:val="0"/>
        </w:numPr>
        <w:spacing w:line="360" w:lineRule="auto" w:before="50" w:after="50"/>
        <w:ind w:left="0" w:right="0" w:firstLine="0" w:firstLineChars="0"/>
      </w:pPr>
      <w:r>
        <w:rPr>
          <w:rFonts w:ascii="Times New Roman" w:hAnsi="Times New Roman" w:eastAsia="宋体" w:cs="Times New Roman"/>
          <w:b/>
          <w:color w:val="000000"/>
          <w:sz w:val="24"/>
        </w:rPr>
        <w:t>研究方案版本更新记录</w:t>
      </w:r>
    </w:p>
    <w:tbl>
      <w:tblPr>
        <w:tblStyle w:val="TableGrid"/>
        <w:tblW w:type="dxa" w:w="10464"/>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744"/>
        <w:gridCol w:w="1744"/>
        <w:gridCol w:w="1744"/>
        <w:gridCol w:w="1744"/>
        <w:gridCol w:w="1744"/>
        <w:gridCol w:w="1744"/>
      </w:tblGrid>
      <w:tr>
        <w:trPr>
          <w:cantSplit/>
          <w:tblHeader/>
        </w:trPr>
        <w:tc>
          <w:tcPr>
            <w:tcW w:type="dxa" w:w="1744"/>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color w:val="000000"/>
                <w:sz w:val="21"/>
              </w:rPr>
              <w:t>版本号</w:t>
            </w:r>
          </w:p>
        </w:tc>
        <w:tc>
          <w:tcPr>
            <w:tcW w:type="dxa" w:w="1744"/>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color w:val="000000"/>
                <w:sz w:val="21"/>
              </w:rPr>
              <w:t>版本日期</w:t>
            </w:r>
          </w:p>
        </w:tc>
        <w:tc>
          <w:tcPr>
            <w:tcW w:type="dxa" w:w="1744"/>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color w:val="000000"/>
                <w:sz w:val="21"/>
              </w:rPr>
              <w:t>变更范围</w:t>
            </w:r>
          </w:p>
        </w:tc>
        <w:tc>
          <w:tcPr>
            <w:tcW w:type="dxa" w:w="1744"/>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color w:val="000000"/>
                <w:sz w:val="21"/>
              </w:rPr>
              <w:t>变更说明</w:t>
            </w:r>
          </w:p>
        </w:tc>
        <w:tc>
          <w:tcPr>
            <w:tcW w:type="dxa" w:w="1744"/>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color w:val="000000"/>
                <w:sz w:val="21"/>
              </w:rPr>
              <w:t>变更理由</w:t>
            </w:r>
          </w:p>
        </w:tc>
        <w:tc>
          <w:tcPr>
            <w:tcW w:type="dxa" w:w="1744"/>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color w:val="000000"/>
                <w:sz w:val="21"/>
              </w:rPr>
              <w:t>批准状态</w:t>
            </w:r>
          </w:p>
        </w:tc>
      </w:tr>
      <w:tr>
        <w:trPr>
          <w:cantSplit/>
        </w:trPr>
        <w:tc>
          <w:tcPr>
            <w:tcW w:type="dxa" w:w="1744"/>
            <w:shd w:val="clear" w:color="auto" w:fill="FFFFFF"/>
            <w:tcMar>
              <w:top w:w="45" w:type="dxa"/>
              <w:start w:w="55" w:type="dxa"/>
              <w:bottom w:w="45" w:type="dxa"/>
              <w:end w:w="55" w:type="dxa"/>
            </w:tcMar>
            <w:vAlign w:val="center"/>
          </w:tcPr>
          <w:p>
            <w:pPr>
              <w:spacing w:before="0" w:after="0" w:line="240" w:lineRule="auto"/>
              <w:jc w:val="left"/>
            </w:pPr>
            <w:r>
              <w:rPr>
                <w:rFonts w:eastAsia="宋体" w:ascii="Times New Roman" w:hAnsi="Times New Roman" w:cs="Times New Roman"/>
              </w:rPr>
            </w:r>
            <w:r>
              <w:rPr>
                <w:rFonts w:ascii="Times New Roman" w:hAnsi="Times New Roman" w:eastAsia="宋体" w:cs="Times New Roman"/>
                <w:b w:val="0"/>
                <w:color w:val="000000"/>
                <w:sz w:val="21"/>
              </w:rPr>
              <w:t>草案</w:t>
            </w:r>
          </w:p>
        </w:tc>
        <w:tc>
          <w:tcPr>
            <w:tcW w:type="dxa" w:w="1744"/>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val="0"/>
                <w:color w:val="000000"/>
                <w:sz w:val="21"/>
              </w:rPr>
              <w:t>2026-09-24</w:t>
            </w:r>
          </w:p>
        </w:tc>
        <w:tc>
          <w:tcPr>
            <w:tcW w:type="dxa" w:w="1744"/>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val="0"/>
                <w:color w:val="000000"/>
                <w:sz w:val="21"/>
              </w:rPr>
              <w:t/>
            </w:r>
          </w:p>
        </w:tc>
        <w:tc>
          <w:tcPr>
            <w:tcW w:type="dxa" w:w="1744"/>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val="0"/>
                <w:color w:val="000000"/>
                <w:sz w:val="21"/>
              </w:rPr>
              <w:t/>
            </w:r>
          </w:p>
        </w:tc>
        <w:tc>
          <w:tcPr>
            <w:tcW w:type="dxa" w:w="1744"/>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val="0"/>
                <w:color w:val="000000"/>
                <w:sz w:val="21"/>
              </w:rPr>
              <w:t/>
            </w:r>
          </w:p>
        </w:tc>
        <w:tc>
          <w:tcPr>
            <w:tcW w:type="dxa" w:w="1744"/>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val="0"/>
                <w:color w:val="000000"/>
                <w:sz w:val="21"/>
              </w:rPr>
              <w:t/>
            </w:r>
          </w:p>
        </w:tc>
      </w:tr>
    </w:tbl>
    <w:p>
      <w:pPr>
        <w:sectPr>
          <w:headerReference w:type="default" r:id="rId11"/>
          <w:pgSz w:w="11906" w:h="16838"/>
          <w:pgMar w:top="1510" w:right="720" w:bottom="720" w:left="720" w:header="720" w:footer="720" w:gutter="0"/>
          <w:cols w:space="720"/>
          <w:docGrid w:linePitch="360"/>
        </w:sectPr>
      </w:pPr>
    </w:p>
    <w:p>
      <w:pPr>
        <w:pStyle w:val="TOCHeading"/>
        <w:keepNext/>
        <w:spacing w:after="240"/>
        <w:jc w:val="center"/>
      </w:pPr>
      <w:r>
        <w:rPr>
          <w:rFonts w:ascii="Times New Roman" w:hAnsi="Times New Roman" w:eastAsia="宋体" w:cs="Times New Roman"/>
          <w:b/>
          <w:color w:val="000000"/>
          <w:sz w:val="32"/>
        </w:rPr>
        <w:t>目录</w:t>
      </w:r>
    </w:p>
    <w:p>
      <w:r>
        <w:rPr>
          <w:rFonts w:eastAsia="宋体" w:ascii="Times New Roman" w:hAnsi="Times New Roman" w:cs="Times New Roman"/>
        </w:rPr>
        <w:fldChar w:fldCharType="begin" w:dirty="true"/>
      </w:r>
      <w:r>
        <w:rPr>
          <w:rFonts w:eastAsia="宋体" w:ascii="Times New Roman" w:hAnsi="Times New Roman" w:cs="Times New Roman"/>
        </w:rPr>
        <w:instrText xml:space="preserve"> TOC \o "1-4" \h \z \u </w:instrText>
      </w:r>
      <w:r>
        <w:rPr>
          <w:rFonts w:eastAsia="宋体" w:ascii="Times New Roman" w:hAnsi="Times New Roman" w:cs="Times New Roman"/>
        </w:rPr>
        <w:fldChar w:fldCharType="separate"/>
      </w:r>
      <w:r>
        <w:rPr>
          <w:rFonts w:ascii="Times New Roman" w:hAnsi="Times New Roman" w:eastAsia="宋体" w:cs="Times New Roman"/>
          <w:b w:val="0"/>
          <w:sz w:val="21"/>
        </w:rPr>
        <w:t>更新域后显示目录</w:t>
      </w:r>
      <w:r>
        <w:rPr>
          <w:rFonts w:eastAsia="宋体" w:ascii="Times New Roman" w:hAnsi="Times New Roman" w:cs="Times New Roman"/>
        </w:rPr>
        <w:fldChar w:fldCharType="end"/>
      </w:r>
    </w:p>
    <w:p>
      <w:r>
        <w:rPr>
          <w:rFonts w:eastAsia="宋体" w:ascii="Times New Roman" w:hAnsi="Times New Roman" w:cs="Times New Roman"/>
        </w:rPr>
        <w:br w:type="page"/>
      </w:r>
    </w:p>
    <w:p>
      <w:pPr>
        <w:sectPr>
          <w:headerReference w:type="default" r:id="rId12"/>
          <w:pgSz w:w="11906" w:h="16838"/>
          <w:pgMar w:top="1510" w:right="1417" w:bottom="1134" w:left="1417" w:header="720" w:footer="720" w:gutter="0"/>
          <w:cols w:space="720"/>
          <w:docGrid w:linePitch="360"/>
        </w:sectPr>
      </w:pP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缩略语与术语定义</w:t>
      </w:r>
    </w:p>
    <w:tbl>
      <w:tblPr>
        <w:tblStyle w:val="TableGrid"/>
        <w:tblW w:type="dxa" w:w="10466"/>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5233"/>
        <w:gridCol w:w="5233"/>
      </w:tblGrid>
      <w:tr>
        <w:trPr>
          <w:cantSplit/>
          <w:tblHeader/>
        </w:trPr>
        <w:tc>
          <w:tcPr>
            <w:tcW w:type="dxa" w:w="5233"/>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color w:val="000000"/>
                <w:sz w:val="21"/>
              </w:rPr>
              <w:t>缩略语</w:t>
            </w:r>
          </w:p>
        </w:tc>
        <w:tc>
          <w:tcPr>
            <w:tcW w:type="dxa" w:w="5233"/>
            <w:shd w:val="clear" w:color="auto" w:fill="FFFFFF"/>
            <w:tcMar>
              <w:top w:w="45" w:type="dxa"/>
              <w:start w:w="55" w:type="dxa"/>
              <w:bottom w:w="45" w:type="dxa"/>
              <w:end w:w="55" w:type="dxa"/>
            </w:tcMar>
            <w:vAlign w:val="center"/>
          </w:tcPr>
          <w:p>
            <w:pPr>
              <w:spacing w:before="0" w:after="0" w:line="240" w:lineRule="auto"/>
              <w:jc w:val="center"/>
            </w:pPr>
            <w:r>
              <w:rPr>
                <w:rFonts w:eastAsia="宋体" w:ascii="Times New Roman" w:hAnsi="Times New Roman" w:cs="Times New Roman"/>
              </w:rPr>
            </w:r>
            <w:r>
              <w:rPr>
                <w:rFonts w:ascii="Times New Roman" w:hAnsi="Times New Roman" w:eastAsia="宋体" w:cs="Times New Roman"/>
                <w:b/>
                <w:color w:val="000000"/>
                <w:sz w:val="21"/>
              </w:rPr>
              <w:t>中文全称</w:t>
            </w:r>
          </w:p>
        </w:tc>
      </w:tr>
    </w:tbl>
    <w:p>
      <w:pPr>
        <w:sectPr>
          <w:headerReference w:type="default" r:id="rId13"/>
          <w:pgSz w:w="11906" w:h="16838"/>
          <w:pgMar w:top="1510" w:right="720" w:bottom="720" w:left="720" w:header="720" w:footer="720" w:gutter="0"/>
          <w:cols w:space="720"/>
          <w:docGrid w:linePitch="360"/>
        </w:sectPr>
      </w:pP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 方案概要</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为合成药M8用于治疗复发缓解型多发性硬化的II期临床研究，采用随机、双盲、安慰剂对照、多中心、平行组设计，开发区域为中国，内在研究目的为概念验证。研究人群为符合2017版McDonald诊断标准的复发缓解型多发性硬化成年患者（18至55周岁），筛选前1年内至少有1次有记录的临床复发，或筛选前2年内至少有2次临床复发，或筛选期基线脑部MRI检查存在至少1个钆增强T1病灶，筛选时扩展残疾状态量表评分在0至5.5分之间。受试者按1:1比例随机分配至合成药M8组或匹配的口服安慰剂对照组，双盲治疗期自第1天至第24周。合成药M8剂量为0.5mg每日一次口服，安慰剂外观、气味、大小及包装与合成药M8片剂完全一致。允许受试者在筛选期及整个研究期间维持既往稳定的背景注射干扰素β治疗，组间分层随机化保持背景干扰素β使用比例均衡。主要疗效终点为治疗第24周时的年化复发率和治疗第24周时脑部MRI检查的钆增强T1病灶累计总数。关键次要终点包括治疗第24周时新发或扩大的T2高信号病灶数、治疗24周期间无临床复发的受试者比例以及治疗第24周时扩展残疾状态量表评分较基线的变化。安全性终点涵盖不良事件与严重不良事件发生率、首次给药6小时心率与血压动态监测及心动过缓发生率、12导联心电图PR间期与房室传导阻滞监测、外周血绝对淋巴细胞计数变化及黄斑水肿光学相干断层扫描检查异常率。研究时期包括筛选期（第-28天至第-1天）、双盲治疗期（第1天至第24周）和安全随访期（停药后4周，即第28周）。访视安排为筛选访视、基线及首剂给药访视、第2周、第4周、第8周、第12周、第16周、第20周、第24周治疗结束访视和第28周研究结束随访，共10次访视；MRI于基线、第12周及第24周进行；首剂给药访视完成6小时心电与生命体征监测。样本量方面，假设安慰剂组24周年化复发率为0.60，合成药M8组相对降低50%至0.30，设定双侧显著性水平0.05、把握度80%，考虑15%脱落率，计划入组约200例（每组100例），对钆增强病灶数差异的把握度大于90%。主要疗效分析基于全分析集，年化复发率采用负二项回归模型（以对数暴露时间为偏移量），模型纳入治疗组、基线扩展残疾状态量表评分及背景干扰素β使用为协变量；钆增强病灶数同样采用负二项回归模型；安全性分析基于安全性分析集进行描述性统计。【切片闭环0927V1】</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UI编辑0927V1</w:t>
      </w:r>
    </w:p>
    <w:p>
      <w:pPr>
        <w:sectPr>
          <w:headerReference w:type="default" r:id="rId14"/>
          <w:pgSz w:w="11906" w:h="16838"/>
          <w:pgMar w:top="1510" w:right="1417" w:bottom="1134" w:left="1417" w:header="720" w:footer="720" w:gutter="0"/>
          <w:cols w:space="720"/>
          <w:docGrid w:linePitch="360"/>
        </w:sectPr>
      </w:pPr>
    </w:p>
    <w:p>
      <w:pPr>
        <w:pStyle w:val="Heading2"/>
        <w:keepNext/>
        <w:pageBreakBefore/>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1.1 方案摘要</w:t>
      </w:r>
    </w:p>
    <w:p>
      <w:pPr>
        <w:keepNext/>
        <w:spacing w:after="120"/>
      </w:pPr>
      <w:r>
        <w:rPr>
          <w:rFonts w:ascii="Times New Roman" w:hAnsi="Times New Roman" w:eastAsia="宋体" w:cs="Times New Roman"/>
          <w:b/>
          <w:color w:val="000000"/>
          <w:sz w:val="24"/>
        </w:rPr>
        <w:t>方案摘要</w:t>
      </w:r>
    </w:p>
    <w:tbl>
      <w:tblPr>
        <w:tblW w:type="pct" w:w="4999"/>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554"/>
        <w:gridCol w:w="2993"/>
        <w:gridCol w:w="4514"/>
      </w:tblGrid>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研究题目</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合成药M8用于治疗复发缓解型多发性硬化的II期临床研究</w:t>
            </w: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试验分期</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II期</w:t>
            </w: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研究对象</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符合2017版McDonald诊断标准的复发缓解型多发性硬化（RRMS）成年患者（18-55岁），筛选前1年内至少有1次有记录的临床复发，或筛选前2年内至少有2次临床复发，或筛选期基线脑部MRI检查存在至少1个钆（Gd）增强T1病灶；筛选时扩展残疾状态量表（EDSS）评分在0至5.5分之间（含边界值）。</w:t>
            </w:r>
          </w:p>
        </w:tc>
      </w:tr>
      <w:tr>
        <w:trPr>
          <w:trHeight w:val="335"/>
        </w:trPr>
        <w:tc>
          <w:tcPr>
            <w:tcW w:type="pct" w:w="857"/>
            <w:vMerge w:val="restart"/>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目的与估计目标/终点</w:t>
            </w:r>
          </w:p>
        </w:tc>
        <w:tc>
          <w:tcPr>
            <w:tcW w:type="pct" w:w="1651"/>
            <w:gridSpan w:val="2"/>
            <w:vMerge w:val="restart"/>
            <w:shd w:val="clear" w:color="auto" w:fill="FFFFFF"/>
            <w:tcMar>
              <w:top w:w="0" w:type="dxa"/>
              <w:start w:w="0" w:type="dxa"/>
              <w:bottom w:w="0" w:type="dxa"/>
              <w:end w:w="0" w:type="dxa"/>
            </w:tcMar>
            <w:vAlign w:val="top"/>
          </w:tcPr>
          <w:tbl>
            <w:tblPr>
              <w:tblW w:type="dxa" w:w="7507"/>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993"/>
              <w:gridCol w:w="4514"/>
            </w:tblGrid>
            <w:tr>
              <w:trPr>
                <w:cantSplit/>
              </w:trPr>
              <w:tc>
                <w:tcPr>
                  <w:tcW w:type="dxa" w:w="2993"/>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主要目的</w:t>
                  </w:r>
                </w:p>
              </w:tc>
              <w:tc>
                <w:tcPr>
                  <w:tcW w:type="dxa" w:w="4514"/>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相应的研究终点</w:t>
                  </w:r>
                </w:p>
              </w:tc>
            </w:tr>
            <w:tr>
              <w:trPr>
                <w:cantSplit/>
              </w:trPr>
              <w:tc>
                <w:tcPr>
                  <w:tcW w:type="dxa" w:w="2993"/>
                  <w:shd w:val="clear" w:color="auto" w:fill="FFFFFF"/>
                  <w:vAlign w:val="top"/>
                </w:tcPr>
                <w:p>
                  <w:pPr>
                    <w:numPr>
                      <w:ilvl w:val="0"/>
                      <w:numId w:val="14"/>
                    </w:numPr>
                    <w:spacing w:before="120" w:after="60" w:line="400" w:lineRule="exact"/>
                    <w:ind w:left="0" w:right="0" w:firstLine="0"/>
                    <w:jc w:val="both"/>
                  </w:pPr>
                  <w:r>
                    <w:rPr>
                      <w:rFonts w:eastAsia="宋体" w:ascii="Times New Roman" w:hAnsi="Times New Roman" w:cs="Times New Roman"/>
                    </w:rPr>
                  </w:r>
                  <w:r>
                    <w:rPr>
                      <w:rFonts w:ascii="Times New Roman" w:hAnsi="Times New Roman" w:eastAsia="宋体" w:cs="Times New Roman"/>
                      <w:b w:val="0"/>
                      <w:color w:val="000000"/>
                      <w:sz w:val="22"/>
                    </w:rPr>
                    <w:t>评价合成药M8在符合2017版McDonald诊断标准的复发缓解型多发性硬化（RRMS）成年患者（18-55岁），筛选前1年内至少有1次有记录的临床复发，或筛选前2年内至少有2次临床复发，或筛选期基线脑部MRI检查存在至少1个钆（Gd）增强T1病灶；筛选时扩展残疾状态量表（EDSS）评分在0至5.5分之间（含边界值）。中的有效性。</w:t>
                  </w:r>
                </w:p>
              </w:tc>
              <w:tc>
                <w:tcPr>
                  <w:tcW w:type="dxa" w:w="4514"/>
                  <w:shd w:val="clear" w:color="auto" w:fill="FFFFFF"/>
                  <w:vAlign w:val="top"/>
                </w:tcPr>
                <w:p>
                  <w:pPr>
                    <w:numPr>
                      <w:ilvl w:val="0"/>
                      <w:numId w:val="15"/>
                    </w:numPr>
                    <w:spacing w:before="120" w:after="60" w:line="400" w:lineRule="exact"/>
                    <w:ind w:left="0" w:right="0" w:firstLine="0"/>
                    <w:jc w:val="both"/>
                  </w:pPr>
                  <w:r>
                    <w:rPr>
                      <w:rFonts w:eastAsia="宋体" w:ascii="Times New Roman" w:hAnsi="Times New Roman" w:cs="Times New Roman"/>
                    </w:rPr>
                  </w:r>
                  <w:r>
                    <w:rPr>
                      <w:rFonts w:ascii="Times New Roman" w:hAnsi="Times New Roman" w:eastAsia="宋体" w:cs="Times New Roman"/>
                      <w:b w:val="0"/>
                      <w:color w:val="000000"/>
                      <w:sz w:val="22"/>
                    </w:rPr>
                    <w:t>治疗第24周时的年化复发率（Annualized Relapse Rate, ARR）；</w:t>
                  </w:r>
                </w:p>
                <w:p>
                  <w:pPr>
                    <w:numPr>
                      <w:ilvl w:val="0"/>
                      <w:numId w:val="15"/>
                    </w:numPr>
                    <w:spacing w:before="120" w:after="60" w:line="400" w:lineRule="exact"/>
                    <w:ind w:left="0" w:right="0" w:firstLine="0"/>
                    <w:jc w:val="both"/>
                  </w:pPr>
                  <w:r>
                    <w:rPr>
                      <w:rFonts w:ascii="Times New Roman" w:hAnsi="Times New Roman" w:eastAsia="宋体" w:cs="Times New Roman"/>
                      <w:b w:val="0"/>
                      <w:color w:val="000000"/>
                      <w:sz w:val="22"/>
                    </w:rPr>
                    <w:t>治疗第24周时脑部MRI检查的钆（Gd）增强T1病灶累计总数。</w:t>
                  </w:r>
                </w:p>
              </w:tc>
            </w:tr>
            <w:tr>
              <w:trPr>
                <w:cantSplit/>
              </w:trPr>
              <w:tc>
                <w:tcPr>
                  <w:tcW w:type="dxa" w:w="2993"/>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次要目的</w:t>
                  </w:r>
                </w:p>
              </w:tc>
              <w:tc>
                <w:tcPr>
                  <w:tcW w:type="dxa" w:w="4514"/>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相应的研究终点</w:t>
                  </w:r>
                </w:p>
              </w:tc>
            </w:tr>
            <w:tr>
              <w:trPr>
                <w:cantSplit/>
              </w:trPr>
              <w:tc>
                <w:tcPr>
                  <w:tcW w:type="dxa" w:w="2993"/>
                  <w:shd w:val="clear" w:color="auto" w:fill="FFFFFF"/>
                  <w:vAlign w:val="top"/>
                </w:tcPr>
                <w:p>
                  <w:pPr>
                    <w:numPr>
                      <w:ilvl w:val="0"/>
                      <w:numId w:val="16"/>
                    </w:numPr>
                    <w:spacing w:before="120" w:after="60" w:line="400" w:lineRule="exact"/>
                    <w:ind w:left="0" w:right="0" w:firstLine="0"/>
                    <w:jc w:val="both"/>
                  </w:pPr>
                  <w:r>
                    <w:rPr>
                      <w:rFonts w:eastAsia="宋体" w:ascii="Times New Roman" w:hAnsi="Times New Roman" w:cs="Times New Roman"/>
                    </w:rPr>
                  </w:r>
                  <w:r>
                    <w:rPr>
                      <w:rFonts w:ascii="Times New Roman" w:hAnsi="Times New Roman" w:eastAsia="宋体" w:cs="Times New Roman"/>
                      <w:b w:val="0"/>
                      <w:color w:val="000000"/>
                      <w:sz w:val="22"/>
                    </w:rPr>
                    <w:t>评价合成药M8在符合2017版McDonald诊断标准的复发缓解型多发性硬化（RRMS）成年患者（18-55岁），筛选前1年内至少有1次有记录的临床复发，或筛选前2年内至少有2次临床复发，或筛选期基线脑部MRI检查存在至少1个钆（Gd）增强T1病灶；筛选时扩展残疾状态量表（EDSS）评分在0至5.5分之间（含边界值）。中的有效性。</w:t>
                  </w:r>
                </w:p>
                <w:p>
                  <w:pPr>
                    <w:numPr>
                      <w:ilvl w:val="0"/>
                      <w:numId w:val="16"/>
                    </w:numPr>
                    <w:spacing w:before="120" w:after="60" w:line="400" w:lineRule="exact"/>
                    <w:ind w:left="0" w:right="0" w:firstLine="0"/>
                    <w:jc w:val="both"/>
                  </w:pPr>
                  <w:r>
                    <w:rPr>
                      <w:rFonts w:ascii="Times New Roman" w:hAnsi="Times New Roman" w:eastAsia="宋体" w:cs="Times New Roman"/>
                      <w:b w:val="0"/>
                      <w:color w:val="000000"/>
                      <w:sz w:val="22"/>
                    </w:rPr>
                    <w:t>评价合成药M8在符合2017版McDonald诊断标准的复发缓解型多发性硬化（RRMS）成年患者（18-55岁），筛选前1年内至少有1次有记录的临床复发，或筛选前2年内至少有2次临床复发，或筛选期基线脑部MRI检查存在至少1个钆（Gd）增强T1病灶；筛选时扩展残疾状态量表（EDSS）评分在0至5.5分之间（含边界值）。中的安全性和耐受性。</w:t>
                  </w:r>
                </w:p>
              </w:tc>
              <w:tc>
                <w:tcPr>
                  <w:tcW w:type="dxa" w:w="4514"/>
                  <w:shd w:val="clear" w:color="auto" w:fill="FFFFFF"/>
                  <w:vAlign w:val="top"/>
                </w:tcPr>
                <w:p>
                  <w:pPr>
                    <w:numPr>
                      <w:ilvl w:val="0"/>
                      <w:numId w:val="17"/>
                    </w:numPr>
                    <w:spacing w:before="120" w:after="60" w:line="400" w:lineRule="exact"/>
                    <w:ind w:left="0" w:right="0" w:firstLine="0"/>
                    <w:jc w:val="both"/>
                  </w:pPr>
                  <w:r>
                    <w:rPr>
                      <w:rFonts w:eastAsia="宋体" w:ascii="Times New Roman" w:hAnsi="Times New Roman" w:cs="Times New Roman"/>
                    </w:rPr>
                  </w:r>
                  <w:r>
                    <w:rPr>
                      <w:rFonts w:ascii="Times New Roman" w:hAnsi="Times New Roman" w:eastAsia="宋体" w:cs="Times New Roman"/>
                      <w:b w:val="0"/>
                      <w:color w:val="000000"/>
                      <w:sz w:val="22"/>
                    </w:rPr>
                    <w:t>治疗第24周时新发或扩大的T2高信号病灶数</w:t>
                  </w:r>
                </w:p>
                <w:p>
                  <w:pPr>
                    <w:numPr>
                      <w:ilvl w:val="0"/>
                      <w:numId w:val="17"/>
                    </w:numPr>
                    <w:spacing w:before="120" w:after="60" w:line="400" w:lineRule="exact"/>
                    <w:ind w:left="0" w:right="0" w:firstLine="0"/>
                    <w:jc w:val="both"/>
                  </w:pPr>
                  <w:r>
                    <w:rPr>
                      <w:rFonts w:ascii="Times New Roman" w:hAnsi="Times New Roman" w:eastAsia="宋体" w:cs="Times New Roman"/>
                      <w:b w:val="0"/>
                      <w:color w:val="000000"/>
                      <w:sz w:val="22"/>
                    </w:rPr>
                    <w:t>治疗24周期间无临床复发的受试者比例</w:t>
                  </w:r>
                </w:p>
                <w:p>
                  <w:pPr>
                    <w:numPr>
                      <w:ilvl w:val="0"/>
                      <w:numId w:val="17"/>
                    </w:numPr>
                    <w:spacing w:before="120" w:after="60" w:line="400" w:lineRule="exact"/>
                    <w:ind w:left="0" w:right="0" w:firstLine="0"/>
                    <w:jc w:val="both"/>
                  </w:pPr>
                  <w:r>
                    <w:rPr>
                      <w:rFonts w:ascii="Times New Roman" w:hAnsi="Times New Roman" w:eastAsia="宋体" w:cs="Times New Roman"/>
                      <w:b w:val="0"/>
                      <w:color w:val="000000"/>
                      <w:sz w:val="22"/>
                    </w:rPr>
                    <w:t>治疗第24周时扩展残疾状态量表（EDSS）评分较基线的变化</w:t>
                  </w:r>
                </w:p>
                <w:p>
                  <w:pPr>
                    <w:numPr>
                      <w:ilvl w:val="0"/>
                      <w:numId w:val="17"/>
                    </w:numPr>
                    <w:spacing w:before="120" w:after="60" w:line="400" w:lineRule="exact"/>
                    <w:ind w:left="0" w:right="0" w:firstLine="0"/>
                    <w:jc w:val="both"/>
                  </w:pPr>
                  <w:r>
                    <w:rPr>
                      <w:rFonts w:ascii="Times New Roman" w:hAnsi="Times New Roman" w:eastAsia="宋体" w:cs="Times New Roman"/>
                      <w:b w:val="0"/>
                      <w:color w:val="000000"/>
                      <w:sz w:val="22"/>
                    </w:rPr>
                    <w:t>不良事件（AE）与严重不良事件（SAE）发生率</w:t>
                  </w:r>
                </w:p>
                <w:p>
                  <w:pPr>
                    <w:numPr>
                      <w:ilvl w:val="0"/>
                      <w:numId w:val="17"/>
                    </w:numPr>
                    <w:spacing w:before="120" w:after="60" w:line="400" w:lineRule="exact"/>
                    <w:ind w:left="0" w:right="0" w:firstLine="0"/>
                    <w:jc w:val="both"/>
                  </w:pPr>
                  <w:r>
                    <w:rPr>
                      <w:rFonts w:ascii="Times New Roman" w:hAnsi="Times New Roman" w:eastAsia="宋体" w:cs="Times New Roman"/>
                      <w:b w:val="0"/>
                      <w:color w:val="000000"/>
                      <w:sz w:val="22"/>
                    </w:rPr>
                    <w:t>首次给药6小时心率、血压动态监测及心动过缓发生率</w:t>
                  </w:r>
                </w:p>
                <w:p>
                  <w:pPr>
                    <w:numPr>
                      <w:ilvl w:val="0"/>
                      <w:numId w:val="17"/>
                    </w:numPr>
                    <w:spacing w:before="120" w:after="60" w:line="400" w:lineRule="exact"/>
                    <w:ind w:left="0" w:right="0" w:firstLine="0"/>
                    <w:jc w:val="both"/>
                  </w:pPr>
                  <w:r>
                    <w:rPr>
                      <w:rFonts w:ascii="Times New Roman" w:hAnsi="Times New Roman" w:eastAsia="宋体" w:cs="Times New Roman"/>
                      <w:b w:val="0"/>
                      <w:color w:val="000000"/>
                      <w:sz w:val="22"/>
                    </w:rPr>
                    <w:t>12导联心电图PR间期与房室传导阻滞监测</w:t>
                  </w:r>
                </w:p>
                <w:p>
                  <w:pPr>
                    <w:numPr>
                      <w:ilvl w:val="0"/>
                      <w:numId w:val="17"/>
                    </w:numPr>
                    <w:spacing w:before="120" w:after="60" w:line="400" w:lineRule="exact"/>
                    <w:ind w:left="0" w:right="0" w:firstLine="0"/>
                    <w:jc w:val="both"/>
                  </w:pPr>
                  <w:r>
                    <w:rPr>
                      <w:rFonts w:ascii="Times New Roman" w:hAnsi="Times New Roman" w:eastAsia="宋体" w:cs="Times New Roman"/>
                      <w:b w:val="0"/>
                      <w:color w:val="000000"/>
                      <w:sz w:val="22"/>
                    </w:rPr>
                    <w:t>外周血绝对淋巴细胞计数（ALC）变化</w:t>
                  </w:r>
                </w:p>
                <w:p>
                  <w:pPr>
                    <w:numPr>
                      <w:ilvl w:val="0"/>
                      <w:numId w:val="17"/>
                    </w:numPr>
                    <w:spacing w:before="120" w:after="60" w:line="400" w:lineRule="exact"/>
                    <w:ind w:left="0" w:right="0" w:firstLine="0"/>
                    <w:jc w:val="both"/>
                  </w:pPr>
                  <w:r>
                    <w:rPr>
                      <w:rFonts w:ascii="Times New Roman" w:hAnsi="Times New Roman" w:eastAsia="宋体" w:cs="Times New Roman"/>
                      <w:b w:val="0"/>
                      <w:color w:val="000000"/>
                      <w:sz w:val="22"/>
                    </w:rPr>
                    <w:t>黄斑水肿OCT检查异常率</w:t>
                  </w:r>
                </w:p>
              </w:tc>
            </w:tr>
            <w:tr>
              <w:trPr>
                <w:cantSplit/>
              </w:trPr>
              <w:tc>
                <w:tcPr>
                  <w:tcW w:type="dxa" w:w="2993"/>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探索性目的</w:t>
                  </w:r>
                </w:p>
              </w:tc>
              <w:tc>
                <w:tcPr>
                  <w:tcW w:type="dxa" w:w="4514"/>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相应的研究终点</w:t>
                  </w:r>
                </w:p>
              </w:tc>
            </w:tr>
            <w:tr>
              <w:trPr>
                <w:cantSplit/>
              </w:trPr>
              <w:tc>
                <w:tcPr>
                  <w:tcW w:type="dxa" w:w="2993"/>
                  <w:shd w:val="clear" w:color="auto" w:fill="FFFFFF"/>
                  <w:vAlign w:val="top"/>
                </w:tcPr>
                <w:p>
                  <w:pPr>
                    <w:numPr>
                      <w:ilvl w:val="0"/>
                      <w:numId w:val="18"/>
                    </w:numPr>
                    <w:spacing w:before="120" w:after="60" w:line="400" w:lineRule="exact"/>
                    <w:ind w:left="0" w:right="0" w:firstLine="0"/>
                    <w:jc w:val="both"/>
                  </w:pPr>
                  <w:r>
                    <w:rPr>
                      <w:rFonts w:eastAsia="宋体" w:ascii="Times New Roman" w:hAnsi="Times New Roman" w:cs="Times New Roman"/>
                    </w:rPr>
                  </w:r>
                  <w:r>
                    <w:rPr>
                      <w:rFonts w:ascii="Times New Roman" w:hAnsi="Times New Roman" w:eastAsia="宋体" w:cs="Times New Roman"/>
                      <w:b w:val="0"/>
                      <w:color w:val="000000"/>
                      <w:sz w:val="22"/>
                    </w:rPr>
                    <w:t>待根据已确认的探索性终点生成并确认探索性目的。</w:t>
                  </w:r>
                </w:p>
              </w:tc>
              <w:tc>
                <w:tcPr>
                  <w:tcW w:type="dxa" w:w="4514"/>
                  <w:shd w:val="clear" w:color="auto" w:fill="FFFFFF"/>
                  <w:vAlign w:val="top"/>
                </w:tcPr>
                <w:p>
                  <w:pPr>
                    <w:spacing w:before="120" w:after="60" w:line="400" w:lineRule="exact"/>
                    <w:ind w:left="0" w:right="0" w:firstLine="0"/>
                    <w:jc w:val="both"/>
                  </w:pPr>
                  <w:r>
                    <w:rPr>
                      <w:rFonts w:eastAsia="宋体" w:ascii="Times New Roman" w:hAnsi="Times New Roman" w:cs="Times New Roman"/>
                    </w:rPr>
                  </w:r>
                </w:p>
              </w:tc>
            </w:tr>
          </w:tbl>
          <w:p/>
        </w:tc>
      </w:tr>
      <w:tr>
        <w:trPr>
          <w:trHeight w:val="90"/>
        </w:trPr>
        <w:tc>
          <w:tcPr>
            <w:tcW w:type="pct" w:w="857"/>
            <w:vMerge/>
          </w:tcPr>
          <w:p/>
        </w:tc>
        <w:tc>
          <w:tcPr>
            <w:tcW w:type="pct" w:w="1651"/>
            <w:gridSpan w:val="2"/>
            <w:vMerge/>
            <w:shd w:val="clear" w:color="auto" w:fill="FFFFFF"/>
            <w:vAlign w:val="top"/>
          </w:tcPr>
          <w:p/>
        </w:tc>
      </w:tr>
      <w:tr>
        <w:trPr>
          <w:trHeight w:val="335"/>
        </w:trPr>
        <w:tc>
          <w:tcPr>
            <w:tcW w:type="pct" w:w="857"/>
            <w:vMerge/>
          </w:tcPr>
          <w:p/>
        </w:tc>
        <w:tc>
          <w:tcPr>
            <w:tcW w:type="pct" w:w="1651"/>
            <w:gridSpan w:val="2"/>
            <w:vMerge/>
            <w:shd w:val="clear" w:color="auto" w:fill="FFFFFF"/>
          </w:tcPr>
          <w:p/>
        </w:tc>
      </w:tr>
      <w:tr>
        <w:trPr>
          <w:trHeight w:val="335"/>
        </w:trPr>
        <w:tc>
          <w:tcPr>
            <w:tcW w:type="pct" w:w="857"/>
            <w:vMerge/>
          </w:tcPr>
          <w:p/>
        </w:tc>
        <w:tc>
          <w:tcPr>
            <w:tcW w:type="pct" w:w="1651"/>
            <w:gridSpan w:val="2"/>
            <w:vMerge/>
            <w:shd w:val="clear" w:color="auto" w:fill="FFFFFF"/>
            <w:vAlign w:val="top"/>
          </w:tcPr>
          <w:p/>
        </w:tc>
      </w:tr>
      <w:tr>
        <w:trPr>
          <w:trHeight w:val="335"/>
        </w:trPr>
        <w:tc>
          <w:tcPr>
            <w:tcW w:type="pct" w:w="857"/>
            <w:vMerge/>
          </w:tcPr>
          <w:p/>
        </w:tc>
        <w:tc>
          <w:tcPr>
            <w:tcW w:type="pct" w:w="1651"/>
            <w:gridSpan w:val="2"/>
            <w:vMerge/>
            <w:shd w:val="clear" w:color="auto" w:fill="FFFFFF"/>
          </w:tcPr>
          <w:p/>
        </w:tc>
      </w:tr>
      <w:tr>
        <w:trPr>
          <w:trHeight w:val="335"/>
        </w:trPr>
        <w:tc>
          <w:tcPr>
            <w:tcW w:type="pct" w:w="857"/>
            <w:vMerge/>
          </w:tcPr>
          <w:p/>
        </w:tc>
        <w:tc>
          <w:tcPr>
            <w:tcW w:type="pct" w:w="1651"/>
            <w:gridSpan w:val="2"/>
            <w:vMerge/>
            <w:shd w:val="clear" w:color="auto" w:fill="FFFFFF"/>
            <w:vAlign w:val="top"/>
          </w:tcP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估计目标</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主要估计目标基于ICH E9(R1)：目标人群为RRMS成年患者；主要终点变量为24周ARR与Gd增强T1病灶数；伴随事件采用治疗策略属性处理；组间效应采用率比（Rate Ratio）。</w:t>
            </w: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研究设计</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随机化；双盲；安慰剂对照；平行组；多中心</w:t>
            </w: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试验人群</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入选标准：1. 年龄18-55周岁（含边界值），男女不限；2. 经2017版McDonald标准确诊为复发缓解型多发性硬化（RRMS）；3. 筛选前1年至少有1次复发，或筛选前2年至少有2次复发，或筛选前6个月内MRI显示至少1个钆（Gd）增强T1病灶；4. 筛选期EDSS评分0-5.5分；5. 愿意签署知情同意书并遵循试验方案。</w:t>
              <w:br/>
              <w:t>排除标准：1. 原发进展型（PPMS）或继发进展型（SPMS）；2. 筛选前30天内发生过急性复发或接受过大剂量糖皮质激素治疗；3. 存在严重心律失常、二度或三度房室传导阻滞、病态窦房结综合征；4. 筛选前6个月内发生过心肌梗死、不稳定心绞痛、卒中或严重心衰（NYHA III-IV级）；5. 活动性严重感染、活动性乙肝、丙肝、结核或HIV感染；6. 严重肝肾功能不全（ALT/AST &gt; 3倍ULN，血肌酐 &gt; 1.5倍ULN）。</w:t>
            </w: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研究周期</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筛选期（Day -28 ~ Day -1）；双盲治疗期（Day 1 ~ Week 24）；安全随访期（停药后4周/Week 28）</w:t>
            </w: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重新筛选</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待根据筛选失败原因、可纠正性和筛选期时间窗确认。</w:t>
            </w: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研究药物</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合成药M8</w:t>
              <w:br/>
              <w:t>剂型：口服固体制剂</w:t>
              <w:br/>
              <w:t>给药途径：口服</w:t>
            </w: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研究干预</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合成药M8为新一代口服选择性1-磷酸鞘氨醇（S1P）受体调节剂，通过促使淋巴细胞滞留于次级淋巴器官，减少自体反应性淋巴细胞向中枢神经系统的浸润，从而减轻神经炎性损伤。本试验中合成药M8连续治疗24周，评估其在RRMS患者中的有效性与安全性。</w:t>
              <w:br/>
              <w:t>合成药M8：0.5mg每日一次（口服）；双盲治疗期（第1天至第24周）。依从：每日服药，依从性保持80%-120%</w:t>
              <w:br/>
              <w:t>口服匹配安慰剂：每日一次（口服）；双盲治疗期（第1天至第24周）。依从：每日服药，依从性保持80%-120%</w:t>
              <w:br/>
              <w:t>剂量调整：本研究为固定剂量双盲治疗设计，不设置计划性常规剂量调整；若出现严重心动过缓或重度淋巴细胞减少按方案规定执行安全中断或永久停药。</w:t>
            </w: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提前终止治疗/退出研究</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待根据暂停、恢复、永久停药、退出研究和失访规则确认。</w:t>
            </w: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合并/禁止用药或治疗</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允许的合并用药/治疗：对症治疗药物（解热镇痛药、抗组胺药、维生素等）（筛选期至随访期；洗脱/窗口=无；阶段=全周期；时序=全程；剂量规则=常规临床治疗剂量；允许合并对症治疗用药）</w:t>
              <w:br/>
              <w:t>必须使用的背景治疗：背景注射干扰素β（IFN-β）（筛选期至第24周；策略=allowed_if_stable；洗脱/窗口=保持既往稳定剂量；阶段=筛选期及双盲治疗期；时序=全程；剂量规则=保持稳定剂量；允许维持既往稳定的背景注射干扰素β治疗）</w:t>
              <w:br/>
              <w:t>禁止的合并用药/治疗：其他S1P受体调节剂、其他DMT疾病修正药物、强CYP3A4抑制剂/诱导剂、活疫苗（筛选期至安全随访结束；策略=prohibited；洗脱/窗口=筛选前至少3个月洗脱；阶段=全周期；时序=全程禁止；剂量规则=禁止使用；禁止合并使用可能干扰疗效或增加风险的药物）</w:t>
            </w: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样本量</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假设安慰剂组24周ARR为0.60，合成药M8组相对降低50%至0.30，设定双侧α=0.05，把握度80%，1:1比例分配，考虑15%脱落率，计划入组约200例（每组100例），对Gd增强病灶数差异把握度&gt;90%。</w:t>
            </w:r>
          </w:p>
        </w:tc>
      </w:tr>
      <w:tr>
        <w:tc>
          <w:tcPr>
            <w:tcW w:type="pct" w:w="857"/>
            <w:shd w:val="clear" w:color="auto" w:fill="FFFFFF"/>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color w:val="000000"/>
                <w:sz w:val="22"/>
              </w:rPr>
              <w:t>统计分析</w:t>
            </w:r>
          </w:p>
        </w:tc>
        <w:tc>
          <w:tcPr>
            <w:tcW w:type="pct" w:w="4142"/>
            <w:gridSpan w:val="2"/>
            <w:shd w:val="clear" w:color="auto" w:fill="FFFFFF"/>
            <w:vAlign w:val="top"/>
          </w:tcPr>
          <w:p>
            <w:pPr>
              <w:spacing w:before="120" w:after="60" w:line="400" w:lineRule="exact"/>
              <w:jc w:val="both"/>
            </w:pPr>
            <w:r>
              <w:rPr>
                <w:rFonts w:eastAsia="宋体" w:ascii="Times New Roman" w:hAnsi="Times New Roman" w:cs="Times New Roman"/>
              </w:rPr>
            </w:r>
            <w:r>
              <w:rPr>
                <w:rFonts w:ascii="Times New Roman" w:hAnsi="Times New Roman" w:eastAsia="宋体" w:cs="Times New Roman"/>
                <w:b w:val="0"/>
                <w:color w:val="000000"/>
                <w:sz w:val="22"/>
              </w:rPr>
              <w:t>主要疗效基于FAS集。ARR采用负二项回归模型（以对数暴露时间为offset），模型纳入治疗组、基线EDSS及背景干扰素β使用为协变量。Gd增强病灶数采用负二项回归。安全性基于SS集描述性统计。</w:t>
            </w:r>
          </w:p>
        </w:tc>
      </w:tr>
    </w:tbl>
    <w:p>
      <w:pPr>
        <w:sectPr>
          <w:headerReference w:type="default" r:id="rId15"/>
          <w:pgSz w:w="11906" w:h="16838"/>
          <w:pgMar w:top="1510" w:right="1417" w:bottom="1134" w:left="1417" w:header="720" w:footer="720" w:gutter="0"/>
          <w:cols w:space="720"/>
          <w:docGrid w:linePitch="360"/>
        </w:sectPr>
      </w:pP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1.2 研究示意图</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1.3 研究流程表</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2 研究背景和立项依据</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复发缓解型多发性硬化</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合成药M8</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年龄段：成人；符合McDonald标准确诊的复发缓解型多发性硬化（RRMS）成年患者，基线EDSS评分0-5.5分，过去1年至少复发1次或基线MRI存在Gd增强病灶。</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概念验证（PoC）</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2.1 疾病背景及治疗现状</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复发缓解型多发性硬化</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2.2 作用机制及同类药物研究进展</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合成药M8</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small_molecule</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合成药M8为新一代口服选择性1-磷酸鞘氨醇（S1P）受体调节剂，通过促使淋巴细胞滞留于次级淋巴器官，减少自体反应性淋巴细胞向中枢神经系统的浸润，从而减轻神经炎性损伤。本试验中合成药M8连续治疗24周，评估其在RRMS患者中的有效性与安全性。</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2.3 研究药物简介</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合成药M8为新一代口服选择性1-磷酸鞘氨醇（S1P）受体调节剂，通过促使淋巴细胞滞留于次级淋巴器官，减少自体反应性淋巴细胞向中枢神经系统的浸润，从而减轻神经炎性损伤。本品为口服固体制剂，给药途径为口服，全身性暴露。本试验中合成药M8以0.5mg每日一次的固定剂量连续口服给药，双盲治疗期自第1天至第24周，共24周。本研究为固定剂量双盲治疗设计，不设置计划性常规剂量调整；若出现严重心动过缓或重度淋巴细胞减少，按方案规定执行安全中断或永久停药。合成药M8在II期临床研究中的目标适应症为符合2017版McDonald诊断标准的复发缓解型多发性硬化，研究内在目的为概念验证。</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2.3.1 非临床研究结果</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2.3.2 既往临床研究结果</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2.4 本研究的理论基础</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合成药M8为新一代口服选择性1-磷酸鞘氨醇（S1P）受体调节剂，其作用机制为促使淋巴细胞滞留于次级淋巴器官，减少自体反应性淋巴细胞向中枢神经系统的浸润，从而减轻神经炎性损伤。基于上述机制，本研究以概念验证（PoC）为内在研究目的，采用随机、双盲、安慰剂对照、多中心、平行组设计，疗程24周，在符合2017版McDonald诊断标准的RRMS成年患者中评估合成药M8的有效性与安全性。研究以治疗第24周年化复发率（ARR）和脑部MRI钆增强T1病灶累计总数作为主要疗效终点，以新发或扩大T2高信号病灶数、无临床复发受试者比例及EDSS评分较基线变化作为关键次要终点，旨在验证S1P受体调节策略在RRMS人群中的疾病修正效应。</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2.5 获益/风险评估</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年龄段：成人；符合McDonald标准确诊的复发缓解型多发性硬化（RRMS）成年患者，基线EDSS评分0-5.5分，过去1年至少复发1次或基线MRI存在Gd增强病灶。</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不良事件（AE）与严重不良事件（SAE）发生率；首次给药6小时心率、血压动态监测及心动过缓发生率；12导联心电图PR间期与房室传导阻滞监测；外周血绝对淋巴细胞计数（ALC）变化；黄斑水肿OCT检查异常率</w:t>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3 研究目的和终点</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的内在研究目的为概念验证（PoC），旨在验证合成药M8作为口服选择性S1P受体调节剂在复发缓解型多发性硬化（RRMS）成年患者中的疾病修正效应。主要研究目的为评估合成药M8连续口服24周对RRMS患者疾病活动度的抑制作用。主要终点包括：（1）治疗第24周时的年化复发率（Annualized Relapse Rate, ARR）；（2）治疗第24周时脑部MRI检查的钆（Gd）增强T1病灶累计总数。主要估计目标基于ICH E9(R1)框架，目标人群为RRMS成年患者，主要终点变量为24周ARR与Gd增强T1病灶数，伴随事件采用治疗策略属性处理，组间效应采用率比（Rate Ratio）进行评价。安全性目的为评估合成药M8在24周治疗期及停药后4周安全随访期内的安全性与耐受性。安全性终点包括：不良事件（AE）与严重不良事件（SAE）发生率；首次给药6小时心率、血压动态监测及心动过缓发生率；12导联心电图PR间期与房室传导阻滞监测；外周血绝对淋巴细胞计数（ALC）变化；黄斑水肿OCT检查异常率。特别关注的不良事件包括：有症状的心动过缓或二度/三度房室传导阻滞；严重或机会性感染（疱疹病毒、PML筛查）；黄斑水肿；重度淋巴细胞减少（ALC &lt; 0.2×10^9/L）；转氨酶显著升高（ALT/AST &gt; 5×ULN）。</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3.1 主要目的和主要终点</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1. 治疗第24周时的年化复发率（Annualized Relapse Rate, ARR）；</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2. 治疗第24周时脑部MRI检查的钆（Gd）增强T1病灶累计总数。</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3.2 次要目的和次要终点</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的次要研究目的为在主要终点基础上进一步评估合成药M8对RRMS患者亚临床疾病活动及残疾进展的影响。关键次要终点包括：（1）治疗第24周时新发或扩大的T2高信号病灶数；（2）治疗24周期间无临床复发的受试者比例；（3）治疗第24周时扩展残疾状态量表（EDSS）评分较基线的变化。上述三项关键次要终点与主要终点共同构成对S1P受体调节策略在RRMS中疾病修正效应的多维度评价：T2病灶数反映亚临床炎性活动，无临床复发比例反映临床疾病控制，EDSS变化反映残疾进展趋势。</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3.3 探索性目的和探索性终点</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4 研究设计</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为在中国开展的II期临床研究，研究药物为合成药M8，适应症为复发缓解型多发性硬化（RRMS），内在研究目的为概念验证。研究采用随机、双盲、安慰剂对照、多中心、平行组设计，受试者按1:1比例随机分配至合成药M8 0.5mg每日一次口服组或匹配的口服安慰剂组，双盲治疗期自第1天至第24周，随后进入停药后4周的安全随访期（第28周）。本研究不计划自适应设计、样本量再估计或期中分析。目标人群为符合2017版McDonald诊断标准的RRMS成人患者，年龄18至55周岁（含边界值），筛选时扩展残疾状态量表（EDSS）评分为0至5.5分（含边界值），且筛选前1年内至少有1次有记录的临床复发，或筛选前2年内至少有2次临床复发，或筛选期基线脑部MRI检查存在至少1个钆（Gd）增强T1病灶。研究允许受试者在筛选期及双盲治疗期维持既往稳定的背景注射干扰素β治疗，并通过分层随机化保持组间背景干扰素β使用比例均衡。计划入组约200例受试者，每组100例。主要终点为治疗第24周时的年化复发率（ARR）以及治疗第24周时脑部MRI检查的钆（Gd）增强T1病灶累计总数；关键次要终点为治疗第24周时新发或扩大的T2高信号病灶数、治疗24周期间无临床复发的受试者比例以及治疗第24周时EDSS评分较基线的变化。研究按筛选期、双盲治疗期和安全随访期实施，设筛选访视、基线及首剂给药访视、第2周、第4周、第8周、第12周、第16周、第20周、第24周及第28周访视。</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4.1 总体设计</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采用随机、双盲、安慰剂对照、多中心、平行组设计。受试者按1:1比例随机分配至合成药M8组或匹配的口服安慰剂组；合成药M8组接受0.5mg每日一次口服给药，安慰剂组所接受的安慰剂在外观、气味、大小及包装方面与合成药M8片剂完全一致。双盲治疗期自第1天至第24周，治疗结束后进入停药后4周的安全随访期。研究允许受试者在筛选期及整个研究期间维持既往稳定的背景注射干扰素β（IFN-β）治疗，以保障受试者伦理与基础疾病控制，并通过分层随机化保持组间背景干扰素β使用比例均衡。本研究不计划自适应设计、样本量再估计或期中分析，不设置SRC与DMC。</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4.2 设计依据</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主要估计目标基于ICH E9(R1)：目标人群为RRMS成年患者；主要终点变量为24周ARR与Gd增强T1病灶数；伴随事件采用治疗策略属性处理；组间效应采用率比（Rate Ratio）。</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4.2.1 剂量选择依据</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合成药M8为新一代口服选择性1-磷酸鞘氨醇（S1P）受体调节剂，通过促使淋巴细胞滞留于次级淋巴器官，减少自体反应性淋巴细胞向中枢神经系统的浸润，从而减轻神经炎性损伤。本研究选择的给药方案为0.5mg每日一次口服，剂型为口服固体制剂，给药途径为口服，药物暴露范围为全身性，双盲治疗期自第1天至第24周连续给药。本研究为固定剂量双盲治疗设计，不设置计划性常规剂量调整；受试者每日服药，依从性保持80%-120%。与合成药M8给药相关的安全性观察项目包括：不良事件与严重不良事件发生率，首次给药6小时心率、血压动态监测及心动过缓发生率，12导联心电图PR间期与房室传导阻滞监测，外周血绝对淋巴细胞计数（ALC）变化，以及黄斑水肿OCT检查异常率。</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4.2.2 PK/PD采集点设计依据</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4.3 随机化</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采用随机、双盲、安慰剂对照、多中心、平行组设计。符合入选标准的受试者按1:1比例随机分配至合成药M8组（0.5mg每日一次口服）或匹配的口服安慰剂对照组。随机化采用分层方法，以背景注射干扰素β的使用状态作为分层因素，确保各组间背景干扰素β使用比例均衡。随机化在受试者完成筛选期评估并确认符合全部入选标准后、进入双盲治疗期（第1天）之前完成。</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4.4 盲法与揭盲</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采用双盲设计。合成药M8与匹配的口服安慰剂在外观、气味、大小及包装上完全一致，受试者和研究者在双盲治疗期（第1天至第24周）内均不知晓受试者所接受的治疗分配。双盲状态维持至安全随访期结束（第28周）。</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4.5 安全性审评/数据监查委员会</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不适用。已确认的研究设计不包含该模块。</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4.6 研究结束与研究持续时间</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总持续时间为28周，由以下三个连续时期组成：筛选期（第-28天至第-1天）、双盲治疗期（第1天至第24周）及安全随访期（停药后4周，即第28周）。研究访视共设10次：筛选访视（V1，第-28天至第-1天）、基线及首剂给药访视（V2，第1天）、第2周访视（V3）、第4周访视（V4）、第8周访视（V5）、第12周访视（V6）、第16周访视（V7）、第20周访视（V8）、第24周治疗结束访视（V9）及第28周研究结束随访（V10）。脑部MRI检查于基线、第12周及第24周进行。首次给药访视（V2）完成6小时心电与生命体征动态监测。</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4.7 研究暂停和终止标准</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5 研究人群</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的目标人群为符合2017版McDonald诊断标准确诊的复发缓解型多发性硬化（RRMS）成年患者，年龄范围为18-55周岁（含边界值），男女不限，筛选时扩展残疾状态量表（EDSS）评分为0-5.5分（含边界值），且须具有临床或影像学疾病活动性证据。拟入组受试者须同时满足以下入选条件：（1）年龄18-55周岁（含边界值），男女不限；（2）经2017版McDonald标准确诊为复发缓解型多发性硬化（RRMS）；（3）筛选前1年内至少有1次有记录的临床复发，或筛选前2年内至少有2次临床复发，或筛选前6个月内脑部MRI检查显示至少1个钆（Gd）增强T1病灶；（4）筛选期EDSS评分0-5.5分（含边界值）；（5）愿意签署知情同意书并遵循试验方案。符合以下任一情况的受试者不得入组：（1）原发进展型（PPMS）或继发进展型（SPMS）；（2）筛选前30天内发生过急性复发或接受过大剂量糖皮质激素治疗；（3）存在严重心律失常、二度或三度房室传导阻滞、病态窦房结综合征；（4）筛选前6个月内发生过心肌梗死、不稳定心绞痛、卒中或严重心力衰竭（NYHA III-IV级）；（5）存在活动性严重感染、活动性乙型肝炎、丙型肝炎、结核或HIV感染；（6）严重肝肾功能不全（ALT/AST &gt; 3倍ULN，血肌酐 &gt; 1.5倍ULN）。</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5.1 计划入组人数</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假设安慰剂组24周ARR为0.60，合成药M8组相对降低50%至0.30，设定双侧α=0.05，把握度80%，1:1比例分配，考虑15%脱落率，计划入组约200例（每组100例），对Gd增强病灶数差异把握度&gt;90%。</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5.2 研究人群选择及依据</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年龄段：成人；符合McDonald标准确诊的复发缓解型多发性硬化（RRMS）成年患者，基线EDSS评分0-5.5分，过去1年至少复发1次或基线MRI存在Gd增强病灶。</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符合2017版McDonald诊断标准的复发缓解型多发性硬化（RRMS）成年患者（18-55岁），筛选前1年内至少有1次有记录的临床复发，或筛选前2年内至少有2次临床复发，或筛选期基线脑部MRI检查存在至少1个钆（Gd）增强T1病灶；筛选时扩展残疾状态量表（EDSS）评分在0至5.5分之间（含边界值）。</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5.3 入选标准</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1. 年龄18-55周岁（含边界值），男女不限；2. 经2017版McDonald标准确诊为复发缓解型多发性硬化（RRMS）；3. 筛选前1年至少有1次复发，或筛选前2年至少有2次复发，或筛选前6个月内MRI显示至少1个钆（Gd）增强T1病灶；4. 筛选期EDSS评分0-5.5分；5. 愿意签署知情同意书并遵循试验方案。</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5.4 排除标准</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1. 原发进展型（PPMS）或继发进展型（SPMS）；2. 筛选前30天内发生过急性复发或接受过大剂量糖皮质激素治疗；3. 存在严重心律失常、二度或三度房室传导阻滞、病态窦房结综合征；4. 筛选前6个月内发生过心肌梗死、不稳定心绞痛、卒中或严重心衰（NYHA III-IV级）；5. 活动性严重感染、活动性乙肝、丙肝、结核或HIV感染；6. 严重肝肾功能不全（ALT/AST &gt; 3倍ULN，血肌酐 &gt; 1.5倍ULN）。</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5.5 筛选失败与重新筛选</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 研究治疗/干预</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的研究治疗为合成药M8，其为新一代口服选择性1-磷酸鞘氨醇（S1P）受体调节剂，通过促使淋巴细胞滞留于次级淋巴器官，减少自体反应性淋巴细胞向中枢神经系统的浸润，从而减轻神经炎性损伤。在自第1天至第24周的双盲治疗期内，受试者接受合成药M8 0.5mg每日一次口服给药；对照组接受口服匹配安慰剂，每日一次。治疗期间每日服药，依从性应保持在80%-120%。本研究为固定剂量双盲治疗设计，不设置计划性常规剂量调整；对于严重心动过缓或重度淋巴细胞减少，研究设计了安全中断或永久停药的处置。研究允许受试者在筛选期至第24周维持既往稳定的背景注射干扰素β（IFN-β）治疗，并允许在筛选期至随访期合并使用解热镇痛药、抗组胺药、维生素等对症治疗药物；禁止合并使用其他S1P受体调节剂、其他DMT疾病修正药物、强CYP3A4抑制剂或诱导剂以及活疫苗，上述禁止用药贯穿筛选期至安全随访结束，并应在筛选前至少3个月完成洗脱。</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6.1 试验用药品</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本研究的试验用药品为合成药M8，系新一代口服选择性1-磷酸鞘氨醇（S1P）受体调节剂，药物技术类型为小分子化合物，剂型为口服固体制剂，给药途径为口服，产生系统暴露。合成药M8的规格为每片含0.5 mg活性成分，推荐剂量为0.5 mg每日一次口服给药，双盲治疗期自第1天至第24周。对照组给予与合成药M8外观、气味、大小及包装完全一致的口服匹配安慰剂，每日一次口服给药，双盲治疗期同为第1天至第24周。本研究采用固定剂量双盲治疗设计，不设置计划性常规剂量调整；若出现严重心动过缓或重度淋巴细胞减少，按方案规定执行安全中断或永久停药。</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6.1.1 研究药物信息</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合成药M8为新一代口服选择性1-磷酸鞘氨醇（S1P）受体调节剂。其作用机制为促使淋巴细胞滞留于次级淋巴器官，减少自体反应性淋巴细胞向中枢神经系统的浸润，从而减轻神经炎性损伤。本研究的内在研究目的为概念验证（PoC），旨在评估合成药M8在符合2017版McDonald诊断标准的复发缓解型多发性硬化成年患者中的有效性与安全性。合成药M8为小分子化合物，口服给药后产生系统暴露。</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6.1.2 制备、包装、标签、储存与管理</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6.1.3 发放、回收与清点</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6.2 研究治疗给药</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合成药M8为新一代口服选择性1-磷酸鞘氨醇（S1P）受体调节剂，通过促使淋巴细胞滞留于次级淋巴器官，减少自体反应性淋巴细胞向中枢神经系统的浸润，从而减轻神经炎性损伤。本试验中合成药M8连续治疗24周，评估其在RRMS患者中的有效性与安全性。</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合成药M8：0.5mg每日一次（口服）；双盲治疗期（第1天至第24周）。依从：每日服药，依从性保持80%-120%</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口服匹配安慰剂：每日一次（口服）；双盲治疗期（第1天至第24周）。依从：每日服药，依从性保持80%-120%</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剂量调整：本研究为固定剂量双盲治疗设计，不设置计划性常规剂量调整；若出现严重心动过缓或重度淋巴细胞减少按方案规定执行安全中断或永久停药。</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6.3 剂量调整、暂停、恢复与永久停药</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采用固定剂量双盲治疗设计，合成药M8以0.5mg每日一次口服给药，双盲治疗期自第1天持续至第24周，不设置计划性常规剂量调整。受试者在整个双盲治疗期内维持同一剂量水平，不因疗效反应或轻度不良事件而进行剂量递增或递减。当出现有症状的心动过缓或二度及以上房室传导阻滞时，研究者应立即暂停研究药物给药，并依据安全性评估结果决定是否永久停药。当外周血绝对淋巴细胞计数降至0.2×10^9/L以下时，应暂停给药并密切监测淋巴细胞恢复情况。上述安全中断或永久停药的具体操作流程、恢复给药的前置条件及永久停药后的随访安排，需依据研究者手册及安全性管理规程进一步细化后纳入方案正文。</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6.4 药物过量与给药错误管理</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6.5 研究治疗依从性</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本研究要求受试者每日口服一次研究药物（合成药M8 0.5mg或匹配安慰剂），双盲治疗期自第1天至第24周。依从性目标为实际服药量占应服药量的80%至120%。研究访视安排包括第2周、第4周、第8周、第12周、第16周、第20周及第24周共七次治疗期访视，各访视时由研究者或指定人员核查受试者用药依从情况。依从性评估的具体方法、各访视是否均执行药片计数或其他核查手段、以及依从性低于80%或高于120%时的处理措施，需依据方案访视操作手册和依从性管理规程进一步确认后纳入正文。</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6.6 合并用药/治疗</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对症治疗药物（解热镇痛药、抗组胺药、维生素等）（筛选期至随访期；洗脱/窗口=无；阶段=全周期；时序=全程；剂量规则=常规临床治疗剂量；允许合并对症治疗用药）</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背景注射干扰素β（IFN-β）（筛选期至第24周；策略=allowed_if_stable；洗脱/窗口=保持既往稳定剂量；阶段=筛选期及双盲治疗期；时序=全程；剂量规则=保持稳定剂量；允许维持既往稳定的背景注射干扰素β治疗）</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其他S1P受体调节剂、其他DMT疾病修正药物、强CYP3A4抑制剂/诱导剂、活疫苗（筛选期至安全随访结束；策略=prohibited；洗脱/窗口=筛选前至少3个月洗脱；阶段=全周期；时序=全程禁止；剂量规则=禁止使用；禁止合并使用可能干扰疗效或增加风险的药物）</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6.6.1 允许的合并用药/治疗</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允许受试者在筛选期至安全随访期全程合并使用对症治疗药物，包括解热镇痛药、抗组胺药及维生素等，剂量遵循常规临床治疗剂量，无需设置洗脱期或用药窗口期。上述允许合并用药适用于双盲治疗期及安全随访期全部阶段，时序为全程允许。受试者在筛选期及整个研究期间可维持既往稳定的背景注射干扰素β治疗，但须保持既往稳定剂量不变。其他S1P受体调节剂、其他疾病修正治疗药物、强CYP3A4抑制剂或诱导剂及活疫苗为禁止合并用药，须在筛选前至少3个月完成洗脱。允许合并用药中'常规临床治疗剂量'的具体范围界定、是否需要研究者逐例审批、以及与背景干扰素β的相互作用评估要求，需依据合并用药管理规程和药理学资料进一步确认后纳入正文。</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6.6.2 禁止的合并用药/治疗</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其他S1P受体调节剂、其他DMT疾病修正药物、强CYP3A4抑制剂/诱导剂、活疫苗（筛选期至安全随访结束；策略=prohibited；洗脱/窗口=筛选前至少3个月洗脱；阶段=全周期；时序=全程禁止；剂量规则=禁止使用；禁止合并使用可能干扰疗效或增加风险的药物）</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6.6.3 必须使用的背景治疗</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背景注射干扰素β（IFN-β）（筛选期至第24周；策略=allowed_if_stable；洗脱/窗口=保持既往稳定剂量；阶段=筛选期及双盲治疗期；时序=全程；剂量规则=保持稳定剂量；允许维持既往稳定的背景注射干扰素β治疗）</w:t>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 研究程序和评估</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本研究为随机、双盲、安慰剂对照、多中心、平行组设计，疗程24周，允许背景注射干扰素β。研究时期分为筛选期（Day -28至Day -1）、双盲治疗期（Day 1至Week 24）和安全随访期（停药后4周/Week 28）。访视策略设筛选访视（V1，Day -28至Day -1）、基线及首剂给药（V2，Day 1）、第2周（V3）、第4周（V4）、第8周（V5）、第12周（V6）、第16周（V7）、第20周（V8）、第24周/EOT访视（V9）和第28周/EOS随访（V10），共10次访视。MRI于基线、第12周及第24周进行；首剂V2完成6小时心电与生命体征监测。安全性评估涵盖不良事件与严重不良事件发生率、首次给药6小时心率血压动态监测及心动过缓发生率、12导联心电图PR间期与房室传导阻滞监测、外周血绝对淋巴细胞计数变化及黄斑水肿OCT检查异常率。主要疗效终点为治疗第24周时的年化复发率和脑部MRI钆增强T1病灶累计总数；关键次要终点包括第24周新发或扩大的T2高信号病灶数、24周期间无临床复发受试者比例及第24周EDSS评分较基线变化。</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7.1 研究程序</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本研究共设10次访视，覆盖筛选期、双盲治疗期和安全随访期三个阶段。筛选访视V1安排在Day -28至Day -1，用于完成入排标准评估及基线数据采集。基线及首剂给药访视V2安排在Day 1，完成首次给药后6小时心电与生命体征监测。双盲治疗期访视依次为V3（第2周）、V4（第4周）、V5（第8周）、V6（第12周）、V7（第16周）、V8（第20周）和V9（第24周/EOT）。安全随访访视V10安排在Week 28（停药后4周）。MRI检查于基线、第12周及第24周执行。合成药M8剂量为0.5mg每日一次口服，双盲治疗期为第1天至第24周，依从性要求为每日服药且依从性保持80%至120%。匹配口服安慰剂同样为每日一次，外观、气味、大小及包装与合成药M8片剂完全一致。受试者按1:1比例随机分配至合成药M8组或安慰剂对照组，组间分层随机化保持背景干扰素β使用比例均衡。</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7.1.1 筛选期与基线</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筛选期为Day -28至Day -1，筛选访视V1在此窗口内完成。受试者须满足以下入选标准方可进入研究：年龄18至55周岁（含边界值），男女不限；经2017版McDonald标准确诊为复发缓解型多发性硬化；筛选前1年至少有1次复发，或筛选前2年至少有2次复发，或筛选前6个月内MRI显示至少1个钆增强T1病灶；筛选期EDSS评分0至5.5分；愿意签署知情同意书并遵循试验方案。存在以下情况者不得入组：原发进展型或继发进展型多发性硬化；筛选前30天内发生过急性复发或接受过大剂量糖皮质激素治疗；存在严重心律失常、二度或三度房室传导阻滞、病态窦房结综合征；筛选前6个月内发生过心肌梗死、不稳定心绞痛、卒中或严重心衰（NYHA III至IV级）；活动性严重感染、活动性乙肝、丙肝、结核或HIV感染；严重肝肾功能不全（ALT/AST大于3倍正常值上限，血肌酐大于1.5倍正常值上限）。禁止合并使用的药物包括其他S1P受体调节剂、其他DMT疾病修正药物、强CYP3A4抑制剂或诱导剂及活疫苗，须在筛选前至少3个月完成洗脱。允许维持既往稳定的背景注射干扰素β治疗，但须保持既往稳定剂量。基线MRI于V2（Day 1）执行。</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7.1.2 治疗期及随访</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双盲治疗期为Day 1至Week 24，安全随访期为停药后4周即Week 28。治疗期访视依次为V2（Day 1，基线及首剂给药）、V3（第2周）、V4（第4周）、V5（第8周）、V6（第12周）、V7（第16周）、V8（第20周）和V9（第24周/EOT），安全随访访视为V10（Week 28/EOS）。合成药M8剂量为0.5mg每日一次口服，匹配安慰剂同样每日一次，双盲治疗期自第1天至第24周。依从性要求为每日服药且依从性保持80%至120%。本研究为固定剂量双盲治疗设计，不设置计划性常规剂量调整；若出现严重心动过缓或重度淋巴细胞减少按方案规定执行安全中断或永久停药。MRI于基线、第12周及第24周进行。首剂V2完成6小时心电与生命体征监测。安全性评估涵盖不良事件与严重不良事件发生率、12导联心电图PR间期与房室传导阻滞监测、外周血绝对淋巴细胞计数变化及黄斑水肿OCT检查异常率。特别关注的不良事件包括有症状的心动过缓或二度/三度房室传导阻滞、严重或机会性感染（疱疹病毒、PML筛查）、黄斑水肿、重度淋巴细胞减少（ALC低于0.2×10^9/L）及转氨酶显著升高（ALT/AST大于5倍正常值上限）。主要疗效终点为第24周年化复发率和Gd增强T1病灶累计总数；关键次要终点包括第24周新发或扩大的T2高信号病灶数、24周期间无临床复发受试者比例及第24周EDSS评分较基线变化。</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7.1.3 计划外访视</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7.1.4 研究治疗终止、退出研究及失访处理</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为固定剂量双盲治疗设计，不设置计划性常规剂量调整。若受试者出现严重心动过缓或重度淋巴细胞减少，按方案规定执行安全中断或永久停药。双盲治疗期为第1天至第24周，安全随访期为停药后4周（第28周）。受试者依从性要求为每日服药，依从性保持80%至120%。研究治疗终止的情形包括：受试者因不良事件或其他医学原因需永久停药、受试者主动撤回知情同意、研究者判断继续参与研究不符合受试者最佳利益、以及方案规定的安全性中断或永久停药标准被触发。退出研究指受试者在完成全部研究访视前退出，包括治疗期退出和随访期退出。失访指受试者连续两次计划访视未出席且研究中心无法通过至少两种独立途径（电话、短信、紧急联系人）取得联系的情形。</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7.2 有效性评估</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有效性评估基于全分析集（FAS），主要疗效终点为治疗第24周时的年化复发率（ARR）和治疗第24周时脑部MRI检查的钆（Gd）增强T1病灶累计总数。关键次要终点包括：治疗第24周时新发或扩大的T2高信号病灶数、治疗24周期间无临床复发的受试者比例、以及治疗第24周时扩展残疾状态量表（EDSS）评分较基线的变化。脑部MRI检查于基线、第12周及第24周进行，用于评估Gd增强T1病灶和新发或扩大T2病灶。ARR分析采用负二项回归模型，以对数暴露时间为offset，模型纳入治疗组、基线EDSS及背景干扰素β使用为协变量；Gd增强病灶数同样采用负二项回归模型。主要估计目标基于ICH E9(R1)框架，目标人群为RRMS成年患者，伴随事件采用治疗策略属性处理，组间效应采用率比（Rate Ratio）。</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7.3 安全性评估</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安全性评估基于安全性分析集（SS），采用描述性统计方法。安全性终点包括：不良事件（AE）与严重不良事件（SAE）发生率；首次给药6小时心率、血压动态监测及心动过缓发生率；12导联心电图PR间期与房室传导阻滞监测；外周血绝对淋巴细胞计数（ALC）变化；黄斑水肿OCT检查异常率。特别关注的不良事件（AESI）包括：有症状的心动过缓或二度/三度房室传导阻滞；严重或机会性感染（疱疹病毒、进行性多灶性白质脑病筛查）；黄斑水肿；重度淋巴细胞减少（ALC低于0.2×10^9/L）；转氨酶显著升高（ALT或AST超过5倍正常值上限）。首次给药访视（V2，第1天）完成6小时心电与生命体征动态监测。研究访视序列涵盖筛选访视（V1，第-28天至第-1天）至第28周安全性随访（V10），安全性评估贯穿双盲治疗期（第1天至第24周）及安全随访期（停药后4周）。</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7.3.1 生命体征和体格检查</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在首剂给药访视（V2，第1天）对受试者进行连续6小时心率与血压动态监测，以评估合成药M8首次口服给药后的心脏安全性。该监测安排与安全性终点中首次给药6小时心率、血压动态监测及心动过缓发生率相对应。有症状的心动过缓或二度/三度房室传导阻滞列为特别关注的不良事件。筛选期存在严重心律失常、二度或三度房室传导阻滞、病态窦房结综合征的受试者不得入组。本研究为固定剂量双盲治疗设计，不设置计划性常规剂量调整；若出现严重心动过缓或重度淋巴细胞减少按方案规定执行安全中断或永久停药。</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7.3.2 心电图检查</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安全性终点包含12导联心电图PR间期与房室传导阻滞监测。首剂给药访视（V2，第1天）完成6小时心电与生命体征监测，其中包含连续心电监测以观察首次口服合成药M8后的心电传导变化。有症状的心动过缓或二度/三度房室传导阻滞列为特别关注的不良事件。筛选期存在严重心律失常、二度或三度房室传导阻滞、病态窦房结综合征的受试者不得入组。</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7.3.3 实验室检查</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本研究安全性终点包含外周血绝对淋巴细胞计数（ALC）变化。特别关注的不良事件包括重度淋巴细胞减少（ALC &lt; 0.2×10^9/L）和转氨酶显著升高（ALT/AST &gt; 5×ULN）。筛选期存在严重肝肾功能不全（ALT/AST &gt; 3倍ULN，血肌酐 &gt; 1.5倍ULN）的受试者不得入组。本研究为固定剂量双盲治疗设计，不设置计划性常规剂量调整；若出现严重心动过缓或重度淋巴细胞减少按方案规定执行安全中断或永久停药。</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7.3.4 妊娠检查和避孕问询</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7.4 药代动力学评估</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7.5 生物样本采集、处置与保存</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 安全性评价</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本研究的安全性评价覆盖筛选期（Day -28至Day -1）、双盲治疗期（Day 1至第24周）及安全随访期（停药后4周，即第28周）全程。安全性评估内容包括：不良事件（AE）与严重不良事件（SAE）的发生率与严重程度；首次给药后6小时内心率与血压的动态监测及心动过缓发生率；12导联心电图PR间期与房室传导阻滞的监测；外周血绝对淋巴细胞计数（ALC）的变化；黄斑水肿光学相干断层扫描（OCT）检查异常率。特别关注的不良事件（AESI）包括：有症状的心动过缓或二度/三度房室传导阻滞；严重或机会性感染（含疱疹病毒感染及进行性多灶性白质脑病PML筛查）；黄斑水肿；重度淋巴细胞减少（ALC低于0.2×10^9/L）；转氨酶显著升高（ALT或AST超过5倍正常值上限）。本研究为固定剂量双盲治疗设计，不设置计划性常规剂量调整；若出现严重心动过缓或重度淋巴细胞减少，按方案规定执行安全中断或永久停药。安全性数据基于安全性分析集（SS）进行描述性统计。</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8.1 总则</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本章节阐述研究安全性评价的总体原则与覆盖范围。本研究采用随机、双盲、安慰剂对照、多中心、平行组设计，安全性评价贯穿筛选期（Day -28至Day -1）、双盲治疗期（Day 1至第24周）及安全随访期（停药后4周，即第28周）。安全性评估的核心内容包括：不良事件与严重不良事件的发生率与严重程度；首次给药后6小时内心率与血压的动态监测及心动过缓发生率；12导联心电图PR间期与房室传导阻滞监测；外周血绝对淋巴细胞计数变化；黄斑水肿OCT检查异常率。特别关注的不良事件涵盖有症状的心动过缓或二度/三度房室传导阻滞、严重或机会性感染（含疱疹病毒及PML筛查）、黄斑水肿、重度淋巴细胞减少（ALC低于0.2×10^9/L）及转氨酶显著升高（ALT或AST超过5倍正常值上限）。安全性数据基于安全性分析集进行描述性统计分析。本章节不预设AE分类标准、报告对象与时限、数据职责分工或CRF记录方式等实施规则，上述内容以项目安全性管理计划及数据管理计划为准。</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8.2 定义</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不良事件（AE）与严重不良事件（SAE）发生率；首次给药6小时心率、血压动态监测及心动过缓发生率；12导联心电图PR间期与房室传导阻滞监测；外周血绝对淋巴细胞计数（ALC）变化；黄斑水肿OCT检查异常率</w:t>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8.2.1 不良事件</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8.2.2 严重不良事件</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3"/>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8.2.3 可疑且非预期严重不良反应</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8.3 研究药物相关风险</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8.4 不良事件的采集与记录</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8.5 不良事件的评估</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将以下事件列为特别关注的不良事件：有症状的心动过缓或二度/三度房室传导阻滞；严重或机会性感染（疱疹病毒、PML筛查）；黄斑水肿；重度淋巴细胞减少（外周血绝对淋巴细胞计数&lt;0.2×10^9/L）；转氨酶显著升高（ALT/AST&gt;5×ULN）。这些事件在安全性评估中应予以特别关注。</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8.6 不良事件的报告</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8.7 不良事件的随访</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8.8 特别关注的不良事件</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有症状的心动过缓或二度/三度房室传导阻滞；严重或机会性感染（疱疹病毒、PML筛查）；黄斑水肿；重度淋巴细胞减少（ALC &lt; 0.2×10^9/L）；转氨酶显著升高（ALT/AST &gt; 5×ULN）</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8.9 妊娠事件的报告与随访</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9 统计分析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本研究统计分析遵循ICH E9(R1)估计目标框架。主要疗效分析基于全分析集（FAS），安全性分析基于安全性分析集（SS）。主要终点年化复发率（ARR）采用负二项回归模型进行分析，以对数暴露时间为offset，模型纳入治疗组、基线EDSS评分及背景干扰素β使用状态作为协变量；组间效应以率比（Rate Ratio）表示。主要终点钆（Gd）增强T1病灶累计总数同样采用负二项回归模型分析。关键次要终点中，新发或扩大的T2高信号病灶数采用负二项回归模型；无临床复发受试者比例采用Cochran-Mantel-Haenszel检验或logistic回归；EDSS评分较基线变化采用Mann-Whitney U检验或协方差分析。主要估计目标中，伴随事件（包括因不良事件停药、合并使用禁止药物等）采用治疗策略属性处理。假设检验采用双侧α=0.05，样本量计算基于安慰剂组24周ARR为0.60、合成药M8组相对降低50%至0.30、把握度80%、1:1分配、15%脱落率，计划入组约200例（每组100例）。本研究不计划期中分析、样本量再估计或SRC/DMC审查。</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9.1 样本量</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假设安慰剂组24周ARR为0.60，合成药M8组相对降低50%至0.30，设定双侧α=0.05，把握度80%，1:1比例分配，考虑15%脱落率，计划入组约200例（每组100例），对Gd增强病灶数差异把握度&gt;90%。</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9.2 统计分析数据集</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主要疗效基于FAS集。ARR采用负二项回归模型（以对数暴露时间为offset），模型纳入治疗组、基线EDSS及背景干扰素β使用为协变量。Gd增强病灶数采用负二项回归。安全性基于SS集描述性统计。</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9.3 统计分析一般原则</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主要疗效基于FAS集。ARR采用负二项回归模型（以对数暴露时间为offset），模型纳入治疗组、基线EDSS及背景干扰素β使用为协变量。Gd增强病灶数采用负二项回归。安全性基于SS集描述性统计。</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9.4 有效性数据分析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主要疗效基于FAS集。ARR采用负二项回归模型（以对数暴露时间为offset），模型纳入治疗组、基线EDSS及背景干扰素β使用为协变量。Gd增强病灶数采用负二项回归。安全性基于SS集描述性统计。</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1. 治疗第24周时的年化复发率（Annualized Relapse Rate, ARR）；</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2. 治疗第24周时脑部MRI检查的钆（Gd）增强T1病灶累计总数。</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9.5 安全性数据分析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安全性分析基于安全性分析集（SS），即至少接受一次研究药物给药的受试者。安全性数据以描述性统计呈现，包括发生例数、发生率、严重程度分级（按CTCAE或MedDRA系统器官分类）及与药物的因果关系判定。主要安全性评估内容包括：不良事件（AE）与严重不良事件（SAE）发生率；首次给药后6小时心率与血压动态监测数据及心动过缓发生率；12导联心电图PR间期与房室传导阻滞监测数据；外周血绝对淋巴细胞计数（ALC）变化；黄斑水肿OCT检查异常率。特别关注的不良事件包括：有症状的心动过缓或二度/三度房室传导阻滞、严重或机会性感染（含疱疹病毒再激活及PML筛查）、黄斑水肿、重度淋巴细胞减少（ALC低于0.2×10^9/L）、转氨酶显著升高（ALT或AST超过5倍正常值上限）。安全性分析时间窗、TEAE采集起止时点、AE/SAE/SUSAR定义与报告时限、特别关注不良事件的判定标准与处理流程、剂量调整与永久停药规则，以本项目安全性管理文件为准。</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9.6 PK数据分析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10 数据采集与管理</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本研究数据采集覆盖筛选期（第-28天至第-1天）、双盲治疗期（第1天至第24周）及安全随访期（停药后4周，即第28周）。访视安排包括筛选访视（V1，Day -28至Day -1）、基线及首剂给药访视（V2，Day 1）、第2周（V3）、第4周（V4）、第8周（V5）、第12周（V6）、第16周（V7）、第20周（V8）、第24周治疗结束访视（V9）及第28周研究结束随访（V10）。脑部MRI于基线、第12周及第24周进行；首剂V2完成6小时心电与生命体征监测。疗效数据采集涵盖年化复发率、脑部MRI钆增强T1病灶累计总数、新发或扩大T2高信号病灶数、EDSS评分较基线变化及无临床复发比例。安全性数据采集涵盖不良事件与严重不良事件发生率、首次给药6小时心率与血压动态监测及心动过缓发生率、12导联心电图PR间期与房室传导阻滞监测、外周血绝对淋巴细胞计数变化及黄斑水肿OCT检查异常率。统计分析以全分析集和安全性分析集为基础，主要疗效终点采用负二项回归模型，安全性数据采用描述性统计。数据采集的具体工具、记录格式、传输方式及核查流程由数据管理部门依据本方案访视策略与终点定义另行制定。</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10.1 病例报告表</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采用电子病例报告表记录受试者筛选、入组、治疗及随访期间的全部研究数据。病例报告表应完整反映方案规定的各访视数据采集内容，包括但不限于：人口学与疾病史、入选与排除标准核查、EDSS评分、脑部MRI影像采集与判读结果（基线、第12周、第24周）、年化复发率相关临床复发事件记录、不良事件与严重不良事件、首次给药6小时心率与血压监测数据、12导联心电图结果、外周血绝对淋巴细胞计数、黄斑水肿OCT检查结果、合并用药记录、依从性评价（目标80%至120%）及研究药物发放与回收记录。病例报告表的设计应满足统计分析对全分析集和安全性分析集的数据需求，确保负二项回归模型所需的暴露时间、治疗组别、基线EDSS及背景干扰素β使用状态等协变量可被完整提取。病例报告表的具体字段结构、逻辑核查规则及数据录入时限由数据管理部门在方案定稿后制定。</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10.2 数据源的定义</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数据采集涉及以下主要数据源：受试者病历及原始医疗记录（用于核实入选排除标准、既往病史、合并用药及不良事件）；电子病例报告表（用于记录方案规定的各访视评估数据）；脑部MRI影像原始数据及中心阅片报告（基线、第12周、第24周）；12导联心电图原始记录；外周血实验室检测报告（含绝对淋巴细胞计数）；黄斑水肿OCT检查报告；首次给药6小时连续心率与血压监测记录；研究药物发放与回收记录；受试者知情同意书及依从性记录。各数据源之间的对应关系、原始数据与病例报告表之间的溯源路径、以及中心影像判读与本地记录之间的数据流转规则，由数据管理部门依据本方案访视策略与终点定义制定。</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10.3 数据质量保证</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数据质量保证涵盖研究中心层面的数据核查与申办者层面的稽查两个层级。研究中心质量保证人员对数据转移文件及统计报告数据进行抽查，以保证数据准确无误。申办者根据研究进展情况及质量控制人员或监查员的核查结果，可对临床研究过程产生的数据进行不同范畴的稽查。数据质量保证的具体实施范围、稽查频次、数据核查比例、源数据验证方法、数据清理与锁定流程、以及稽查发现问题的整改与关闭机制，由申办者数据管理部门依据本方案研究设计、访视策略及统计分析需求另行制定。</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10.4 资料保存与数据保护</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在筛选期（第-28天至第-1天）、双盲治疗期（第1天至第24周）及安全随访期（停药后4周）中产生的全部原始记录、电子数据采集系统数据、影像资料（含脑部MRI及OCT检查图像）、实验室检测原始报告、知情同意文件、药物发放与回收记录及安全性事件报告，其所有权归属申办者。除国家药品监督管理局或伦理委员会依法要求查阅外，未经申办者书面同意，研究者不得以任何方式将上述资料提供给第三方。研究结束后，各研究中心须按照申办者规定的保存期限和方式妥善保管上述资料，保存期限届满后按申办者指示进行销毁或移交。受试者个人可识别信息在数据录入、传输、存储及分析各环节须采取去标识化或匿名化处理，电子数据须设置分级访问权限并保留完整审计追踪记录。纸质文件须存放于带锁档案柜中，仅限经授权的研究人员及监管检查人员查阅。</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10.5 数据发布和研究发表策略</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收集的全部数据，所有权归属申办者。除国家药品监督管理局依法要求提交外，未经申办者书面同意，研究者不得以任何方式将研究数据提供给第三方。申办者可自由地将研究中收集到的数据用于药品注册申报、世界范围内的科学产品记录以及学术出版物的发表。研究结果的发表遵循以下原则：第一，无论研究结果是否支持试验药物合成药M8的疗效假设，申办者均承诺在研究完成后合理时间内公开发表主要研究结果；第二，研究者拟以本研究数据发表学术论文或会议摘要的，须事先获得申办者书面同意，发表内容不得包含可识别受试者身份的信息；第三，数据发布的具体时间窗口、发表平台选择、作者署名规则及利益冲突声明格式，由申办者医学写作与发表团队根据研究进展另行制定。</w:t>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11 伦理考虑</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11.1 遵守法律法规</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11.2 知情同意</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本研究为合成药M8治疗复发缓解型多发性硬化的II期概念验证研究，采用随机、双盲、安慰剂对照、多中心、平行组设计，双盲治疗期共24周，受试者按1:1比例随机分配至合成药M8 0.5mg每日一次口服组或匹配口服安慰剂组，允许维持既往稳定的背景注射干扰素β治疗。所有受试者在接受任何研究相关程序之前，须由研究者或其授权人员以受试者能够理解的语言充分告知研究目的、设计、预期获益与潜在风险，并在受试者自愿签署书面知情同意书后方可入组。知情同意为入选必要条件，未签署知情同意书者不得进入筛选或接受任何研究干预。知情同意书的获取须在伦理委员会书面批准本方案及知情同意书版本之后进行。受试者有权在研究任何阶段无条件退出，退出后研究者应安排必要的安全随访。知情同意书的具体内容、格式、语言版本及再知情触发条件由申办方依据中国《药物临床试验质量管理规范》及《赫尔辛基宣言》要求另行制定，经伦理委员会审批后使用。</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11.3 伦理委员会</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在启动前须获得各参与中心伦理委员会的书面批准。研究方案、知情同意书、受试者招募材料及其他伦理审查所需文件，由研究者提交至所在中心伦理委员会审阅。申办方在收到伦理委员会书面批准件后方可向研究中心提供研究药物。研究过程中，方案修正案、知情同意书修订、严重不良事件及可能影响受试者安全或继续参加研究的新信息，研究者须及时报告伦理委员会。研究期间方案或知情同意书如有新增修订，须再次获得伦理委员会书面核准后方可实施。研究者有责任向伦理委员会报告研究进展情况，并将与伦理委员会之间的所有通讯副本交予申办方。伦理委员会在审阅及批准研究方案时，须确认方案标题、方案编号（MW-II-00990781-DRAFT），并注明已评审的方案文件版本及评审日期。本研究为多中心设计，各中心伦理委员会审查安排及主审伦理委员会的确定方式由申办方与各中心协商后在方案附件中明确。</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11.4 保密与隐私</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方案及其附件中包含的所有信息归申办方所有，属于保密资料。根据中国法律法规要求，本方案仅提供给研究者、合作研究者、伦理委员会及监督管理部门等相关机构审阅。除在与可能参加本研究的受试者签署知情同意书时向其做必要解释外，未经申办方书面授权许可，任何个人不得分发、复制、发表或披露本方案及研究相关文件的任何内容。必须告知接收本方案信息的人员其接收的信息属于保密资料，不得进一步对外披露。研究过程中产生的受试者个人可识别信息，研究者及申办方应依据中国《个人信息保护法》《人类遗传资源管理条例》及《药物临床试验质量管理规范》的要求予以保护，限制对受试者身份信息的访问权限，仅在法规或监管要求时向伦理委员会和监督管理部门提供。受试者生物样本的采集、存储、使用及最终销毁安排，以及研究数据的跨境传输（如适用），由申办方依据相关法规另行制定专项管理文件。</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11.5 保险与赔偿</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12 研究文件、监查和管理</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方案为合成药M8治疗复发缓解型多发性硬化的II期临床研究方案，采用随机、双盲、安慰剂对照、多中心、平行组设计，疗程24周，在中国境内开展。本方案及其附件中包含的所有信息归申办方所有，仅提供给研究者、合作研究者、伦理委员会和监督管理部门等相关机构进行审阅。在未得到申办方书面批准的情况下，除在与可能参加本研究的受试者签署知情同意书时向其做必要解释外，严禁将任何信息告知与本研究无关的第三方。本章节涵盖研究方案的依从性管理、监查活动以及稽查和核查三个层面，旨在确保研究在全部参与中心按照方案要求、药物临床试验质量管理规范及适用法律法规执行。各研究中心应建立并维护完整的试验文件体系，包括但不限于方案及其修订版本、知情同意文件、伦理批件、研究者手册、试验用药品接收与发放记录、源文件及电子数据采集记录。研究期间产生的所有源文件不得被清除或销毁，须按照方案规定的记录保存要求予以保存，以备监查、稽查和监管检查。</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12.1 研究方案的依从</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方案中规定的所有研究要求，各研究中心必须严格执行。任何有意或无意偏离或违背本方案及药物临床试验质量管理规范原则的行为，均视为方案偏离或方案违背。研究者在实施过程中如发现方案偏离或违背，应及时填写方案偏离记录，详细记录事件发生的时间、经过、原因及已采取或拟采取的纠正与预防措施，由研究者签字确认，并根据研究中心相关规定通报伦理委员会及申办方。所有可能严重违背方案的情况必须立即报告申办方。当发生重大方案违背时，由研究者和申办方共同评估其对受试者安全、数据完整性及研究科学性的影响；必要时，申办方有权提前终止本研究。本方案为双盲设计，受试者按1:1比例随机分配至合成药M8组或匹配安慰剂对照组，任何未经授权的揭盲操作均视为严重方案违背。各中心应确保研究期间所有操作，包括筛选、随机化、给药、访视、不良事件采集及随访，均严格按照方案规定的程序和时间窗执行。</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12.2 监查</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申办方将依据药物临床试验质量管理规范及本方案要求，对全部参与研究中心实施监查活动。监查的目的是核实研究是否按照方案、GCP及适用法规执行，确认受试者权益和安全得到保护，验证数据采集的准确性、完整性和可追溯性。研究者和研究中心必须允许申办方因研究相关的监查活动而直接访问源文件和报告，包括电子数据采集系统中的记录及纸质源文件；在法律允许的范围内，监查员可对源文件进行复制。用于验证电子数据采集系统输入数据正确性和完整性的源文件不得被清除或销毁，须按照本方案规定的记录保存要求保存。监查员在监查过程中如发现方案偏离或违背，应通知研究者并记录于监查报告中。本研究的监查活动覆盖筛选期、双盲治疗期（第1天至第24周）及安全随访期（停药后4周），各中心监查频率、监查员资质要求、远程监查与现场监查的比例及监查报告提交时限，由申办方依据项目风险评估结果另行制定。</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12.3 稽查和核查</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申办方将依据药物临床试验质量管理规范及本方案要求，对研究实施质量开展独立稽查活动。稽查由独立于研究团队的人员执行，旨在评估研究执行是否符合方案、GCP、适用法规及申办方标准操作规程。研究者和研究中心必须允许申办方稽查人员因研究相关的稽查活动而直接访问源文件和报告，包括电子数据采集系统记录及纸质源文件；在法律允许的范围内，稽查人员可对源文件进行复制。研究中心还必须允许国家药品监督管理部门及其他监管当局对源数据和源文件进行检查。稽查范围、频率、稽查员独立性要求及稽查发现的处理流程，由申办方依据项目风险评估结果另行制定。稽查发现如涉及受试者安全或数据完整性问题，申办方应及时通知相关研究中心和伦理委员会，并要求研究者采取纠正与预防措施。</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12.4 方案偏离</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12.5 关键角色和研究管理</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12.6 研究和研究中心的关闭</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12.7 质量控制与保证</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为多中心、随机、双盲、安慰剂对照的II期临床研究，开发区域为中国，研究中心质量保证人员对数据转移文件及统计报告数据进行抽查，以保证数据准确无误。申办者根据研究进展情况及质量控制人员与监查员的核查结果，可对临床研究过程产生的数据进行不同范畴的稽查。本研究的疗效评估涉及年化复发率、脑部MRI钆增强T1病灶累计总数、新发或扩大的T2高信号病灶数、无临床复发受试者比例及扩展残疾状态量表评分较基线变化，安全性评估涵盖不良事件与严重不良事件发生率、首次给药后6小时心率与血压动态监测、12导联心电图PR间期与房室传导阻滞监测、外周血绝对淋巴细胞计数变化及黄斑水肿光学相干断层扫描检查异常率。上述终点与安全性指标的采集、记录与核查应纳入质量控制与保证的覆盖范围。</w:t>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13 参考文献</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1"/>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14 附录</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附录汇集本研究方案正文中引用的操作性技术文件与参考清单，供研究者、监查员及伦理委员会在方案执行与核查时查阅。附录涵盖的内容包括：避孕的规定与方法、实验室检查项目、安全信息报告途径。上述各子章节分别对应方案正文中安全性监测、妊娠预防及不良事件报告条款所引用的具体操作细则。本研究所设安全性监测项目包括首次给药后6小时心率与血压动态监测、12导联心电图PR间期与房室传导阻滞监测、外周血绝对淋巴细胞计数变化及黄斑水肿光学相干断层扫描检查；访视安排自筛选访视至第28周研究结束随访共设10次访视，脑部MRI于基线、第12周及第24周执行。各子章节的具体操作参数、报告时限及职责分工以项目最终定稿文件为准。</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14.1 避孕的规定与方法</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14.2 实验室检查项目</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所设安全性相关实验室及辅助检查项目包括：外周血绝对淋巴细胞计数（ALC）监测，用于评估S1P受体调节剂相关淋巴细胞减少风险，特别关注阈值为ALC低于0.2×10^9/L；12导联心电图检查，监测PR间期延长及房室传导阻滞，特别关注二度或三度房室传导阻滞；首次给药后6小时心率与血压动态监测，用于识别有症状心动过缓；黄斑水肿光学相干断层扫描（OCT）检查，用于监测黄斑水肿异常。上述检查在方案访视策略中对应V2（基线及首剂给药）、V3（第2周）、V4（第4周）、V5（第8周）、V6（第12周）、V7（第16周）、V8（第20周）、V9（第24周/EOT）及V10（第28周/EOS随访）执行，具体各访视是否全部包含上述全部项目以及各项目的采集时点与频率，以项目最终定稿的访视操作手册为准。</w:t>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14.3 安全信息报告途径</w:t>
      </w:r>
    </w:p>
    <w:p>
      <w:pPr>
        <w:keepNext w:val="0"/>
        <w:spacing w:line="360" w:lineRule="auto" w:before="0" w:after="0"/>
        <w:ind w:left="0" w:right="0" w:firstLine="480" w:firstLineChars="200"/>
      </w:pPr>
      <w:r>
        <w:rPr>
          <w:rFonts w:ascii="Times New Roman" w:hAnsi="Times New Roman" w:eastAsia="宋体" w:cs="Times New Roman"/>
          <w:b w:val="0"/>
          <w:color w:val="000000"/>
          <w:sz w:val="24"/>
        </w:rPr>
      </w:r>
    </w:p>
    <w:p>
      <w:pPr>
        <w:pStyle w:val="Heading2"/>
        <w:keepNext/>
        <w:numPr>
          <w:ilvl w:val="0"/>
          <w:numId w:val="0"/>
        </w:numPr>
        <w:spacing w:line="360" w:lineRule="auto" w:before="50" w:after="50"/>
        <w:ind w:left="0" w:right="0" w:firstLine="0" w:firstLineChars="0"/>
      </w:pPr>
      <w:r>
        <w:rPr>
          <w:rFonts w:ascii="Times New Roman" w:hAnsi="Times New Roman" w:eastAsia="宋体" w:cs="Times New Roman"/>
          <w:b/>
          <w:color w:val="000000"/>
          <w:sz w:val="24"/>
        </w:rPr>
        <w:t>14.4 项目特异附录</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本附录收录仅适用于MW-II-00990781-DRAFT方案的项目特异信息，供研究者、监查员及数据管理人员在方案执行中查阅，与正文各章节互为补充。</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一、合并用药限制清单</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一）禁止合并使用的药物类别及时间窗：其他1-磷酸鞘氨醇（S1P）受体调节剂、其他疾病修正治疗（DMT）药物、强CYP3A4抑制剂或诱导剂、活疫苗。上述药物自筛选期起至安全随访期结束全程禁止使用；若受试者在筛选前曾使用上述药物，须完成至少3个月的洗脱期方可入组。禁止合并使用可能干扰疗效评价或增加安全性风险的其他药物，具体品种由研究者依据药理学资料判断并记录于合并用药记录表。</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（二）允许合并使用的对症治疗药物：解热镇痛药、抗组胺药、维生素等对症治疗药物，在常规临床治疗剂量范围内允许使用，时间窗为筛选期至随访期全程。</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三）必需背景治疗：允许受试者在筛选期及双盲治疗期（第1天至第24周）维持既往稳定的背景注射干扰素β（IFN-β）治疗，前提是受试者在筛选前已保持该背景治疗稳定剂量；随机化时按背景干扰素β使用状态进行分层，以保持组间比例均衡。</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二、项目特异安全性监测与特别关注不良事件</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（一）首剂给药后监测：第1次给药（V2，Day 1）后须完成连续6小时心率与血压动态监测，记录给药前及给药后1、2、4、6小时的心率、血压及12导联心电图。</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（二）心电图监测：重点关注PR间期变化及房室传导阻滞；出现二度或三度房室传导阻滞时按方案安全中断或永久停药规则处理。</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（三）外周血绝对淋巴细胞计数（ALC）监测：ALC低于0.2×10^9/L定义为重度淋巴细胞减少，须触发方案规定的安全性评估流程。</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（四）黄斑水肿监测：通过光学相干断层扫描（OCT）检查评估黄斑水肿。</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（五）特别关注的不良事件（AESI）定义：有症状的心动过缓或二度/三度房室传导阻滞；严重或机会性感染（含疱疹病毒再激活及进行性多灶性白质脑病PML筛查）；黄斑水肿；重度淋巴细胞减少（ALC &lt; 0.2×10^9/L）；转氨酶显著升高（ALT或AST &gt; 5倍正常值上限）。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三、项目特异访视与检查时间窗</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本研究共设10次计划访视：筛选访视V1（Day -28至Day -1）、基线及首剂给药访视V2（Day 1）、第2周访视V3、第4周访视V4、第8周访视V5、第12周访视V6、第16周访视V7、第20周访视V8、第24周治疗结束访视V9（EOT）、第28周研究结束随访V10（EOS）。脑部MRI检查于基线（V2）、第12周（V6）及第24周（V9）三个时点进行。首剂给药访视V2须完成6小时心电与生命体征连续监测。</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p>
      <w:pPr>
        <w:keepNext w:val="0"/>
        <w:spacing w:line="360" w:lineRule="auto" w:before="0" w:after="0"/>
        <w:ind w:left="0" w:right="0" w:firstLine="480" w:firstLineChars="200"/>
      </w:pPr>
      <w:r>
        <w:rPr>
          <w:rFonts w:ascii="Times New Roman" w:hAnsi="Times New Roman" w:eastAsia="宋体" w:cs="Times New Roman"/>
          <w:b w:val="0"/>
          <w:color w:val="000000"/>
          <w:sz w:val="24"/>
        </w:rPr>
        <w:t>【待补齐】本章正文尚缺来源证据支持，将在补充资料后由 AI 重写本节；当前为占位标记，正式导出前必须补齐。</w:t>
      </w:r>
    </w:p>
    <w:sectPr w:rsidR="00FC693F" w:rsidRPr="0006063C" w:rsidSect="00034616">
      <w:headerReference w:type="default" r:id="rId16"/>
      <w:pgSz w:w="11906" w:h="16838"/>
      <w:pgMar w:top="1510"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p>
  <w:tbl>
    <w:tblPr>
      <w:tblW w:type="auto" w:w="0"/>
      <w:jc w:val="center"/>
      <w:tblBorders>
        <w:top w:val="single" w:sz="6" w:space="0" w:color="000000"/>
        <w:left w:val="nil"/>
        <w:bottom w:val="nil"/>
        <w:right w:val="nil"/>
        <w:insideH w:val="nil"/>
        <w:insideV w:val="nil"/>
      </w:tblBorders>
      <w:tblLayout w:type="fixed"/>
      <w:tblLook w:firstColumn="1" w:firstRow="1" w:lastColumn="0" w:lastRow="0" w:noHBand="0" w:noVBand="1" w:val="04A0"/>
    </w:tblPr>
    <w:tblGrid>
      <w:gridCol w:w="4536"/>
      <w:gridCol w:w="4536"/>
    </w:tblGrid>
    <w:tr>
      <w:tc>
        <w:tcPr>
          <w:tcW w:type="dxa" w:w="4536"/>
          <w:vAlign w:val="top"/>
        </w:tcPr>
        <w:p>
          <w:pPr>
            <w:spacing w:before="30" w:after="0"/>
          </w:pPr>
          <w:r>
            <w:rPr>
              <w:rFonts w:ascii="Times New Roman" w:hAnsi="Times New Roman" w:eastAsia="宋体" w:cs="Times New Roman"/>
              <w:b w:val="0"/>
              <w:color w:val="000000"/>
              <w:sz w:val="16"/>
            </w:rPr>
            <w:t>研究方案.MW-II-00990781-DRAFT</w:t>
            <w:br/>
            <w:t>版本号/草案</w:t>
          </w:r>
          <w:r>
            <w:rPr>
              <w:rFonts w:ascii="Times New Roman" w:hAnsi="Times New Roman" w:eastAsia="宋体" w:cs="Times New Roman"/>
              <w:b w:val="0"/>
              <w:color w:val="C00000"/>
              <w:sz w:val="15"/>
            </w:rPr>
            <w:br/>
            <w:t>草稿预览 · DRAFT PREVIEW · 不可用于提交</w:t>
          </w:r>
        </w:p>
      </w:tc>
      <w:tc>
        <w:tcPr>
          <w:tcW w:type="dxa" w:w="4536"/>
          <w:vAlign w:val="top"/>
        </w:tcPr>
        <w:p>
          <w:pPr>
            <w:spacing w:before="30" w:after="0"/>
            <w:jc w:val="right"/>
          </w:pPr>
          <w:r>
            <w:rPr>
              <w:rFonts w:ascii="Times New Roman" w:hAnsi="Times New Roman" w:eastAsia="宋体" w:cs="Times New Roman"/>
              <w:b w:val="0"/>
              <w:color w:val="000000"/>
              <w:sz w:val="18"/>
            </w:rPr>
            <w:t xml:space="preserve">第 </w:t>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 \* MERGEFORMAT </w:instrText>
          </w:r>
          <w:r>
            <w:rPr>
              <w:rFonts w:ascii="Times New Roman" w:hAnsi="Times New Roman" w:eastAsia="宋体" w:cs="Times New Roman"/>
              <w:sz w:val="18"/>
            </w:rPr>
            <w:fldChar w:fldCharType="separate"/>
          </w:r>
          <w:r>
            <w:rPr>
              <w:rFonts w:ascii="Times New Roman" w:hAnsi="Times New Roman" w:eastAsia="宋体" w:cs="Times New Roman"/>
              <w:sz w:val="18"/>
            </w:rPr>
            <w:t>1</w:t>
          </w:r>
          <w:r>
            <w:rPr>
              <w:rFonts w:ascii="Times New Roman" w:hAnsi="Times New Roman" w:eastAsia="宋体" w:cs="Times New Roman"/>
              <w:sz w:val="18"/>
            </w:rPr>
            <w:fldChar w:fldCharType="end"/>
          </w:r>
          <w:r>
            <w:rPr>
              <w:rFonts w:ascii="Times New Roman" w:hAnsi="Times New Roman" w:eastAsia="宋体" w:cs="Times New Roman"/>
              <w:b w:val="0"/>
              <w:color w:val="000000"/>
              <w:sz w:val="18"/>
            </w:rPr>
            <w:t xml:space="preserve"> 页 共 </w:t>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NUMPAGES \* MERGEFORMAT </w:instrText>
          </w:r>
          <w:r>
            <w:rPr>
              <w:rFonts w:ascii="Times New Roman" w:hAnsi="Times New Roman" w:eastAsia="宋体" w:cs="Times New Roman"/>
              <w:sz w:val="18"/>
            </w:rPr>
            <w:fldChar w:fldCharType="separate"/>
          </w:r>
          <w:r>
            <w:rPr>
              <w:rFonts w:ascii="Times New Roman" w:hAnsi="Times New Roman" w:eastAsia="宋体" w:cs="Times New Roman"/>
              <w:sz w:val="18"/>
            </w:rPr>
            <w:t>1</w:t>
          </w:r>
          <w:r>
            <w:rPr>
              <w:rFonts w:ascii="Times New Roman" w:hAnsi="Times New Roman" w:eastAsia="宋体" w:cs="Times New Roman"/>
              <w:sz w:val="18"/>
            </w:rPr>
            <w:fldChar w:fldCharType="end"/>
          </w:r>
          <w:r>
            <w:rPr>
              <w:rFonts w:ascii="Times New Roman" w:hAnsi="Times New Roman" w:eastAsia="宋体" w:cs="Times New Roman"/>
              <w:b w:val="0"/>
              <w:color w:val="000000"/>
              <w:sz w:val="18"/>
            </w:rPr>
            <w:t xml:space="preserve"> 页</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p>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4536"/>
      <w:gridCol w:w="4536"/>
    </w:tblGrid>
    <w:tr>
      <w:tc>
        <w:tcPr>
          <w:tcW w:type="dxa" w:w="4536"/>
          <w:vAlign w:val="bottom"/>
        </w:tcPr>
        <w:p>
          <w:pPr>
            <w:spacing w:before="0" w:after="30"/>
          </w:pPr>
          <w:r>
            <w:rPr>
              <w:rFonts w:ascii="Times New Roman" w:hAnsi="Times New Roman" w:eastAsia="宋体" w:cs="Times New Roman"/>
              <w:b w:val="0"/>
              <w:color w:val="000000"/>
              <w:sz w:val="18"/>
            </w:rPr>
            <w:t>II期临床试验方案</w:t>
          </w:r>
          <w:r>
            <w:rPr>
              <w:rFonts w:ascii="Times New Roman" w:hAnsi="Times New Roman" w:eastAsia="宋体" w:cs="Times New Roman"/>
              <w:b w:val="0"/>
              <w:color w:val="000000"/>
              <w:sz w:val="18"/>
            </w:rPr>
            <w:br/>
            <w:t>MW-II-00990781-DRAFT</w:t>
          </w:r>
        </w:p>
      </w:tc>
      <w:tc>
        <w:tcPr>
          <w:tcW w:type="dxa" w:w="4536"/>
          <w:vAlign w:val="bottom"/>
        </w:tcPr>
        <w:p>
          <w:pPr>
            <w:spacing w:before="0" w:after="30"/>
            <w:jc w:val="right"/>
          </w:pPr>
          <w:r>
            <w:rPr>
              <w:rFonts w:ascii="Times New Roman" w:hAnsi="Times New Roman" w:eastAsia="宋体" w:cs="Times New Roman"/>
              <w:b w:val="0"/>
              <w:color w:val="000000"/>
              <w:sz w:val="18"/>
            </w:rPr>
            <w:t>深圳市康哲生物科技有限公司</w:t>
          </w:r>
          <w:r>
            <w:rPr>
              <w:rFonts w:ascii="Times New Roman" w:hAnsi="Times New Roman" w:eastAsia="宋体" w:cs="Times New Roman"/>
              <w:b w:val="0"/>
              <w:color w:val="C00000"/>
              <w:sz w:val="16"/>
            </w:rPr>
            <w:br/>
            <w:t>草稿预览 · DRAFT PREVIEW · 不可用于提交</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p>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4536"/>
      <w:gridCol w:w="4536"/>
    </w:tblGrid>
    <w:tr>
      <w:tc>
        <w:tcPr>
          <w:tcW w:type="dxa" w:w="4536"/>
          <w:vAlign w:val="bottom"/>
        </w:tcPr>
        <w:p>
          <w:pPr>
            <w:spacing w:before="0" w:after="30"/>
          </w:pPr>
          <w:r>
            <w:rPr>
              <w:rFonts w:ascii="Times New Roman" w:hAnsi="Times New Roman" w:eastAsia="宋体" w:cs="Times New Roman"/>
              <w:b w:val="0"/>
              <w:color w:val="000000"/>
              <w:sz w:val="18"/>
            </w:rPr>
            <w:t>II期临床试验方案</w:t>
          </w:r>
          <w:r>
            <w:rPr>
              <w:rFonts w:ascii="Times New Roman" w:hAnsi="Times New Roman" w:eastAsia="宋体" w:cs="Times New Roman"/>
              <w:b w:val="0"/>
              <w:color w:val="000000"/>
              <w:sz w:val="18"/>
            </w:rPr>
            <w:br/>
            <w:t>MW-II-00990781-DRAFT</w:t>
          </w:r>
        </w:p>
      </w:tc>
      <w:tc>
        <w:tcPr>
          <w:tcW w:type="dxa" w:w="4536"/>
          <w:vAlign w:val="bottom"/>
        </w:tcPr>
        <w:p>
          <w:pPr>
            <w:spacing w:before="0" w:after="30"/>
            <w:jc w:val="right"/>
          </w:pPr>
          <w:r>
            <w:rPr>
              <w:rFonts w:ascii="Times New Roman" w:hAnsi="Times New Roman" w:eastAsia="宋体" w:cs="Times New Roman"/>
              <w:b w:val="0"/>
              <w:color w:val="000000"/>
              <w:sz w:val="18"/>
            </w:rPr>
            <w:t>深圳市康哲生物科技有限公司</w:t>
          </w:r>
          <w:r>
            <w:rPr>
              <w:rFonts w:ascii="Times New Roman" w:hAnsi="Times New Roman" w:eastAsia="宋体" w:cs="Times New Roman"/>
              <w:b w:val="0"/>
              <w:color w:val="C00000"/>
              <w:sz w:val="16"/>
            </w:rPr>
            <w:br/>
            <w:t>草稿预览 · DRAFT PREVIEW · 不可用于提交</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p>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4536"/>
      <w:gridCol w:w="4536"/>
    </w:tblGrid>
    <w:tr>
      <w:tc>
        <w:tcPr>
          <w:tcW w:type="dxa" w:w="4536"/>
          <w:vAlign w:val="bottom"/>
        </w:tcPr>
        <w:p>
          <w:pPr>
            <w:spacing w:before="0" w:after="30"/>
          </w:pPr>
          <w:r>
            <w:rPr>
              <w:rFonts w:ascii="Times New Roman" w:hAnsi="Times New Roman" w:eastAsia="宋体" w:cs="Times New Roman"/>
              <w:b w:val="0"/>
              <w:color w:val="000000"/>
              <w:sz w:val="18"/>
            </w:rPr>
            <w:t>II期临床试验方案</w:t>
          </w:r>
          <w:r>
            <w:rPr>
              <w:rFonts w:ascii="Times New Roman" w:hAnsi="Times New Roman" w:eastAsia="宋体" w:cs="Times New Roman"/>
              <w:b w:val="0"/>
              <w:color w:val="000000"/>
              <w:sz w:val="18"/>
            </w:rPr>
            <w:br/>
            <w:t>MW-II-00990781-DRAFT</w:t>
          </w:r>
        </w:p>
      </w:tc>
      <w:tc>
        <w:tcPr>
          <w:tcW w:type="dxa" w:w="4536"/>
          <w:vAlign w:val="bottom"/>
        </w:tcPr>
        <w:p>
          <w:pPr>
            <w:spacing w:before="0" w:after="30"/>
            <w:jc w:val="right"/>
          </w:pPr>
          <w:r>
            <w:rPr>
              <w:rFonts w:ascii="Times New Roman" w:hAnsi="Times New Roman" w:eastAsia="宋体" w:cs="Times New Roman"/>
              <w:b w:val="0"/>
              <w:color w:val="000000"/>
              <w:sz w:val="18"/>
            </w:rPr>
            <w:t>深圳市康哲生物科技有限公司</w:t>
          </w:r>
          <w:r>
            <w:rPr>
              <w:rFonts w:ascii="Times New Roman" w:hAnsi="Times New Roman" w:eastAsia="宋体" w:cs="Times New Roman"/>
              <w:b w:val="0"/>
              <w:color w:val="C00000"/>
              <w:sz w:val="16"/>
            </w:rPr>
            <w:br/>
            <w:t>草稿预览 · DRAFT PREVIEW · 不可用于提交</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p>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4536"/>
      <w:gridCol w:w="4536"/>
    </w:tblGrid>
    <w:tr>
      <w:tc>
        <w:tcPr>
          <w:tcW w:type="dxa" w:w="4536"/>
          <w:vAlign w:val="bottom"/>
        </w:tcPr>
        <w:p>
          <w:pPr>
            <w:spacing w:before="0" w:after="30"/>
          </w:pPr>
          <w:r>
            <w:rPr>
              <w:rFonts w:ascii="Times New Roman" w:hAnsi="Times New Roman" w:eastAsia="宋体" w:cs="Times New Roman"/>
              <w:b w:val="0"/>
              <w:color w:val="000000"/>
              <w:sz w:val="18"/>
            </w:rPr>
            <w:t>II期临床试验方案</w:t>
          </w:r>
          <w:r>
            <w:rPr>
              <w:rFonts w:ascii="Times New Roman" w:hAnsi="Times New Roman" w:eastAsia="宋体" w:cs="Times New Roman"/>
              <w:b w:val="0"/>
              <w:color w:val="000000"/>
              <w:sz w:val="18"/>
            </w:rPr>
            <w:br/>
            <w:t>MW-II-00990781-DRAFT</w:t>
          </w:r>
        </w:p>
      </w:tc>
      <w:tc>
        <w:tcPr>
          <w:tcW w:type="dxa" w:w="4536"/>
          <w:vAlign w:val="bottom"/>
        </w:tcPr>
        <w:p>
          <w:pPr>
            <w:spacing w:before="0" w:after="30"/>
            <w:jc w:val="right"/>
          </w:pPr>
          <w:r>
            <w:rPr>
              <w:rFonts w:ascii="Times New Roman" w:hAnsi="Times New Roman" w:eastAsia="宋体" w:cs="Times New Roman"/>
              <w:b w:val="0"/>
              <w:color w:val="000000"/>
              <w:sz w:val="18"/>
            </w:rPr>
            <w:t>深圳市康哲生物科技有限公司</w:t>
          </w:r>
          <w:r>
            <w:rPr>
              <w:rFonts w:ascii="Times New Roman" w:hAnsi="Times New Roman" w:eastAsia="宋体" w:cs="Times New Roman"/>
              <w:b w:val="0"/>
              <w:color w:val="C00000"/>
              <w:sz w:val="16"/>
            </w:rPr>
            <w:br/>
            <w:t>草稿预览 · DRAFT PREVIEW · 不可用于提交</w:t>
          </w:r>
        </w:p>
      </w:tc>
    </w:tr>
  </w:tbl>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p>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4536"/>
      <w:gridCol w:w="4536"/>
    </w:tblGrid>
    <w:tr>
      <w:tc>
        <w:tcPr>
          <w:tcW w:type="dxa" w:w="4536"/>
          <w:vAlign w:val="bottom"/>
        </w:tcPr>
        <w:p>
          <w:pPr>
            <w:spacing w:before="0" w:after="30"/>
          </w:pPr>
          <w:r>
            <w:rPr>
              <w:rFonts w:ascii="Times New Roman" w:hAnsi="Times New Roman" w:eastAsia="宋体" w:cs="Times New Roman"/>
              <w:b w:val="0"/>
              <w:color w:val="000000"/>
              <w:sz w:val="18"/>
            </w:rPr>
            <w:t>II期临床试验方案</w:t>
          </w:r>
          <w:r>
            <w:rPr>
              <w:rFonts w:ascii="Times New Roman" w:hAnsi="Times New Roman" w:eastAsia="宋体" w:cs="Times New Roman"/>
              <w:b w:val="0"/>
              <w:color w:val="000000"/>
              <w:sz w:val="18"/>
            </w:rPr>
            <w:br/>
            <w:t>MW-II-00990781-DRAFT</w:t>
          </w:r>
        </w:p>
      </w:tc>
      <w:tc>
        <w:tcPr>
          <w:tcW w:type="dxa" w:w="4536"/>
          <w:vAlign w:val="bottom"/>
        </w:tcPr>
        <w:p>
          <w:pPr>
            <w:spacing w:before="0" w:after="30"/>
            <w:jc w:val="right"/>
          </w:pPr>
          <w:r>
            <w:rPr>
              <w:rFonts w:ascii="Times New Roman" w:hAnsi="Times New Roman" w:eastAsia="宋体" w:cs="Times New Roman"/>
              <w:b w:val="0"/>
              <w:color w:val="000000"/>
              <w:sz w:val="18"/>
            </w:rPr>
            <w:t>深圳市康哲生物科技有限公司</w:t>
          </w:r>
          <w:r>
            <w:rPr>
              <w:rFonts w:ascii="Times New Roman" w:hAnsi="Times New Roman" w:eastAsia="宋体" w:cs="Times New Roman"/>
              <w:b w:val="0"/>
              <w:color w:val="C00000"/>
              <w:sz w:val="16"/>
            </w:rPr>
            <w:br/>
            <w:t>草稿预览 · DRAFT PREVIEW · 不可用于提交</w:t>
          </w:r>
        </w:p>
      </w:tc>
    </w:tr>
  </w:tbl>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p>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4536"/>
      <w:gridCol w:w="4536"/>
    </w:tblGrid>
    <w:tr>
      <w:tc>
        <w:tcPr>
          <w:tcW w:type="dxa" w:w="4536"/>
          <w:vAlign w:val="bottom"/>
        </w:tcPr>
        <w:p>
          <w:pPr>
            <w:spacing w:before="0" w:after="30"/>
          </w:pPr>
          <w:r>
            <w:rPr>
              <w:rFonts w:ascii="Times New Roman" w:hAnsi="Times New Roman" w:eastAsia="宋体" w:cs="Times New Roman"/>
              <w:b w:val="0"/>
              <w:color w:val="000000"/>
              <w:sz w:val="18"/>
            </w:rPr>
            <w:t>II期临床试验方案</w:t>
          </w:r>
          <w:r>
            <w:rPr>
              <w:rFonts w:ascii="Times New Roman" w:hAnsi="Times New Roman" w:eastAsia="宋体" w:cs="Times New Roman"/>
              <w:b w:val="0"/>
              <w:color w:val="000000"/>
              <w:sz w:val="18"/>
            </w:rPr>
            <w:br/>
            <w:t>MW-II-00990781-DRAFT</w:t>
          </w:r>
        </w:p>
      </w:tc>
      <w:tc>
        <w:tcPr>
          <w:tcW w:type="dxa" w:w="4536"/>
          <w:vAlign w:val="bottom"/>
        </w:tcPr>
        <w:p>
          <w:pPr>
            <w:spacing w:before="0" w:after="30"/>
            <w:jc w:val="right"/>
          </w:pPr>
          <w:r>
            <w:rPr>
              <w:rFonts w:ascii="Times New Roman" w:hAnsi="Times New Roman" w:eastAsia="宋体" w:cs="Times New Roman"/>
              <w:b w:val="0"/>
              <w:color w:val="000000"/>
              <w:sz w:val="18"/>
            </w:rPr>
            <w:t>深圳市康哲生物科技有限公司</w:t>
          </w:r>
          <w:r>
            <w:rPr>
              <w:rFonts w:ascii="Times New Roman" w:hAnsi="Times New Roman" w:eastAsia="宋体" w:cs="Times New Roman"/>
              <w:b w:val="0"/>
              <w:color w:val="C00000"/>
              <w:sz w:val="16"/>
            </w:rPr>
            <w:br/>
            <w:t>草稿预览 · DRAFT PREVIEW · 不可用于提交</w:t>
          </w:r>
        </w:p>
      </w:tc>
    </w:tr>
  </w:tbl>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p>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4536"/>
      <w:gridCol w:w="4536"/>
    </w:tblGrid>
    <w:tr>
      <w:tc>
        <w:tcPr>
          <w:tcW w:type="dxa" w:w="4536"/>
          <w:vAlign w:val="bottom"/>
        </w:tcPr>
        <w:p>
          <w:pPr>
            <w:spacing w:before="0" w:after="30"/>
          </w:pPr>
          <w:r>
            <w:rPr>
              <w:rFonts w:ascii="Times New Roman" w:hAnsi="Times New Roman" w:eastAsia="宋体" w:cs="Times New Roman"/>
              <w:b w:val="0"/>
              <w:color w:val="000000"/>
              <w:sz w:val="18"/>
            </w:rPr>
            <w:t>II期临床试验方案</w:t>
          </w:r>
          <w:r>
            <w:rPr>
              <w:rFonts w:ascii="Times New Roman" w:hAnsi="Times New Roman" w:eastAsia="宋体" w:cs="Times New Roman"/>
              <w:b w:val="0"/>
              <w:color w:val="000000"/>
              <w:sz w:val="18"/>
            </w:rPr>
            <w:br/>
            <w:t>MW-II-00990781-DRAFT</w:t>
          </w:r>
        </w:p>
      </w:tc>
      <w:tc>
        <w:tcPr>
          <w:tcW w:type="dxa" w:w="4536"/>
          <w:vAlign w:val="bottom"/>
        </w:tcPr>
        <w:p>
          <w:pPr>
            <w:spacing w:before="0" w:after="30"/>
            <w:jc w:val="right"/>
          </w:pPr>
          <w:r>
            <w:rPr>
              <w:rFonts w:ascii="Times New Roman" w:hAnsi="Times New Roman" w:eastAsia="宋体" w:cs="Times New Roman"/>
              <w:b w:val="0"/>
              <w:color w:val="000000"/>
              <w:sz w:val="18"/>
            </w:rPr>
            <w:t>深圳市康哲生物科技有限公司</w:t>
          </w:r>
          <w:r>
            <w:rPr>
              <w:rFonts w:ascii="Times New Roman" w:hAnsi="Times New Roman" w:eastAsia="宋体" w:cs="Times New Roman"/>
              <w:b w:val="0"/>
              <w:color w:val="C00000"/>
              <w:sz w:val="16"/>
            </w:rPr>
            <w:br/>
            <w:t>草稿预览 · DRAFT PREVIEW · 不可用于提交</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eastAsia="宋体"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eastAsia="宋体"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eastAsia="宋体"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eastAsia="宋体" w:cs="Times New Roman"/>
      </w:rPr>
    </w:lvl>
  </w:abstractNum>
  <w:abstractNum w:abstractNumId="9">
    <w:nsid w:val="617A5789"/>
    <w:multiLevelType w:val="multilevel"/>
    <w:tmpl w:val="617A5789"/>
    <w:lvl w:ilvl="0">
      <w:start w:val="1"/>
      <w:numFmt w:val="decimal"/>
      <w:pStyle w:val="Heading1"/>
      <w:lvlText w:val="%1"/>
      <w:lvlJc w:val="left"/>
      <w:pPr>
        <w:ind w:left="0" w:firstLine="0"/>
      </w:pPr>
      <w:rPr>
        <w:rFonts w:ascii="Times New Roman" w:eastAsia="宋体" w:hAnsi="Times New Roman" w:cs="Times New Roman" w:hint="default"/>
        <w:b/>
        <w:color w:val="auto"/>
        <w:sz w:val="24"/>
        <w:szCs w:val="24"/>
      </w:rPr>
    </w:lvl>
    <w:lvl w:ilvl="1">
      <w:start w:val="1"/>
      <w:numFmt w:val="decimal"/>
      <w:pStyle w:val="Heading2"/>
      <w:lvlText w:val="%1.%2"/>
      <w:lvlJc w:val="left"/>
      <w:pPr>
        <w:ind w:left="0" w:firstLine="0"/>
      </w:pPr>
      <w:rPr>
        <w:rFonts w:ascii="Times New Roman" w:eastAsia="宋体" w:hAnsi="Times New Roman" w:cs="Times New Roman" w:hint="default"/>
        <w:b/>
        <w:color w:val="auto"/>
        <w:sz w:val="24"/>
        <w:szCs w:val="24"/>
      </w:rPr>
    </w:lvl>
    <w:lvl w:ilvl="2">
      <w:start w:val="1"/>
      <w:numFmt w:val="decimal"/>
      <w:pStyle w:val="Heading3"/>
      <w:lvlText w:val="%1.%2.%3"/>
      <w:lvlJc w:val="left"/>
      <w:pPr>
        <w:ind w:left="567" w:hanging="567"/>
      </w:pPr>
      <w:rPr>
        <w:rFonts w:ascii="Times New Roman" w:eastAsia="宋体" w:hAnsi="Times New Roman" w:cs="Times New Roman" w:hint="default"/>
        <w:b/>
        <w:color w:val="auto"/>
        <w:sz w:val="24"/>
        <w:szCs w:val="24"/>
      </w:rPr>
    </w:lvl>
    <w:lvl w:ilvl="3">
      <w:start w:val="1"/>
      <w:numFmt w:val="decimal"/>
      <w:pStyle w:val="Heading4"/>
      <w:lvlText w:val="%1.%2.%3.%4"/>
      <w:lvlJc w:val="left"/>
      <w:pPr>
        <w:ind w:left="851" w:hanging="851"/>
      </w:pPr>
      <w:rPr>
        <w:rFonts w:ascii="Times New Roman" w:eastAsia="宋体" w:hAnsi="Times New Roman" w:cs="Times New Roman" w:hint="default"/>
        <w:b/>
        <w:color w:val="auto"/>
        <w:sz w:val="24"/>
        <w:szCs w:val="24"/>
      </w:rPr>
    </w:lvl>
  </w:abstractNum>
  <w:abstractNum w:abstractNumId="10">
    <w:multiLevelType w:val="singleLevel"/>
    <w:lvl w:ilvl="0">
      <w:start w:val="1"/>
      <w:numFmt w:val="decimal"/>
      <w:suff w:val="space"/>
      <w:lvlText w:val="%1)"/>
      <w:lvlJc w:val="left"/>
      <w:pPr>
        <w:ind w:left="246" w:hanging="244"/>
      </w:pPr>
    </w:lvl>
  </w:abstractNum>
  <w:abstractNum w:abstractNumId="11">
    <w:multiLevelType w:val="singleLevel"/>
    <w:lvl w:ilvl="0">
      <w:start w:val="1"/>
      <w:numFmt w:val="decimal"/>
      <w:suff w:val="nothing"/>
      <w:lvlText w:val="%1）"/>
      <w:lvlJc w:val="left"/>
    </w:lvl>
  </w:abstractNum>
  <w:abstractNum w:abstractNumId="12">
    <w:multiLevelType w:val="singleLevel"/>
    <w:lvl w:ilvl="0">
      <w:start w:val="1"/>
      <w:numFmt w:val="decimal"/>
      <w:suff w:val="space"/>
      <w:lvlText w:val="%1)"/>
      <w:lvlJc w:val="left"/>
      <w:pPr>
        <w:ind w:left="246" w:hanging="244"/>
      </w:pPr>
    </w:lvl>
  </w:abstractNum>
  <w:abstractNum w:abstractNumId="13">
    <w:multiLevelType w:val="singleLevel"/>
    <w:lvl w:ilvl="0">
      <w:start w:val="1"/>
      <w:numFmt w:val="decimal"/>
      <w:suff w:val="space"/>
      <w:lvlText w:val="%1)"/>
      <w:lvlJc w:val="left"/>
      <w:pPr>
        <w:ind w:left="246" w:hanging="244"/>
      </w:pPr>
    </w:lvl>
  </w:abstractNum>
  <w:abstractNum w:abstractNumId="14">
    <w:multiLevelType w:val="singleLevel"/>
    <w:lvl w:ilvl="0">
      <w:start w:val="1"/>
      <w:numFmt w:val="decimal"/>
      <w:suff w:val="nothing"/>
      <w:lvlText w:val="%1）"/>
      <w:lvlJc w:val="left"/>
    </w:lvl>
  </w:abstractNum>
  <w:abstractNum w:abstractNumId="15">
    <w:multiLevelType w:val="singleLevel"/>
    <w:lvl w:ilvl="0">
      <w:start w:val="1"/>
      <w:numFmt w:val="decimal"/>
      <w:suff w:val="space"/>
      <w:lvlText w:val="%1)"/>
      <w:lvlJc w:val="left"/>
      <w:pPr>
        <w:ind w:left="246" w:hanging="244"/>
      </w:pPr>
    </w:lvl>
  </w:abstractNum>
  <w:abstractNum w:abstractNumId="16">
    <w:multiLevelType w:val="singleLevel"/>
    <w:lvl w:ilvl="0">
      <w:start w:val="1"/>
      <w:numFmt w:val="decimal"/>
      <w:suff w:val="nothing"/>
      <w:lvlText w:val="%1）"/>
      <w:lvlJc w:val="left"/>
    </w:lvl>
  </w:abstractNum>
  <w:abstractNum w:abstractNumId="17">
    <w:multiLevelType w:val="singleLevel"/>
    <w:lvl w:ilvl="0">
      <w:start w:val="1"/>
      <w:numFmt w:val="decimal"/>
      <w:suff w:val="space"/>
      <w:lvlText w:val="%1)"/>
      <w:lvlJc w:val="left"/>
      <w:pPr>
        <w:ind w:left="246" w:hanging="244"/>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1"/>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eastAsia="宋体" w:ascii="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s="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numPr>
        <w:numId w:val="10"/>
      </w:numPr>
      <w:spacing w:before="50" w:after="50" w:line="360" w:lineRule="auto"/>
      <w:outlineLvl w:val="0"/>
    </w:pPr>
    <w:rPr>
      <w:rFonts w:asciiTheme="majorHAnsi" w:eastAsiaTheme="majorEastAsia" w:hAnsiTheme="majorHAnsi" w:cstheme="majorBidi" w:ascii="Times New Roman" w:hAnsi="Times New Roman" w:eastAsia="宋体"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50" w:after="50" w:line="360" w:lineRule="auto"/>
      <w:outlineLvl w:val="1"/>
    </w:pPr>
    <w:rPr>
      <w:rFonts w:asciiTheme="majorHAnsi" w:eastAsiaTheme="majorEastAsia" w:hAnsiTheme="majorHAnsi" w:cstheme="majorBidi" w:ascii="Times New Roman" w:hAnsi="Times New Roman" w:eastAsia="宋体"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50" w:after="50" w:line="360" w:lineRule="auto"/>
      <w:outlineLvl w:val="2"/>
    </w:pPr>
    <w:rPr>
      <w:rFonts w:asciiTheme="majorHAnsi" w:eastAsiaTheme="majorEastAsia" w:hAnsiTheme="majorHAnsi" w:cstheme="majorBidi" w:ascii="Times New Roman" w:hAnsi="Times New Roman" w:eastAsia="宋体" w:cs="Times New Roman"/>
      <w:b/>
      <w:bCs/>
      <w:color w:val="000000"/>
      <w:sz w:val="24"/>
    </w:rPr>
  </w:style>
  <w:style w:type="paragraph" w:styleId="Heading4">
    <w:name w:val="heading 4"/>
    <w:basedOn w:val="Normal"/>
    <w:next w:val="Normal"/>
    <w:link w:val="Heading4Char"/>
    <w:uiPriority w:val="9"/>
    <w:unhideWhenUsed/>
    <w:qFormat/>
    <w:rsid w:val="00FC693F"/>
    <w:pPr>
      <w:keepNext/>
      <w:keepLines/>
      <w:numPr>
        <w:ilvl w:val="3"/>
        <w:numId w:val="10"/>
      </w:numPr>
      <w:spacing w:before="50" w:after="50" w:line="360" w:lineRule="auto"/>
      <w:outlineLvl w:val="3"/>
    </w:pPr>
    <w:rPr>
      <w:rFonts w:asciiTheme="majorHAnsi" w:eastAsiaTheme="majorEastAsia" w:hAnsiTheme="majorHAnsi" w:cstheme="majorBidi" w:ascii="Times New Roman" w:hAnsi="Times New Roman" w:eastAsia="宋体"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宋体" w:ascii="Times New Roman" w:hAnsi="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宋体" w:ascii="Times New Roman" w:hAnsi="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宋体" w:ascii="Times New Roman" w:hAnsi="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宋体" w:ascii="Times New Roman" w:hAnsi="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宋体" w:ascii="Times New Roman" w:hAnsi="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eastAsia="宋体" w:ascii="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eastAsia="宋体" w:ascii="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eastAsia="宋体" w:ascii="Times New Roman" w:hAnsi="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宋体"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eastAsia="宋体" w:ascii="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cs="Times New Roman"/>
      <w:b/>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eastAsia="宋体" w:ascii="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eastAsia="宋体" w:ascii="Times New Roman" w:hAnsi="Times New Roman" w:cs="Times New Roman"/>
      <w:sz w:val="16"/>
      <w:szCs w:val="16"/>
    </w:rPr>
  </w:style>
  <w:style w:type="character" w:customStyle="1" w:styleId="BodyText3Char">
    <w:name w:val="Body Text 3 Char"/>
    <w:basedOn w:val="DefaultParagraphFont"/>
    <w:link w:val="BodyText3"/>
    <w:uiPriority w:val="99"/>
    <w:rsid w:val="00AA1D8D"/>
    <w:rPr>
      <w:rFonts w:eastAsia="宋体" w:ascii="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宋体"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宋体" w:cs="Times New Roman"/>
      <w:sz w:val="20"/>
      <w:szCs w:val="20"/>
    </w:rPr>
  </w:style>
  <w:style w:type="paragraph" w:styleId="Quote">
    <w:name w:val="Quote"/>
    <w:basedOn w:val="Normal"/>
    <w:next w:val="Normal"/>
    <w:link w:val="QuoteChar"/>
    <w:uiPriority w:val="29"/>
    <w:qFormat/>
    <w:rsid w:val="00FC693F"/>
    <w:rPr>
      <w:rFonts w:eastAsia="宋体" w:ascii="Times New Roman" w:hAnsi="Times New Roman" w:cs="Times New Roman"/>
      <w:i/>
      <w:iCs/>
      <w:color w:val="000000" w:themeColor="text1"/>
    </w:rPr>
  </w:style>
  <w:style w:type="character" w:customStyle="1" w:styleId="QuoteChar">
    <w:name w:val="Quote Char"/>
    <w:basedOn w:val="DefaultParagraphFont"/>
    <w:link w:val="Quote"/>
    <w:uiPriority w:val="29"/>
    <w:rsid w:val="00FC693F"/>
    <w:rPr>
      <w:rFonts w:eastAsia="宋体" w:ascii="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eastAsia="宋体" w:ascii="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eastAsia="宋体" w:ascii="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eastAsia="宋体" w:ascii="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eastAsia="宋体" w:ascii="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eastAsia="宋体" w:ascii="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eastAsia="宋体" w:ascii="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宋体" w:ascii="Times New Roman" w:hAnsi="Times New Roman" w:cs="Times New Roman"/>
      <w:b/>
      <w:bCs/>
      <w:color w:val="4F81BD" w:themeColor="accent1"/>
      <w:sz w:val="18"/>
      <w:szCs w:val="18"/>
    </w:rPr>
  </w:style>
  <w:style w:type="character" w:styleId="Strong">
    <w:name w:val="Strong"/>
    <w:basedOn w:val="DefaultParagraphFont"/>
    <w:uiPriority w:val="22"/>
    <w:qFormat/>
    <w:rsid w:val="00FC693F"/>
    <w:rPr>
      <w:rFonts w:eastAsia="宋体" w:ascii="Times New Roman" w:hAnsi="Times New Roman" w:cs="Times New Roman"/>
      <w:b/>
      <w:bCs/>
    </w:rPr>
  </w:style>
  <w:style w:type="character" w:styleId="Emphasis">
    <w:name w:val="Emphasis"/>
    <w:basedOn w:val="DefaultParagraphFont"/>
    <w:uiPriority w:val="20"/>
    <w:qFormat/>
    <w:rsid w:val="00FC693F"/>
    <w:rPr>
      <w:rFonts w:eastAsia="宋体" w:ascii="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宋体" w:ascii="Times New Roman" w:hAnsi="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eastAsia="宋体" w:ascii="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eastAsia="宋体" w:ascii="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eastAsia="宋体" w:ascii="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eastAsia="宋体" w:ascii="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eastAsia="宋体" w:ascii="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eastAsia="宋体" w:ascii="Times New Roman" w:hAnsi="Times New Roman" w:cs="Times New Roman"/>
      <w:b/>
      <w:bCs/>
      <w:smallCaps/>
      <w:spacing w:val="5"/>
    </w:rPr>
  </w:style>
  <w:style w:type="paragraph" w:styleId="TOCHeading">
    <w:name w:val="TOC Heading"/>
    <w:basedOn w:val="Normal"/>
    <w:next w:val="Normal"/>
    <w:uiPriority w:val="39"/>
    <w:semiHidden/>
    <w:unhideWhenUsed/>
    <w:qFormat/>
    <w:rsid w:val="00FC693F"/>
    <w:pPr>
      <w:outlineLvl w:val="9"/>
    </w:pPr>
    <w:rPr>
      <w:rFonts w:ascii="Times New Roman" w:hAnsi="Times New Roman" w:eastAsia="宋体" w:cs="Times New Roman"/>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eastAsia="宋体" w:ascii="Times New Roman" w:hAnsi="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eastAsia="宋体" w:ascii="Times New Roman" w:hAnsi="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eastAsia="宋体" w:ascii="Times New Roman" w:hAnsi="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eastAsia="宋体" w:ascii="Times New Roman" w:hAnsi="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eastAsia="宋体" w:ascii="Times New Roman" w:hAnsi="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eastAsia="宋体" w:ascii="Times New Roman" w:hAnsi="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eastAsia="宋体" w:ascii="Times New Roman" w:hAnsi="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000000" w:themeFill="text1"/>
      </w:tcPr>
    </w:tblStylePr>
    <w:tblStylePr w:type="lastRow">
      <w:pPr>
        <w:spacing w:before="0" w:after="0" w:line="240" w:lineRule="auto"/>
      </w:pPr>
      <w:rPr>
        <w:rFonts w:eastAsia="宋体" w:ascii="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4F81BD" w:themeFill="accent1"/>
      </w:tcPr>
    </w:tblStylePr>
    <w:tblStylePr w:type="lastRow">
      <w:pPr>
        <w:spacing w:before="0" w:after="0" w:line="240" w:lineRule="auto"/>
      </w:pPr>
      <w:rPr>
        <w:rFonts w:eastAsia="宋体" w:ascii="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C0504D" w:themeFill="accent2"/>
      </w:tcPr>
    </w:tblStylePr>
    <w:tblStylePr w:type="lastRow">
      <w:pPr>
        <w:spacing w:before="0" w:after="0" w:line="240" w:lineRule="auto"/>
      </w:pPr>
      <w:rPr>
        <w:rFonts w:eastAsia="宋体" w:ascii="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9BBB59" w:themeFill="accent3"/>
      </w:tcPr>
    </w:tblStylePr>
    <w:tblStylePr w:type="lastRow">
      <w:pPr>
        <w:spacing w:before="0" w:after="0" w:line="240" w:lineRule="auto"/>
      </w:pPr>
      <w:rPr>
        <w:rFonts w:eastAsia="宋体" w:ascii="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8064A2" w:themeFill="accent4"/>
      </w:tcPr>
    </w:tblStylePr>
    <w:tblStylePr w:type="lastRow">
      <w:pPr>
        <w:spacing w:before="0" w:after="0" w:line="240" w:lineRule="auto"/>
      </w:pPr>
      <w:rPr>
        <w:rFonts w:eastAsia="宋体" w:ascii="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4BACC6" w:themeFill="accent5"/>
      </w:tcPr>
    </w:tblStylePr>
    <w:tblStylePr w:type="lastRow">
      <w:pPr>
        <w:spacing w:before="0" w:after="0" w:line="240" w:lineRule="auto"/>
      </w:pPr>
      <w:rPr>
        <w:rFonts w:eastAsia="宋体" w:ascii="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F79646" w:themeFill="accent6"/>
      </w:tcPr>
    </w:tblStylePr>
    <w:tblStylePr w:type="lastRow">
      <w:pPr>
        <w:spacing w:before="0" w:after="0" w:line="240" w:lineRule="auto"/>
      </w:pPr>
      <w:rPr>
        <w:rFonts w:eastAsia="宋体" w:ascii="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eastAsia="宋体" w:ascii="Times New Roman" w:hAnsi="Times New Roman" w:cs="Times New Roman"/>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eastAsia="宋体" w:ascii="Times New Roman" w:hAnsi="Times New Roman" w:cs="Times New Roman"/>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eastAsia="宋体" w:ascii="Times New Roman" w:hAnsi="Times New Roman" w:cs="Times New Roman"/>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eastAsia="宋体" w:ascii="Times New Roman" w:hAnsi="Times New Roman" w:cs="Times New Roman"/>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eastAsia="宋体" w:ascii="Times New Roman" w:hAnsi="Times New Roman" w:cs="Times New Roman"/>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eastAsia="宋体" w:ascii="Times New Roman" w:hAnsi="Times New Roman" w:cs="Times New Roman"/>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eastAsia="宋体" w:ascii="Times New Roman" w:hAnsi="Times New Roman" w:cs="Times New Roman"/>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000000" w:themeColor="text1"/>
        </w:tcBorders>
      </w:tcPr>
    </w:tblStylePr>
    <w:tblStylePr w:type="lastRow">
      <w:rPr>
        <w:rFonts w:eastAsia="宋体" w:ascii="Times New Roman" w:hAnsi="Times New Roman" w:cs="Times New Roman"/>
        <w:b/>
        <w:bCs/>
        <w:color w:val="1F497D" w:themeColor="text2"/>
      </w:rPr>
      <w:tblPr/>
      <w:tcPr>
        <w:tcBorders>
          <w:top w:val="single" w:sz="8" w:space="0" w:color="000000" w:themeColor="text1"/>
          <w:bottom w:val="single" w:sz="8" w:space="0" w:color="000000" w:themeColor="text1"/>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4F81BD" w:themeColor="accent1"/>
        </w:tcBorders>
      </w:tcPr>
    </w:tblStylePr>
    <w:tblStylePr w:type="lastRow">
      <w:rPr>
        <w:rFonts w:eastAsia="宋体" w:ascii="Times New Roman" w:hAnsi="Times New Roman" w:cs="Times New Roman"/>
        <w:b/>
        <w:bCs/>
        <w:color w:val="1F497D" w:themeColor="text2"/>
      </w:rPr>
      <w:tblPr/>
      <w:tcPr>
        <w:tcBorders>
          <w:top w:val="single" w:sz="8" w:space="0" w:color="4F81BD" w:themeColor="accent1"/>
          <w:bottom w:val="single" w:sz="8" w:space="0" w:color="4F81BD" w:themeColor="accent1"/>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C0504D" w:themeColor="accent2"/>
        </w:tcBorders>
      </w:tcPr>
    </w:tblStylePr>
    <w:tblStylePr w:type="lastRow">
      <w:rPr>
        <w:rFonts w:eastAsia="宋体" w:ascii="Times New Roman" w:hAnsi="Times New Roman" w:cs="Times New Roman"/>
        <w:b/>
        <w:bCs/>
        <w:color w:val="1F497D" w:themeColor="text2"/>
      </w:rPr>
      <w:tblPr/>
      <w:tcPr>
        <w:tcBorders>
          <w:top w:val="single" w:sz="8" w:space="0" w:color="C0504D" w:themeColor="accent2"/>
          <w:bottom w:val="single" w:sz="8" w:space="0" w:color="C0504D" w:themeColor="accent2"/>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9BBB59" w:themeColor="accent3"/>
        </w:tcBorders>
      </w:tcPr>
    </w:tblStylePr>
    <w:tblStylePr w:type="lastRow">
      <w:rPr>
        <w:rFonts w:eastAsia="宋体" w:ascii="Times New Roman" w:hAnsi="Times New Roman" w:cs="Times New Roman"/>
        <w:b/>
        <w:bCs/>
        <w:color w:val="1F497D" w:themeColor="text2"/>
      </w:rPr>
      <w:tblPr/>
      <w:tcPr>
        <w:tcBorders>
          <w:top w:val="single" w:sz="8" w:space="0" w:color="9BBB59" w:themeColor="accent3"/>
          <w:bottom w:val="single" w:sz="8" w:space="0" w:color="9BBB59" w:themeColor="accent3"/>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8064A2" w:themeColor="accent4"/>
        </w:tcBorders>
      </w:tcPr>
    </w:tblStylePr>
    <w:tblStylePr w:type="lastRow">
      <w:rPr>
        <w:rFonts w:eastAsia="宋体" w:ascii="Times New Roman" w:hAnsi="Times New Roman" w:cs="Times New Roman"/>
        <w:b/>
        <w:bCs/>
        <w:color w:val="1F497D" w:themeColor="text2"/>
      </w:rPr>
      <w:tblPr/>
      <w:tcPr>
        <w:tcBorders>
          <w:top w:val="single" w:sz="8" w:space="0" w:color="8064A2" w:themeColor="accent4"/>
          <w:bottom w:val="single" w:sz="8" w:space="0" w:color="8064A2" w:themeColor="accent4"/>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4BACC6" w:themeColor="accent5"/>
        </w:tcBorders>
      </w:tcPr>
    </w:tblStylePr>
    <w:tblStylePr w:type="lastRow">
      <w:rPr>
        <w:rFonts w:eastAsia="宋体" w:ascii="Times New Roman" w:hAnsi="Times New Roman" w:cs="Times New Roman"/>
        <w:b/>
        <w:bCs/>
        <w:color w:val="1F497D" w:themeColor="text2"/>
      </w:rPr>
      <w:tblPr/>
      <w:tcPr>
        <w:tcBorders>
          <w:top w:val="single" w:sz="8" w:space="0" w:color="4BACC6" w:themeColor="accent5"/>
          <w:bottom w:val="single" w:sz="8" w:space="0" w:color="4BACC6" w:themeColor="accent5"/>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F79646" w:themeColor="accent6"/>
        </w:tcBorders>
      </w:tcPr>
    </w:tblStylePr>
    <w:tblStylePr w:type="lastRow">
      <w:rPr>
        <w:rFonts w:eastAsia="宋体" w:ascii="Times New Roman" w:hAnsi="Times New Roman" w:cs="Times New Roman"/>
        <w:b/>
        <w:bCs/>
        <w:color w:val="1F497D" w:themeColor="text2"/>
      </w:rPr>
      <w:tblPr/>
      <w:tcPr>
        <w:tcBorders>
          <w:top w:val="single" w:sz="8" w:space="0" w:color="F79646" w:themeColor="accent6"/>
          <w:bottom w:val="single" w:sz="8" w:space="0" w:color="F79646" w:themeColor="accent6"/>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404040" w:themeColor="text1"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7BA0CD" w:themeColor="accent1"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CF7B79" w:themeColor="accent2"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B3CC82" w:themeColor="accent3"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9F8AB9" w:themeColor="accent4"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78C0D4" w:themeColor="accent5"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F9B074" w:themeColor="accent6"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eastAsia="宋体" w:ascii="Times New Roman" w:hAnsi="Times New Roman" w:cs="Times New Roman"/>
        <w:b/>
        <w:bCs/>
        <w:color w:val="000000" w:themeColor="text1"/>
      </w:rPr>
      <w:tblPr/>
      <w:tcPr>
        <w:shd w:val="clear" w:color="auto" w:fill="E6E6E6" w:themeFill="text1"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eastAsia="宋体" w:ascii="Times New Roman" w:hAnsi="Times New Roman" w:cs="Times New Roman"/>
        <w:b/>
        <w:bCs/>
        <w:color w:val="000000" w:themeColor="text1"/>
      </w:rPr>
      <w:tblPr/>
      <w:tcPr>
        <w:shd w:val="clear" w:color="auto" w:fill="EDF2F8" w:themeFill="accent1"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eastAsia="宋体" w:ascii="Times New Roman" w:hAnsi="Times New Roman" w:cs="Times New Roman"/>
        <w:b/>
        <w:bCs/>
        <w:color w:val="000000" w:themeColor="text1"/>
      </w:rPr>
      <w:tblPr/>
      <w:tcPr>
        <w:shd w:val="clear" w:color="auto" w:fill="F8EDED" w:themeFill="accent2"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eastAsia="宋体" w:ascii="Times New Roman" w:hAnsi="Times New Roman" w:cs="Times New Roman"/>
        <w:b/>
        <w:bCs/>
        <w:color w:val="000000" w:themeColor="text1"/>
      </w:rPr>
      <w:tblPr/>
      <w:tcPr>
        <w:shd w:val="clear" w:color="auto" w:fill="F5F8EE" w:themeFill="accent3"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eastAsia="宋体" w:ascii="Times New Roman" w:hAnsi="Times New Roman" w:cs="Times New Roman"/>
        <w:b/>
        <w:bCs/>
        <w:color w:val="000000" w:themeColor="text1"/>
      </w:rPr>
      <w:tblPr/>
      <w:tcPr>
        <w:shd w:val="clear" w:color="auto" w:fill="F2EFF6" w:themeFill="accent4"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eastAsia="宋体" w:ascii="Times New Roman" w:hAnsi="Times New Roman" w:cs="Times New Roman"/>
        <w:b/>
        <w:bCs/>
        <w:color w:val="000000" w:themeColor="text1"/>
      </w:rPr>
      <w:tblPr/>
      <w:tcPr>
        <w:shd w:val="clear" w:color="auto" w:fill="EDF6F9" w:themeFill="accent5"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eastAsia="宋体" w:ascii="Times New Roman" w:hAnsi="Times New Roman" w:cs="Times New Roman"/>
        <w:b/>
        <w:bCs/>
        <w:color w:val="000000" w:themeColor="text1"/>
      </w:rPr>
      <w:tblPr/>
      <w:tcPr>
        <w:shd w:val="clear" w:color="auto" w:fill="FEF4EC" w:themeFill="accent6"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eastAsia="宋体" w:ascii="Times New Roman"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eastAsia="宋体" w:ascii="Times New Roman" w:hAnsi="Times New Roman" w:cs="Times New Roman"/>
        <w:color w:val="000000" w:themeColor="text1"/>
      </w:rPr>
    </w:tblStylePr>
    <w:tblStylePr w:type="nwCell">
      <w:rPr>
        <w:rFonts w:eastAsia="宋体" w:ascii="Times New Roman" w:hAnsi="Times New Roman" w:cs="Times New Roman"/>
        <w:color w:val="000000" w:themeColor="text1"/>
      </w:rPr>
    </w:tblStylePr>
  </w:style>
  <w:style w:type="table" w:styleId="ColorfulShading-Accent1">
    <w:name w:val="Colorful Shading Accent 1"/>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eastAsia="宋体" w:ascii="Times New Roman"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eastAsia="宋体" w:ascii="Times New Roman" w:hAnsi="Times New Roman" w:cs="Times New Roman"/>
        <w:color w:val="000000" w:themeColor="text1"/>
      </w:rPr>
    </w:tblStylePr>
    <w:tblStylePr w:type="nwCell">
      <w:rPr>
        <w:rFonts w:eastAsia="宋体" w:ascii="Times New Roman" w:hAnsi="Times New Roman" w:cs="Times New Roman"/>
        <w:color w:val="000000" w:themeColor="text1"/>
      </w:rPr>
    </w:tblStylePr>
  </w:style>
  <w:style w:type="table" w:styleId="ColorfulShading-Accent2">
    <w:name w:val="Colorful Shading Accent 2"/>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eastAsia="宋体" w:ascii="Times New Roman"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eastAsia="宋体" w:ascii="Times New Roman" w:hAnsi="Times New Roman" w:cs="Times New Roman"/>
        <w:color w:val="000000" w:themeColor="text1"/>
      </w:rPr>
    </w:tblStylePr>
    <w:tblStylePr w:type="nwCell">
      <w:rPr>
        <w:rFonts w:eastAsia="宋体" w:ascii="Times New Roman" w:hAnsi="Times New Roman" w:cs="Times New Roman"/>
        <w:color w:val="000000" w:themeColor="text1"/>
      </w:rPr>
    </w:tblStylePr>
  </w:style>
  <w:style w:type="table" w:styleId="ColorfulShading-Accent3">
    <w:name w:val="Colorful Shading Accent 3"/>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eastAsia="宋体" w:ascii="Times New Roman" w:hAnsi="Times New Roman" w:cs="Times New Roman"/>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eastAsia="宋体" w:ascii="Times New Roman" w:hAnsi="Times New Roman" w:cs="Times New Roman"/>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eastAsia="宋体" w:ascii="Times New Roman" w:hAnsi="Times New Roman" w:cs="Times New Roman"/>
        <w:color w:val="000000" w:themeColor="text1"/>
      </w:rPr>
    </w:tblStylePr>
    <w:tblStylePr w:type="nwCell">
      <w:rPr>
        <w:rFonts w:eastAsia="宋体" w:ascii="Times New Roman" w:hAnsi="Times New Roman" w:cs="Times New Roman"/>
        <w:color w:val="000000" w:themeColor="text1"/>
      </w:rPr>
    </w:tblStylePr>
  </w:style>
  <w:style w:type="table" w:styleId="ColorfulShading-Accent5">
    <w:name w:val="Colorful Shading Accent 5"/>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eastAsia="宋体" w:ascii="Times New Roman" w:hAnsi="Times New Roman" w:cs="Times New Roman"/>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eastAsia="宋体" w:ascii="Times New Roman" w:hAnsi="Times New Roman" w:cs="Times New Roman"/>
        <w:color w:val="000000" w:themeColor="text1"/>
      </w:rPr>
    </w:tblStylePr>
    <w:tblStylePr w:type="nwCell">
      <w:rPr>
        <w:rFonts w:eastAsia="宋体" w:ascii="Times New Roman" w:hAnsi="Times New Roman" w:cs="Times New Roman"/>
        <w:color w:val="000000" w:themeColor="text1"/>
      </w:rPr>
    </w:tblStylePr>
  </w:style>
  <w:style w:type="table" w:styleId="ColorfulShading-Accent6">
    <w:name w:val="Colorful Shading Accent 6"/>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eastAsia="宋体" w:ascii="Times New Roman" w:hAnsi="Times New Roman" w:cs="Times New Roman"/>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eastAsia="宋体" w:ascii="Times New Roman" w:hAnsi="Times New Roman" w:cs="Times New Roman"/>
        <w:color w:val="000000" w:themeColor="text1"/>
      </w:rPr>
    </w:tblStylePr>
    <w:tblStylePr w:type="nwCell">
      <w:rPr>
        <w:rFonts w:eastAsia="宋体" w:ascii="Times New Roman" w:hAnsi="Times New Roman" w:cs="Times New Roman"/>
        <w:color w:val="000000" w:themeColor="text1"/>
      </w:rPr>
    </w:tblStylePr>
  </w:style>
  <w:style w:type="table" w:styleId="ColorfulList">
    <w:name w:val="Colorful List"/>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宋体" w:ascii="Times New Roman"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宋体" w:ascii="Times New Roman"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宋体" w:ascii="Times New Roman"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eastAsia="宋体" w:ascii="Times New Roman" w:hAnsi="Times New Roman" w:cs="Times New Roman"/>
        <w:b/>
        <w:bCs/>
        <w:color w:val="664E82" w:themeColor="accent4"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eastAsia="宋体" w:ascii="Times New Roman" w:hAnsi="Times New Roman" w:cs="Times New Roman"/>
        <w:b/>
        <w:bCs/>
        <w:color w:val="7E9C40" w:themeColor="accent3"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eastAsia="宋体" w:ascii="Times New Roman" w:hAnsi="Times New Roman" w:cs="Times New Roman"/>
        <w:b/>
        <w:bCs/>
        <w:color w:val="F2730A" w:themeColor="accent6"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eastAsia="宋体" w:ascii="Times New Roman" w:hAnsi="Times New Roman" w:cs="Times New Roman"/>
        <w:b/>
        <w:bCs/>
        <w:color w:val="348DA5" w:themeColor="accent5"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eastAsia="宋体" w:ascii="Times New Roman" w:hAnsi="Times New Roman" w:cs="Times New Roman"/>
        <w:b/>
        <w:bCs/>
      </w:rPr>
      <w:tblPr/>
      <w:tcPr>
        <w:shd w:val="clear" w:color="auto" w:fill="999999" w:themeFill="text1" w:themeFillTint="66"/>
      </w:tcPr>
    </w:tblStylePr>
    <w:tblStylePr w:type="lastRow">
      <w:rPr>
        <w:rFonts w:eastAsia="宋体" w:ascii="Times New Roman" w:hAnsi="Times New Roman" w:cs="Times New Roman"/>
        <w:b/>
        <w:bCs/>
        <w:color w:val="000000" w:themeColor="text1"/>
      </w:rPr>
      <w:tblPr/>
      <w:tcPr>
        <w:shd w:val="clear" w:color="auto" w:fill="999999" w:themeFill="text1" w:themeFillTint="66"/>
      </w:tcPr>
    </w:tblStylePr>
    <w:tblStylePr w:type="firstCol">
      <w:rPr>
        <w:rFonts w:eastAsia="宋体" w:ascii="Times New Roman" w:hAnsi="Times New Roman" w:cs="Times New Roman"/>
        <w:color w:val="FFFFFF" w:themeColor="background1"/>
      </w:rPr>
      <w:tblPr/>
      <w:tcPr>
        <w:shd w:val="clear" w:color="auto" w:fill="000000" w:themeFill="text1" w:themeFillShade="BF"/>
      </w:tcPr>
    </w:tblStylePr>
    <w:tblStylePr w:type="lastCol">
      <w:rPr>
        <w:rFonts w:eastAsia="宋体" w:ascii="Times New Roman" w:hAnsi="Times New Roman" w:cs="Times New Roman"/>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eastAsia="宋体" w:ascii="Times New Roman" w:hAnsi="Times New Roman" w:cs="Times New Roman"/>
        <w:b/>
        <w:bCs/>
      </w:rPr>
      <w:tblPr/>
      <w:tcPr>
        <w:shd w:val="clear" w:color="auto" w:fill="B8CCE4" w:themeFill="accent1" w:themeFillTint="66"/>
      </w:tcPr>
    </w:tblStylePr>
    <w:tblStylePr w:type="lastRow">
      <w:rPr>
        <w:rFonts w:eastAsia="宋体" w:ascii="Times New Roman" w:hAnsi="Times New Roman" w:cs="Times New Roman"/>
        <w:b/>
        <w:bCs/>
        <w:color w:val="000000" w:themeColor="text1"/>
      </w:rPr>
      <w:tblPr/>
      <w:tcPr>
        <w:shd w:val="clear" w:color="auto" w:fill="B8CCE4" w:themeFill="accent1" w:themeFillTint="66"/>
      </w:tcPr>
    </w:tblStylePr>
    <w:tblStylePr w:type="firstCol">
      <w:rPr>
        <w:rFonts w:eastAsia="宋体" w:ascii="Times New Roman" w:hAnsi="Times New Roman" w:cs="Times New Roman"/>
        <w:color w:val="FFFFFF" w:themeColor="background1"/>
      </w:rPr>
      <w:tblPr/>
      <w:tcPr>
        <w:shd w:val="clear" w:color="auto" w:fill="365F91" w:themeFill="accent1" w:themeFillShade="BF"/>
      </w:tcPr>
    </w:tblStylePr>
    <w:tblStylePr w:type="lastCol">
      <w:rPr>
        <w:rFonts w:eastAsia="宋体" w:ascii="Times New Roman" w:hAnsi="Times New Roman" w:cs="Times New Roman"/>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eastAsia="宋体" w:ascii="Times New Roman" w:hAnsi="Times New Roman" w:cs="Times New Roman"/>
        <w:b/>
        <w:bCs/>
      </w:rPr>
      <w:tblPr/>
      <w:tcPr>
        <w:shd w:val="clear" w:color="auto" w:fill="E5B8B7" w:themeFill="accent2" w:themeFillTint="66"/>
      </w:tcPr>
    </w:tblStylePr>
    <w:tblStylePr w:type="lastRow">
      <w:rPr>
        <w:rFonts w:eastAsia="宋体" w:ascii="Times New Roman" w:hAnsi="Times New Roman" w:cs="Times New Roman"/>
        <w:b/>
        <w:bCs/>
        <w:color w:val="000000" w:themeColor="text1"/>
      </w:rPr>
      <w:tblPr/>
      <w:tcPr>
        <w:shd w:val="clear" w:color="auto" w:fill="E5B8B7" w:themeFill="accent2" w:themeFillTint="66"/>
      </w:tcPr>
    </w:tblStylePr>
    <w:tblStylePr w:type="firstCol">
      <w:rPr>
        <w:rFonts w:eastAsia="宋体" w:ascii="Times New Roman" w:hAnsi="Times New Roman" w:cs="Times New Roman"/>
        <w:color w:val="FFFFFF" w:themeColor="background1"/>
      </w:rPr>
      <w:tblPr/>
      <w:tcPr>
        <w:shd w:val="clear" w:color="auto" w:fill="943634" w:themeFill="accent2" w:themeFillShade="BF"/>
      </w:tcPr>
    </w:tblStylePr>
    <w:tblStylePr w:type="lastCol">
      <w:rPr>
        <w:rFonts w:eastAsia="宋体" w:ascii="Times New Roman" w:hAnsi="Times New Roman" w:cs="Times New Roman"/>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eastAsia="宋体" w:ascii="Times New Roman" w:hAnsi="Times New Roman" w:cs="Times New Roman"/>
        <w:b/>
        <w:bCs/>
      </w:rPr>
      <w:tblPr/>
      <w:tcPr>
        <w:shd w:val="clear" w:color="auto" w:fill="D6E3BC" w:themeFill="accent3" w:themeFillTint="66"/>
      </w:tcPr>
    </w:tblStylePr>
    <w:tblStylePr w:type="lastRow">
      <w:rPr>
        <w:rFonts w:eastAsia="宋体" w:ascii="Times New Roman" w:hAnsi="Times New Roman" w:cs="Times New Roman"/>
        <w:b/>
        <w:bCs/>
        <w:color w:val="000000" w:themeColor="text1"/>
      </w:rPr>
      <w:tblPr/>
      <w:tcPr>
        <w:shd w:val="clear" w:color="auto" w:fill="D6E3BC" w:themeFill="accent3" w:themeFillTint="66"/>
      </w:tcPr>
    </w:tblStylePr>
    <w:tblStylePr w:type="firstCol">
      <w:rPr>
        <w:rFonts w:eastAsia="宋体" w:ascii="Times New Roman" w:hAnsi="Times New Roman" w:cs="Times New Roman"/>
        <w:color w:val="FFFFFF" w:themeColor="background1"/>
      </w:rPr>
      <w:tblPr/>
      <w:tcPr>
        <w:shd w:val="clear" w:color="auto" w:fill="76923C" w:themeFill="accent3" w:themeFillShade="BF"/>
      </w:tcPr>
    </w:tblStylePr>
    <w:tblStylePr w:type="lastCol">
      <w:rPr>
        <w:rFonts w:eastAsia="宋体" w:ascii="Times New Roman" w:hAnsi="Times New Roman" w:cs="Times New Roman"/>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eastAsia="宋体" w:ascii="Times New Roman" w:hAnsi="Times New Roman" w:cs="Times New Roman"/>
        <w:b/>
        <w:bCs/>
      </w:rPr>
      <w:tblPr/>
      <w:tcPr>
        <w:shd w:val="clear" w:color="auto" w:fill="CCC0D9" w:themeFill="accent4" w:themeFillTint="66"/>
      </w:tcPr>
    </w:tblStylePr>
    <w:tblStylePr w:type="lastRow">
      <w:rPr>
        <w:rFonts w:eastAsia="宋体" w:ascii="Times New Roman" w:hAnsi="Times New Roman" w:cs="Times New Roman"/>
        <w:b/>
        <w:bCs/>
        <w:color w:val="000000" w:themeColor="text1"/>
      </w:rPr>
      <w:tblPr/>
      <w:tcPr>
        <w:shd w:val="clear" w:color="auto" w:fill="CCC0D9" w:themeFill="accent4" w:themeFillTint="66"/>
      </w:tcPr>
    </w:tblStylePr>
    <w:tblStylePr w:type="firstCol">
      <w:rPr>
        <w:rFonts w:eastAsia="宋体" w:ascii="Times New Roman" w:hAnsi="Times New Roman" w:cs="Times New Roman"/>
        <w:color w:val="FFFFFF" w:themeColor="background1"/>
      </w:rPr>
      <w:tblPr/>
      <w:tcPr>
        <w:shd w:val="clear" w:color="auto" w:fill="5F497A" w:themeFill="accent4" w:themeFillShade="BF"/>
      </w:tcPr>
    </w:tblStylePr>
    <w:tblStylePr w:type="lastCol">
      <w:rPr>
        <w:rFonts w:eastAsia="宋体" w:ascii="Times New Roman" w:hAnsi="Times New Roman" w:cs="Times New Roman"/>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eastAsia="宋体" w:ascii="Times New Roman" w:hAnsi="Times New Roman" w:cs="Times New Roman"/>
        <w:b/>
        <w:bCs/>
      </w:rPr>
      <w:tblPr/>
      <w:tcPr>
        <w:shd w:val="clear" w:color="auto" w:fill="B6DDE8" w:themeFill="accent5" w:themeFillTint="66"/>
      </w:tcPr>
    </w:tblStylePr>
    <w:tblStylePr w:type="lastRow">
      <w:rPr>
        <w:rFonts w:eastAsia="宋体" w:ascii="Times New Roman" w:hAnsi="Times New Roman" w:cs="Times New Roman"/>
        <w:b/>
        <w:bCs/>
        <w:color w:val="000000" w:themeColor="text1"/>
      </w:rPr>
      <w:tblPr/>
      <w:tcPr>
        <w:shd w:val="clear" w:color="auto" w:fill="B6DDE8" w:themeFill="accent5" w:themeFillTint="66"/>
      </w:tcPr>
    </w:tblStylePr>
    <w:tblStylePr w:type="firstCol">
      <w:rPr>
        <w:rFonts w:eastAsia="宋体" w:ascii="Times New Roman" w:hAnsi="Times New Roman" w:cs="Times New Roman"/>
        <w:color w:val="FFFFFF" w:themeColor="background1"/>
      </w:rPr>
      <w:tblPr/>
      <w:tcPr>
        <w:shd w:val="clear" w:color="auto" w:fill="31849B" w:themeFill="accent5" w:themeFillShade="BF"/>
      </w:tcPr>
    </w:tblStylePr>
    <w:tblStylePr w:type="lastCol">
      <w:rPr>
        <w:rFonts w:eastAsia="宋体" w:ascii="Times New Roman" w:hAnsi="Times New Roman" w:cs="Times New Roman"/>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eastAsia="宋体" w:ascii="Times New Roman" w:hAnsi="Times New Roman" w:cs="Times New Roman"/>
        <w:b/>
        <w:bCs/>
      </w:rPr>
      <w:tblPr/>
      <w:tcPr>
        <w:shd w:val="clear" w:color="auto" w:fill="FBD4B4" w:themeFill="accent6" w:themeFillTint="66"/>
      </w:tcPr>
    </w:tblStylePr>
    <w:tblStylePr w:type="lastRow">
      <w:rPr>
        <w:rFonts w:eastAsia="宋体" w:ascii="Times New Roman" w:hAnsi="Times New Roman" w:cs="Times New Roman"/>
        <w:b/>
        <w:bCs/>
        <w:color w:val="000000" w:themeColor="text1"/>
      </w:rPr>
      <w:tblPr/>
      <w:tcPr>
        <w:shd w:val="clear" w:color="auto" w:fill="FBD4B4" w:themeFill="accent6" w:themeFillTint="66"/>
      </w:tcPr>
    </w:tblStylePr>
    <w:tblStylePr w:type="firstCol">
      <w:rPr>
        <w:rFonts w:eastAsia="宋体" w:ascii="Times New Roman" w:hAnsi="Times New Roman" w:cs="Times New Roman"/>
        <w:color w:val="FFFFFF" w:themeColor="background1"/>
      </w:rPr>
      <w:tblPr/>
      <w:tcPr>
        <w:shd w:val="clear" w:color="auto" w:fill="E36C0A" w:themeFill="accent6" w:themeFillShade="BF"/>
      </w:tcPr>
    </w:tblStylePr>
    <w:tblStylePr w:type="lastCol">
      <w:rPr>
        <w:rFonts w:eastAsia="宋体" w:ascii="Times New Roman" w:hAnsi="Times New Roman" w:cs="Times New Roman"/>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SDocumentControlHeading">
    <w:name w:val="CMS Document Control Heading"/>
    <w:qFormat/>
    <w:pPr>
      <w:keepNext/>
      <w:spacing w:line="300" w:lineRule="auto" w:before="240" w:after="120"/>
    </w:pPr>
    <w:rPr>
      <w:rFonts w:ascii="Times New Roman" w:hAnsi="Times New Roman" w:eastAsia="宋体" w:cs="Times New Roman"/>
      <w:b/>
      <w:color w:val="000000"/>
      <w:sz w:val="28"/>
    </w:rPr>
  </w:style>
  <w:style w:type="paragraph" w:customStyle="1" w:styleId="TOC1">
    <w:name w:val="TOC 1"/>
    <w:pPr>
      <w:spacing w:before="0" w:after="0" w:line="276" w:lineRule="auto"/>
      <w:ind w:left="0"/>
    </w:pPr>
    <w:rPr>
      <w:rFonts w:ascii="Times New Roman" w:hAnsi="Times New Roman" w:eastAsia="宋体" w:cs="Times New Roman"/>
      <w:b w:val="0"/>
      <w:color w:val="000000"/>
      <w:sz w:val="21"/>
    </w:rPr>
  </w:style>
  <w:style w:type="paragraph" w:customStyle="1" w:styleId="TOC2">
    <w:name w:val="TOC 2"/>
    <w:pPr>
      <w:spacing w:before="0" w:after="0" w:line="276" w:lineRule="auto"/>
      <w:ind w:left="420"/>
    </w:pPr>
    <w:rPr>
      <w:rFonts w:ascii="Times New Roman" w:hAnsi="Times New Roman" w:eastAsia="宋体" w:cs="Times New Roman"/>
      <w:b w:val="0"/>
      <w:color w:val="000000"/>
      <w:sz w:val="21"/>
    </w:rPr>
  </w:style>
  <w:style w:type="paragraph" w:customStyle="1" w:styleId="TOC3">
    <w:name w:val="TOC 3"/>
    <w:pPr>
      <w:spacing w:before="0" w:after="0" w:line="276" w:lineRule="auto"/>
      <w:ind w:left="840"/>
    </w:pPr>
    <w:rPr>
      <w:rFonts w:ascii="Times New Roman" w:hAnsi="Times New Roman" w:eastAsia="宋体" w:cs="Times New Roman"/>
      <w:b w:val="0"/>
      <w:color w:val="000000"/>
      <w:sz w:val="21"/>
    </w:rPr>
  </w:style>
  <w:style w:type="paragraph" w:customStyle="1" w:styleId="TOC4">
    <w:name w:val="TOC 4"/>
    <w:pPr>
      <w:spacing w:before="0" w:after="0" w:line="276" w:lineRule="auto"/>
      <w:ind w:left="1260"/>
    </w:pPr>
    <w:rPr>
      <w:rFonts w:ascii="Times New Roman" w:hAnsi="Times New Roman" w:eastAsia="宋体" w:cs="Times New Roman"/>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eastAsia="宋体" w:ascii="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宋体" w:ascii="Times New Roman" w:hAnsi="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宋体" w:ascii="Times New Roman" w:hAnsi="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宋体" w:ascii="Times New Roman" w:hAnsi="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宋体" w:ascii="Times New Roman" w:hAnsi="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宋体" w:ascii="Times New Roman" w:hAnsi="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宋体" w:ascii="Times New Roman" w:hAnsi="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宋体" w:ascii="Times New Roman" w:hAnsi="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宋体" w:ascii="Times New Roman" w:hAnsi="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宋体" w:ascii="Times New Roman" w:hAnsi="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eastAsia="宋体" w:ascii="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eastAsia="宋体" w:ascii="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eastAsia="宋体" w:ascii="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宋体" w:ascii="Times New Roman" w:hAnsi="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eastAsia="宋体" w:ascii="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宋体" w:ascii="Times New Roman" w:hAnsi="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eastAsia="宋体" w:ascii="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eastAsia="宋体" w:ascii="Times New Roman" w:hAnsi="Times New Roman" w:cs="Times New Roman"/>
      <w:sz w:val="16"/>
      <w:szCs w:val="16"/>
    </w:rPr>
  </w:style>
  <w:style w:type="character" w:customStyle="1" w:styleId="BodyText3Char">
    <w:name w:val="Body Text 3 Char"/>
    <w:basedOn w:val="DefaultParagraphFont"/>
    <w:link w:val="BodyText3"/>
    <w:uiPriority w:val="99"/>
    <w:rsid w:val="00AA1D8D"/>
    <w:rPr>
      <w:rFonts w:eastAsia="宋体" w:ascii="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宋体"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宋体" w:cs="Times New Roman"/>
      <w:sz w:val="20"/>
      <w:szCs w:val="20"/>
    </w:rPr>
  </w:style>
  <w:style w:type="paragraph" w:styleId="Quote">
    <w:name w:val="Quote"/>
    <w:basedOn w:val="Normal"/>
    <w:next w:val="Normal"/>
    <w:link w:val="QuoteChar"/>
    <w:uiPriority w:val="29"/>
    <w:qFormat/>
    <w:rsid w:val="00FC693F"/>
    <w:rPr>
      <w:rFonts w:eastAsia="宋体" w:ascii="Times New Roman" w:hAnsi="Times New Roman" w:cs="Times New Roman"/>
      <w:i/>
      <w:iCs/>
      <w:color w:val="000000" w:themeColor="text1"/>
    </w:rPr>
  </w:style>
  <w:style w:type="character" w:customStyle="1" w:styleId="QuoteChar">
    <w:name w:val="Quote Char"/>
    <w:basedOn w:val="DefaultParagraphFont"/>
    <w:link w:val="Quote"/>
    <w:uiPriority w:val="29"/>
    <w:rsid w:val="00FC693F"/>
    <w:rPr>
      <w:rFonts w:eastAsia="宋体" w:ascii="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eastAsia="宋体" w:ascii="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eastAsia="宋体" w:ascii="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eastAsia="宋体" w:ascii="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eastAsia="宋体" w:ascii="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eastAsia="宋体" w:ascii="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eastAsia="宋体" w:ascii="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宋体" w:ascii="Times New Roman" w:hAnsi="Times New Roman" w:cs="Times New Roman"/>
      <w:b/>
      <w:bCs/>
      <w:color w:val="4F81BD" w:themeColor="accent1"/>
      <w:sz w:val="18"/>
      <w:szCs w:val="18"/>
    </w:rPr>
  </w:style>
  <w:style w:type="character" w:styleId="Strong">
    <w:name w:val="Strong"/>
    <w:basedOn w:val="DefaultParagraphFont"/>
    <w:uiPriority w:val="22"/>
    <w:qFormat/>
    <w:rsid w:val="00FC693F"/>
    <w:rPr>
      <w:rFonts w:eastAsia="宋体" w:ascii="Times New Roman" w:hAnsi="Times New Roman" w:cs="Times New Roman"/>
      <w:b/>
      <w:bCs/>
    </w:rPr>
  </w:style>
  <w:style w:type="character" w:styleId="Emphasis">
    <w:name w:val="Emphasis"/>
    <w:basedOn w:val="DefaultParagraphFont"/>
    <w:uiPriority w:val="20"/>
    <w:qFormat/>
    <w:rsid w:val="00FC693F"/>
    <w:rPr>
      <w:rFonts w:eastAsia="宋体" w:ascii="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宋体" w:ascii="Times New Roman" w:hAnsi="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eastAsia="宋体" w:ascii="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eastAsia="宋体" w:ascii="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eastAsia="宋体" w:ascii="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eastAsia="宋体" w:ascii="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eastAsia="宋体" w:ascii="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eastAsia="宋体" w:ascii="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eastAsia="宋体" w:ascii="Times New Roman" w:hAnsi="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eastAsia="宋体" w:ascii="Times New Roman" w:hAnsi="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eastAsia="宋体" w:ascii="Times New Roman" w:hAnsi="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eastAsia="宋体" w:ascii="Times New Roman" w:hAnsi="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eastAsia="宋体" w:ascii="Times New Roman" w:hAnsi="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eastAsia="宋体" w:ascii="Times New Roman" w:hAnsi="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eastAsia="宋体" w:ascii="Times New Roman" w:hAnsi="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eastAsia="宋体" w:ascii="Times New Roman" w:hAnsi="Times New Roman"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000000" w:themeFill="text1"/>
      </w:tcPr>
    </w:tblStylePr>
    <w:tblStylePr w:type="lastRow">
      <w:pPr>
        <w:spacing w:before="0" w:after="0" w:line="240" w:lineRule="auto"/>
      </w:pPr>
      <w:rPr>
        <w:rFonts w:eastAsia="宋体" w:ascii="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4F81BD" w:themeFill="accent1"/>
      </w:tcPr>
    </w:tblStylePr>
    <w:tblStylePr w:type="lastRow">
      <w:pPr>
        <w:spacing w:before="0" w:after="0" w:line="240" w:lineRule="auto"/>
      </w:pPr>
      <w:rPr>
        <w:rFonts w:eastAsia="宋体" w:ascii="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C0504D" w:themeFill="accent2"/>
      </w:tcPr>
    </w:tblStylePr>
    <w:tblStylePr w:type="lastRow">
      <w:pPr>
        <w:spacing w:before="0" w:after="0" w:line="240" w:lineRule="auto"/>
      </w:pPr>
      <w:rPr>
        <w:rFonts w:eastAsia="宋体" w:ascii="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9BBB59" w:themeFill="accent3"/>
      </w:tcPr>
    </w:tblStylePr>
    <w:tblStylePr w:type="lastRow">
      <w:pPr>
        <w:spacing w:before="0" w:after="0" w:line="240" w:lineRule="auto"/>
      </w:pPr>
      <w:rPr>
        <w:rFonts w:eastAsia="宋体" w:ascii="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8064A2" w:themeFill="accent4"/>
      </w:tcPr>
    </w:tblStylePr>
    <w:tblStylePr w:type="lastRow">
      <w:pPr>
        <w:spacing w:before="0" w:after="0" w:line="240" w:lineRule="auto"/>
      </w:pPr>
      <w:rPr>
        <w:rFonts w:eastAsia="宋体" w:ascii="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4BACC6" w:themeFill="accent5"/>
      </w:tcPr>
    </w:tblStylePr>
    <w:tblStylePr w:type="lastRow">
      <w:pPr>
        <w:spacing w:before="0" w:after="0" w:line="240" w:lineRule="auto"/>
      </w:pPr>
      <w:rPr>
        <w:rFonts w:eastAsia="宋体" w:ascii="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shd w:val="clear" w:color="auto" w:fill="F79646" w:themeFill="accent6"/>
      </w:tcPr>
    </w:tblStylePr>
    <w:tblStylePr w:type="lastRow">
      <w:pPr>
        <w:spacing w:before="0" w:after="0" w:line="240" w:lineRule="auto"/>
      </w:pPr>
      <w:rPr>
        <w:rFonts w:eastAsia="宋体" w:ascii="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eastAsia="宋体" w:ascii="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eastAsia="宋体" w:ascii="Times New Roman" w:hAnsi="Times New Roman" w:cs="Times New Roman"/>
        <w:b/>
        <w:bCs/>
      </w:rPr>
    </w:tblStylePr>
    <w:tblStylePr w:type="lastCol">
      <w:rPr>
        <w:rFonts w:asciiTheme="majorHAnsi" w:eastAsiaTheme="majorEastAsia" w:hAnsiTheme="majorHAnsi" w:cstheme="majorBidi" w:eastAsia="宋体" w:ascii="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eastAsia="宋体" w:ascii="Times New Roman" w:hAnsi="Times New Roman" w:cs="Times New Roman"/>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eastAsia="宋体" w:ascii="Times New Roman" w:hAnsi="Times New Roman" w:cs="Times New Roman"/>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eastAsia="宋体" w:ascii="Times New Roman" w:hAnsi="Times New Roman" w:cs="Times New Roman"/>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eastAsia="宋体" w:ascii="Times New Roman" w:hAnsi="Times New Roman" w:cs="Times New Roman"/>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eastAsia="宋体" w:ascii="Times New Roman" w:hAnsi="Times New Roman" w:cs="Times New Roman"/>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eastAsia="宋体" w:ascii="Times New Roman" w:hAnsi="Times New Roman" w:cs="Times New Roman"/>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eastAsia="宋体" w:ascii="Times New Roman" w:hAnsi="Times New Roman" w:cs="Times New Roman"/>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宋体"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eastAsia="宋体"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宋体"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eastAsia="宋体" w:ascii="Times New Roman" w:hAnsi="Times New Roman" w:cs="Times New Roman"/>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宋体"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000000" w:themeColor="text1"/>
        </w:tcBorders>
      </w:tcPr>
    </w:tblStylePr>
    <w:tblStylePr w:type="lastRow">
      <w:rPr>
        <w:rFonts w:eastAsia="宋体" w:ascii="Times New Roman" w:hAnsi="Times New Roman" w:cs="Times New Roman"/>
        <w:b/>
        <w:bCs/>
        <w:color w:val="1F497D" w:themeColor="text2"/>
      </w:rPr>
      <w:tblPr/>
      <w:tcPr>
        <w:tcBorders>
          <w:top w:val="single" w:sz="8" w:space="0" w:color="000000" w:themeColor="text1"/>
          <w:bottom w:val="single" w:sz="8" w:space="0" w:color="000000" w:themeColor="text1"/>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4F81BD" w:themeColor="accent1"/>
        </w:tcBorders>
      </w:tcPr>
    </w:tblStylePr>
    <w:tblStylePr w:type="lastRow">
      <w:rPr>
        <w:rFonts w:eastAsia="宋体" w:ascii="Times New Roman" w:hAnsi="Times New Roman" w:cs="Times New Roman"/>
        <w:b/>
        <w:bCs/>
        <w:color w:val="1F497D" w:themeColor="text2"/>
      </w:rPr>
      <w:tblPr/>
      <w:tcPr>
        <w:tcBorders>
          <w:top w:val="single" w:sz="8" w:space="0" w:color="4F81BD" w:themeColor="accent1"/>
          <w:bottom w:val="single" w:sz="8" w:space="0" w:color="4F81BD" w:themeColor="accent1"/>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C0504D" w:themeColor="accent2"/>
        </w:tcBorders>
      </w:tcPr>
    </w:tblStylePr>
    <w:tblStylePr w:type="lastRow">
      <w:rPr>
        <w:rFonts w:eastAsia="宋体" w:ascii="Times New Roman" w:hAnsi="Times New Roman" w:cs="Times New Roman"/>
        <w:b/>
        <w:bCs/>
        <w:color w:val="1F497D" w:themeColor="text2"/>
      </w:rPr>
      <w:tblPr/>
      <w:tcPr>
        <w:tcBorders>
          <w:top w:val="single" w:sz="8" w:space="0" w:color="C0504D" w:themeColor="accent2"/>
          <w:bottom w:val="single" w:sz="8" w:space="0" w:color="C0504D" w:themeColor="accent2"/>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9BBB59" w:themeColor="accent3"/>
        </w:tcBorders>
      </w:tcPr>
    </w:tblStylePr>
    <w:tblStylePr w:type="lastRow">
      <w:rPr>
        <w:rFonts w:eastAsia="宋体" w:ascii="Times New Roman" w:hAnsi="Times New Roman" w:cs="Times New Roman"/>
        <w:b/>
        <w:bCs/>
        <w:color w:val="1F497D" w:themeColor="text2"/>
      </w:rPr>
      <w:tblPr/>
      <w:tcPr>
        <w:tcBorders>
          <w:top w:val="single" w:sz="8" w:space="0" w:color="9BBB59" w:themeColor="accent3"/>
          <w:bottom w:val="single" w:sz="8" w:space="0" w:color="9BBB59" w:themeColor="accent3"/>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8064A2" w:themeColor="accent4"/>
        </w:tcBorders>
      </w:tcPr>
    </w:tblStylePr>
    <w:tblStylePr w:type="lastRow">
      <w:rPr>
        <w:rFonts w:eastAsia="宋体" w:ascii="Times New Roman" w:hAnsi="Times New Roman" w:cs="Times New Roman"/>
        <w:b/>
        <w:bCs/>
        <w:color w:val="1F497D" w:themeColor="text2"/>
      </w:rPr>
      <w:tblPr/>
      <w:tcPr>
        <w:tcBorders>
          <w:top w:val="single" w:sz="8" w:space="0" w:color="8064A2" w:themeColor="accent4"/>
          <w:bottom w:val="single" w:sz="8" w:space="0" w:color="8064A2" w:themeColor="accent4"/>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4BACC6" w:themeColor="accent5"/>
        </w:tcBorders>
      </w:tcPr>
    </w:tblStylePr>
    <w:tblStylePr w:type="lastRow">
      <w:rPr>
        <w:rFonts w:eastAsia="宋体" w:ascii="Times New Roman" w:hAnsi="Times New Roman" w:cs="Times New Roman"/>
        <w:b/>
        <w:bCs/>
        <w:color w:val="1F497D" w:themeColor="text2"/>
      </w:rPr>
      <w:tblPr/>
      <w:tcPr>
        <w:tcBorders>
          <w:top w:val="single" w:sz="8" w:space="0" w:color="4BACC6" w:themeColor="accent5"/>
          <w:bottom w:val="single" w:sz="8" w:space="0" w:color="4BACC6" w:themeColor="accent5"/>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eastAsia="宋体" w:ascii="Times New Roman" w:hAnsi="Times New Roman" w:cs="Times New Roman"/>
      </w:rPr>
      <w:tblPr/>
      <w:tcPr>
        <w:tcBorders>
          <w:top w:val="nil"/>
          <w:bottom w:val="single" w:sz="8" w:space="0" w:color="F79646" w:themeColor="accent6"/>
        </w:tcBorders>
      </w:tcPr>
    </w:tblStylePr>
    <w:tblStylePr w:type="lastRow">
      <w:rPr>
        <w:rFonts w:eastAsia="宋体" w:ascii="Times New Roman" w:hAnsi="Times New Roman" w:cs="Times New Roman"/>
        <w:b/>
        <w:bCs/>
        <w:color w:val="1F497D" w:themeColor="text2"/>
      </w:rPr>
      <w:tblPr/>
      <w:tcPr>
        <w:tcBorders>
          <w:top w:val="single" w:sz="8" w:space="0" w:color="F79646" w:themeColor="accent6"/>
          <w:bottom w:val="single" w:sz="8" w:space="0" w:color="F79646" w:themeColor="accent6"/>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eastAsia="宋体" w:ascii="Times New Roman" w:hAnsi="Times New Roman" w:cs="Times New Roman"/>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404040" w:themeColor="text1"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7BA0CD" w:themeColor="accent1"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CF7B79" w:themeColor="accent2"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B3CC82" w:themeColor="accent3"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9F8AB9" w:themeColor="accent4"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78C0D4" w:themeColor="accent5"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eastAsia="宋体" w:ascii="Times New Roman" w:hAnsi="Times New Roman" w:cs="Times New Roman"/>
        <w:b/>
        <w:bCs/>
      </w:rPr>
    </w:tblStylePr>
    <w:tblStylePr w:type="lastRow">
      <w:rPr>
        <w:rFonts w:eastAsia="宋体" w:ascii="Times New Roman" w:hAnsi="Times New Roman" w:cs="Times New Roman"/>
        <w:b/>
        <w:bCs/>
      </w:rPr>
      <w:tblPr/>
      <w:tcPr>
        <w:tcBorders>
          <w:top w:val="single" w:sz="18" w:space="0" w:color="F9B074" w:themeColor="accent6" w:themeTint="BF"/>
        </w:tcBorders>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eastAsia="宋体" w:ascii="Times New Roman" w:hAnsi="Times New Roman" w:cs="Times New Roman"/>
        <w:b/>
        <w:bCs/>
        <w:color w:val="000000" w:themeColor="text1"/>
      </w:rPr>
      <w:tblPr/>
      <w:tcPr>
        <w:shd w:val="clear" w:color="auto" w:fill="E6E6E6" w:themeFill="text1"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eastAsia="宋体" w:ascii="Times New Roman" w:hAnsi="Times New Roman" w:cs="Times New Roman"/>
        <w:b/>
        <w:bCs/>
        <w:color w:val="000000" w:themeColor="text1"/>
      </w:rPr>
      <w:tblPr/>
      <w:tcPr>
        <w:shd w:val="clear" w:color="auto" w:fill="EDF2F8" w:themeFill="accent1"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eastAsia="宋体" w:ascii="Times New Roman" w:hAnsi="Times New Roman" w:cs="Times New Roman"/>
        <w:b/>
        <w:bCs/>
        <w:color w:val="000000" w:themeColor="text1"/>
      </w:rPr>
      <w:tblPr/>
      <w:tcPr>
        <w:shd w:val="clear" w:color="auto" w:fill="F8EDED" w:themeFill="accent2"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eastAsia="宋体" w:ascii="Times New Roman" w:hAnsi="Times New Roman" w:cs="Times New Roman"/>
        <w:b/>
        <w:bCs/>
        <w:color w:val="000000" w:themeColor="text1"/>
      </w:rPr>
      <w:tblPr/>
      <w:tcPr>
        <w:shd w:val="clear" w:color="auto" w:fill="F5F8EE" w:themeFill="accent3"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eastAsia="宋体" w:ascii="Times New Roman" w:hAnsi="Times New Roman" w:cs="Times New Roman"/>
        <w:b/>
        <w:bCs/>
        <w:color w:val="000000" w:themeColor="text1"/>
      </w:rPr>
      <w:tblPr/>
      <w:tcPr>
        <w:shd w:val="clear" w:color="auto" w:fill="F2EFF6" w:themeFill="accent4"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eastAsia="宋体" w:ascii="Times New Roman" w:hAnsi="Times New Roman" w:cs="Times New Roman"/>
        <w:b/>
        <w:bCs/>
        <w:color w:val="000000" w:themeColor="text1"/>
      </w:rPr>
      <w:tblPr/>
      <w:tcPr>
        <w:shd w:val="clear" w:color="auto" w:fill="EDF6F9" w:themeFill="accent5"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eastAsia="宋体" w:ascii="Times New Roman"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eastAsia="宋体" w:ascii="Times New Roman" w:hAnsi="Times New Roman" w:cs="Times New Roman"/>
        <w:b/>
        <w:bCs/>
        <w:color w:val="000000" w:themeColor="text1"/>
      </w:rPr>
      <w:tblPr/>
      <w:tcPr>
        <w:shd w:val="clear" w:color="auto" w:fill="FEF4EC" w:themeFill="accent6" w:themeFillTint="19"/>
      </w:tcPr>
    </w:tblStylePr>
    <w:tblStylePr w:type="lastRow">
      <w:rPr>
        <w:rFonts w:eastAsia="宋体"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宋体"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宋体"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eastAsia="宋体"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eastAsia="宋体"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eastAsia="宋体"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eastAsia="宋体"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eastAsia="宋体" w:ascii="Times New Roman" w:hAnsi="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eastAsia="宋体"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eastAsia="宋体" w:ascii="Times New Roman"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eastAsia="宋体" w:ascii="Times New Roman" w:hAnsi="Times New Roman" w:cs="Times New Roman"/>
        <w:color w:val="000000" w:themeColor="text1"/>
      </w:rPr>
    </w:tblStylePr>
    <w:tblStylePr w:type="nwCell">
      <w:rPr>
        <w:rFonts w:eastAsia="宋体" w:ascii="Times New Roman" w:hAnsi="Times New Roman" w:cs="Times New Roman"/>
        <w:color w:val="000000" w:themeColor="text1"/>
      </w:rPr>
    </w:tblStylePr>
  </w:style>
  <w:style w:type="table" w:styleId="ColorfulShading-Accent1">
    <w:name w:val="Colorful Shading Accent 1"/>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eastAsia="宋体" w:ascii="Times New Roman"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eastAsia="宋体" w:ascii="Times New Roman" w:hAnsi="Times New Roman" w:cs="Times New Roman"/>
        <w:color w:val="000000" w:themeColor="text1"/>
      </w:rPr>
    </w:tblStylePr>
    <w:tblStylePr w:type="nwCell">
      <w:rPr>
        <w:rFonts w:eastAsia="宋体" w:ascii="Times New Roman" w:hAnsi="Times New Roman" w:cs="Times New Roman"/>
        <w:color w:val="000000" w:themeColor="text1"/>
      </w:rPr>
    </w:tblStylePr>
  </w:style>
  <w:style w:type="table" w:styleId="ColorfulShading-Accent2">
    <w:name w:val="Colorful Shading Accent 2"/>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eastAsia="宋体" w:ascii="Times New Roman"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eastAsia="宋体" w:ascii="Times New Roman" w:hAnsi="Times New Roman" w:cs="Times New Roman"/>
        <w:color w:val="000000" w:themeColor="text1"/>
      </w:rPr>
    </w:tblStylePr>
    <w:tblStylePr w:type="nwCell">
      <w:rPr>
        <w:rFonts w:eastAsia="宋体" w:ascii="Times New Roman" w:hAnsi="Times New Roman" w:cs="Times New Roman"/>
        <w:color w:val="000000" w:themeColor="text1"/>
      </w:rPr>
    </w:tblStylePr>
  </w:style>
  <w:style w:type="table" w:styleId="ColorfulShading-Accent3">
    <w:name w:val="Colorful Shading Accent 3"/>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eastAsia="宋体" w:ascii="Times New Roman" w:hAnsi="Times New Roman" w:cs="Times New Roman"/>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eastAsia="宋体" w:ascii="Times New Roman" w:hAnsi="Times New Roman" w:cs="Times New Roman"/>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eastAsia="宋体" w:ascii="Times New Roman" w:hAnsi="Times New Roman" w:cs="Times New Roman"/>
        <w:color w:val="000000" w:themeColor="text1"/>
      </w:rPr>
    </w:tblStylePr>
    <w:tblStylePr w:type="nwCell">
      <w:rPr>
        <w:rFonts w:eastAsia="宋体" w:ascii="Times New Roman" w:hAnsi="Times New Roman" w:cs="Times New Roman"/>
        <w:color w:val="000000" w:themeColor="text1"/>
      </w:rPr>
    </w:tblStylePr>
  </w:style>
  <w:style w:type="table" w:styleId="ColorfulShading-Accent5">
    <w:name w:val="Colorful Shading Accent 5"/>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eastAsia="宋体" w:ascii="Times New Roman" w:hAnsi="Times New Roman" w:cs="Times New Roman"/>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eastAsia="宋体" w:ascii="Times New Roman" w:hAnsi="Times New Roman" w:cs="Times New Roman"/>
        <w:color w:val="000000" w:themeColor="text1"/>
      </w:rPr>
    </w:tblStylePr>
    <w:tblStylePr w:type="nwCell">
      <w:rPr>
        <w:rFonts w:eastAsia="宋体" w:ascii="Times New Roman" w:hAnsi="Times New Roman" w:cs="Times New Roman"/>
        <w:color w:val="000000" w:themeColor="text1"/>
      </w:rPr>
    </w:tblStylePr>
  </w:style>
  <w:style w:type="table" w:styleId="ColorfulShading-Accent6">
    <w:name w:val="Colorful Shading Accent 6"/>
    <w:basedOn w:val="TableNormal"/>
    <w:uiPriority w:val="71"/>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eastAsia="宋体" w:ascii="Times New Roman" w:hAnsi="Times New Roman" w:cs="Times New Roman"/>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eastAsia="宋体" w:ascii="Times New Roman" w:hAnsi="Times New Roman" w:cs="Times New Roman"/>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eastAsia="宋体" w:ascii="Times New Roman" w:hAnsi="Times New Roman" w:cs="Times New Roman"/>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eastAsia="宋体" w:ascii="Times New Roman" w:hAnsi="Times New Roman" w:cs="Times New Roman"/>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eastAsia="宋体" w:ascii="Times New Roman" w:hAnsi="Times New Roman" w:cs="Times New Roman"/>
        <w:color w:val="000000" w:themeColor="text1"/>
      </w:rPr>
    </w:tblStylePr>
    <w:tblStylePr w:type="nwCell">
      <w:rPr>
        <w:rFonts w:eastAsia="宋体" w:ascii="Times New Roman" w:hAnsi="Times New Roman" w:cs="Times New Roman"/>
        <w:color w:val="000000" w:themeColor="text1"/>
      </w:rPr>
    </w:tblStylePr>
  </w:style>
  <w:style w:type="table" w:styleId="ColorfulList">
    <w:name w:val="Colorful List"/>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宋体" w:ascii="Times New Roman"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宋体" w:ascii="Times New Roman"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宋体" w:ascii="Times New Roman"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eastAsia="宋体" w:ascii="Times New Roman" w:hAnsi="Times New Roman" w:cs="Times New Roman"/>
        <w:b/>
        <w:bCs/>
        <w:color w:val="664E82" w:themeColor="accent4"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eastAsia="宋体" w:ascii="Times New Roman" w:hAnsi="Times New Roman" w:cs="Times New Roman"/>
        <w:b/>
        <w:bCs/>
        <w:color w:val="7E9C40" w:themeColor="accent3"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eastAsia="宋体" w:ascii="Times New Roman" w:hAnsi="Times New Roman" w:cs="Times New Roman"/>
        <w:b/>
        <w:bCs/>
        <w:color w:val="F2730A" w:themeColor="accent6"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eastAsia="宋体" w:ascii="Times New Roman" w:hAnsi="Times New Roman" w:cs="Times New Roman"/>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eastAsia="宋体" w:ascii="Times New Roman" w:hAnsi="Times New Roman" w:cs="Times New Roman"/>
        <w:b/>
        <w:bCs/>
        <w:color w:val="348DA5" w:themeColor="accent5" w:themeShade="CC"/>
      </w:rPr>
      <w:tblPr/>
      <w:tcPr>
        <w:tcBorders>
          <w:top w:val="single" w:sz="12" w:space="0" w:color="000000" w:themeColor="text1"/>
        </w:tcBorders>
        <w:shd w:val="clear" w:color="auto" w:fill="FFFFFF" w:themeFill="background1"/>
      </w:tcPr>
    </w:tblStylePr>
    <w:tblStylePr w:type="firstCol">
      <w:rPr>
        <w:rFonts w:eastAsia="宋体" w:ascii="Times New Roman" w:hAnsi="Times New Roman" w:cs="Times New Roman"/>
        <w:b/>
        <w:bCs/>
      </w:rPr>
    </w:tblStylePr>
    <w:tblStylePr w:type="lastCol">
      <w:rPr>
        <w:rFonts w:eastAsia="宋体" w:ascii="Times New Roman" w:hAnsi="Times New Roman" w:cs="Times New Roman"/>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eastAsia="宋体" w:ascii="Times New Roman" w:hAnsi="Times New Roman" w:cs="Times New Roman"/>
        <w:b/>
        <w:bCs/>
      </w:rPr>
      <w:tblPr/>
      <w:tcPr>
        <w:shd w:val="clear" w:color="auto" w:fill="999999" w:themeFill="text1" w:themeFillTint="66"/>
      </w:tcPr>
    </w:tblStylePr>
    <w:tblStylePr w:type="lastRow">
      <w:rPr>
        <w:rFonts w:eastAsia="宋体" w:ascii="Times New Roman" w:hAnsi="Times New Roman" w:cs="Times New Roman"/>
        <w:b/>
        <w:bCs/>
        <w:color w:val="000000" w:themeColor="text1"/>
      </w:rPr>
      <w:tblPr/>
      <w:tcPr>
        <w:shd w:val="clear" w:color="auto" w:fill="999999" w:themeFill="text1" w:themeFillTint="66"/>
      </w:tcPr>
    </w:tblStylePr>
    <w:tblStylePr w:type="firstCol">
      <w:rPr>
        <w:rFonts w:eastAsia="宋体" w:ascii="Times New Roman" w:hAnsi="Times New Roman" w:cs="Times New Roman"/>
        <w:color w:val="FFFFFF" w:themeColor="background1"/>
      </w:rPr>
      <w:tblPr/>
      <w:tcPr>
        <w:shd w:val="clear" w:color="auto" w:fill="000000" w:themeFill="text1" w:themeFillShade="BF"/>
      </w:tcPr>
    </w:tblStylePr>
    <w:tblStylePr w:type="lastCol">
      <w:rPr>
        <w:rFonts w:eastAsia="宋体" w:ascii="Times New Roman" w:hAnsi="Times New Roman" w:cs="Times New Roman"/>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eastAsia="宋体" w:ascii="Times New Roman" w:hAnsi="Times New Roman" w:cs="Times New Roman"/>
        <w:b/>
        <w:bCs/>
      </w:rPr>
      <w:tblPr/>
      <w:tcPr>
        <w:shd w:val="clear" w:color="auto" w:fill="B8CCE4" w:themeFill="accent1" w:themeFillTint="66"/>
      </w:tcPr>
    </w:tblStylePr>
    <w:tblStylePr w:type="lastRow">
      <w:rPr>
        <w:rFonts w:eastAsia="宋体" w:ascii="Times New Roman" w:hAnsi="Times New Roman" w:cs="Times New Roman"/>
        <w:b/>
        <w:bCs/>
        <w:color w:val="000000" w:themeColor="text1"/>
      </w:rPr>
      <w:tblPr/>
      <w:tcPr>
        <w:shd w:val="clear" w:color="auto" w:fill="B8CCE4" w:themeFill="accent1" w:themeFillTint="66"/>
      </w:tcPr>
    </w:tblStylePr>
    <w:tblStylePr w:type="firstCol">
      <w:rPr>
        <w:rFonts w:eastAsia="宋体" w:ascii="Times New Roman" w:hAnsi="Times New Roman" w:cs="Times New Roman"/>
        <w:color w:val="FFFFFF" w:themeColor="background1"/>
      </w:rPr>
      <w:tblPr/>
      <w:tcPr>
        <w:shd w:val="clear" w:color="auto" w:fill="365F91" w:themeFill="accent1" w:themeFillShade="BF"/>
      </w:tcPr>
    </w:tblStylePr>
    <w:tblStylePr w:type="lastCol">
      <w:rPr>
        <w:rFonts w:eastAsia="宋体" w:ascii="Times New Roman" w:hAnsi="Times New Roman" w:cs="Times New Roman"/>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eastAsia="宋体" w:ascii="Times New Roman" w:hAnsi="Times New Roman" w:cs="Times New Roman"/>
        <w:b/>
        <w:bCs/>
      </w:rPr>
      <w:tblPr/>
      <w:tcPr>
        <w:shd w:val="clear" w:color="auto" w:fill="E5B8B7" w:themeFill="accent2" w:themeFillTint="66"/>
      </w:tcPr>
    </w:tblStylePr>
    <w:tblStylePr w:type="lastRow">
      <w:rPr>
        <w:rFonts w:eastAsia="宋体" w:ascii="Times New Roman" w:hAnsi="Times New Roman" w:cs="Times New Roman"/>
        <w:b/>
        <w:bCs/>
        <w:color w:val="000000" w:themeColor="text1"/>
      </w:rPr>
      <w:tblPr/>
      <w:tcPr>
        <w:shd w:val="clear" w:color="auto" w:fill="E5B8B7" w:themeFill="accent2" w:themeFillTint="66"/>
      </w:tcPr>
    </w:tblStylePr>
    <w:tblStylePr w:type="firstCol">
      <w:rPr>
        <w:rFonts w:eastAsia="宋体" w:ascii="Times New Roman" w:hAnsi="Times New Roman" w:cs="Times New Roman"/>
        <w:color w:val="FFFFFF" w:themeColor="background1"/>
      </w:rPr>
      <w:tblPr/>
      <w:tcPr>
        <w:shd w:val="clear" w:color="auto" w:fill="943634" w:themeFill="accent2" w:themeFillShade="BF"/>
      </w:tcPr>
    </w:tblStylePr>
    <w:tblStylePr w:type="lastCol">
      <w:rPr>
        <w:rFonts w:eastAsia="宋体" w:ascii="Times New Roman" w:hAnsi="Times New Roman" w:cs="Times New Roman"/>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eastAsia="宋体" w:ascii="Times New Roman" w:hAnsi="Times New Roman" w:cs="Times New Roman"/>
        <w:b/>
        <w:bCs/>
      </w:rPr>
      <w:tblPr/>
      <w:tcPr>
        <w:shd w:val="clear" w:color="auto" w:fill="D6E3BC" w:themeFill="accent3" w:themeFillTint="66"/>
      </w:tcPr>
    </w:tblStylePr>
    <w:tblStylePr w:type="lastRow">
      <w:rPr>
        <w:rFonts w:eastAsia="宋体" w:ascii="Times New Roman" w:hAnsi="Times New Roman" w:cs="Times New Roman"/>
        <w:b/>
        <w:bCs/>
        <w:color w:val="000000" w:themeColor="text1"/>
      </w:rPr>
      <w:tblPr/>
      <w:tcPr>
        <w:shd w:val="clear" w:color="auto" w:fill="D6E3BC" w:themeFill="accent3" w:themeFillTint="66"/>
      </w:tcPr>
    </w:tblStylePr>
    <w:tblStylePr w:type="firstCol">
      <w:rPr>
        <w:rFonts w:eastAsia="宋体" w:ascii="Times New Roman" w:hAnsi="Times New Roman" w:cs="Times New Roman"/>
        <w:color w:val="FFFFFF" w:themeColor="background1"/>
      </w:rPr>
      <w:tblPr/>
      <w:tcPr>
        <w:shd w:val="clear" w:color="auto" w:fill="76923C" w:themeFill="accent3" w:themeFillShade="BF"/>
      </w:tcPr>
    </w:tblStylePr>
    <w:tblStylePr w:type="lastCol">
      <w:rPr>
        <w:rFonts w:eastAsia="宋体" w:ascii="Times New Roman" w:hAnsi="Times New Roman" w:cs="Times New Roman"/>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eastAsia="宋体" w:ascii="Times New Roman" w:hAnsi="Times New Roman" w:cs="Times New Roman"/>
        <w:b/>
        <w:bCs/>
      </w:rPr>
      <w:tblPr/>
      <w:tcPr>
        <w:shd w:val="clear" w:color="auto" w:fill="CCC0D9" w:themeFill="accent4" w:themeFillTint="66"/>
      </w:tcPr>
    </w:tblStylePr>
    <w:tblStylePr w:type="lastRow">
      <w:rPr>
        <w:rFonts w:eastAsia="宋体" w:ascii="Times New Roman" w:hAnsi="Times New Roman" w:cs="Times New Roman"/>
        <w:b/>
        <w:bCs/>
        <w:color w:val="000000" w:themeColor="text1"/>
      </w:rPr>
      <w:tblPr/>
      <w:tcPr>
        <w:shd w:val="clear" w:color="auto" w:fill="CCC0D9" w:themeFill="accent4" w:themeFillTint="66"/>
      </w:tcPr>
    </w:tblStylePr>
    <w:tblStylePr w:type="firstCol">
      <w:rPr>
        <w:rFonts w:eastAsia="宋体" w:ascii="Times New Roman" w:hAnsi="Times New Roman" w:cs="Times New Roman"/>
        <w:color w:val="FFFFFF" w:themeColor="background1"/>
      </w:rPr>
      <w:tblPr/>
      <w:tcPr>
        <w:shd w:val="clear" w:color="auto" w:fill="5F497A" w:themeFill="accent4" w:themeFillShade="BF"/>
      </w:tcPr>
    </w:tblStylePr>
    <w:tblStylePr w:type="lastCol">
      <w:rPr>
        <w:rFonts w:eastAsia="宋体" w:ascii="Times New Roman" w:hAnsi="Times New Roman" w:cs="Times New Roman"/>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eastAsia="宋体" w:ascii="Times New Roman" w:hAnsi="Times New Roman" w:cs="Times New Roman"/>
        <w:b/>
        <w:bCs/>
      </w:rPr>
      <w:tblPr/>
      <w:tcPr>
        <w:shd w:val="clear" w:color="auto" w:fill="B6DDE8" w:themeFill="accent5" w:themeFillTint="66"/>
      </w:tcPr>
    </w:tblStylePr>
    <w:tblStylePr w:type="lastRow">
      <w:rPr>
        <w:rFonts w:eastAsia="宋体" w:ascii="Times New Roman" w:hAnsi="Times New Roman" w:cs="Times New Roman"/>
        <w:b/>
        <w:bCs/>
        <w:color w:val="000000" w:themeColor="text1"/>
      </w:rPr>
      <w:tblPr/>
      <w:tcPr>
        <w:shd w:val="clear" w:color="auto" w:fill="B6DDE8" w:themeFill="accent5" w:themeFillTint="66"/>
      </w:tcPr>
    </w:tblStylePr>
    <w:tblStylePr w:type="firstCol">
      <w:rPr>
        <w:rFonts w:eastAsia="宋体" w:ascii="Times New Roman" w:hAnsi="Times New Roman" w:cs="Times New Roman"/>
        <w:color w:val="FFFFFF" w:themeColor="background1"/>
      </w:rPr>
      <w:tblPr/>
      <w:tcPr>
        <w:shd w:val="clear" w:color="auto" w:fill="31849B" w:themeFill="accent5" w:themeFillShade="BF"/>
      </w:tcPr>
    </w:tblStylePr>
    <w:tblStylePr w:type="lastCol">
      <w:rPr>
        <w:rFonts w:eastAsia="宋体" w:ascii="Times New Roman" w:hAnsi="Times New Roman" w:cs="Times New Roman"/>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eastAsia="宋体" w:ascii="Times New Roman" w:hAnsi="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eastAsia="宋体" w:ascii="Times New Roman" w:hAnsi="Times New Roman" w:cs="Times New Roman"/>
        <w:b/>
        <w:bCs/>
      </w:rPr>
      <w:tblPr/>
      <w:tcPr>
        <w:shd w:val="clear" w:color="auto" w:fill="FBD4B4" w:themeFill="accent6" w:themeFillTint="66"/>
      </w:tcPr>
    </w:tblStylePr>
    <w:tblStylePr w:type="lastRow">
      <w:rPr>
        <w:rFonts w:eastAsia="宋体" w:ascii="Times New Roman" w:hAnsi="Times New Roman" w:cs="Times New Roman"/>
        <w:b/>
        <w:bCs/>
        <w:color w:val="000000" w:themeColor="text1"/>
      </w:rPr>
      <w:tblPr/>
      <w:tcPr>
        <w:shd w:val="clear" w:color="auto" w:fill="FBD4B4" w:themeFill="accent6" w:themeFillTint="66"/>
      </w:tcPr>
    </w:tblStylePr>
    <w:tblStylePr w:type="firstCol">
      <w:rPr>
        <w:rFonts w:eastAsia="宋体" w:ascii="Times New Roman" w:hAnsi="Times New Roman" w:cs="Times New Roman"/>
        <w:color w:val="FFFFFF" w:themeColor="background1"/>
      </w:rPr>
      <w:tblPr/>
      <w:tcPr>
        <w:shd w:val="clear" w:color="auto" w:fill="E36C0A" w:themeFill="accent6" w:themeFillShade="BF"/>
      </w:tcPr>
    </w:tblStylePr>
    <w:tblStylePr w:type="lastCol">
      <w:rPr>
        <w:rFonts w:eastAsia="宋体" w:ascii="Times New Roman" w:hAnsi="Times New Roman" w:cs="Times New Roman"/>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宋体"/>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MW-II-00990781-DRAFT 草案</dc:title>
  <dc:subject>医学写作草稿预览</dc:subject>
  <dc:creator>CMS AI医学经理工作台</dc:creator>
  <cp:keywords/>
  <dc:description/>
  <cp:lastModifiedBy>CMS AI医学经理工作台</cp:lastModifiedBy>
  <cp:revision>1</cp:revision>
  <dcterms:created xsi:type="dcterms:W3CDTF">2000-01-01T00:00:00Z</dcterms:created>
  <dcterms:modified xsi:type="dcterms:W3CDTF">2000-01-01T00:00:00Z</dcterms:modified>
  <cp:category/>
  <dc:identifier>mwdoc_greenfield_proj_user_97189da36a75_1a5fada092706d6c</dc:identifier>
</cp:coreProperties>
</file>