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82BD2" w14:textId="77777777" w:rsidR="002B6FF9" w:rsidRDefault="00182EBF" w:rsidP="00C220EE">
      <w:pPr>
        <w:pStyle w:val="Title"/>
      </w:pPr>
      <w:bookmarkStart w:id="0" w:name="dokumentation-mlp-tool"/>
      <w:r>
        <w:t>Dokumentation MLP Tool</w:t>
      </w:r>
    </w:p>
    <w:p w14:paraId="2D55D34F" w14:textId="5D1ECA18" w:rsidR="002B6FF9" w:rsidRDefault="00182EBF">
      <w:pPr>
        <w:pStyle w:val="FirstParagraph"/>
      </w:pPr>
      <w:r>
        <w:t xml:space="preserve">Dieses Tool bietet eine grafische Schnittstelle zur Python-Bibliothek scikit-learn und kann verwendet werden, um einfache neuronale Netze der Klasse </w:t>
      </w:r>
      <w:r>
        <w:rPr>
          <w:b/>
        </w:rPr>
        <w:t>Multilayer Perceptron</w:t>
      </w:r>
      <w:r>
        <w:t xml:space="preserve"> (MLP) </w:t>
      </w:r>
      <w:proofErr w:type="spellStart"/>
      <w:r>
        <w:t>für</w:t>
      </w:r>
      <w:proofErr w:type="spellEnd"/>
      <w:r>
        <w:t xml:space="preserve"> </w:t>
      </w:r>
      <w:proofErr w:type="spellStart"/>
      <w:r>
        <w:t>Regressionsprobleme</w:t>
      </w:r>
      <w:proofErr w:type="spellEnd"/>
      <w:r>
        <w:t xml:space="preserve"> </w:t>
      </w:r>
      <w:proofErr w:type="spellStart"/>
      <w:r>
        <w:t>zu</w:t>
      </w:r>
      <w:proofErr w:type="spellEnd"/>
      <w:r>
        <w:t xml:space="preserve"> </w:t>
      </w:r>
      <w:proofErr w:type="spellStart"/>
      <w:r>
        <w:t>trainieren</w:t>
      </w:r>
      <w:proofErr w:type="spellEnd"/>
      <w:r>
        <w:t>.</w:t>
      </w:r>
    </w:p>
    <w:p w14:paraId="013BE0ED" w14:textId="77777777" w:rsidR="00C220EE" w:rsidRPr="00C220EE" w:rsidRDefault="00C220EE" w:rsidP="00C220EE">
      <w:pPr>
        <w:pStyle w:val="BodyText"/>
      </w:pPr>
    </w:p>
    <w:p w14:paraId="7C7A9C4C" w14:textId="77777777" w:rsidR="002B6FF9" w:rsidRDefault="00182EBF">
      <w:pPr>
        <w:pStyle w:val="Heading2"/>
      </w:pPr>
      <w:bookmarkStart w:id="1" w:name="theoretische-grundlagen"/>
      <w:proofErr w:type="spellStart"/>
      <w:r>
        <w:t>Theoretische</w:t>
      </w:r>
      <w:proofErr w:type="spellEnd"/>
      <w:r>
        <w:t xml:space="preserve"> </w:t>
      </w:r>
      <w:proofErr w:type="spellStart"/>
      <w:r>
        <w:t>Grundlagen</w:t>
      </w:r>
      <w:proofErr w:type="spellEnd"/>
    </w:p>
    <w:p w14:paraId="06CB088C" w14:textId="77777777" w:rsidR="002B6FF9" w:rsidRDefault="00182EBF">
      <w:pPr>
        <w:pStyle w:val="Heading3"/>
      </w:pPr>
      <w:bookmarkStart w:id="2" w:name="struktur"/>
      <w:r>
        <w:t>Struktur</w:t>
      </w:r>
    </w:p>
    <w:p w14:paraId="36139CEE" w14:textId="77777777" w:rsidR="002B6FF9" w:rsidRDefault="00182EBF">
      <w:pPr>
        <w:pStyle w:val="FirstParagraph"/>
      </w:pPr>
      <w:r>
        <w:t>A</w:t>
      </w:r>
      <w:r>
        <w:t xml:space="preserve">uszug aus </w:t>
      </w:r>
      <w:hyperlink r:id="rId7">
        <w:r>
          <w:rPr>
            <w:rStyle w:val="Hyperlink"/>
          </w:rPr>
          <w:t>Wikipedia</w:t>
        </w:r>
      </w:hyperlink>
      <w:r>
        <w:t>:</w:t>
      </w:r>
    </w:p>
    <w:p w14:paraId="29782789" w14:textId="77777777" w:rsidR="002B6FF9" w:rsidRDefault="00182EBF">
      <w:pPr>
        <w:pStyle w:val="BlockText"/>
      </w:pPr>
      <w:r>
        <w:t xml:space="preserve">Ein MLP besteht aus mindestens drei </w:t>
      </w:r>
      <w:hyperlink r:id="rId8">
        <w:r>
          <w:rPr>
            <w:rStyle w:val="Hyperlink"/>
          </w:rPr>
          <w:t>Schichten</w:t>
        </w:r>
      </w:hyperlink>
      <w:r>
        <w:t xml:space="preserve"> von Knoten: einer Eingabe-</w:t>
      </w:r>
      <w:hyperlink r:id="rId9">
        <w:r>
          <w:rPr>
            <w:rStyle w:val="Hyperlink"/>
          </w:rPr>
          <w:t>Schicht</w:t>
        </w:r>
      </w:hyperlink>
      <w:r>
        <w:t xml:space="preserve">, einer versteckten </w:t>
      </w:r>
      <w:hyperlink r:id="rId10">
        <w:r>
          <w:rPr>
            <w:rStyle w:val="Hyperlink"/>
          </w:rPr>
          <w:t>Schicht</w:t>
        </w:r>
      </w:hyperlink>
      <w:r>
        <w:t xml:space="preserve"> und einer Ausgabe-</w:t>
      </w:r>
      <w:hyperlink r:id="rId11">
        <w:r>
          <w:rPr>
            <w:rStyle w:val="Hyperlink"/>
          </w:rPr>
          <w:t>Schicht</w:t>
        </w:r>
      </w:hyperlink>
      <w:r>
        <w:t>. Mi</w:t>
      </w:r>
      <w:r>
        <w:t xml:space="preserve">t Ausnahme der Eingabeknoten ist jeder Knoten ein Neuron, das eine nichtlineare </w:t>
      </w:r>
      <w:hyperlink r:id="rId12">
        <w:r>
          <w:rPr>
            <w:rStyle w:val="Hyperlink"/>
          </w:rPr>
          <w:t>Aktivierungsfunktion</w:t>
        </w:r>
      </w:hyperlink>
      <w:r>
        <w:t xml:space="preserve"> verwendet. […] Es kann Daten unterscheiden, die nicht </w:t>
      </w:r>
      <w:hyperlink r:id="rId13">
        <w:r>
          <w:rPr>
            <w:rStyle w:val="Hyperlink"/>
          </w:rPr>
          <w:t>linear separierbar</w:t>
        </w:r>
      </w:hyperlink>
      <w:r>
        <w:t xml:space="preserve"> sind. […]</w:t>
      </w:r>
    </w:p>
    <w:p w14:paraId="01917AC8" w14:textId="77777777" w:rsidR="002B6FF9" w:rsidRDefault="00182EBF">
      <w:pPr>
        <w:pStyle w:val="BlockText"/>
      </w:pPr>
      <w:r>
        <w:t xml:space="preserve">Da MLPs voll vernetzt sind, verbindet sich jeder Knoten in einer Schicht über ein bestimmtes Gewicht </w:t>
      </w:r>
      <m:oMath>
        <m:sSub>
          <m:sSubPr>
            <m:ctrlPr>
              <w:rPr>
                <w:rFonts w:ascii="Cambria Math" w:hAnsi="Cambria Math"/>
              </w:rPr>
            </m:ctrlPr>
          </m:sSubPr>
          <m:e>
            <m:r>
              <w:rPr>
                <w:rFonts w:ascii="Cambria Math" w:hAnsi="Cambria Math"/>
              </w:rPr>
              <m:t>ω</m:t>
            </m:r>
          </m:e>
          <m:sub>
            <m:r>
              <w:rPr>
                <w:rFonts w:ascii="Cambria Math" w:hAnsi="Cambria Math"/>
              </w:rPr>
              <m:t>ij</m:t>
            </m:r>
          </m:sub>
        </m:sSub>
      </m:oMath>
      <w:r>
        <w:t xml:space="preserve"> mit jedem Knoten in der folgenden Schicht.</w:t>
      </w:r>
    </w:p>
    <w:p w14:paraId="451FED20" w14:textId="77777777" w:rsidR="002B6FF9" w:rsidRDefault="00182EBF">
      <w:pPr>
        <w:pStyle w:val="Heading3"/>
      </w:pPr>
      <w:bookmarkStart w:id="3" w:name="aktivierungsfunktionen"/>
      <w:bookmarkEnd w:id="2"/>
      <w:r>
        <w:t>Aktivierungsfunktionen</w:t>
      </w:r>
    </w:p>
    <w:p w14:paraId="74D8AD61" w14:textId="77777777" w:rsidR="002B6FF9" w:rsidRDefault="00182EBF">
      <w:pPr>
        <w:pStyle w:val="FirstParagraph"/>
      </w:pPr>
      <w:r>
        <w:t xml:space="preserve">Die Ausgabe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jedes Neurons wird durch Abbildung seiner gewichteten Eingänge </w:t>
      </w:r>
      <m:oMath>
        <m:r>
          <w:rPr>
            <w:rFonts w:ascii="Cambria Math" w:hAnsi="Cambria Math"/>
          </w:rPr>
          <m:t>x</m:t>
        </m:r>
      </m:oMath>
      <w:r>
        <w:t xml:space="preserve"> auf die Aktivierungsfunktion bestimmt. Um nichtlineares Verhalten zu modellieren, sind Aktivierungsfunktionen wie Tangens Hyperbolicus oder die Sigmoidfunktion notwendig.</w:t>
      </w:r>
    </w:p>
    <w:p w14:paraId="378055DA" w14:textId="77777777" w:rsidR="002B6FF9" w:rsidRDefault="00182EBF">
      <w:pPr>
        <w:pStyle w:val="BodyText"/>
      </w:pPr>
      <w:r>
        <w:t>Typische Aktivie</w:t>
      </w:r>
      <w:r>
        <w:t>rungsfunktionen sind:</w:t>
      </w:r>
    </w:p>
    <w:p w14:paraId="516A7086" w14:textId="77777777" w:rsidR="002B6FF9" w:rsidRDefault="00182EBF">
      <w:pPr>
        <w:pStyle w:val="Heading4"/>
      </w:pPr>
      <w:bookmarkStart w:id="4" w:name="linear"/>
      <w:r>
        <w:t>Linear</w:t>
      </w:r>
    </w:p>
    <w:p w14:paraId="7B6BA6D5" w14:textId="77777777" w:rsidR="002B6FF9" w:rsidRDefault="00182EBF">
      <w:pPr>
        <w:pStyle w:val="FirstParagraph"/>
      </w:pPr>
      <w:r>
        <w:t>Die lineare Funktion bildet die Eingänge direkt auf den Ausgang der Neuronen ab.</w:t>
      </w:r>
    </w:p>
    <w:p w14:paraId="6BEC37A1" w14:textId="77777777" w:rsidR="002B6FF9" w:rsidRDefault="00182EBF">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x</m:t>
          </m:r>
        </m:oMath>
      </m:oMathPara>
    </w:p>
    <w:p w14:paraId="601F1E3D" w14:textId="77777777" w:rsidR="002B6FF9" w:rsidRDefault="00182EBF">
      <w:pPr>
        <w:pStyle w:val="Heading4"/>
      </w:pPr>
      <w:bookmarkStart w:id="5" w:name="tangens-hyperbolicus"/>
      <w:bookmarkEnd w:id="4"/>
      <w:r>
        <w:t>Tangens Hyperbolicus</w:t>
      </w:r>
    </w:p>
    <w:p w14:paraId="24D7E2A7" w14:textId="77777777" w:rsidR="002B6FF9" w:rsidRDefault="00182EBF">
      <w:pPr>
        <w:pStyle w:val="FirstParagraph"/>
      </w:pPr>
      <w:r>
        <w:t>Diese logistische Aktivierungsfunktion liegt im Bereich von -1 bis 1.</w:t>
      </w:r>
    </w:p>
    <w:p w14:paraId="091EE801" w14:textId="77777777" w:rsidR="002B6FF9" w:rsidRDefault="00182EBF">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m:rPr>
              <m:nor/>
            </m:rPr>
            <m:t>tanh</m:t>
          </m:r>
          <m:r>
            <w:rPr>
              <w:rFonts w:ascii="Cambria Math" w:hAnsi="Cambria Math"/>
            </w:rPr>
            <m:t>(</m:t>
          </m:r>
          <m:r>
            <w:rPr>
              <w:rFonts w:ascii="Cambria Math" w:hAnsi="Cambria Math"/>
            </w:rPr>
            <m:t>x</m:t>
          </m:r>
          <m:r>
            <w:rPr>
              <w:rFonts w:ascii="Cambria Math" w:hAnsi="Cambria Math"/>
            </w:rPr>
            <m:t>)</m:t>
          </m:r>
        </m:oMath>
      </m:oMathPara>
    </w:p>
    <w:p w14:paraId="01B71ED9" w14:textId="77777777" w:rsidR="002B6FF9" w:rsidRDefault="00182EBF">
      <w:pPr>
        <w:pStyle w:val="Heading4"/>
      </w:pPr>
      <w:bookmarkStart w:id="6" w:name="sigmoid"/>
      <w:bookmarkEnd w:id="5"/>
      <w:r>
        <w:t>Sigmoid</w:t>
      </w:r>
    </w:p>
    <w:p w14:paraId="69270BF3" w14:textId="77777777" w:rsidR="002B6FF9" w:rsidRDefault="00182EBF">
      <w:pPr>
        <w:pStyle w:val="FirstParagraph"/>
      </w:pPr>
      <w:r>
        <w:t>Diese logistische Akt</w:t>
      </w:r>
      <w:r>
        <w:t>ivierungsfunktion liegt im Bereich von 0 bis 1.</w:t>
      </w:r>
    </w:p>
    <w:p w14:paraId="1A024E10" w14:textId="77777777" w:rsidR="002B6FF9" w:rsidRDefault="00182EBF">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den>
          </m:f>
        </m:oMath>
      </m:oMathPara>
    </w:p>
    <w:p w14:paraId="65796BB1" w14:textId="77777777" w:rsidR="002B6FF9" w:rsidRDefault="00182EBF">
      <w:pPr>
        <w:pStyle w:val="Heading4"/>
      </w:pPr>
      <w:bookmarkStart w:id="7" w:name="relu"/>
      <w:bookmarkEnd w:id="6"/>
      <w:r>
        <w:lastRenderedPageBreak/>
        <w:t>ReLu</w:t>
      </w:r>
    </w:p>
    <w:p w14:paraId="7E2541C2" w14:textId="77777777" w:rsidR="002B6FF9" w:rsidRDefault="00182EBF">
      <w:pPr>
        <w:pStyle w:val="FirstParagraph"/>
      </w:pPr>
      <w:r>
        <w:t xml:space="preserve">Die rektifizierte lineare Einheitsfunktion ist gleich der linearen Funktion für Werte </w:t>
      </w:r>
      <m:oMath>
        <m:r>
          <w:rPr>
            <w:rFonts w:ascii="Cambria Math" w:hAnsi="Cambria Math"/>
          </w:rPr>
          <m:t>x</m:t>
        </m:r>
        <m:r>
          <w:rPr>
            <w:rFonts w:ascii="Cambria Math" w:hAnsi="Cambria Math"/>
          </w:rPr>
          <m:t>&gt;0</m:t>
        </m:r>
      </m:oMath>
      <w:r>
        <w:t xml:space="preserve"> und ist gleich 0 für Werte </w:t>
      </w:r>
      <m:oMath>
        <m:r>
          <w:rPr>
            <w:rFonts w:ascii="Cambria Math" w:hAnsi="Cambria Math"/>
          </w:rPr>
          <m:t>x</m:t>
        </m:r>
        <m:r>
          <w:rPr>
            <w:rFonts w:ascii="Cambria Math" w:hAnsi="Cambria Math"/>
          </w:rPr>
          <m:t>&lt;0</m:t>
        </m:r>
      </m:oMath>
      <w:r>
        <w:t>.</w:t>
      </w:r>
    </w:p>
    <w:p w14:paraId="7658B538" w14:textId="77777777" w:rsidR="002B6FF9" w:rsidRDefault="00182EBF">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m:rPr>
              <m:nor/>
            </m:rPr>
            <m:t>max</m:t>
          </m:r>
          <m:r>
            <w:rPr>
              <w:rFonts w:ascii="Cambria Math" w:hAnsi="Cambria Math"/>
            </w:rPr>
            <m:t>(0,</m:t>
          </m:r>
          <m:r>
            <w:rPr>
              <w:rFonts w:ascii="Cambria Math" w:hAnsi="Cambria Math"/>
            </w:rPr>
            <m:t>x</m:t>
          </m:r>
          <m:r>
            <w:rPr>
              <w:rFonts w:ascii="Cambria Math" w:hAnsi="Cambria Math"/>
            </w:rPr>
            <m:t>)</m:t>
          </m:r>
        </m:oMath>
      </m:oMathPara>
    </w:p>
    <w:p w14:paraId="442D2E63" w14:textId="77777777" w:rsidR="002B6FF9" w:rsidRDefault="00182EBF">
      <w:pPr>
        <w:pStyle w:val="FirstParagraph"/>
      </w:pPr>
      <w:r>
        <w:t>Diese Funktion wird häufig in Deep Neural Networks verwendet, um dem Problem der verschwindenden Gradienten entgegenzuwirken, welches verhindert, dass Modelle effektiv lernen.</w:t>
      </w:r>
    </w:p>
    <w:p w14:paraId="14596E59" w14:textId="77777777" w:rsidR="002B6FF9" w:rsidRDefault="00182EBF">
      <w:pPr>
        <w:pStyle w:val="Heading3"/>
      </w:pPr>
      <w:bookmarkStart w:id="8" w:name="solver"/>
      <w:bookmarkEnd w:id="3"/>
      <w:bookmarkEnd w:id="7"/>
      <w:r>
        <w:t>Solver</w:t>
      </w:r>
    </w:p>
    <w:p w14:paraId="45EB12C4" w14:textId="77777777" w:rsidR="002B6FF9" w:rsidRDefault="00182EBF">
      <w:pPr>
        <w:pStyle w:val="FirstParagraph"/>
      </w:pPr>
      <w:r>
        <w:t xml:space="preserve">MLPs verwenden einen Algorithmus namens </w:t>
      </w:r>
      <w:hyperlink r:id="rId14">
        <w:r>
          <w:rPr>
            <w:rStyle w:val="Hyperlink"/>
          </w:rPr>
          <w:t>Backpropagation</w:t>
        </w:r>
      </w:hyperlink>
      <w:r>
        <w:t xml:space="preserve">, um den Gradienten der Verlustfunktion in Bezug auf jedes Gewicht durch die Kettenregel zu berechnen. Diese Gradienten sind dann für die Optimierer- (oder Solver-) Algorithmen verfügbar, um die Gewichte nach </w:t>
      </w:r>
      <w:r>
        <w:t>jeder Trainingsepoche zu aktualisieren. Die verfügbaren Optimierer unterscheiden sich hinsichtlich des Ansatzes, das globale Minimum im Parameter-Hyperspace auf eine effiziente Weise zu finden.</w:t>
      </w:r>
    </w:p>
    <w:p w14:paraId="663BB926" w14:textId="77777777" w:rsidR="002B6FF9" w:rsidRDefault="00182EBF">
      <w:pPr>
        <w:pStyle w:val="Heading2"/>
      </w:pPr>
      <w:bookmarkStart w:id="9" w:name="funktionsübersicht"/>
      <w:bookmarkEnd w:id="1"/>
      <w:bookmarkEnd w:id="8"/>
      <w:r>
        <w:t>Funktionsübersicht</w:t>
      </w:r>
    </w:p>
    <w:p w14:paraId="1C3ADFBE" w14:textId="77777777" w:rsidR="002B6FF9" w:rsidRDefault="00182EBF">
      <w:pPr>
        <w:pStyle w:val="Heading3"/>
      </w:pPr>
      <w:bookmarkStart w:id="10" w:name="dateieingabe"/>
      <w:r>
        <w:t>Dateieingabe</w:t>
      </w:r>
    </w:p>
    <w:p w14:paraId="19A635F2" w14:textId="77777777" w:rsidR="002B6FF9" w:rsidRDefault="00182EBF">
      <w:pPr>
        <w:pStyle w:val="FirstParagraph"/>
      </w:pPr>
      <w:r>
        <w:t>Die Trainings- und Testdaten werden als Excel-Dateien (.xlsx) eingelesen. Die Trainingsdaten werden verwendet, um das Modell mit der gegebenen Konfiguration zu trainieren. Das Modell wird dann auf die Testdaten angewendet, um seine Genauigkeit zu berechnen</w:t>
      </w:r>
      <w:r>
        <w:t>.</w:t>
      </w:r>
    </w:p>
    <w:p w14:paraId="1870480D" w14:textId="77777777" w:rsidR="002B6FF9" w:rsidRDefault="00182EBF">
      <w:pPr>
        <w:pStyle w:val="BodyText"/>
      </w:pPr>
      <w:r>
        <w:t>Die ersten Spalten enthalten die Eingabedaten, die letzte Spalte ist immer für die Ausgabedaten reserviert. Zeilen, die Zeichenketten enthalten, werden während des Eingabevorgangs automatisch verworfen. Dateien, die weniger als zwei Spalten enthalten, we</w:t>
      </w:r>
      <w:r>
        <w:t>rden verworfen, ebenso wie Dateien mit nicht übereinstimmender Spaltenanzahl.</w:t>
      </w:r>
    </w:p>
    <w:p w14:paraId="2688EAF9" w14:textId="77777777" w:rsidR="002B6FF9" w:rsidRDefault="00182EBF">
      <w:pPr>
        <w:pStyle w:val="BodyText"/>
      </w:pPr>
      <w:r>
        <w:t>Nach dem Laden eines Datensatzes wird eine Datenvorschau in der Konsole ausgegeben.</w:t>
      </w:r>
    </w:p>
    <w:p w14:paraId="6DAB1A89" w14:textId="77777777" w:rsidR="002B6FF9" w:rsidRDefault="00182EBF">
      <w:pPr>
        <w:pStyle w:val="Heading3"/>
      </w:pPr>
      <w:bookmarkStart w:id="11" w:name="skalierer"/>
      <w:bookmarkEnd w:id="10"/>
      <w:r>
        <w:t>Skalierer</w:t>
      </w:r>
    </w:p>
    <w:p w14:paraId="5825EFEE" w14:textId="77777777" w:rsidR="002B6FF9" w:rsidRDefault="00182EBF">
      <w:pPr>
        <w:pStyle w:val="FirstParagraph"/>
      </w:pPr>
      <w:r>
        <w:t>Wenn der Datensatz noch nicht im Bereich von 0-1 liegt, werden durch Aktivieren dies</w:t>
      </w:r>
      <w:r>
        <w:t>er Option alle Werte der Trainingsdaten so skaliert, dass sie in den Bereich von 0-1 passen und der Faktor und der Minimalwert werden in der Konsole ausgegeben. Diese Werte können dann in anderer Software verwendet werden, um die Ausgabewerte wieder auf de</w:t>
      </w:r>
      <w:r>
        <w:t>n ursprünglichen Bereich zu skalieren.</w:t>
      </w:r>
    </w:p>
    <w:p w14:paraId="42726889" w14:textId="77777777" w:rsidR="002B6FF9" w:rsidRDefault="00182EBF">
      <w:pPr>
        <w:pStyle w:val="Heading3"/>
      </w:pPr>
      <w:bookmarkStart w:id="12" w:name="konfiguration"/>
      <w:bookmarkEnd w:id="11"/>
      <w:r>
        <w:t>Konfiguration</w:t>
      </w:r>
    </w:p>
    <w:p w14:paraId="3A2118E6" w14:textId="77777777" w:rsidR="002B6FF9" w:rsidRDefault="00182EBF">
      <w:pPr>
        <w:pStyle w:val="FirstParagraph"/>
      </w:pPr>
      <w:r>
        <w:t xml:space="preserve">Die folgenden Parameter können konfiguriert werden: (siehe </w:t>
      </w:r>
      <w:hyperlink r:id="rId15">
        <w:r>
          <w:rPr>
            <w:rStyle w:val="Hyperlink"/>
          </w:rPr>
          <w:t>scikit-learn documentation</w:t>
        </w:r>
      </w:hyperlink>
      <w:r>
        <w:t xml:space="preserve"> für wei</w:t>
      </w:r>
      <w:r>
        <w:t>tere Informationen)</w:t>
      </w:r>
    </w:p>
    <w:p w14:paraId="22C5142F" w14:textId="77777777" w:rsidR="002B6FF9" w:rsidRDefault="00182EBF">
      <w:pPr>
        <w:numPr>
          <w:ilvl w:val="0"/>
          <w:numId w:val="2"/>
        </w:numPr>
      </w:pPr>
      <w:r>
        <w:rPr>
          <w:b/>
        </w:rPr>
        <w:lastRenderedPageBreak/>
        <w:t>Aktivierungsfunktion:</w:t>
      </w:r>
      <w:r>
        <w:t xml:space="preserve"> Die mathematische Funktion, mit der die Ausgabe des Neurons auf der Grundlage seiner Eingabe bestimmt wird. Verfügbare Funktionen sind:</w:t>
      </w:r>
    </w:p>
    <w:p w14:paraId="7DA426BD" w14:textId="77777777" w:rsidR="002B6FF9" w:rsidRDefault="00182EBF">
      <w:pPr>
        <w:pStyle w:val="Compact"/>
        <w:numPr>
          <w:ilvl w:val="1"/>
          <w:numId w:val="3"/>
        </w:numPr>
      </w:pPr>
      <w:r>
        <w:t xml:space="preserve">ReLu: die rektifizierte lineare Einheitsfunktion,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max</m:t>
        </m:r>
        <m:r>
          <w:rPr>
            <w:rFonts w:ascii="Cambria Math" w:hAnsi="Cambria Math"/>
          </w:rPr>
          <m:t>(0,</m:t>
        </m:r>
        <m:r>
          <w:rPr>
            <w:rFonts w:ascii="Cambria Math" w:hAnsi="Cambria Math"/>
          </w:rPr>
          <m:t>x</m:t>
        </m:r>
        <m:r>
          <w:rPr>
            <w:rFonts w:ascii="Cambria Math" w:hAnsi="Cambria Math"/>
          </w:rPr>
          <m:t>)</m:t>
        </m:r>
      </m:oMath>
    </w:p>
    <w:p w14:paraId="1D6F0E6F" w14:textId="77777777" w:rsidR="002B6FF9" w:rsidRDefault="00182EBF">
      <w:pPr>
        <w:pStyle w:val="Compact"/>
        <w:numPr>
          <w:ilvl w:val="1"/>
          <w:numId w:val="3"/>
        </w:numPr>
      </w:pPr>
      <w:r>
        <w:t>TanH: Ta</w:t>
      </w:r>
      <w:r>
        <w:t xml:space="preserve">ngens Hyperbolicus,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tan</m:t>
        </m:r>
        <m:r>
          <w:rPr>
            <w:rFonts w:ascii="Cambria Math" w:hAnsi="Cambria Math"/>
          </w:rPr>
          <m:t>h</m:t>
        </m:r>
        <m:r>
          <w:rPr>
            <w:rFonts w:ascii="Cambria Math" w:hAnsi="Cambria Math"/>
          </w:rPr>
          <m:t>(</m:t>
        </m:r>
        <m:r>
          <w:rPr>
            <w:rFonts w:ascii="Cambria Math" w:hAnsi="Cambria Math"/>
          </w:rPr>
          <m:t>x</m:t>
        </m:r>
        <m:r>
          <w:rPr>
            <w:rFonts w:ascii="Cambria Math" w:hAnsi="Cambria Math"/>
          </w:rPr>
          <m:t>)</m:t>
        </m:r>
      </m:oMath>
    </w:p>
    <w:p w14:paraId="48896FD9" w14:textId="77777777" w:rsidR="002B6FF9" w:rsidRDefault="00182EBF">
      <w:pPr>
        <w:pStyle w:val="Compact"/>
        <w:numPr>
          <w:ilvl w:val="1"/>
          <w:numId w:val="3"/>
        </w:numPr>
      </w:pPr>
      <w:r>
        <w:t xml:space="preserve">Linear: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x</m:t>
        </m:r>
      </m:oMath>
    </w:p>
    <w:p w14:paraId="5B94A229" w14:textId="77777777" w:rsidR="002B6FF9" w:rsidRDefault="00182EBF">
      <w:pPr>
        <w:pStyle w:val="Compact"/>
        <w:numPr>
          <w:ilvl w:val="1"/>
          <w:numId w:val="3"/>
        </w:numPr>
      </w:pPr>
      <w:r>
        <w:t xml:space="preserve">Sigmoid: logistische Sigmoidfunktion,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sup>
            </m:sSup>
          </m:den>
        </m:f>
      </m:oMath>
    </w:p>
    <w:p w14:paraId="701DDFED" w14:textId="77777777" w:rsidR="002B6FF9" w:rsidRDefault="00182EBF">
      <w:pPr>
        <w:numPr>
          <w:ilvl w:val="0"/>
          <w:numId w:val="2"/>
        </w:numPr>
      </w:pPr>
      <w:r>
        <w:rPr>
          <w:b/>
        </w:rPr>
        <w:t>Solver:</w:t>
      </w:r>
      <w:r>
        <w:t xml:space="preserve"> Der Lernalgorithmus, der zur Aktualisierung der Verbindungsgewichte nach jeder Epoche verwendet wird. Verfügbare Solver sind:</w:t>
      </w:r>
    </w:p>
    <w:p w14:paraId="4524698E" w14:textId="77777777" w:rsidR="002B6FF9" w:rsidRDefault="00182EBF">
      <w:pPr>
        <w:numPr>
          <w:ilvl w:val="1"/>
          <w:numId w:val="4"/>
        </w:numPr>
      </w:pPr>
      <w:hyperlink r:id="rId16">
        <w:r>
          <w:rPr>
            <w:rStyle w:val="Hyperlink"/>
          </w:rPr>
          <w:t>Adam</w:t>
        </w:r>
      </w:hyperlink>
      <w:r>
        <w:t xml:space="preserve">: Adaptive Moment Estimation. Speichert den exponentiell abfallenden Durchschnitt der vergangenen quadratischen Gradienten und die Gradienten zur adaptiven Berechnung der Lernraten. </w:t>
      </w:r>
      <w:hyperlink r:id="rId17">
        <w:r>
          <w:rPr>
            <w:rStyle w:val="Hyperlink"/>
          </w:rPr>
          <w:t>🡥</w:t>
        </w:r>
      </w:hyperlink>
    </w:p>
    <w:p w14:paraId="20F23A24" w14:textId="77777777" w:rsidR="002B6FF9" w:rsidRDefault="00182EBF">
      <w:pPr>
        <w:numPr>
          <w:ilvl w:val="1"/>
          <w:numId w:val="4"/>
        </w:numPr>
      </w:pPr>
      <w:r>
        <w:t>SGD: Klassischer Gradientenabstiegsalgorithmus mit konfigurierbarer Batchgröße.</w:t>
      </w:r>
    </w:p>
    <w:p w14:paraId="07AD2A7C" w14:textId="77777777" w:rsidR="002B6FF9" w:rsidRDefault="00182EBF">
      <w:pPr>
        <w:numPr>
          <w:ilvl w:val="1"/>
          <w:numId w:val="4"/>
        </w:numPr>
      </w:pPr>
      <w:r>
        <w:t xml:space="preserve">L-BFGS: Implementierung des </w:t>
      </w:r>
      <w:hyperlink r:id="rId18">
        <w:r>
          <w:rPr>
            <w:rStyle w:val="Hyperlink"/>
          </w:rPr>
          <w:t>B</w:t>
        </w:r>
        <w:r>
          <w:rPr>
            <w:rStyle w:val="Hyperlink"/>
          </w:rPr>
          <w:t>royden-Fletcher-Goldfarb-Shanno-Algorithmus</w:t>
        </w:r>
      </w:hyperlink>
      <w:r>
        <w:t xml:space="preserve"> für begrenzte Speicherkapazität, ein Quasi-Newton-Verfahren, das eine Schätzung der inversen </w:t>
      </w:r>
      <w:hyperlink r:id="rId19">
        <w:r>
          <w:rPr>
            <w:rStyle w:val="Hyperlink"/>
          </w:rPr>
          <w:t>Hesse-Matrix</w:t>
        </w:r>
      </w:hyperlink>
      <w:r>
        <w:t xml:space="preserve"> (Ableitungen zweiter Ordnung) zur Aktualisie</w:t>
      </w:r>
      <w:r>
        <w:t>rung der Gewichte verwendet. Konvergiert sehr schnell für kleinere Datensätze. Dieser Solver besitzt keine Lernkurve.</w:t>
      </w:r>
    </w:p>
    <w:p w14:paraId="19437B64" w14:textId="77777777" w:rsidR="002B6FF9" w:rsidRDefault="00182EBF">
      <w:pPr>
        <w:numPr>
          <w:ilvl w:val="0"/>
          <w:numId w:val="2"/>
        </w:numPr>
      </w:pPr>
      <w:r>
        <w:rPr>
          <w:b/>
        </w:rPr>
        <w:t>Maximale Anzahl von Epochen:</w:t>
      </w:r>
      <w:r>
        <w:t xml:space="preserve"> Das Training wird nach Erreichen dieser Anzahl von Epochen oder nach Erreichen der angegebenen Toleranz beend</w:t>
      </w:r>
      <w:r>
        <w:t>et.</w:t>
      </w:r>
    </w:p>
    <w:p w14:paraId="4CE1627A" w14:textId="77777777" w:rsidR="002B6FF9" w:rsidRDefault="00182EBF">
      <w:pPr>
        <w:numPr>
          <w:ilvl w:val="0"/>
          <w:numId w:val="2"/>
        </w:numPr>
      </w:pPr>
      <w:r>
        <w:rPr>
          <w:b/>
        </w:rPr>
        <w:t>Toleranz:</w:t>
      </w:r>
      <w:r>
        <w:t xml:space="preserve"> Wenn sich das Training mindestens 10 Epochen lang nicht um diesen Deltawert verbessert, gilt das Training als beendet.</w:t>
      </w:r>
    </w:p>
    <w:p w14:paraId="7D8BB02B" w14:textId="77777777" w:rsidR="002B6FF9" w:rsidRDefault="00182EBF">
      <w:pPr>
        <w:numPr>
          <w:ilvl w:val="0"/>
          <w:numId w:val="2"/>
        </w:numPr>
      </w:pPr>
      <w:r>
        <w:rPr>
          <w:b/>
        </w:rPr>
        <w:t>Zufallswert:</w:t>
      </w:r>
      <w:r>
        <w:t xml:space="preserve"> Der Seed-Wert für die Generierung von Zufallszahlen, die für die Gewichte und die Bias-Initialisierung sowie f</w:t>
      </w:r>
      <w:r>
        <w:t>ür das Batch Sampling verwendet werden. Wenn hier ein ganzzahliger Wert eingestellt wird, führt dies zu reproduzierbaren Ergebnissen.</w:t>
      </w:r>
    </w:p>
    <w:p w14:paraId="72F25741" w14:textId="77777777" w:rsidR="002B6FF9" w:rsidRDefault="00182EBF">
      <w:pPr>
        <w:numPr>
          <w:ilvl w:val="0"/>
          <w:numId w:val="2"/>
        </w:numPr>
      </w:pPr>
      <w:r>
        <w:rPr>
          <w:b/>
        </w:rPr>
        <w:t>L2-Penalty:</w:t>
      </w:r>
      <w:r>
        <w:t xml:space="preserve"> </w:t>
      </w:r>
      <w:r>
        <w:t>Der Regularisierungsparameter für die Ridge-Regression, der verwendet wird, um große Gewichte und Overfitting zu verhindern, indem der quadrierte Betrag der Koeffizienten als Penalty zur Verlustfunktion hinzugefügt wird. Große L2-Parameterwerte führen zu U</w:t>
      </w:r>
      <w:r>
        <w:t xml:space="preserve">nderfitting. </w:t>
      </w:r>
      <w:hyperlink r:id="rId20">
        <w:r>
          <w:rPr>
            <w:rStyle w:val="Hyperlink"/>
          </w:rPr>
          <w:t>🡥</w:t>
        </w:r>
      </w:hyperlink>
    </w:p>
    <w:p w14:paraId="560A5FB5" w14:textId="77777777" w:rsidR="002B6FF9" w:rsidRDefault="00182EBF">
      <w:pPr>
        <w:numPr>
          <w:ilvl w:val="0"/>
          <w:numId w:val="2"/>
        </w:numPr>
      </w:pPr>
      <w:r>
        <w:rPr>
          <w:b/>
        </w:rPr>
        <w:t>Momentum:</w:t>
      </w:r>
      <w:r>
        <w:t xml:space="preserve"> Fügt dem Gradientenabstieg einen Momentum-Term hinzu, indem ein exponentiell gewichteter Mittelwert addiert wird, der </w:t>
      </w:r>
      <w:r>
        <w:t>bewirkt, dass die Gewichtsaktualisierungen in Richtung eines globalen Parameter-Minimums beschleunigt werden und verhindert, dass man in lokalen Minima stecken bleibt. 0,9 ist ein typischer Wert.</w:t>
      </w:r>
    </w:p>
    <w:p w14:paraId="67068FC6" w14:textId="77777777" w:rsidR="002B6FF9" w:rsidRDefault="00182EBF">
      <w:pPr>
        <w:numPr>
          <w:ilvl w:val="0"/>
          <w:numId w:val="2"/>
        </w:numPr>
      </w:pPr>
      <w:r>
        <w:rPr>
          <w:b/>
        </w:rPr>
        <w:t>Batch-Größe:</w:t>
      </w:r>
      <w:r>
        <w:t xml:space="preserve"> Größe der Minibatches für die stochastischen So</w:t>
      </w:r>
      <w:r>
        <w:t xml:space="preserve">lver (SGD und Adam). “auto” wählt das Minimum aus 200 oder der Gesamtzahl der Samples. Eine Größe von </w:t>
      </w:r>
      <w:r>
        <w:lastRenderedPageBreak/>
        <w:t>1 entspricht einem stochastischen Gradientenabstieg mit Gewichtsaktualisierungen nach jedem präsentierten Sample. Eine Batch-Größe, die alle Samples umfas</w:t>
      </w:r>
      <w:r>
        <w:t>st, entspricht dem Batch-Gradientenabstiegs-Algorithmus, bei dem die Gewichte nach der Präsentation aller Samples aktualisiert werden. Die Verwendung von Minibatches (zwischen 1 und allen Stichproben) ist normalerweise der stabilste Ansatz.</w:t>
      </w:r>
    </w:p>
    <w:p w14:paraId="01C683CA" w14:textId="77777777" w:rsidR="002B6FF9" w:rsidRDefault="00182EBF">
      <w:pPr>
        <w:numPr>
          <w:ilvl w:val="0"/>
          <w:numId w:val="2"/>
        </w:numPr>
      </w:pPr>
      <w:r>
        <w:rPr>
          <w:b/>
        </w:rPr>
        <w:t>Lernrate:</w:t>
      </w:r>
      <w:r>
        <w:t xml:space="preserve"> Konst</w:t>
      </w:r>
      <w:r>
        <w:t>ante Lernrate für stochastische Solver, die die Schrittgröße beim Aktualisieren der Gewichte steuert.</w:t>
      </w:r>
    </w:p>
    <w:p w14:paraId="37BA7C3A" w14:textId="77777777" w:rsidR="002B6FF9" w:rsidRDefault="00182EBF">
      <w:pPr>
        <w:pStyle w:val="Heading3"/>
      </w:pPr>
      <w:bookmarkStart w:id="13" w:name="auswertung"/>
      <w:bookmarkEnd w:id="12"/>
      <w:r>
        <w:t>Auswertung</w:t>
      </w:r>
    </w:p>
    <w:p w14:paraId="083C9E7C" w14:textId="77777777" w:rsidR="002B6FF9" w:rsidRDefault="00182EBF">
      <w:pPr>
        <w:pStyle w:val="FirstParagraph"/>
      </w:pPr>
      <w:r>
        <w:t>Nach Abschluss des Trainings des Modells stehen eine Reihe von Auswertungsmöglichkeiten zur Verfügung:</w:t>
      </w:r>
    </w:p>
    <w:p w14:paraId="1898A443" w14:textId="77777777" w:rsidR="002B6FF9" w:rsidRDefault="00182EBF">
      <w:pPr>
        <w:pStyle w:val="Heading4"/>
      </w:pPr>
      <w:bookmarkStart w:id="14" w:name="modell-testen"/>
      <w:r>
        <w:t>Modell testen</w:t>
      </w:r>
    </w:p>
    <w:p w14:paraId="32E24E12" w14:textId="77777777" w:rsidR="002B6FF9" w:rsidRDefault="00182EBF">
      <w:pPr>
        <w:pStyle w:val="FirstParagraph"/>
      </w:pPr>
      <w:r>
        <w:t>Stellt eine Punktwolke aus</w:t>
      </w:r>
      <w:r>
        <w:t xml:space="preserve"> den realen und den vorhergesagten Werten im 3D-Raum dar. Diese Option ist nur für zweidimensionale Eingabedaten verfügbar.</w:t>
      </w:r>
    </w:p>
    <w:p w14:paraId="2ED9D711" w14:textId="77777777" w:rsidR="002B6FF9" w:rsidRDefault="00182EBF">
      <w:pPr>
        <w:pStyle w:val="Heading4"/>
      </w:pPr>
      <w:bookmarkStart w:id="15" w:name="lernkurve"/>
      <w:bookmarkEnd w:id="14"/>
      <w:r>
        <w:t>Lernkurve</w:t>
      </w:r>
    </w:p>
    <w:p w14:paraId="761C686F" w14:textId="77777777" w:rsidR="002B6FF9" w:rsidRDefault="00182EBF">
      <w:pPr>
        <w:pStyle w:val="FirstParagraph"/>
      </w:pPr>
      <w:r>
        <w:t>Stellt ein 2D-Diagramm dar, das den Verlauf des Lernfehlers über den Trainingszeitraum anzeigt.</w:t>
      </w:r>
    </w:p>
    <w:p w14:paraId="3ADF728B" w14:textId="77777777" w:rsidR="002B6FF9" w:rsidRDefault="00182EBF">
      <w:pPr>
        <w:pStyle w:val="Heading4"/>
      </w:pPr>
      <w:bookmarkStart w:id="16" w:name="fehlerkurve"/>
      <w:bookmarkEnd w:id="15"/>
      <w:r>
        <w:t>Fehlerkurve</w:t>
      </w:r>
    </w:p>
    <w:p w14:paraId="293A2107" w14:textId="77777777" w:rsidR="002B6FF9" w:rsidRDefault="00182EBF">
      <w:pPr>
        <w:pStyle w:val="FirstParagraph"/>
      </w:pPr>
      <w:r>
        <w:t>Stellt ein 2D-Diagramm der Differenz zwischen den Zieldaten und den Vorhersagen dar. Trainings- und Testdaten werden getrennt dargestellt.</w:t>
      </w:r>
    </w:p>
    <w:p w14:paraId="3611DDEA" w14:textId="77777777" w:rsidR="002B6FF9" w:rsidRDefault="00182EBF">
      <w:pPr>
        <w:pStyle w:val="Heading4"/>
      </w:pPr>
      <w:bookmarkStart w:id="17" w:name="statistiken"/>
      <w:bookmarkEnd w:id="16"/>
      <w:r>
        <w:t>Statistik</w:t>
      </w:r>
      <w:r>
        <w:t>en</w:t>
      </w:r>
    </w:p>
    <w:p w14:paraId="667B21B6" w14:textId="77777777" w:rsidR="002B6FF9" w:rsidRDefault="00182EBF">
      <w:pPr>
        <w:pStyle w:val="FirstParagraph"/>
      </w:pPr>
      <w:r>
        <w:t>Berechnet eine Reihe von relevanten statistischen Eigenschaften, getrennt nach Trainings- und Testdaten. Dazu gehören der R</w:t>
      </w:r>
      <w:r>
        <w:rPr>
          <w:vertAlign w:val="superscript"/>
        </w:rPr>
        <w:t>2</w:t>
      </w:r>
      <w:r>
        <w:t>-Score, minimale und maximale Fehlerwerte, absoluter mittlerer quadratischer Fehler, RMS-Fehler, usw.</w:t>
      </w:r>
    </w:p>
    <w:p w14:paraId="1CC93CCE" w14:textId="77777777" w:rsidR="002B6FF9" w:rsidRDefault="00182EBF">
      <w:pPr>
        <w:pStyle w:val="BlockText"/>
      </w:pPr>
      <w:r>
        <w:t xml:space="preserve">Der </w:t>
      </w:r>
      <w:r>
        <w:rPr>
          <w:b/>
        </w:rPr>
        <w:t>R</w:t>
      </w:r>
      <w:r>
        <w:rPr>
          <w:b/>
          <w:vertAlign w:val="superscript"/>
        </w:rPr>
        <w:t>2</w:t>
      </w:r>
      <w:r>
        <w:rPr>
          <w:b/>
        </w:rPr>
        <w:t>-Score</w:t>
      </w:r>
      <w:r>
        <w:t xml:space="preserve">, auch </w:t>
      </w:r>
      <w:hyperlink r:id="rId21">
        <w:r>
          <w:rPr>
            <w:rStyle w:val="Hyperlink"/>
          </w:rPr>
          <w:t>Bestimmtheitsmaß</w:t>
        </w:r>
      </w:hyperlink>
      <w:r>
        <w:t>, genannt “[…] stellt den Anteil der Varianz (von y) dar, der durch die unabhängigen Variablen im Modell erklärt wurde. […] Es ist also ein Maß dafür, wie gut unbekannte Stichpr</w:t>
      </w:r>
      <w:r>
        <w:t>oben durch den Anteil der erklärten Varianz durch das Modell vorhergesagt werden können.” Die Implementierung des R</w:t>
      </w:r>
      <w:r>
        <w:rPr>
          <w:vertAlign w:val="superscript"/>
        </w:rPr>
        <w:t>2</w:t>
      </w:r>
      <w:r>
        <w:t>-Scores in scikit-learn ist wie folgt definiert:</w:t>
      </w:r>
    </w:p>
    <w:p w14:paraId="6F2E5DB6" w14:textId="77777777" w:rsidR="002B6FF9" w:rsidRDefault="00182EBF">
      <w:pPr>
        <w:pStyle w:val="Block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60CDF5C4" w14:textId="77777777" w:rsidR="002B6FF9" w:rsidRDefault="00182EBF">
      <w:pPr>
        <w:pStyle w:val="BlockText"/>
      </w:pPr>
      <w:r>
        <w:t xml:space="preserve">wobei </w:t>
      </w:r>
      <m:oMath>
        <m:acc>
          <m:accPr>
            <m:chr m:val="‾"/>
            <m:ctrlPr>
              <w:rPr>
                <w:rFonts w:ascii="Cambria Math" w:hAnsi="Cambria Math"/>
              </w:rPr>
            </m:ctrlPr>
          </m:accPr>
          <m:e>
            <m:r>
              <w:rPr>
                <w:rFonts w:ascii="Cambria Math" w:hAnsi="Cambria Math"/>
              </w:rPr>
              <m:t>y</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oMath>
      <w:r>
        <w:t xml:space="preserve"> und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ϵ</m:t>
                </m:r>
              </m:e>
              <m:sub>
                <m:r>
                  <w:rPr>
                    <w:rFonts w:ascii="Cambria Math" w:hAnsi="Cambria Math"/>
                  </w:rPr>
                  <m:t>i</m:t>
                </m:r>
              </m:sub>
              <m:sup>
                <m:r>
                  <w:rPr>
                    <w:rFonts w:ascii="Cambria Math" w:hAnsi="Cambria Math"/>
                  </w:rPr>
                  <m:t>2</m:t>
                </m:r>
              </m:sup>
            </m:sSubSup>
          </m:e>
        </m:nary>
      </m:oMath>
      <w:r>
        <w:t>.</w:t>
      </w:r>
    </w:p>
    <w:p w14:paraId="585A5AB6" w14:textId="77777777" w:rsidR="002B6FF9" w:rsidRDefault="00182EBF">
      <w:pPr>
        <w:pStyle w:val="BlockText"/>
      </w:pPr>
      <w:r>
        <w:t xml:space="preserve">Dabei ist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der vorhergesagte Wert des </w:t>
      </w:r>
      <m:oMath>
        <m:r>
          <w:rPr>
            <w:rFonts w:ascii="Cambria Math" w:hAnsi="Cambria Math"/>
          </w:rPr>
          <m:t>i</m:t>
        </m:r>
      </m:oMath>
      <w:r>
        <w:t xml:space="preserve">-ten Samples und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der zugehörige tatsächliche Wert für eine Gesamtheit von </w:t>
      </w:r>
      <m:oMath>
        <m:r>
          <w:rPr>
            <w:rFonts w:ascii="Cambria Math" w:hAnsi="Cambria Math"/>
          </w:rPr>
          <m:t>n</m:t>
        </m:r>
      </m:oMath>
      <w:r>
        <w:t xml:space="preserve"> Samples. </w:t>
      </w:r>
      <w:hyperlink r:id="rId22" w:anchor="r2-score">
        <w:r>
          <w:rPr>
            <w:rStyle w:val="Hyperlink"/>
          </w:rPr>
          <w:t>🡥</w:t>
        </w:r>
      </w:hyperlink>
    </w:p>
    <w:p w14:paraId="1D56D149" w14:textId="77777777" w:rsidR="002B6FF9" w:rsidRDefault="00182EBF">
      <w:pPr>
        <w:pStyle w:val="FirstParagraph"/>
      </w:pPr>
      <w:r>
        <w:t>Der R</w:t>
      </w:r>
      <w:r>
        <w:rPr>
          <w:vertAlign w:val="superscript"/>
        </w:rPr>
        <w:t>2</w:t>
      </w:r>
      <w:r>
        <w:t>-Score reicht von 0 bis 1, kann aber auch negativ sein, wenn der Score aus Daten berechnet wird, die nicht zum Trainieren des Netzwerks verwendet wurden.</w:t>
      </w:r>
    </w:p>
    <w:p w14:paraId="26A796D7" w14:textId="77777777" w:rsidR="002B6FF9" w:rsidRDefault="00182EBF">
      <w:pPr>
        <w:pStyle w:val="BodyText"/>
      </w:pPr>
      <w:r>
        <w:lastRenderedPageBreak/>
        <w:t>Die gleiche Berechnung des R</w:t>
      </w:r>
      <w:r>
        <w:rPr>
          <w:vertAlign w:val="superscript"/>
        </w:rPr>
        <w:t>2</w:t>
      </w:r>
      <w:r>
        <w:t>-Scores gilt für die Trendlinienfunktion in Microsoft Excel.</w:t>
      </w:r>
    </w:p>
    <w:p w14:paraId="06528E3A" w14:textId="77777777" w:rsidR="002B6FF9" w:rsidRDefault="00182EBF">
      <w:pPr>
        <w:pStyle w:val="Heading4"/>
      </w:pPr>
      <w:bookmarkStart w:id="18" w:name="gewichte-bias"/>
      <w:bookmarkEnd w:id="17"/>
      <w:r>
        <w:t xml:space="preserve">Gewichte &amp; </w:t>
      </w:r>
      <w:r>
        <w:t>Bias</w:t>
      </w:r>
    </w:p>
    <w:p w14:paraId="2826EB90" w14:textId="77777777" w:rsidR="002B6FF9" w:rsidRDefault="00182EBF">
      <w:pPr>
        <w:pStyle w:val="FirstParagraph"/>
      </w:pPr>
      <w:r>
        <w:t>Gibt eine Tabelle mit allen Gewichten im Netzwerk und eine Tabelle mit den Bias-Werten für jedes Neuron aus.</w:t>
      </w:r>
    </w:p>
    <w:p w14:paraId="7827B865" w14:textId="77777777" w:rsidR="002B6FF9" w:rsidRDefault="00182EBF">
      <w:pPr>
        <w:pStyle w:val="BodyText"/>
      </w:pPr>
      <w:r>
        <w:t>Die Gewichts- und Bias-Matrizen können aus dem Dialog heraus in einer Excel-Datei gespeichert werden.</w:t>
      </w:r>
    </w:p>
    <w:p w14:paraId="26D9E6AA" w14:textId="77777777" w:rsidR="002B6FF9" w:rsidRDefault="00182EBF">
      <w:pPr>
        <w:pStyle w:val="Heading3"/>
      </w:pPr>
      <w:bookmarkStart w:id="19" w:name="speichern"/>
      <w:bookmarkEnd w:id="13"/>
      <w:bookmarkEnd w:id="18"/>
      <w:r>
        <w:t>Speichern</w:t>
      </w:r>
    </w:p>
    <w:p w14:paraId="1072D7DC" w14:textId="77777777" w:rsidR="002B6FF9" w:rsidRDefault="00182EBF">
      <w:pPr>
        <w:pStyle w:val="FirstParagraph"/>
      </w:pPr>
      <w:r>
        <w:t>Öffnet einen Speicherdialog, u</w:t>
      </w:r>
      <w:r>
        <w:t>m das trainierte Modell als PMML-Datei für die spätere Verwendung in anderer Software zu exportieren.</w:t>
      </w:r>
    </w:p>
    <w:p w14:paraId="20CFCD12" w14:textId="77777777" w:rsidR="002B6FF9" w:rsidRDefault="00182EBF">
      <w:pPr>
        <w:pStyle w:val="Heading2"/>
      </w:pPr>
      <w:bookmarkStart w:id="20" w:name="einschränkungen"/>
      <w:bookmarkEnd w:id="9"/>
      <w:bookmarkEnd w:id="19"/>
      <w:r>
        <w:t>Einschränkungen</w:t>
      </w:r>
    </w:p>
    <w:p w14:paraId="5EFADD37" w14:textId="77777777" w:rsidR="002B6FF9" w:rsidRDefault="00182EBF">
      <w:pPr>
        <w:pStyle w:val="FirstParagraph"/>
      </w:pPr>
      <w:r>
        <w:t>Neuronale Netze gibt es in einer großen Vielfalt von Typen und Anwendungsszenarien. Mit diesem Tool kann allerdings nur eine bestimmte Klasse von Modellen trainiert werden, das Multilayer-Perceptron. Dieses wird zwar auch oft für Klassifizierungsprobleme v</w:t>
      </w:r>
      <w:r>
        <w:t>erwendet, allerdings funktioniert das Tool nur für Regressionsprobleme.</w:t>
      </w:r>
    </w:p>
    <w:p w14:paraId="5905713A" w14:textId="77777777" w:rsidR="002B6FF9" w:rsidRDefault="00182EBF">
      <w:pPr>
        <w:pStyle w:val="BodyText"/>
      </w:pPr>
      <w:r>
        <w:t>Die Eingabedaten können eine beliebige Anzahl von Dimensionen haben, die Ausgabe ist jedoch immer eindimensional, da dies das am häufigsten verwendete Anwendungsszenario ist. Da dieses</w:t>
      </w:r>
      <w:r>
        <w:t xml:space="preserve"> Tool auf die MLPRegressor-Methode aus der scikit-learn-Bibliothek zurückgreift, ist die Implementierung von mehr als einer Ausgabe derzeit nicht möglich.</w:t>
      </w:r>
    </w:p>
    <w:p w14:paraId="40D5ADA4" w14:textId="77777777" w:rsidR="002B6FF9" w:rsidRDefault="00182EBF">
      <w:pPr>
        <w:pStyle w:val="BodyText"/>
      </w:pPr>
      <w:r>
        <w:t>Aufgrund der relativ kleinen Datensätze und der internen seriellen Verarbeitung ist GPU-Beschleunigun</w:t>
      </w:r>
      <w:r>
        <w:t>g für dieses Tool (oder scikit-learn im Allgemeinen) nicht verfügbar. Schnelle CPU-Taktraten helfen, die Trainingszeit zu verringern.</w:t>
      </w:r>
    </w:p>
    <w:p w14:paraId="607331CF" w14:textId="77777777" w:rsidR="002B6FF9" w:rsidRDefault="00182EBF">
      <w:pPr>
        <w:pStyle w:val="BodyText"/>
      </w:pPr>
      <w:r>
        <w:t>Die Modelloptimierung ist aufgrund der verwendeten MLPRegressor-Methode stark eingeschränkt. Es ist kein Pruning oder Drop</w:t>
      </w:r>
      <w:r>
        <w:t>out verfügbar. Dennoch sollte die Anpassung der Modellparameter in den meisten Fällen zu zufriedenstellenden Ergebnissen führen.</w:t>
      </w:r>
    </w:p>
    <w:p w14:paraId="3E4ACC1C" w14:textId="77777777" w:rsidR="002B6FF9" w:rsidRDefault="00182EBF">
      <w:pPr>
        <w:pStyle w:val="BodyText"/>
      </w:pPr>
      <w:r>
        <w:t xml:space="preserve">Dieses Tool bietet keine Funktionen zur Datenvorverarbeitung, abgesehen von der Skalierung der Werte auf 0 bis 1. Der Benutzer </w:t>
      </w:r>
      <w:r>
        <w:t>ist für die Bereinigung des Datensatzes und die Überprüfung auf fehlerhafte Datenpunkte selbst verantwortlich.</w:t>
      </w:r>
    </w:p>
    <w:p w14:paraId="568515F4" w14:textId="77777777" w:rsidR="002B6FF9" w:rsidRDefault="00182EBF">
      <w:pPr>
        <w:pStyle w:val="Heading2"/>
      </w:pPr>
      <w:bookmarkStart w:id="21" w:name="fehlerbehebung"/>
      <w:bookmarkEnd w:id="20"/>
      <w:r>
        <w:t>Fehlerbehebung</w:t>
      </w:r>
    </w:p>
    <w:p w14:paraId="4AA80BEE" w14:textId="77777777" w:rsidR="002B6FF9" w:rsidRDefault="00182EBF">
      <w:pPr>
        <w:pStyle w:val="FirstParagraph"/>
      </w:pPr>
      <w:r>
        <w:t>Die meisten Anwendungsfehler sollten vom Tool selbst abgefangen werden und das Problem über eine Warnmeldung erklären. Dazu gehöre</w:t>
      </w:r>
      <w:r>
        <w:t>n:</w:t>
      </w:r>
    </w:p>
    <w:p w14:paraId="2BDE7E95" w14:textId="77777777" w:rsidR="002B6FF9" w:rsidRDefault="00182EBF">
      <w:pPr>
        <w:numPr>
          <w:ilvl w:val="0"/>
          <w:numId w:val="5"/>
        </w:numPr>
      </w:pPr>
      <w:r>
        <w:t>Nicht übereinstimmende Spalten- und Zeilenzahl in Trainings- und Testdatensätzen oder nicht genügend Spalten</w:t>
      </w:r>
    </w:p>
    <w:p w14:paraId="11AADACC" w14:textId="77777777" w:rsidR="002B6FF9" w:rsidRDefault="00182EBF">
      <w:pPr>
        <w:numPr>
          <w:ilvl w:val="0"/>
          <w:numId w:val="5"/>
        </w:numPr>
      </w:pPr>
      <w:r>
        <w:t>Leere oder beschädigte Datensätze.</w:t>
      </w:r>
    </w:p>
    <w:p w14:paraId="62986E38" w14:textId="77777777" w:rsidR="002B6FF9" w:rsidRDefault="00182EBF">
      <w:pPr>
        <w:numPr>
          <w:ilvl w:val="0"/>
          <w:numId w:val="5"/>
        </w:numPr>
      </w:pPr>
      <w:r>
        <w:t>Leere Felder in der Parameterkonfiguration</w:t>
      </w:r>
    </w:p>
    <w:p w14:paraId="0CC93755" w14:textId="77777777" w:rsidR="002B6FF9" w:rsidRDefault="00182EBF">
      <w:pPr>
        <w:numPr>
          <w:ilvl w:val="0"/>
          <w:numId w:val="5"/>
        </w:numPr>
      </w:pPr>
      <w:r>
        <w:lastRenderedPageBreak/>
        <w:t>Parameterkonfigurationen mit dem falschen Datentyp</w:t>
      </w:r>
    </w:p>
    <w:p w14:paraId="1E5C7B51" w14:textId="77777777" w:rsidR="002B6FF9" w:rsidRDefault="00182EBF">
      <w:pPr>
        <w:pStyle w:val="FirstParagraph"/>
      </w:pPr>
      <w:r>
        <w:t xml:space="preserve">Wenn die </w:t>
      </w:r>
      <w:r>
        <w:rPr>
          <w:b/>
        </w:rPr>
        <w:t>Modellinitialisierung</w:t>
      </w:r>
      <w:r>
        <w:t xml:space="preserve"> fehlschlägt, liegt dies höchstwahrscheinlich an der Parameterkonfiguration. Bitte überprüfen Sie die Parameterkonfiguration auf korrekte Datentypen. Verwenden Sie als Dezimal</w:t>
      </w:r>
      <w:r>
        <w:t>trennzeichen einen Punkt, kein Komma.</w:t>
      </w:r>
    </w:p>
    <w:p w14:paraId="5CF3982F" w14:textId="77777777" w:rsidR="002B6FF9" w:rsidRDefault="00182EBF">
      <w:pPr>
        <w:pStyle w:val="BodyText"/>
      </w:pPr>
      <w:r>
        <w:t xml:space="preserve">Wenn die </w:t>
      </w:r>
      <w:r>
        <w:rPr>
          <w:b/>
        </w:rPr>
        <w:t>Modellanpassung</w:t>
      </w:r>
      <w:r>
        <w:t xml:space="preserve"> fehlschlägt, wird dies höchstwahrscheinlich durch ein Problem innerhalb des Datensatzes verursacht.</w:t>
      </w:r>
      <w:bookmarkEnd w:id="0"/>
      <w:bookmarkEnd w:id="21"/>
    </w:p>
    <w:sectPr w:rsidR="002B6F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4E2B3" w14:textId="77777777" w:rsidR="00182EBF" w:rsidRDefault="00182EBF">
      <w:pPr>
        <w:spacing w:after="0"/>
      </w:pPr>
      <w:r>
        <w:separator/>
      </w:r>
    </w:p>
  </w:endnote>
  <w:endnote w:type="continuationSeparator" w:id="0">
    <w:p w14:paraId="7B0A945A" w14:textId="77777777" w:rsidR="00182EBF" w:rsidRDefault="00182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ABB6" w14:textId="77777777" w:rsidR="00182EBF" w:rsidRDefault="00182EBF">
      <w:r>
        <w:separator/>
      </w:r>
    </w:p>
  </w:footnote>
  <w:footnote w:type="continuationSeparator" w:id="0">
    <w:p w14:paraId="6213360C" w14:textId="77777777" w:rsidR="00182EBF" w:rsidRDefault="00182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828D4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2760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2EBF"/>
    <w:rsid w:val="002B6FF9"/>
    <w:rsid w:val="004E29B3"/>
    <w:rsid w:val="00590D07"/>
    <w:rsid w:val="00784D58"/>
    <w:rsid w:val="008D6863"/>
    <w:rsid w:val="00B86B75"/>
    <w:rsid w:val="00BC48D5"/>
    <w:rsid w:val="00C220E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3B84"/>
  <w15:docId w15:val="{2738268E-38D4-4CAD-B15F-04754C7A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yer_(deep_learning)" TargetMode="External"/><Relationship Id="rId13" Type="http://schemas.openxmlformats.org/officeDocument/2006/relationships/hyperlink" Target="https://en.wikipedia.org/wiki/Linear_separability" TargetMode="External"/><Relationship Id="rId18" Type="http://schemas.openxmlformats.org/officeDocument/2006/relationships/hyperlink" Target="https://en.wikipedia.org/wiki/Broyden%E2%80%93Fletcher%E2%80%93Goldfarb%E2%80%93Shanno_algorithm" TargetMode="External"/><Relationship Id="rId3" Type="http://schemas.openxmlformats.org/officeDocument/2006/relationships/settings" Target="settings.xml"/><Relationship Id="rId21" Type="http://schemas.openxmlformats.org/officeDocument/2006/relationships/hyperlink" Target="https://de.wikipedia.org/wiki/Bestimmtheitsma%C3%9F" TargetMode="External"/><Relationship Id="rId7" Type="http://schemas.openxmlformats.org/officeDocument/2006/relationships/hyperlink" Target="https://en.wikipedia.org/wiki/Multilayer_perceptron" TargetMode="External"/><Relationship Id="rId12" Type="http://schemas.openxmlformats.org/officeDocument/2006/relationships/hyperlink" Target="https://en.wikipedia.org/wiki/Activation_function" TargetMode="External"/><Relationship Id="rId17" Type="http://schemas.openxmlformats.org/officeDocument/2006/relationships/hyperlink" Target="https://ruder.io/optimizing-gradient-descent/" TargetMode="External"/><Relationship Id="rId2" Type="http://schemas.openxmlformats.org/officeDocument/2006/relationships/styles" Target="styles.xml"/><Relationship Id="rId16" Type="http://schemas.openxmlformats.org/officeDocument/2006/relationships/hyperlink" Target="https://arxiv.org/abs/1412.6980" TargetMode="External"/><Relationship Id="rId20" Type="http://schemas.openxmlformats.org/officeDocument/2006/relationships/hyperlink" Target="https://towardsdatascience.com/l1-and-l2-regularization-methods-ce25e7fc831c?gi=273b9364d0a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yer_(deep_lear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cikit-learn.org/stable/modules/generated/sklearn.neural_network.MLPRegressor.html" TargetMode="External"/><Relationship Id="rId23" Type="http://schemas.openxmlformats.org/officeDocument/2006/relationships/fontTable" Target="fontTable.xml"/><Relationship Id="rId10" Type="http://schemas.openxmlformats.org/officeDocument/2006/relationships/hyperlink" Target="https://en.wikipedia.org/wiki/Layer_(deep_learning)" TargetMode="External"/><Relationship Id="rId19" Type="http://schemas.openxmlformats.org/officeDocument/2006/relationships/hyperlink" Target="https://de.wikipedia.org/wiki/Hesse-Matrix" TargetMode="External"/><Relationship Id="rId4" Type="http://schemas.openxmlformats.org/officeDocument/2006/relationships/webSettings" Target="webSettings.xml"/><Relationship Id="rId9" Type="http://schemas.openxmlformats.org/officeDocument/2006/relationships/hyperlink" Target="https://en.wikipedia.org/wiki/Layer_(deep_learning)" TargetMode="External"/><Relationship Id="rId14" Type="http://schemas.openxmlformats.org/officeDocument/2006/relationships/hyperlink" Target="https://en.wikipedia.org/wiki/Backpropagation" TargetMode="External"/><Relationship Id="rId22" Type="http://schemas.openxmlformats.org/officeDocument/2006/relationships/hyperlink" Target="https://scikit-learn.org/stable/modules/model_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1615</Words>
  <Characters>10181</Characters>
  <Application>Microsoft Office Word</Application>
  <DocSecurity>0</DocSecurity>
  <Lines>84</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ms941340</cp:lastModifiedBy>
  <cp:revision>2</cp:revision>
  <dcterms:created xsi:type="dcterms:W3CDTF">2021-06-09T08:17:00Z</dcterms:created>
  <dcterms:modified xsi:type="dcterms:W3CDTF">2021-06-09T08:18:00Z</dcterms:modified>
</cp:coreProperties>
</file>