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2B3E8" w14:textId="77777777" w:rsidR="00CE0DBC" w:rsidRPr="006D74FE" w:rsidRDefault="00CE0DBC" w:rsidP="00A728A2">
      <w:pPr>
        <w:spacing w:after="0" w:line="240" w:lineRule="auto"/>
        <w:jc w:val="both"/>
        <w:rPr>
          <w:rFonts w:ascii="Times New Roman" w:hAnsi="Times New Roman"/>
          <w:b/>
          <w:bCs/>
          <w:sz w:val="24"/>
          <w:szCs w:val="24"/>
        </w:rPr>
      </w:pPr>
      <w:bookmarkStart w:id="0" w:name="_Hlk38485271"/>
      <w:r w:rsidRPr="006D74FE">
        <w:rPr>
          <w:rFonts w:ascii="Times New Roman" w:hAnsi="Times New Roman"/>
          <w:b/>
          <w:bCs/>
          <w:sz w:val="24"/>
          <w:szCs w:val="24"/>
        </w:rPr>
        <w:t>Investigating the Role of ICT Determinants of Private Commercial Banks with Stochastic Frontier model</w:t>
      </w:r>
      <w:r w:rsidR="00AC60E8" w:rsidRPr="006D74FE">
        <w:rPr>
          <w:rFonts w:ascii="Times New Roman" w:hAnsi="Times New Roman"/>
          <w:b/>
          <w:bCs/>
          <w:sz w:val="24"/>
          <w:szCs w:val="24"/>
        </w:rPr>
        <w:t>s</w:t>
      </w:r>
      <w:r w:rsidRPr="006D74FE">
        <w:rPr>
          <w:rFonts w:ascii="Times New Roman" w:hAnsi="Times New Roman"/>
          <w:b/>
          <w:bCs/>
          <w:sz w:val="24"/>
          <w:szCs w:val="24"/>
        </w:rPr>
        <w:t xml:space="preserve"> in Bangladesh</w:t>
      </w:r>
    </w:p>
    <w:bookmarkEnd w:id="0"/>
    <w:p w14:paraId="16AC91CB" w14:textId="77777777" w:rsidR="00CE0DBC" w:rsidRPr="006D74FE" w:rsidRDefault="00CE0DBC" w:rsidP="00A728A2">
      <w:pPr>
        <w:spacing w:after="0" w:line="240" w:lineRule="auto"/>
        <w:jc w:val="both"/>
        <w:rPr>
          <w:rFonts w:ascii="Times New Roman" w:hAnsi="Times New Roman"/>
          <w:sz w:val="24"/>
          <w:szCs w:val="24"/>
        </w:rPr>
      </w:pPr>
    </w:p>
    <w:p w14:paraId="7561C94C" w14:textId="77777777" w:rsidR="00CE0DBC" w:rsidRPr="006D74FE" w:rsidRDefault="00CE0DBC" w:rsidP="00A728A2">
      <w:pPr>
        <w:spacing w:after="0" w:line="240" w:lineRule="auto"/>
        <w:jc w:val="both"/>
        <w:rPr>
          <w:rFonts w:ascii="Times New Roman" w:hAnsi="Times New Roman"/>
          <w:sz w:val="24"/>
          <w:szCs w:val="24"/>
        </w:rPr>
      </w:pPr>
    </w:p>
    <w:p w14:paraId="6230D8F7" w14:textId="7194CF4B" w:rsidR="00CE0DBC" w:rsidRPr="006D74FE" w:rsidRDefault="00CE0DBC" w:rsidP="00A728A2">
      <w:pPr>
        <w:spacing w:after="0" w:line="240" w:lineRule="auto"/>
        <w:jc w:val="both"/>
        <w:rPr>
          <w:rFonts w:ascii="Times New Roman" w:hAnsi="Times New Roman"/>
          <w:b/>
          <w:bCs/>
          <w:sz w:val="24"/>
          <w:szCs w:val="24"/>
        </w:rPr>
      </w:pPr>
      <w:bookmarkStart w:id="1" w:name="_Hlk38485283"/>
      <w:r w:rsidRPr="006D74FE">
        <w:rPr>
          <w:rFonts w:ascii="Times New Roman" w:hAnsi="Times New Roman"/>
          <w:b/>
          <w:bCs/>
          <w:sz w:val="24"/>
          <w:szCs w:val="24"/>
        </w:rPr>
        <w:t>Abstract</w:t>
      </w:r>
    </w:p>
    <w:p w14:paraId="35BC92BC" w14:textId="6116F41D" w:rsidR="00AC60E8" w:rsidRPr="006D74FE" w:rsidRDefault="007152C7" w:rsidP="00A728A2">
      <w:pPr>
        <w:spacing w:after="0" w:line="240" w:lineRule="auto"/>
        <w:jc w:val="both"/>
        <w:rPr>
          <w:rFonts w:ascii="Times New Roman" w:hAnsi="Times New Roman"/>
          <w:sz w:val="24"/>
          <w:szCs w:val="24"/>
        </w:rPr>
      </w:pPr>
      <w:r w:rsidRPr="006D74FE">
        <w:rPr>
          <w:rFonts w:ascii="Times New Roman" w:hAnsi="Times New Roman"/>
          <w:sz w:val="24"/>
          <w:szCs w:val="24"/>
        </w:rPr>
        <w:t xml:space="preserve">In global terms, ICT has been emerged as one of the biggest catalysts in banking sectors that is a blithe for Bangladesh banking industry and ICT metes out no exclusion here. This study measures the impact of ICT determinants on 17 private commercial banks (PCBs) in Bangladesh employing Stochastic Cobb-Douglas and Trans-log cost and profit efficiency models considering a panel data set during 2008-2017. The average cost efficiency score is made up to 65.8% and the average profit efficiency score has been made to 50.5% for PCBs for Cobb-Douglas cost and profit frontier analysis models while in </w:t>
      </w:r>
      <w:proofErr w:type="spellStart"/>
      <w:r w:rsidRPr="006D74FE">
        <w:rPr>
          <w:rFonts w:ascii="Times New Roman" w:hAnsi="Times New Roman"/>
          <w:sz w:val="24"/>
          <w:szCs w:val="24"/>
        </w:rPr>
        <w:t>Translog</w:t>
      </w:r>
      <w:proofErr w:type="spellEnd"/>
      <w:r w:rsidRPr="006D74FE">
        <w:rPr>
          <w:rFonts w:ascii="Times New Roman" w:hAnsi="Times New Roman"/>
          <w:sz w:val="24"/>
          <w:szCs w:val="24"/>
        </w:rPr>
        <w:t xml:space="preserve"> stochastic cost and profit frontier analysis models the average cost efficiency score and the average profit efficiency score have been made to 66.3% and 53.9% respectively. The IT personnel expenses (0.0018) and Credit Card Transaction (0.0013) are found positively significant for profit efficiency of Stochastic Cobb-Douglas profit frontier model while the IT personnel expanses ɸ5 (0.00087), ATM Card expenses ɸ7 (0.00306) and credit card transaction ɸ8 (0.00005) have impacted positively on the cost efficiency of Stochastic Cobb-Douglas cost frontier model . The ICT factors have positive impact on private commercial banks so it can be concluded that the Private commercial banking system are technologically more advanced.</w:t>
      </w:r>
    </w:p>
    <w:p w14:paraId="27B49669" w14:textId="77777777" w:rsidR="00467F97" w:rsidRPr="006D74FE" w:rsidRDefault="00CE0DBC" w:rsidP="00A728A2">
      <w:pPr>
        <w:spacing w:after="0" w:line="240" w:lineRule="auto"/>
        <w:jc w:val="both"/>
        <w:rPr>
          <w:rFonts w:ascii="Times New Roman" w:hAnsi="Times New Roman"/>
          <w:sz w:val="24"/>
          <w:szCs w:val="24"/>
        </w:rPr>
      </w:pPr>
      <w:r w:rsidRPr="006D74FE">
        <w:rPr>
          <w:rFonts w:ascii="Times New Roman" w:hAnsi="Times New Roman"/>
          <w:b/>
          <w:bCs/>
          <w:sz w:val="24"/>
          <w:szCs w:val="24"/>
        </w:rPr>
        <w:t>Keywords:</w:t>
      </w:r>
      <w:r w:rsidRPr="006D74FE">
        <w:rPr>
          <w:rFonts w:ascii="Times New Roman" w:hAnsi="Times New Roman"/>
          <w:sz w:val="24"/>
          <w:szCs w:val="24"/>
        </w:rPr>
        <w:t xml:space="preserve"> ICT, Stochastic frontier model, Private Commercial Banks, Bangladesh.</w:t>
      </w:r>
    </w:p>
    <w:bookmarkEnd w:id="1"/>
    <w:p w14:paraId="176953B4" w14:textId="77777777" w:rsidR="00467F97" w:rsidRPr="006D74FE" w:rsidRDefault="00467F97" w:rsidP="00A728A2">
      <w:pPr>
        <w:spacing w:after="0" w:line="240" w:lineRule="auto"/>
        <w:jc w:val="both"/>
        <w:rPr>
          <w:rFonts w:ascii="Times New Roman" w:hAnsi="Times New Roman"/>
          <w:sz w:val="24"/>
          <w:szCs w:val="24"/>
        </w:rPr>
      </w:pPr>
    </w:p>
    <w:p w14:paraId="6D831888" w14:textId="77777777" w:rsidR="00467F97" w:rsidRPr="006D74FE" w:rsidRDefault="00467F97" w:rsidP="00A728A2">
      <w:pPr>
        <w:spacing w:line="240" w:lineRule="auto"/>
        <w:jc w:val="both"/>
        <w:rPr>
          <w:rFonts w:ascii="Times New Roman" w:hAnsi="Times New Roman"/>
          <w:sz w:val="24"/>
          <w:szCs w:val="24"/>
        </w:rPr>
      </w:pPr>
      <w:r w:rsidRPr="006D74FE">
        <w:rPr>
          <w:rFonts w:ascii="Times New Roman" w:hAnsi="Times New Roman"/>
          <w:sz w:val="24"/>
          <w:szCs w:val="24"/>
        </w:rPr>
        <w:br w:type="page"/>
      </w:r>
    </w:p>
    <w:p w14:paraId="2E24F735" w14:textId="54398B4E" w:rsidR="00832914" w:rsidRPr="006D74FE" w:rsidRDefault="00832914" w:rsidP="00A728A2">
      <w:pPr>
        <w:pStyle w:val="ListParagraph"/>
        <w:numPr>
          <w:ilvl w:val="0"/>
          <w:numId w:val="29"/>
        </w:numPr>
        <w:spacing w:line="240" w:lineRule="auto"/>
        <w:rPr>
          <w:rFonts w:ascii="Times New Roman" w:hAnsi="Times New Roman" w:cs="Times New Roman"/>
          <w:b/>
          <w:bCs/>
        </w:rPr>
      </w:pPr>
      <w:r w:rsidRPr="006D74FE">
        <w:rPr>
          <w:rFonts w:ascii="Times New Roman" w:hAnsi="Times New Roman" w:cs="Times New Roman"/>
          <w:b/>
          <w:bCs/>
        </w:rPr>
        <w:lastRenderedPageBreak/>
        <w:t>Introduction</w:t>
      </w:r>
    </w:p>
    <w:p w14:paraId="3EA21E74" w14:textId="77777777" w:rsidR="00F779E5" w:rsidRPr="006D74FE" w:rsidRDefault="00F779E5" w:rsidP="00A728A2">
      <w:pPr>
        <w:spacing w:after="0" w:line="240" w:lineRule="auto"/>
        <w:jc w:val="both"/>
        <w:rPr>
          <w:rFonts w:ascii="Times New Roman" w:hAnsi="Times New Roman"/>
          <w:b/>
          <w:bCs/>
          <w:sz w:val="24"/>
          <w:szCs w:val="24"/>
        </w:rPr>
      </w:pPr>
    </w:p>
    <w:p w14:paraId="68640B67" w14:textId="4FFC08ED" w:rsidR="003633DF" w:rsidRPr="006D74FE" w:rsidRDefault="00C15D7F" w:rsidP="00A728A2">
      <w:pPr>
        <w:spacing w:after="0" w:line="240" w:lineRule="auto"/>
        <w:jc w:val="both"/>
        <w:rPr>
          <w:rFonts w:ascii="Times New Roman" w:hAnsi="Times New Roman"/>
          <w:sz w:val="24"/>
          <w:szCs w:val="24"/>
        </w:rPr>
      </w:pPr>
      <w:r w:rsidRPr="00747424">
        <w:rPr>
          <w:rFonts w:ascii="Times New Roman" w:hAnsi="Times New Roman"/>
          <w:sz w:val="24"/>
          <w:szCs w:val="24"/>
          <w:highlight w:val="yellow"/>
        </w:rPr>
        <w:t xml:space="preserve">In the modern age, ICT is a crucial resource of an organization like land, labor, and </w:t>
      </w:r>
      <w:r w:rsidR="008C7A20" w:rsidRPr="00747424">
        <w:rPr>
          <w:rFonts w:ascii="Times New Roman" w:hAnsi="Times New Roman"/>
          <w:sz w:val="24"/>
          <w:szCs w:val="24"/>
          <w:highlight w:val="yellow"/>
        </w:rPr>
        <w:t>capital</w:t>
      </w:r>
      <w:r w:rsidR="008C7A20" w:rsidRPr="00747424">
        <w:rPr>
          <w:rFonts w:ascii="Times New Roman" w:hAnsi="Times New Roman"/>
          <w:sz w:val="24"/>
          <w:szCs w:val="24"/>
          <w:highlight w:val="yellow"/>
          <w:cs/>
        </w:rPr>
        <w:t xml:space="preserve">. </w:t>
      </w:r>
      <w:r w:rsidR="008C7A20" w:rsidRPr="00747424">
        <w:rPr>
          <w:rFonts w:ascii="Times New Roman" w:hAnsi="Times New Roman"/>
          <w:sz w:val="24"/>
          <w:szCs w:val="24"/>
          <w:highlight w:val="yellow"/>
        </w:rPr>
        <w:t>The</w:t>
      </w:r>
      <w:r w:rsidRPr="00747424">
        <w:rPr>
          <w:rFonts w:ascii="Times New Roman" w:hAnsi="Times New Roman"/>
          <w:sz w:val="24"/>
          <w:szCs w:val="24"/>
          <w:highlight w:val="yellow"/>
        </w:rPr>
        <w:t xml:space="preserve"> banking industries is being heavily influenced by technology</w:t>
      </w:r>
      <w:r w:rsidR="00AD3E12" w:rsidRPr="00747424">
        <w:rPr>
          <w:rFonts w:ascii="Times New Roman" w:hAnsi="Times New Roman"/>
          <w:sz w:val="24"/>
          <w:szCs w:val="24"/>
          <w:highlight w:val="yellow"/>
        </w:rPr>
        <w:t xml:space="preserve"> in this context</w:t>
      </w:r>
      <w:r w:rsidRPr="00747424">
        <w:rPr>
          <w:rFonts w:ascii="Times New Roman" w:hAnsi="Times New Roman"/>
          <w:sz w:val="24"/>
          <w:szCs w:val="24"/>
          <w:highlight w:val="yellow"/>
        </w:rPr>
        <w:t>. Due to the development of technology, the traditional banking system is disappearing. New markets, good products, proper services and efficient delivery channels for the banking industry are all these lead to a more competitive market environment</w:t>
      </w:r>
      <w:r w:rsidR="00461BF8">
        <w:rPr>
          <w:rFonts w:ascii="Times New Roman" w:hAnsi="Times New Roman"/>
          <w:sz w:val="24"/>
          <w:szCs w:val="24"/>
          <w:highlight w:val="yellow"/>
        </w:rPr>
        <w:t xml:space="preserve"> (</w:t>
      </w:r>
      <w:r w:rsidR="00461BF8" w:rsidRPr="00461BF8">
        <w:rPr>
          <w:rFonts w:ascii="Times New Roman" w:hAnsi="Times New Roman"/>
          <w:sz w:val="24"/>
          <w:szCs w:val="24"/>
        </w:rPr>
        <w:t>https://pdfs.semanticscholar.org/5228/b537074311cea1a0a0bc511553f4706908e8.pdf</w:t>
      </w:r>
      <w:r w:rsidR="00461BF8">
        <w:rPr>
          <w:rFonts w:ascii="Times New Roman" w:hAnsi="Times New Roman"/>
          <w:sz w:val="24"/>
          <w:szCs w:val="24"/>
        </w:rPr>
        <w:t>)</w:t>
      </w:r>
      <w:r w:rsidRPr="00747424">
        <w:rPr>
          <w:rFonts w:ascii="Times New Roman" w:hAnsi="Times New Roman"/>
          <w:sz w:val="24"/>
          <w:szCs w:val="24"/>
          <w:highlight w:val="yellow"/>
        </w:rPr>
        <w:t>.Technology is the new door of banking and financial services to conduct their activities</w:t>
      </w:r>
      <w:r w:rsidR="00DA7EE7" w:rsidRPr="00747424">
        <w:rPr>
          <w:rFonts w:ascii="Times New Roman" w:hAnsi="Times New Roman"/>
          <w:sz w:val="24"/>
          <w:szCs w:val="24"/>
          <w:highlight w:val="yellow"/>
        </w:rPr>
        <w:t>; s</w:t>
      </w:r>
      <w:r w:rsidRPr="00747424">
        <w:rPr>
          <w:rFonts w:ascii="Times New Roman" w:hAnsi="Times New Roman"/>
          <w:sz w:val="24"/>
          <w:szCs w:val="24"/>
          <w:highlight w:val="yellow"/>
        </w:rPr>
        <w:t xml:space="preserve">uch as </w:t>
      </w:r>
      <w:r w:rsidR="00DA7EE7" w:rsidRPr="00747424">
        <w:rPr>
          <w:rFonts w:ascii="Times New Roman" w:hAnsi="Times New Roman"/>
          <w:sz w:val="24"/>
          <w:szCs w:val="24"/>
          <w:highlight w:val="yellow"/>
        </w:rPr>
        <w:t>a</w:t>
      </w:r>
      <w:r w:rsidRPr="00747424">
        <w:rPr>
          <w:rFonts w:ascii="Times New Roman" w:hAnsi="Times New Roman"/>
          <w:sz w:val="24"/>
          <w:szCs w:val="24"/>
          <w:highlight w:val="yellow"/>
        </w:rPr>
        <w:t xml:space="preserve"> popular delivery mechanism ATM reduces the hassle to get the money at any time. The bank has changed its transaction system, rationalize its branch network strategy, and widen the range of delivery option by advanced technology</w:t>
      </w:r>
      <w:r w:rsidR="00461BF8">
        <w:rPr>
          <w:rFonts w:ascii="Times New Roman" w:hAnsi="Times New Roman"/>
          <w:sz w:val="24"/>
          <w:szCs w:val="24"/>
          <w:highlight w:val="yellow"/>
        </w:rPr>
        <w:t xml:space="preserve"> (</w:t>
      </w:r>
      <w:r w:rsidR="00461BF8" w:rsidRPr="00461BF8">
        <w:rPr>
          <w:rFonts w:ascii="Times New Roman" w:hAnsi="Times New Roman"/>
          <w:sz w:val="24"/>
          <w:szCs w:val="24"/>
        </w:rPr>
        <w:t>https://www.sciencedirect.com/science/article/pii/S1877042811018283</w:t>
      </w:r>
      <w:r w:rsidR="00461BF8">
        <w:rPr>
          <w:rFonts w:ascii="Times New Roman" w:hAnsi="Times New Roman"/>
          <w:sz w:val="24"/>
          <w:szCs w:val="24"/>
        </w:rPr>
        <w:t>)</w:t>
      </w:r>
      <w:r w:rsidRPr="00747424">
        <w:rPr>
          <w:rFonts w:ascii="Times New Roman" w:hAnsi="Times New Roman"/>
          <w:sz w:val="24"/>
          <w:szCs w:val="24"/>
          <w:highlight w:val="yellow"/>
        </w:rPr>
        <w:t xml:space="preserve">. </w:t>
      </w:r>
      <w:r w:rsidR="008C7A20" w:rsidRPr="00747424">
        <w:rPr>
          <w:rFonts w:ascii="Times New Roman" w:hAnsi="Times New Roman"/>
          <w:sz w:val="24"/>
          <w:szCs w:val="24"/>
          <w:highlight w:val="yellow"/>
        </w:rPr>
        <w:t>So,</w:t>
      </w:r>
      <w:r w:rsidRPr="00747424">
        <w:rPr>
          <w:rFonts w:ascii="Times New Roman" w:hAnsi="Times New Roman"/>
          <w:sz w:val="24"/>
          <w:szCs w:val="24"/>
          <w:highlight w:val="yellow"/>
        </w:rPr>
        <w:t xml:space="preserve"> people get large facilities through an internet bank. As a result, investors are increasing day by day</w:t>
      </w:r>
      <w:r w:rsidR="00461BF8">
        <w:rPr>
          <w:rFonts w:ascii="Times New Roman" w:hAnsi="Times New Roman"/>
          <w:sz w:val="24"/>
          <w:szCs w:val="24"/>
          <w:highlight w:val="yellow"/>
        </w:rPr>
        <w:t xml:space="preserve"> (</w:t>
      </w:r>
      <w:r w:rsidR="00461BF8" w:rsidRPr="00461BF8">
        <w:rPr>
          <w:rFonts w:ascii="Times New Roman" w:hAnsi="Times New Roman"/>
          <w:sz w:val="24"/>
          <w:szCs w:val="24"/>
        </w:rPr>
        <w:t>https://investorplace.com/2020/06/market-share-lower-fees-boosting-spot-stock/</w:t>
      </w:r>
      <w:r w:rsidR="00461BF8">
        <w:rPr>
          <w:rFonts w:ascii="Times New Roman" w:hAnsi="Times New Roman"/>
          <w:sz w:val="24"/>
          <w:szCs w:val="24"/>
        </w:rPr>
        <w:t>)</w:t>
      </w:r>
      <w:r w:rsidRPr="00747424">
        <w:rPr>
          <w:rFonts w:ascii="Times New Roman" w:hAnsi="Times New Roman"/>
          <w:sz w:val="24"/>
          <w:szCs w:val="24"/>
          <w:highlight w:val="yellow"/>
        </w:rPr>
        <w:t>.</w:t>
      </w:r>
      <w:r w:rsidRPr="006D74FE">
        <w:rPr>
          <w:rFonts w:ascii="Times New Roman" w:hAnsi="Times New Roman"/>
          <w:sz w:val="24"/>
          <w:szCs w:val="24"/>
        </w:rPr>
        <w:t xml:space="preserve"> </w:t>
      </w:r>
      <w:r w:rsidRPr="004148F4">
        <w:rPr>
          <w:rFonts w:ascii="Times New Roman" w:hAnsi="Times New Roman"/>
          <w:sz w:val="24"/>
          <w:szCs w:val="24"/>
          <w:highlight w:val="cyan"/>
        </w:rPr>
        <w:t>In this continuation, i</w:t>
      </w:r>
      <w:r w:rsidR="00253FE7" w:rsidRPr="004148F4">
        <w:rPr>
          <w:rFonts w:ascii="Times New Roman" w:hAnsi="Times New Roman"/>
          <w:sz w:val="24"/>
          <w:szCs w:val="24"/>
          <w:highlight w:val="cyan"/>
        </w:rPr>
        <w:t>nformation technology environment changes rapidly</w:t>
      </w:r>
      <w:r w:rsidR="003633DF" w:rsidRPr="004148F4">
        <w:rPr>
          <w:rFonts w:ascii="Times New Roman" w:hAnsi="Times New Roman"/>
          <w:sz w:val="24"/>
          <w:szCs w:val="24"/>
          <w:highlight w:val="cyan"/>
        </w:rPr>
        <w:t xml:space="preserve"> and </w:t>
      </w:r>
      <w:r w:rsidR="00253FE7" w:rsidRPr="004148F4">
        <w:rPr>
          <w:rFonts w:ascii="Times New Roman" w:hAnsi="Times New Roman"/>
          <w:sz w:val="24"/>
          <w:szCs w:val="24"/>
          <w:highlight w:val="cyan"/>
        </w:rPr>
        <w:t>the number of internet users is increased in Bangladesh</w:t>
      </w:r>
      <w:r w:rsidR="005725F8">
        <w:rPr>
          <w:rFonts w:ascii="Times New Roman" w:hAnsi="Times New Roman"/>
          <w:sz w:val="24"/>
          <w:szCs w:val="24"/>
          <w:highlight w:val="cyan"/>
        </w:rPr>
        <w:t xml:space="preserve"> (</w:t>
      </w:r>
      <w:r w:rsidR="005725F8" w:rsidRPr="005725F8">
        <w:rPr>
          <w:rFonts w:ascii="Times New Roman" w:hAnsi="Times New Roman"/>
          <w:sz w:val="24"/>
          <w:szCs w:val="24"/>
        </w:rPr>
        <w:t>https://www.essaysauce.com/geography-essays/essay-bangladesh-microfinance-self-help-groups/</w:t>
      </w:r>
      <w:r w:rsidR="005725F8">
        <w:rPr>
          <w:rFonts w:ascii="Times New Roman" w:hAnsi="Times New Roman"/>
          <w:sz w:val="24"/>
          <w:szCs w:val="24"/>
        </w:rPr>
        <w:t>)</w:t>
      </w:r>
      <w:r w:rsidR="003633DF" w:rsidRPr="004148F4">
        <w:rPr>
          <w:rFonts w:ascii="Times New Roman" w:hAnsi="Times New Roman"/>
          <w:sz w:val="24"/>
          <w:szCs w:val="24"/>
          <w:highlight w:val="cyan"/>
        </w:rPr>
        <w:t>. M</w:t>
      </w:r>
      <w:r w:rsidR="00253FE7" w:rsidRPr="004148F4">
        <w:rPr>
          <w:rFonts w:ascii="Times New Roman" w:hAnsi="Times New Roman"/>
          <w:sz w:val="24"/>
          <w:szCs w:val="24"/>
          <w:highlight w:val="cyan"/>
        </w:rPr>
        <w:t>ost of</w:t>
      </w:r>
      <w:r w:rsidR="007668EA" w:rsidRPr="004148F4">
        <w:rPr>
          <w:rFonts w:ascii="Times New Roman" w:hAnsi="Times New Roman"/>
          <w:sz w:val="24"/>
          <w:szCs w:val="24"/>
          <w:highlight w:val="cyan"/>
        </w:rPr>
        <w:t xml:space="preserve"> the transactions are conducted</w:t>
      </w:r>
      <w:r w:rsidR="00253FE7" w:rsidRPr="004148F4">
        <w:rPr>
          <w:rFonts w:ascii="Times New Roman" w:hAnsi="Times New Roman"/>
          <w:sz w:val="24"/>
          <w:szCs w:val="24"/>
          <w:highlight w:val="cyan"/>
        </w:rPr>
        <w:t xml:space="preserve"> via e-banking channels, online </w:t>
      </w:r>
      <w:r w:rsidR="003633DF" w:rsidRPr="004148F4">
        <w:rPr>
          <w:rFonts w:ascii="Times New Roman" w:hAnsi="Times New Roman"/>
          <w:sz w:val="24"/>
          <w:szCs w:val="24"/>
          <w:highlight w:val="cyan"/>
        </w:rPr>
        <w:t>i</w:t>
      </w:r>
      <w:r w:rsidR="00253FE7" w:rsidRPr="004148F4">
        <w:rPr>
          <w:rFonts w:ascii="Times New Roman" w:hAnsi="Times New Roman"/>
          <w:sz w:val="24"/>
          <w:szCs w:val="24"/>
          <w:highlight w:val="cyan"/>
        </w:rPr>
        <w:t>nternet bank, and m</w:t>
      </w:r>
      <w:r w:rsidR="003633DF" w:rsidRPr="004148F4">
        <w:rPr>
          <w:rFonts w:ascii="Times New Roman" w:hAnsi="Times New Roman"/>
          <w:sz w:val="24"/>
          <w:szCs w:val="24"/>
          <w:highlight w:val="cyan"/>
        </w:rPr>
        <w:t>-</w:t>
      </w:r>
      <w:r w:rsidR="00253FE7" w:rsidRPr="004148F4">
        <w:rPr>
          <w:rFonts w:ascii="Times New Roman" w:hAnsi="Times New Roman"/>
          <w:sz w:val="24"/>
          <w:szCs w:val="24"/>
          <w:highlight w:val="cyan"/>
        </w:rPr>
        <w:t>banking services</w:t>
      </w:r>
      <w:r w:rsidR="003633DF" w:rsidRPr="004148F4">
        <w:rPr>
          <w:rFonts w:ascii="Times New Roman" w:hAnsi="Times New Roman"/>
          <w:sz w:val="24"/>
          <w:szCs w:val="24"/>
          <w:highlight w:val="cyan"/>
        </w:rPr>
        <w:t xml:space="preserve"> due to a decrease in the physical branches of banking</w:t>
      </w:r>
      <w:r w:rsidR="00253FE7" w:rsidRPr="004148F4">
        <w:rPr>
          <w:rFonts w:ascii="Times New Roman" w:hAnsi="Times New Roman"/>
          <w:sz w:val="24"/>
          <w:szCs w:val="24"/>
          <w:highlight w:val="cyan"/>
        </w:rPr>
        <w:t xml:space="preserve">. </w:t>
      </w:r>
      <w:r w:rsidR="008C7A20" w:rsidRPr="004148F4">
        <w:rPr>
          <w:rFonts w:ascii="Times New Roman" w:hAnsi="Times New Roman"/>
          <w:sz w:val="24"/>
          <w:szCs w:val="24"/>
          <w:highlight w:val="cyan"/>
        </w:rPr>
        <w:t>So,</w:t>
      </w:r>
      <w:r w:rsidR="00253FE7" w:rsidRPr="004148F4">
        <w:rPr>
          <w:rFonts w:ascii="Times New Roman" w:hAnsi="Times New Roman"/>
          <w:sz w:val="24"/>
          <w:szCs w:val="24"/>
          <w:highlight w:val="cyan"/>
        </w:rPr>
        <w:t xml:space="preserve"> the customer demands are fulfilled easily in banking activities electronically.</w:t>
      </w:r>
      <w:r w:rsidR="008E7D0E" w:rsidRPr="004148F4">
        <w:rPr>
          <w:rFonts w:ascii="Times New Roman" w:hAnsi="Times New Roman"/>
          <w:sz w:val="24"/>
          <w:szCs w:val="24"/>
          <w:highlight w:val="cyan"/>
        </w:rPr>
        <w:t xml:space="preserve">  Some researchers asserted that ICT investments can really promote the enterprises operational performance by reducing costs, raising profit margin, upgrading </w:t>
      </w:r>
      <w:r w:rsidR="00B15AC9" w:rsidRPr="004148F4">
        <w:rPr>
          <w:rFonts w:ascii="Times New Roman" w:hAnsi="Times New Roman"/>
          <w:sz w:val="24"/>
          <w:szCs w:val="24"/>
          <w:highlight w:val="cyan"/>
        </w:rPr>
        <w:t>production levels, enhance</w:t>
      </w:r>
      <w:r w:rsidR="008E7D0E" w:rsidRPr="004148F4">
        <w:rPr>
          <w:rFonts w:ascii="Times New Roman" w:hAnsi="Times New Roman"/>
          <w:sz w:val="24"/>
          <w:szCs w:val="24"/>
          <w:highlight w:val="cyan"/>
        </w:rPr>
        <w:t xml:space="preserve"> service quality, </w:t>
      </w:r>
      <w:r w:rsidR="00B15AC9" w:rsidRPr="004148F4">
        <w:rPr>
          <w:rFonts w:ascii="Times New Roman" w:hAnsi="Times New Roman"/>
          <w:sz w:val="24"/>
          <w:szCs w:val="24"/>
          <w:highlight w:val="cyan"/>
        </w:rPr>
        <w:t>progressing</w:t>
      </w:r>
      <w:r w:rsidR="008E7D0E" w:rsidRPr="004148F4">
        <w:rPr>
          <w:rFonts w:ascii="Times New Roman" w:hAnsi="Times New Roman"/>
          <w:sz w:val="24"/>
          <w:szCs w:val="24"/>
          <w:highlight w:val="cyan"/>
        </w:rPr>
        <w:t xml:space="preserve"> customer satisfaction and </w:t>
      </w:r>
      <w:r w:rsidR="00B15AC9" w:rsidRPr="004148F4">
        <w:rPr>
          <w:rFonts w:ascii="Times New Roman" w:hAnsi="Times New Roman"/>
          <w:sz w:val="24"/>
          <w:szCs w:val="24"/>
          <w:highlight w:val="cyan"/>
        </w:rPr>
        <w:t>successful</w:t>
      </w:r>
      <w:r w:rsidR="008E7D0E" w:rsidRPr="004148F4">
        <w:rPr>
          <w:rFonts w:ascii="Times New Roman" w:hAnsi="Times New Roman"/>
          <w:sz w:val="24"/>
          <w:szCs w:val="24"/>
          <w:highlight w:val="cyan"/>
        </w:rPr>
        <w:t xml:space="preserve"> overall operations. In contrast, other researchers do not demonstrate the positive effect of ICT investments and concluded that ICT spending brought no significant contributions to the </w:t>
      </w:r>
      <w:r w:rsidR="008C7A20" w:rsidRPr="004148F4">
        <w:rPr>
          <w:rFonts w:ascii="Times New Roman" w:hAnsi="Times New Roman"/>
          <w:sz w:val="24"/>
          <w:szCs w:val="24"/>
          <w:highlight w:val="cyan"/>
        </w:rPr>
        <w:t>enterprise’s</w:t>
      </w:r>
      <w:r w:rsidR="008E7D0E" w:rsidRPr="004148F4">
        <w:rPr>
          <w:rFonts w:ascii="Times New Roman" w:hAnsi="Times New Roman"/>
          <w:sz w:val="24"/>
          <w:szCs w:val="24"/>
          <w:highlight w:val="cyan"/>
        </w:rPr>
        <w:t xml:space="preserve"> operations, and so</w:t>
      </w:r>
      <w:r w:rsidR="00CC5AA7" w:rsidRPr="004148F4">
        <w:rPr>
          <w:rFonts w:ascii="Times New Roman" w:hAnsi="Times New Roman"/>
          <w:sz w:val="24"/>
          <w:szCs w:val="24"/>
          <w:highlight w:val="cyan"/>
        </w:rPr>
        <w:t xml:space="preserve"> the ICT </w:t>
      </w:r>
      <w:r w:rsidR="008E7D0E" w:rsidRPr="004148F4">
        <w:rPr>
          <w:rFonts w:ascii="Times New Roman" w:hAnsi="Times New Roman"/>
          <w:sz w:val="24"/>
          <w:szCs w:val="24"/>
          <w:highlight w:val="cyan"/>
        </w:rPr>
        <w:t xml:space="preserve">has been an issue of continuous debate for </w:t>
      </w:r>
      <w:r w:rsidR="008C7A20" w:rsidRPr="004148F4">
        <w:rPr>
          <w:rFonts w:ascii="Times New Roman" w:hAnsi="Times New Roman"/>
          <w:sz w:val="24"/>
          <w:szCs w:val="24"/>
          <w:highlight w:val="cyan"/>
        </w:rPr>
        <w:t>decades. (</w:t>
      </w:r>
      <w:r w:rsidR="00E24F17" w:rsidRPr="004148F4">
        <w:rPr>
          <w:rFonts w:ascii="Times New Roman" w:hAnsi="Times New Roman"/>
          <w:sz w:val="24"/>
          <w:szCs w:val="24"/>
          <w:highlight w:val="cyan"/>
        </w:rPr>
        <w:t>require the exact citations in this regard).</w:t>
      </w:r>
      <w:r w:rsidR="008E7D0E" w:rsidRPr="006D74FE">
        <w:rPr>
          <w:rFonts w:ascii="Times New Roman" w:hAnsi="Times New Roman"/>
          <w:sz w:val="24"/>
          <w:szCs w:val="24"/>
        </w:rPr>
        <w:t xml:space="preserve"> </w:t>
      </w:r>
      <w:r w:rsidR="001B6AEE" w:rsidRPr="00836446">
        <w:rPr>
          <w:rFonts w:ascii="Times New Roman" w:hAnsi="Times New Roman"/>
          <w:sz w:val="24"/>
          <w:szCs w:val="24"/>
          <w:highlight w:val="yellow"/>
        </w:rPr>
        <w:fldChar w:fldCharType="begin" w:fldLock="1"/>
      </w:r>
      <w:r w:rsidR="00B77167" w:rsidRPr="00836446">
        <w:rPr>
          <w:rFonts w:ascii="Times New Roman" w:hAnsi="Times New Roman"/>
          <w:sz w:val="24"/>
          <w:szCs w:val="24"/>
          <w:highlight w:val="yellow"/>
        </w:rPr>
        <w:instrText>ADDIN CSL_CITATION {"citationItems":[{"id":"ITEM-1","itemData":{"abstract":"This paper investigates the performance of information technology (IT) investments in a sample of 15 Tunisian banks over the period 1998–2009. We employ the standard Stochastic Frontier Approach on panel data to generate estimates of cost efficiencies. The study is enhanced by a comparison between the results found using the Data Envelopment Analysis (DEA) method and the Stochastic Frontier Analysis (SFA) method to test the soundness of these approaches to efficiency measurement. The empirical findings suggest that the impact of IT investments on Tunisian banksâ€™ performance is positive. The analysis of the internal determinants of banksâ€™ efficiency levels shows that size and managerial capacity positively and significantly affect the Tunisian banksâ€™ cost efficiency, while the share of non-performing loans represents a source of inefficiency. Measuring the impact of various categories of IT investments (hardware, software and IT services) on banksâ€™ cost efficiencies suggests that \"the Productivity Paradox\" does not affect all IT investments.","author":[{"dropping-particle":"Ben","family":"Romdhane","given":"Syrine","non-dropping-particle":"","parse-names":false,"suffix":""}],"container-title":"Asian Academy of Management Journal of Accounting and Finance (AAMJAF)","id":"ITEM-1","issue":"2","issued":{"date-parts":[["2013"]]},"page":"95-125","publisher":"Penerbit Universiti Sains Malaysia","title":"Impact of Information Technology on The Performance of Tunisian Banks: A Stochastic Frontier Analysis with Panel Data","type":"article-journal","volume":"9"},"uris":["http://www.mendeley.com/documents/?uuid=50ea5615-cc6e-3700-95f4-60d0b626e650"]},{"id":"ITEM-2","itemData":{"DOI":"10.1016/j.jbankfin.2006.10.022","ISSN":"03784266","abstract":"This paper investigates whether investment in information technology (IT) - hardware, software and other IT services - influences the performance of banks. Using a sample of 737 European banks over the period 1995-2000 we analyse whether IT investment is reflected in improved performance (measured using both standard accounting ratios and cost and alternative profit efficiency measures). Despite banks being major investors in IT we find little relationship between total IT investment and improved bank profitability or efficiency indicating the existence of a profitability paradox. However, the impact of different types of IT investment (hardware, software and services) on banks' performance is heterogeneous. Investment in IT services from external providers (consulting services, implementation services, training and education, support services) appears to have a positive influence on accounting profits and profit efficiency, while the acquisition of hardware and software seems to reduce banks' performance. © 2007 Elsevier B.V. All rights reserved.","author":[{"dropping-particle":"","family":"Beccalli","given":"Elena","non-dropping-particle":"","parse-names":false,"suffix":""}],"container-title":"Journal of Banking and Finance","id":"ITEM-2","issue":"7","issued":{"date-parts":[["2007","7","1"]]},"page":"2205-2230","publisher":"North-Holland","title":"Does IT investment improve bank performance? Evidence from Europe","type":"article-journal","volume":"31"},"uris":["http://www.mendeley.com/documents/?uuid=9a9652fc-1489-3822-9456-e6ddb5de92e4"]},{"id":"ITEM-3","itemData":{"DOI":"10.19026/rjaset.6.3759","ISSN":"20407467","abstract":"This research study explores the Cost efficiency of Indian Private Sector banks by employing Stochastic Frontier Approach (SFA). This paper empirically evaluated the impact of Information Technology (IT) on the Cost efficiency of the Indian private sector banks .The present study is based on panel data over the period of 2009-2013. For this study, all the 13 old private sector banks and 7 new private sector banks of India are being considered. This study identifies the average cost efficiency of old private sector banks found to be 94.9% and for new private sector banks 82.6% over the entire period of study. The findings of this study suggest that to some extent IT impact the cost efficiency of Indian private sector banks. Some of Old private sector bank cost inefficiency reduced by 28% for the study period by Information Technology (IT) and for New private sector banks cost inefficiency reduced by 11.3% Information Technology (IT). Thus, Information Technology contributes to cost efficiency to both old and new private sector banks. © Maxwell Scientific Organization, 2013.","author":[{"dropping-particle":"","family":"Surulivel","given":"S. T.","non-dropping-particle":"","parse-names":false,"suffix":""},{"dropping-particle":"","family":"Vijayabanu","given":"C.","non-dropping-particle":"","parse-names":false,"suffix":""},{"dropping-particle":"","family":"Amudha","given":"R.","non-dropping-particle":"","parse-names":false,"suffix":""},{"dropping-particle":"","family":"Charumathi","given":"B.","non-dropping-particle":"","parse-names":false,"suffix":""}],"container-title":"Research Journal of Applied Sciences, Engineering and Technology","id":"ITEM-3","issue":"14","issued":{"date-parts":[["2013"]]},"page":"2685-2692","publisher":"Maxwell Science Publications","title":"Impact of Information Technology (IT) investments on the cost efficiency of Indian private sector banks-a Stochastic Frontier Approach (SFA)","type":"article-journal","volume":"6"},"uris":["http://www.mendeley.com/documents/?uuid=ec433b35-7e33-3f10-8a71-374772ce18ec"]},{"id":"ITEM-4","itemData":{"author":[{"dropping-particle":"","family":"Safari","given":"Mojtaba Rees","non-dropping-particle":"","parse-names":false,"suffix":""},{"dropping-particle":"","family":"Yu","given":"Liu Zhen","non-dropping-particle":"","parse-names":false,"suffix":""}],"id":"ITEM-4","issued":{"date-parts":[["2014"]]},"title":"Impact of Information and Communication Technology (ICT) on Efficiency: Evidence from the Iranian Banking Industry","type":"article"},"uris":["http://www.mendeley.com/documents/?uuid=b470109c-122f-3f0d-b8fe-a83a9b4c5cdb"]},{"id":"ITEM-5","itemData":{"DOI":"10.1080/07421222.2000.11518267","ISSN":"07421222","abstract":"The influence of IT investments on organizational performance is revisited. Bounded rationality, organizational controls, and political forces may constrain optimal selection of inputs and appropriate substitution between inputs. For example, firms may not be able to attain an optimal level of IT by substituting IT for labor (for reasons such as pressure from the labor union). Besides estimating a link between IT investments and film output, this paper presents a study of the link between IT investment levels and the efficiency of processes. Nonparametric and parametric techniques were applied to financial data on hospitals collected over a period of eighteen years. We found that cost and technical and allocative efficiencies are statistically significant in the production framework. We also found that hospitals that were characterized by high technical efficiency also used a greater amount of IT capital than firms that exhibited low technical efficiency. A group of hospitals exhibiting high technical ef ficiency also exhibited low allocative efficiency, indicating that, while processes may have been efficient, resource allocation and budgeting between various categories of capital and labor have not been efficient. Our results also differ from previously published results because we find that IT labor had a negative contribution to productivity and that non-IT capital had a greater contribution to productivity than IT capital.","author":[{"dropping-particle":"","family":"Lee","given":"Byungtae","non-dropping-particle":"","parse-names":false,"suffix":""},{"dropping-particle":"","family":"Menon","given":"Nirup M.","non-dropping-particle":"","parse-names":false,"suffix":""}],"container-title":"Journal of Management Information Systems","id":"ITEM-5","issue":"4","issued":{"date-parts":[["2000"]]},"page":"99-119","publisher":"M.E. Sharpe Inc.","title":"Information technology value through different normative lenses","type":"article-journal","volume":"16"},"uris":["http://www.mendeley.com/documents/?uuid=ee87e656-c44b-3730-85c0-d800ad035d75"]}],"mendeley":{"formattedCitation":"(Beccalli 2007; Lee &amp; Menon 2000; Romdhane 2013; Safari &amp; Yu 2014; Surulivel et al. 2013)","plainTextFormattedCitation":"(Beccalli 2007; Lee &amp; Menon 2000; Romdhane 2013; Safari &amp; Yu 2014; Surulivel et al. 2013)","previouslyFormattedCitation":"(Beccalli, 2007; Lee &amp; Menon, 2000; Romdhane, 2013; Safari &amp; Yu, 2014; Surulivel et al., 2013)"},"properties":{"noteIndex":0},"schema":"https://github.com/citation-style-language/schema/raw/master/csl-citation.json"}</w:instrText>
      </w:r>
      <w:r w:rsidR="001B6AEE" w:rsidRPr="00836446">
        <w:rPr>
          <w:rFonts w:ascii="Times New Roman" w:hAnsi="Times New Roman"/>
          <w:sz w:val="24"/>
          <w:szCs w:val="24"/>
          <w:highlight w:val="yellow"/>
        </w:rPr>
        <w:fldChar w:fldCharType="separate"/>
      </w:r>
      <w:r w:rsidR="00B77167" w:rsidRPr="00836446">
        <w:rPr>
          <w:rFonts w:ascii="Times New Roman" w:hAnsi="Times New Roman"/>
          <w:noProof/>
          <w:sz w:val="24"/>
          <w:szCs w:val="24"/>
          <w:highlight w:val="yellow"/>
        </w:rPr>
        <w:t>(Beccalli 2007; Lee &amp; Menon 2000; Romdhane 2013; Safari &amp; Yu 2014; Surulivel et al. 2013)</w:t>
      </w:r>
      <w:r w:rsidR="001B6AEE" w:rsidRPr="00836446">
        <w:rPr>
          <w:rFonts w:ascii="Times New Roman" w:hAnsi="Times New Roman"/>
          <w:sz w:val="24"/>
          <w:szCs w:val="24"/>
          <w:highlight w:val="yellow"/>
        </w:rPr>
        <w:fldChar w:fldCharType="end"/>
      </w:r>
      <w:r w:rsidR="007E0F1A" w:rsidRPr="00836446">
        <w:rPr>
          <w:rFonts w:ascii="Times New Roman" w:hAnsi="Times New Roman"/>
          <w:sz w:val="24"/>
          <w:szCs w:val="24"/>
          <w:highlight w:val="yellow"/>
        </w:rPr>
        <w:t xml:space="preserve"> </w:t>
      </w:r>
      <w:r w:rsidR="008E7D0E" w:rsidRPr="00836446">
        <w:rPr>
          <w:rFonts w:ascii="Times New Roman" w:hAnsi="Times New Roman"/>
          <w:sz w:val="24"/>
          <w:szCs w:val="24"/>
          <w:highlight w:val="yellow"/>
        </w:rPr>
        <w:t xml:space="preserve">used parametric method (SFA) for estimating the banking efficiency and showed that </w:t>
      </w:r>
      <w:r w:rsidR="00457664" w:rsidRPr="00836446">
        <w:rPr>
          <w:rFonts w:ascii="Times New Roman" w:hAnsi="Times New Roman"/>
          <w:sz w:val="24"/>
          <w:szCs w:val="24"/>
          <w:highlight w:val="yellow"/>
        </w:rPr>
        <w:t xml:space="preserve">ICT components </w:t>
      </w:r>
      <w:r w:rsidR="007E0F1A" w:rsidRPr="00836446">
        <w:rPr>
          <w:rFonts w:ascii="Times New Roman" w:hAnsi="Times New Roman"/>
          <w:sz w:val="24"/>
          <w:szCs w:val="24"/>
          <w:highlight w:val="yellow"/>
        </w:rPr>
        <w:t xml:space="preserve">(Software Investment, IT services, Hardware Investment) </w:t>
      </w:r>
      <w:r w:rsidR="008E7D0E" w:rsidRPr="00836446">
        <w:rPr>
          <w:rFonts w:ascii="Times New Roman" w:hAnsi="Times New Roman"/>
          <w:sz w:val="24"/>
          <w:szCs w:val="24"/>
          <w:highlight w:val="yellow"/>
        </w:rPr>
        <w:t>had a great impact on the bank efficiency but they did not use varia</w:t>
      </w:r>
      <w:r w:rsidR="00457664" w:rsidRPr="00836446">
        <w:rPr>
          <w:rFonts w:ascii="Times New Roman" w:hAnsi="Times New Roman"/>
          <w:sz w:val="24"/>
          <w:szCs w:val="24"/>
          <w:highlight w:val="yellow"/>
        </w:rPr>
        <w:t>bles related to ICT</w:t>
      </w:r>
      <w:r w:rsidR="00836446">
        <w:rPr>
          <w:rFonts w:ascii="Times New Roman" w:hAnsi="Times New Roman"/>
          <w:sz w:val="24"/>
          <w:szCs w:val="24"/>
          <w:highlight w:val="yellow"/>
        </w:rPr>
        <w:t xml:space="preserve"> (</w:t>
      </w:r>
      <w:r w:rsidR="00836446" w:rsidRPr="00836446">
        <w:rPr>
          <w:rFonts w:ascii="Times New Roman" w:hAnsi="Times New Roman"/>
          <w:sz w:val="24"/>
          <w:szCs w:val="24"/>
        </w:rPr>
        <w:t>https://www.researchgate.net/publication/256967758_An_analysis_of_factors_that_influence_the_technical_efficiency_of_Malaysian_thermal_power_plants</w:t>
      </w:r>
      <w:r w:rsidR="00836446">
        <w:rPr>
          <w:rFonts w:ascii="Times New Roman" w:hAnsi="Times New Roman"/>
          <w:sz w:val="24"/>
          <w:szCs w:val="24"/>
        </w:rPr>
        <w:t>)</w:t>
      </w:r>
      <w:r w:rsidR="00457664" w:rsidRPr="00836446">
        <w:rPr>
          <w:rFonts w:ascii="Times New Roman" w:hAnsi="Times New Roman"/>
          <w:sz w:val="24"/>
          <w:szCs w:val="24"/>
          <w:highlight w:val="yellow"/>
        </w:rPr>
        <w:t xml:space="preserve">. </w:t>
      </w:r>
      <w:r w:rsidR="0006706F" w:rsidRPr="00836446">
        <w:rPr>
          <w:rFonts w:ascii="Times New Roman" w:hAnsi="Times New Roman"/>
          <w:sz w:val="24"/>
          <w:szCs w:val="24"/>
          <w:highlight w:val="yellow"/>
        </w:rPr>
        <w:t xml:space="preserve">Similarly, </w:t>
      </w:r>
      <w:r w:rsidR="001B6AEE" w:rsidRPr="00836446">
        <w:rPr>
          <w:rFonts w:ascii="Times New Roman" w:hAnsi="Times New Roman"/>
          <w:sz w:val="24"/>
          <w:szCs w:val="24"/>
          <w:highlight w:val="yellow"/>
        </w:rPr>
        <w:fldChar w:fldCharType="begin" w:fldLock="1"/>
      </w:r>
      <w:r w:rsidR="00B77167" w:rsidRPr="00836446">
        <w:rPr>
          <w:rFonts w:ascii="Times New Roman" w:hAnsi="Times New Roman"/>
          <w:sz w:val="24"/>
          <w:szCs w:val="24"/>
          <w:highlight w:val="yellow"/>
        </w:rPr>
        <w:instrText>ADDIN CSL_CITATION {"citationItems":[{"id":"ITEM-1","itemData":{"DOI":"10.1080/00036840902984381","ISSN":"00036846","abstract":"This study employs Stochastic Frontier Analysis (SFA) to analyse Malaysian commercial banks during 1996-2002, and particularly focuses on determining the impact of Islamic banking on performance. We derive both net and gross efficiency estimates, thereby demonstrating that differences in operating characteristics explain much of the difference in costs between Malaysian banks. We also decompose productivity change into efficiency, technical, and scale change using a generalized Malmquist productivity index. On average, Malaysian banks experience moderate scale economies and annual productivity change of 2.68%, with the latter driven primarily by Technical Change (TC), which has declined over time. Our gross efficiency estimates suggest that Islamic banking is associated with higher input requirements. However, our productivity estimates indicate that full-fledged Islamic banks have overcome some of these cost disadvantages with rapid TC, although this is not the case for conventional banks operating Islamic windows. Merged banks are found to have higher input usage and lower productivity change, suggesting that bank mergers have not contributed positively to bank performance. Finally, our results suggest that while the East Asian financial crisis had a short-term costreducing effect in 1998, the crisis triggered a long-lasting negative impact by increasing the volume of nonperforming loans. © 2011 Taylor &amp; Francis.","author":[{"dropping-particle":"","family":"Abdul-Majid","given":"Mariani","non-dropping-particle":"","parse-names":false,"suffix":""},{"dropping-particle":"","family":"Saal","given":"David S.","non-dropping-particle":"","parse-names":false,"suffix":""},{"dropping-particle":"","family":"Battisti","given":"Giuliana","non-dropping-particle":"","parse-names":false,"suffix":""}],"container-title":"Applied Economics","id":"ITEM-1","issue":"16","issued":{"date-parts":[["2011","6"]]},"page":"2033-2054","publisher":" Routledge ","title":"The impact of islamic banking on the cost efficiency and productivity change of Malaysian commercial banks","type":"article-journal","volume":"43"},"uris":["http://www.mendeley.com/documents/?uuid=8e89a962-93d6-3f92-a2c6-86c942095153"]},{"id":"ITEM-2","itemData":{"DOI":"10.1007/s11123-015-0451-1","ISSN":"15730441","abstract":"This paper presents a novel approach to measure efficiency and productivity decomposition in the banking systems of emerging economies with a special focus on the role of equity capital. We model the requirement to hold levels of a fixed input, i.e. equity, above the long run equilibrium level or, alternatively, to achieve a target equity-asset ratio. To capture the effect of this under-leveraging, we allow the banking system to operate in an uneconomic region of the technology. Productivity decomposition is developed to include exogenous factors such as policy constraints. We use a panel data set of banks in emerging economies during the financial upheaval period of 2005–2008 to analyse these ideas. Results indicate the importance of the capital constraint in the decomposition of productivity.","author":[{"dropping-particle":"","family":"Duygun","given":"Meryem","non-dropping-particle":"","parse-names":false,"suffix":""},{"dropping-particle":"","family":"Shaban","given":"Mohamed","non-dropping-particle":"","parse-names":false,"suffix":""},{"dropping-particle":"","family":"Sickles","given":"Robin C.","non-dropping-particle":"","parse-names":false,"suffix":""},{"dropping-particle":"","family":"Weyman-Jones","given":"Thomas","non-dropping-particle":"","parse-names":false,"suffix":""}],"container-title":"Journal of Productivity Analysis","id":"ITEM-2","issue":"3","issued":{"date-parts":[["2015","12","1"]]},"page":"237-248","publisher":"Kluwer Academic Publishers","title":"How a regulatory capital requirement affects banks’ productivity: an application to emerging economies","type":"article-journal","volume":"44"},"uris":["http://www.mendeley.com/documents/?uuid=4ea394a3-66ca-3b41-a91f-1f743ab1e551"]},{"id":"ITEM-3","itemData":{"abstract":"By using stochastic frontier analysis (SFA) approach to measure the cost and profit efficiency for data of 45 Vietnam commercial banks over the years from 2007 to 2012, this paper highlights risk and asset quality factors related to cost and profit inefficiency of the banks. Besides, cost inefficiency seems to be strongly related to bank concentration, mergers, and bank ownership. These results suggested mergers and acquisition can gain potential cost inefficiency and foster banks' competition in the banking system. Based on test of variance analysis, State owned commercial banks (SCOB) is more efficiency than other domestic, commercial banks (JSCB) and foreign banks in terms of profit efficiency, in contrast to cost efficiency, international banks are leading in cost efficiency than other national banks.","author":[{"dropping-particle":"","family":"Thi","given":"Le","non-dropping-particle":"","parse-names":false,"suffix":""},{"dropping-particle":"","family":"Ngan","given":"Thanh","non-dropping-particle":"","parse-names":false,"suffix":""}],"id":"ITEM-3","issued":{"date-parts":[["2014"]]},"title":"Scientific Papers (www.scientificpapers.org) Journal of Knowledge Management, Economics and Information Technology Profit and Cost Efficiency Analysis in Banking Sector: A Case of Stochastic Frontier Approach for Vietnam","type":"report","volume":"IV"},"uris":["http://www.mendeley.com/documents/?uuid=ed67aa52-f6e3-38b3-bc9a-0a5a75d1a954"]},{"id":"ITEM-4","itemData":{"DOI":"10.1080/14765280902847734","ISSN":"1476-5284","abstract":"Despite the great achievement of three decades of economic reform, the Chinese banking sector takes the blame for its dysfunctional system, especially the large amount of non-performing loans. The ease of foreign banks' entry set by the WTO from December 2007 raises our concern of the capability of domestic banks to compete against foreign Asian banks. This study attempts to address this issue by measuring the cost efficiency of ten major Asian banking industries from 1998 to 2005 using panel data stochastic frontier approaches. Based on our preferred consistent panel data estimating models, the higher cost efficiency score from including crosscountry environmental variables suggests that differences between countries can explain part of the inefficiency. We also find that the overall cost efficiency level of Chinese commercial banks ranks in the fifth place, suggesting that Chinese banks still need to strengthen their ability in competition. Some policy implications are also suggested.","author":[{"dropping-particle":"","family":"Shen","given":"Zhi","non-dropping-particle":"","parse-names":false,"suffix":""},{"dropping-particle":"","family":"Liao","given":"Hailin","non-dropping-particle":"","parse-names":false,"suffix":""},{"dropping-particle":"","family":"Weyman-Jones","given":"Thomas","non-dropping-particle":"","parse-names":false,"suffix":""}],"container-title":"Journal of Chinese Economic and Business Studies","id":"ITEM-4","issue":"2","issued":{"date-parts":[["2009","5"]]},"page":"199-218","publisher":"Informa UK Limited","title":"Cost efficiency analysis in banking industries of ten Asian countries and regions","type":"article-journal","volume":"7"},"uris":["http://www.mendeley.com/documents/?uuid=c1677cf4-4b90-3f83-a448-5c8cbda9c5e0"]},{"id":"ITEM-5","itemData":{"DOI":"10.1080/1406099x.2009.10840462","ISSN":"1406099X","abstract":"This article examines bank cost efficiency for five new EU Member States from Central and Eastern Europe and the three Baltic States for the period 1996 - 2006. The banking sectors in the selected set of countries had undergone a remarkable transformation before they achieved EU membership in 2004. We study cost efficiency differences between countries as well as efficiency improvements fostered by intense legislative and regulatory changes and extensive structural and institutional reforms carried out simultaneously. By employing the SFA approach an improvement in cost efficiency was discovered in the period investigated. Some noticeable differences in average cost efficiency among banking sectors can be detected as well. Empirical results also reveal certain significant associations of cost efficiency with country level macroeconomic characteristics, structure of the banking industry, and individual bank features. Analysis of correlating factors shows that the level of competition in the banking sector plays a more important role for cost efficiency improvements than the ownership structure itself. These results might be of interest to policy makers and regulatory authorities as they may provide help in detecting policy measures to create a business environment which would further enhance the cost efficiency of CEE banks.","author":[{"dropping-particle":"","family":"Košak","given":"Marko","non-dropping-particle":"","parse-names":false,"suffix":""},{"dropping-particle":"","family":"Zajc","given":"Peter","non-dropping-particle":"","parse-names":false,"suffix":""},{"dropping-particle":"","family":"Zorić","given":"Jelena","non-dropping-particle":"","parse-names":false,"suffix":""}],"container-title":"Baltic Journal of Economics","id":"ITEM-5","issue":"2","issued":{"date-parts":[["2009"]]},"page":"67-89","title":"Bank efficiency differences in the new EU member states","type":"article-journal","volume":"9"},"uris":["http://www.mendeley.com/documents/?uuid=2737ee43-178e-3ca0-bd08-3984d22754c7"]},{"id":"ITEM-6","itemData":{"DOI":"10.1016/j.jbankfin.2004.06.016","ISSN":"03784266","abstract":"To understand the transformation of banking in the post-communist transition, we examine the cost efficiency of 289 banks in 15 East European countries. We find that banking systems in which foreign-owned banks have a larger share of total assets have lower costs and that the association between a country's progress in banking reform and cost efficiency is non-linear. Early stages of reform are associated with cost reductions, while costs tend to rise at more advanced stages. Private banks are more efficient than state-owned banks, but there are differences among private banks. Privatised banks with majority foreign ownership are the most efficient and those with domestic ownership are the least. © 2004 Elsevier B.V. All rights reserved.","author":[{"dropping-particle":"","family":"Fries","given":"Steven","non-dropping-particle":"","parse-names":false,"suffix":""},{"dropping-particle":"","family":"Taci","given":"Anita","non-dropping-particle":"","parse-names":false,"suffix":""}],"container-title":"Journal of Banking and Finance","id":"ITEM-6","issue":"1 SPEC. ISS.","issued":{"date-parts":[["2005","1","1"]]},"page":"55-81","publisher":"Elsevier","title":"Cost efficiency of banks in transition: Evidence from 289 banks in 15 post-communist countries","type":"article-journal","volume":"29"},"uris":["http://www.mendeley.com/documents/?uuid=061165a5-84dd-3637-b01e-8a027c6305f5"]},{"id":"ITEM-7","itemData":{"DOI":"10.1016/j.intfin.2004.02.002","ISSN":"10424431","abstract":"A common cost frontier with country-specific environmental variables was estimated for a panel of 481 banks from 16 Latin American countries. A stochastic frontier model was used to estimate cost inefficiency and scale and scope economies. The results suggest that there is a wide range of inefficiency levels across countries. Very small and very large banks are significantly more inefficient than large banks. Underperforming banks tend to be smaller, to be undercapitalized, to present a poor profit performance, to be more dependent on non-interest income, to be more risky, to have a less stable deposit base and to intermediate less. © 2004 Published by Elsevier B.V.","author":[{"dropping-particle":"","family":"Carvallo","given":"Oscar","non-dropping-particle":"","parse-names":false,"suffix":""},{"dropping-particle":"","family":"Kasman","given":"Adnan","non-dropping-particle":"","parse-names":false,"suffix":""}],"container-title":"Journal of International Financial Markets, Institutions and Money","id":"ITEM-7","issue":"1","issued":{"date-parts":[["2005","1","1"]]},"page":"55-72","publisher":"North-Holland","title":"Cost efficiency in the Latin American and Caribbean banking systems","type":"article-journal","volume":"15"},"uris":["http://www.mendeley.com/documents/?uuid=f6c53213-e2f6-3f01-a322-fee82350a03e"]},{"id":"ITEM-8","itemData":{"DOI":"10.1080/0003684032000158109","ISSN":"00036846","abstract":"This paper investigates whether there has been an improvement in and convergence of productive efficiency across European banking markets since the creation of the Single Internal Market. Using efficiency measures derived from DEA estimation, the determinants of European bank efficiency are evaluated using the Tobit regression model approach. The established literature on modelling the determinants of bank efficiency is then extended by recognizing the problem of the inherent dependency of DEA efficiency scores when used in regression analysis. To overcome the dependency problem, a bootstrapping technique is applied. Overall, the results suggest that since the EU's Single Market Programme there has been a small improvement in bank efficiency levels, although there is little evidence to suggest that these have converged. The results also suggest that inference on the determinants of bank efficiency drawn from non-bootstrapped regression analysis may be biased and misleading.","author":[{"dropping-particle":"","family":"Casu","given":"Barbara","non-dropping-particle":"","parse-names":false,"suffix":""},{"dropping-particle":"","family":"Molyneux","given":"Philip","non-dropping-particle":"","parse-names":false,"suffix":""}],"container-title":"Applied Economics","id":"ITEM-8","issue":"17","issued":{"date-parts":[["2003","11","20"]]},"page":"1865-1876","publisher":" Taylor &amp; Francis Group ","title":"A comparative study of efficiency in European banking","type":"article-journal","volume":"35"},"uris":["http://www.mendeley.com/documents/?uuid=4efc499a-8cac-3051-bb10-b6b23dca42ae"]},{"id":"ITEM-9","itemData":{"DOI":"10.1111/1467-9957.00276","ISSN":"1463-6786","abstract":"The paper provides quantitative estimates of technical and allocative inefficiency measures of the Greek banking sector in the deregulation period. Such estimates are useful tools for bank managers and policy-makers in view of the extensive restructuring of the Greek financial system in recent years, and participation of Greece in the Euro-zone. The paper generalizes recent approaches based on heteroscedastic stochastic frontier models, and shows how to measure both technical and allocative efficiency in such models. The method is applied to cost function estimation for the banking sector. It is found that technical inefficiency is close to 20 per cent, allocative inefficiency is also a substantial part of costs, averaging 14 per cent, and both components have improved drastically in the deregulation period. This suggests that there is plenty of room for improvement in Greek bank profitability and competitiveness in the new European financial environment.","author":[{"dropping-particle":"","family":"Christopoulos","given":"Dimitris K.","non-dropping-particle":"","parse-names":false,"suffix":""},{"dropping-particle":"","family":"Tsionas","given":"Efthymios G.","non-dropping-particle":"","parse-names":false,"suffix":""}],"container-title":"The Manchester School","id":"ITEM-9","issue":"6","issued":{"date-parts":[["2001","12","1"]]},"page":"656-676","publisher":"John Wiley &amp; Sons, Ltd","title":"Banking Economic Efficiency In The Deregulation Period: Results From Heteroscedastic Stochastic Frontier Models","type":"article-journal","volume":"69"},"uris":["http://www.mendeley.com/documents/?uuid=417fe06a-8983-39cd-9a7d-9521293d2fae"]},{"id":"ITEM-10","itemData":{"DOI":"10.1016/S0161-8938(02)00174-6","ISSN":"01618938","abstract":"The paper estimates empirically cost efficiency of the Greek banking system for the period 1993-1998. The beginning of the examination period coincides with the acceleration of liberalization and deregulation of the Greek financial system, in view of the country joining the EMU. The study uses a multi-input, multi-output technology and adopts a heteroscedastic frontier model instead of a commonly used homoscedastic one to measure cost efficiency in the banking system. The empirical results show that larger banks are less efficient than smaller ones. Also, it is found that economic performance, bank loans and investments are positive related to the cost efficiency of the Greek commercial banking sector. © 2002 Society for Policy Modeling. Published by Elsevier Science Inc. All rights reserved.","author":[{"dropping-particle":"","family":"Christopoulos","given":"Dimitris K.","non-dropping-particle":"","parse-names":false,"suffix":""},{"dropping-particle":"","family":"Lolos","given":"Sarantis E.G.","non-dropping-particle":"","parse-names":false,"suffix":""},{"dropping-particle":"","family":"Tsionas","given":"Efthymios G.","non-dropping-particle":"","parse-names":false,"suffix":""}],"container-title":"Journal of Policy Modeling","id":"ITEM-10","issue":"9","issued":{"date-parts":[["2002","12","1"]]},"page":"813-829","publisher":"Elsevier","title":"Efficiency of the Greek banking system in view of the EMU: A heteroscedastic stochastic frontier approach","type":"article-journal","volume":"24"},"uris":["http://www.mendeley.com/documents/?uuid=698da37c-8f54-3839-af3a-a782ff68f74e"]},{"id":"ITEM-11","itemData":{"DOI":"10.1016/S0378-4266(99)00095-3","ISSN":"03784266","abstract":"This paper investigates the impact of risk and quality factors on banks' cost by using the stochastic cost frontier methodology to evaluate scale and X-inefficiencies, as well as technical change for a sample of Japanese commercial banks between 1993 and 1996. Loan-loss provisions are included in the cost frontier model to control for output quality, with a financial capital and a liquidity ratio included to control risk. Following the approach suggested in Mester (1996) we show that if risk and quality factors are not taken into account optimal bank size tends to be overstated. That is, optimal bank size is considerably smaller when risk and quality factors are taken into account when modelling the cost characteristics of Japanese banks. We also find that the level of financial capital has the biggest influence on the scale efficiency estimates. X-inefficiency estimates, in contrast, appear less sensitive to risk and quality factors. Our results also suggest that scale inefficiencies dominate X-inefficiencies. These are important findings because they contrast with the results of previous studies on Japanese banking. In particular, the results indicate an alternative policy prescription, namely, that the largest banks should shrink to benefit from scale advantages. It also seems that financial capital has the largest influence on optimal bank size. © 2000 Elsevier Science B.V.","author":[{"dropping-particle":"","family":"Altunbas","given":"Yener","non-dropping-particle":"","parse-names":false,"suffix":""},{"dropping-particle":"","family":"Liu","given":"Ming Hau","non-dropping-particle":"","parse-names":false,"suffix":""},{"dropping-particle":"","family":"Molyneux","given":"Philip","non-dropping-particle":"","parse-names":false,"suffix":""},{"dropping-particle":"","family":"Seth","given":"Rama","non-dropping-particle":"","parse-names":false,"suffix":""}],"container-title":"Journal of Banking and Finance","id":"ITEM-11","issue":"10","issued":{"date-parts":[["2000","10","1"]]},"page":"1605-1628","publisher":"Elsevier","title":"Efficiency and risk in Japanese banking","type":"article-journal","volume":"24"},"uris":["http://www.mendeley.com/documents/?uuid=20b9710b-86d5-3002-a107-03d9af7ef1d7"]}],"mendeley":{"formattedCitation":"(Abdul-Majid, Saal &amp; Battisti 2011; Altunbas et al. 2000; Carvallo &amp; Kasman 2005; Casu &amp; Molyneux 2003; Christopoulos, Lolos &amp; Tsionas 2002; Christopoulos &amp; Tsionas 2001; Duygun et al. 2015; Fries &amp; Taci 2005; Košak, Zajc &amp; Zorić 2009; Shen, Liao &amp; Weyman-Jones 2009; Thi &amp; Ngan 2014)","plainTextFormattedCitation":"(Abdul-Majid, Saal &amp; Battisti 2011; Altunbas et al. 2000; Carvallo &amp; Kasman 2005; Casu &amp; Molyneux 2003; Christopoulos, Lolos &amp; Tsionas 2002; Christopoulos &amp; Tsionas 2001; Duygun et al. 2015; Fries &amp; Taci 2005; Košak, Zajc &amp; Zorić 2009; Shen, Liao &amp; Weyman-Jones 2009; Thi &amp; Ngan 2014)","previouslyFormattedCitation":"(Abdul-Majid et al., 2011; Altunbas et al., 2000; Carvallo &amp; Kasman, 2005; Casu &amp; Molyneux, 2003; Christopoulos et al., 2002; Christopoulos &amp; Tsionas, 2001; Duygun et al., 2015; Fries &amp; Taci, 2005; Košak et al., 2009; Shen et al., 2009; Thi &amp; Ngan, 2014)"},"properties":{"noteIndex":0},"schema":"https://github.com/citation-style-language/schema/raw/master/csl-citation.json"}</w:instrText>
      </w:r>
      <w:r w:rsidR="001B6AEE" w:rsidRPr="00836446">
        <w:rPr>
          <w:rFonts w:ascii="Times New Roman" w:hAnsi="Times New Roman"/>
          <w:sz w:val="24"/>
          <w:szCs w:val="24"/>
          <w:highlight w:val="yellow"/>
        </w:rPr>
        <w:fldChar w:fldCharType="separate"/>
      </w:r>
      <w:r w:rsidR="00B77167" w:rsidRPr="00836446">
        <w:rPr>
          <w:rFonts w:ascii="Times New Roman" w:hAnsi="Times New Roman"/>
          <w:noProof/>
          <w:sz w:val="24"/>
          <w:szCs w:val="24"/>
          <w:highlight w:val="yellow"/>
        </w:rPr>
        <w:t>(Abdul-Majid, Saal &amp; Battisti 2011; Altunbas et al. 2000; Carvallo &amp; Kasman 2005; Casu &amp; Molyneux 2003; Christopoulos, Lolos &amp; Tsionas 2002; Christopoulos &amp; Tsionas 2001; Duygun et al. 2015; Fries &amp; Taci 2005; Košak, Zajc &amp; Zorić 2009; Shen, Liao &amp; Weyman-Jones 2009; Thi &amp; Ngan 2014)</w:t>
      </w:r>
      <w:r w:rsidR="001B6AEE" w:rsidRPr="00836446">
        <w:rPr>
          <w:rFonts w:ascii="Times New Roman" w:hAnsi="Times New Roman"/>
          <w:sz w:val="24"/>
          <w:szCs w:val="24"/>
          <w:highlight w:val="yellow"/>
        </w:rPr>
        <w:fldChar w:fldCharType="end"/>
      </w:r>
      <w:r w:rsidR="00457664" w:rsidRPr="00836446">
        <w:rPr>
          <w:rFonts w:ascii="Times New Roman" w:hAnsi="Times New Roman"/>
          <w:sz w:val="24"/>
          <w:szCs w:val="24"/>
          <w:highlight w:val="yellow"/>
        </w:rPr>
        <w:t xml:space="preserve">, </w:t>
      </w:r>
      <w:r w:rsidR="008C7A20" w:rsidRPr="00836446">
        <w:rPr>
          <w:rFonts w:ascii="Times New Roman" w:hAnsi="Times New Roman"/>
          <w:sz w:val="24"/>
          <w:szCs w:val="24"/>
          <w:highlight w:val="yellow"/>
        </w:rPr>
        <w:t>used SFA method</w:t>
      </w:r>
      <w:r w:rsidR="008E7D0E" w:rsidRPr="00836446">
        <w:rPr>
          <w:rFonts w:ascii="Times New Roman" w:hAnsi="Times New Roman"/>
          <w:sz w:val="24"/>
          <w:szCs w:val="24"/>
          <w:highlight w:val="yellow"/>
        </w:rPr>
        <w:t xml:space="preserve"> to analyze the impact on cost &amp; profit efficiency but</w:t>
      </w:r>
      <w:r w:rsidR="0006706F" w:rsidRPr="00836446">
        <w:rPr>
          <w:rFonts w:ascii="Times New Roman" w:hAnsi="Times New Roman"/>
          <w:sz w:val="24"/>
          <w:szCs w:val="24"/>
          <w:highlight w:val="yellow"/>
        </w:rPr>
        <w:t xml:space="preserve"> were</w:t>
      </w:r>
      <w:r w:rsidR="008E7D0E" w:rsidRPr="00836446">
        <w:rPr>
          <w:rFonts w:ascii="Times New Roman" w:hAnsi="Times New Roman"/>
          <w:sz w:val="24"/>
          <w:szCs w:val="24"/>
          <w:highlight w:val="yellow"/>
        </w:rPr>
        <w:t xml:space="preserve"> unable to mea</w:t>
      </w:r>
      <w:r w:rsidR="00CC5AA7" w:rsidRPr="00836446">
        <w:rPr>
          <w:rFonts w:ascii="Times New Roman" w:hAnsi="Times New Roman"/>
          <w:sz w:val="24"/>
          <w:szCs w:val="24"/>
          <w:highlight w:val="yellow"/>
        </w:rPr>
        <w:t>sure the impact of ICT variable</w:t>
      </w:r>
      <w:r w:rsidR="00285390">
        <w:rPr>
          <w:rFonts w:ascii="Times New Roman" w:hAnsi="Times New Roman"/>
          <w:sz w:val="24"/>
          <w:szCs w:val="24"/>
          <w:highlight w:val="yellow"/>
        </w:rPr>
        <w:t xml:space="preserve"> (</w:t>
      </w:r>
      <w:r w:rsidR="00285390" w:rsidRPr="00285390">
        <w:rPr>
          <w:rFonts w:ascii="Times New Roman" w:hAnsi="Times New Roman"/>
          <w:sz w:val="24"/>
          <w:szCs w:val="24"/>
        </w:rPr>
        <w:t>http://www.scienpress.com/Upload/JAFB/Vol%204_3_13.pdf</w:t>
      </w:r>
      <w:r w:rsidR="00285390">
        <w:rPr>
          <w:rFonts w:ascii="Times New Roman" w:hAnsi="Times New Roman"/>
          <w:sz w:val="24"/>
          <w:szCs w:val="24"/>
        </w:rPr>
        <w:t>)</w:t>
      </w:r>
      <w:r w:rsidR="00CC5AA7" w:rsidRPr="00836446">
        <w:rPr>
          <w:rFonts w:ascii="Times New Roman" w:hAnsi="Times New Roman"/>
          <w:sz w:val="24"/>
          <w:szCs w:val="24"/>
          <w:highlight w:val="yellow"/>
        </w:rPr>
        <w:t>.</w:t>
      </w:r>
      <w:r w:rsidR="007668EA" w:rsidRPr="00836446">
        <w:rPr>
          <w:rFonts w:ascii="Times New Roman" w:hAnsi="Times New Roman"/>
          <w:sz w:val="24"/>
          <w:szCs w:val="24"/>
          <w:highlight w:val="yellow"/>
        </w:rPr>
        <w:t xml:space="preserve"> Moreover</w:t>
      </w:r>
      <w:r w:rsidR="006F77CF" w:rsidRPr="00836446">
        <w:rPr>
          <w:rFonts w:ascii="Times New Roman" w:hAnsi="Times New Roman"/>
          <w:sz w:val="24"/>
          <w:szCs w:val="24"/>
          <w:highlight w:val="yellow"/>
        </w:rPr>
        <w:t xml:space="preserve">, one </w:t>
      </w:r>
      <w:r w:rsidR="007668EA" w:rsidRPr="00836446">
        <w:rPr>
          <w:rFonts w:ascii="Times New Roman" w:hAnsi="Times New Roman"/>
          <w:sz w:val="24"/>
          <w:szCs w:val="24"/>
          <w:highlight w:val="yellow"/>
        </w:rPr>
        <w:t xml:space="preserve">of the </w:t>
      </w:r>
      <w:r w:rsidR="006F77CF" w:rsidRPr="00836446">
        <w:rPr>
          <w:rFonts w:ascii="Times New Roman" w:hAnsi="Times New Roman"/>
          <w:sz w:val="24"/>
          <w:szCs w:val="24"/>
          <w:highlight w:val="yellow"/>
        </w:rPr>
        <w:t>researcher</w:t>
      </w:r>
      <w:r w:rsidR="007668EA" w:rsidRPr="00836446">
        <w:rPr>
          <w:rFonts w:ascii="Times New Roman" w:hAnsi="Times New Roman"/>
          <w:sz w:val="24"/>
          <w:szCs w:val="24"/>
          <w:highlight w:val="yellow"/>
        </w:rPr>
        <w:t>s</w:t>
      </w:r>
      <w:r w:rsidR="006F77CF" w:rsidRPr="00836446">
        <w:rPr>
          <w:rFonts w:ascii="Times New Roman" w:hAnsi="Times New Roman"/>
          <w:sz w:val="24"/>
          <w:szCs w:val="24"/>
          <w:highlight w:val="yellow"/>
        </w:rPr>
        <w:t xml:space="preserve"> (Chu-Fen li;</w:t>
      </w:r>
      <w:r w:rsidR="008E7D0E" w:rsidRPr="00836446">
        <w:rPr>
          <w:rFonts w:ascii="Times New Roman" w:hAnsi="Times New Roman"/>
          <w:sz w:val="24"/>
          <w:szCs w:val="24"/>
          <w:highlight w:val="yellow"/>
        </w:rPr>
        <w:t xml:space="preserve"> 2007)</w:t>
      </w:r>
      <w:r w:rsidR="007668EA" w:rsidRPr="00836446">
        <w:rPr>
          <w:rFonts w:ascii="Times New Roman" w:hAnsi="Times New Roman"/>
          <w:sz w:val="24"/>
          <w:szCs w:val="24"/>
          <w:highlight w:val="yellow"/>
        </w:rPr>
        <w:t xml:space="preserve"> made an estimate of </w:t>
      </w:r>
      <w:r w:rsidR="008E7D0E" w:rsidRPr="00836446">
        <w:rPr>
          <w:rFonts w:ascii="Times New Roman" w:hAnsi="Times New Roman"/>
          <w:sz w:val="24"/>
          <w:szCs w:val="24"/>
          <w:highlight w:val="yellow"/>
        </w:rPr>
        <w:t>the technical efficiency of ind</w:t>
      </w:r>
      <w:r w:rsidR="007668EA" w:rsidRPr="00836446">
        <w:rPr>
          <w:rFonts w:ascii="Times New Roman" w:hAnsi="Times New Roman"/>
          <w:sz w:val="24"/>
          <w:szCs w:val="24"/>
          <w:highlight w:val="yellow"/>
        </w:rPr>
        <w:t xml:space="preserve">ividual banks and group banks through the use </w:t>
      </w:r>
      <w:r w:rsidR="008C7A20" w:rsidRPr="00836446">
        <w:rPr>
          <w:rFonts w:ascii="Times New Roman" w:hAnsi="Times New Roman"/>
          <w:sz w:val="24"/>
          <w:szCs w:val="24"/>
          <w:highlight w:val="yellow"/>
        </w:rPr>
        <w:t>of whole</w:t>
      </w:r>
      <w:r w:rsidR="008E7D0E" w:rsidRPr="00836446">
        <w:rPr>
          <w:rFonts w:ascii="Times New Roman" w:hAnsi="Times New Roman"/>
          <w:sz w:val="24"/>
          <w:szCs w:val="24"/>
          <w:highlight w:val="yellow"/>
        </w:rPr>
        <w:t xml:space="preserve"> ICT oriented variable on analyzed DEA and SFA method and </w:t>
      </w:r>
      <w:r w:rsidR="007668EA" w:rsidRPr="00836446">
        <w:rPr>
          <w:rFonts w:ascii="Times New Roman" w:hAnsi="Times New Roman"/>
          <w:sz w:val="24"/>
          <w:szCs w:val="24"/>
          <w:highlight w:val="yellow"/>
        </w:rPr>
        <w:t xml:space="preserve">he </w:t>
      </w:r>
      <w:r w:rsidR="008E7D0E" w:rsidRPr="00836446">
        <w:rPr>
          <w:rFonts w:ascii="Times New Roman" w:hAnsi="Times New Roman"/>
          <w:sz w:val="24"/>
          <w:szCs w:val="24"/>
          <w:highlight w:val="yellow"/>
        </w:rPr>
        <w:t>also measured the correlation and regression analysis among the IT variables.</w:t>
      </w:r>
      <w:r w:rsidR="00A20B98" w:rsidRPr="00836446">
        <w:rPr>
          <w:rFonts w:ascii="Times New Roman" w:hAnsi="Times New Roman"/>
          <w:sz w:val="24"/>
          <w:szCs w:val="24"/>
          <w:highlight w:val="yellow"/>
        </w:rPr>
        <w:t xml:space="preserve"> </w:t>
      </w:r>
      <w:r w:rsidR="008E7D0E" w:rsidRPr="00836446">
        <w:rPr>
          <w:rFonts w:ascii="Times New Roman" w:hAnsi="Times New Roman"/>
          <w:sz w:val="24"/>
          <w:szCs w:val="24"/>
          <w:highlight w:val="yellow"/>
        </w:rPr>
        <w:t xml:space="preserve">He showed that </w:t>
      </w:r>
      <w:r w:rsidR="005B6111" w:rsidRPr="00836446">
        <w:rPr>
          <w:rFonts w:ascii="Times New Roman" w:hAnsi="Times New Roman"/>
          <w:sz w:val="24"/>
          <w:szCs w:val="24"/>
          <w:highlight w:val="yellow"/>
        </w:rPr>
        <w:t xml:space="preserve">the technical </w:t>
      </w:r>
      <w:r w:rsidR="00CC5AA7" w:rsidRPr="00836446">
        <w:rPr>
          <w:rFonts w:ascii="Times New Roman" w:hAnsi="Times New Roman"/>
          <w:sz w:val="24"/>
          <w:szCs w:val="24"/>
          <w:highlight w:val="yellow"/>
        </w:rPr>
        <w:t xml:space="preserve">efficiency </w:t>
      </w:r>
      <w:r w:rsidR="005B6111" w:rsidRPr="00836446">
        <w:rPr>
          <w:rFonts w:ascii="Times New Roman" w:hAnsi="Times New Roman"/>
          <w:sz w:val="24"/>
          <w:szCs w:val="24"/>
          <w:highlight w:val="yellow"/>
        </w:rPr>
        <w:t xml:space="preserve">of banks had been significantly influenced by using the ICT component </w:t>
      </w:r>
      <w:r w:rsidR="00CC5AA7" w:rsidRPr="00836446">
        <w:rPr>
          <w:rFonts w:ascii="Times New Roman" w:hAnsi="Times New Roman"/>
          <w:sz w:val="24"/>
          <w:szCs w:val="24"/>
          <w:highlight w:val="yellow"/>
        </w:rPr>
        <w:t>significantly b</w:t>
      </w:r>
      <w:r w:rsidR="008E7D0E" w:rsidRPr="00836446">
        <w:rPr>
          <w:rFonts w:ascii="Times New Roman" w:hAnsi="Times New Roman"/>
          <w:sz w:val="24"/>
          <w:szCs w:val="24"/>
          <w:highlight w:val="yellow"/>
        </w:rPr>
        <w:t>ut he</w:t>
      </w:r>
      <w:r w:rsidR="005B6111" w:rsidRPr="00836446">
        <w:rPr>
          <w:rFonts w:ascii="Times New Roman" w:hAnsi="Times New Roman"/>
          <w:sz w:val="24"/>
          <w:szCs w:val="24"/>
          <w:highlight w:val="yellow"/>
        </w:rPr>
        <w:t xml:space="preserve"> was not able</w:t>
      </w:r>
      <w:r w:rsidR="008E7D0E" w:rsidRPr="00836446">
        <w:rPr>
          <w:rFonts w:ascii="Times New Roman" w:hAnsi="Times New Roman"/>
          <w:sz w:val="24"/>
          <w:szCs w:val="24"/>
          <w:highlight w:val="yellow"/>
        </w:rPr>
        <w:t xml:space="preserve"> </w:t>
      </w:r>
      <w:r w:rsidR="005B6111" w:rsidRPr="00836446">
        <w:rPr>
          <w:rFonts w:ascii="Times New Roman" w:hAnsi="Times New Roman"/>
          <w:sz w:val="24"/>
          <w:szCs w:val="24"/>
          <w:highlight w:val="yellow"/>
        </w:rPr>
        <w:t xml:space="preserve">to measure the impact of ICT variable on the </w:t>
      </w:r>
      <w:r w:rsidR="008E7D0E" w:rsidRPr="00836446">
        <w:rPr>
          <w:rFonts w:ascii="Times New Roman" w:hAnsi="Times New Roman"/>
          <w:sz w:val="24"/>
          <w:szCs w:val="24"/>
          <w:highlight w:val="yellow"/>
        </w:rPr>
        <w:t>cost and profit efficiency</w:t>
      </w:r>
      <w:r w:rsidR="00DD0E5A" w:rsidRPr="00836446">
        <w:rPr>
          <w:rFonts w:ascii="Times New Roman" w:hAnsi="Times New Roman"/>
          <w:sz w:val="24"/>
          <w:szCs w:val="24"/>
          <w:highlight w:val="yellow"/>
        </w:rPr>
        <w:t xml:space="preserve"> </w:t>
      </w:r>
      <w:r w:rsidR="00A20B98" w:rsidRPr="00836446">
        <w:rPr>
          <w:rFonts w:ascii="Times New Roman" w:hAnsi="Times New Roman"/>
          <w:sz w:val="24"/>
          <w:szCs w:val="24"/>
          <w:highlight w:val="yellow"/>
        </w:rPr>
        <w:t xml:space="preserve">of banks. </w:t>
      </w:r>
      <w:r w:rsidR="00253FE7" w:rsidRPr="00836446">
        <w:rPr>
          <w:rFonts w:ascii="Times New Roman" w:hAnsi="Times New Roman"/>
          <w:sz w:val="24"/>
          <w:szCs w:val="24"/>
          <w:highlight w:val="yellow"/>
        </w:rPr>
        <w:t>The financial institutions in Bangladesh seem to increasingly</w:t>
      </w:r>
      <w:r w:rsidR="007668EA" w:rsidRPr="00836446">
        <w:rPr>
          <w:rFonts w:ascii="Times New Roman" w:hAnsi="Times New Roman"/>
          <w:sz w:val="24"/>
          <w:szCs w:val="24"/>
          <w:highlight w:val="yellow"/>
        </w:rPr>
        <w:t xml:space="preserve"> adopt ICT banking and improve</w:t>
      </w:r>
      <w:r w:rsidR="00253FE7" w:rsidRPr="00836446">
        <w:rPr>
          <w:rFonts w:ascii="Times New Roman" w:hAnsi="Times New Roman"/>
          <w:sz w:val="24"/>
          <w:szCs w:val="24"/>
          <w:highlight w:val="yellow"/>
        </w:rPr>
        <w:t xml:space="preserve"> banking capabilities.</w:t>
      </w:r>
      <w:r w:rsidR="00253FE7" w:rsidRPr="006D74FE">
        <w:rPr>
          <w:rFonts w:ascii="Times New Roman" w:hAnsi="Times New Roman"/>
          <w:sz w:val="24"/>
          <w:szCs w:val="24"/>
        </w:rPr>
        <w:t xml:space="preserve"> </w:t>
      </w:r>
      <w:r w:rsidR="007668EA" w:rsidRPr="006D74FE">
        <w:rPr>
          <w:rFonts w:ascii="Times New Roman" w:hAnsi="Times New Roman"/>
          <w:sz w:val="24"/>
          <w:szCs w:val="24"/>
        </w:rPr>
        <w:t xml:space="preserve"> </w:t>
      </w:r>
      <w:r w:rsidR="007668EA" w:rsidRPr="001D2C3C">
        <w:rPr>
          <w:rFonts w:ascii="Times New Roman" w:hAnsi="Times New Roman"/>
          <w:sz w:val="24"/>
          <w:szCs w:val="24"/>
          <w:highlight w:val="cyan"/>
        </w:rPr>
        <w:t xml:space="preserve">Though the increasing competition among the banks creates problems of losing their customers yet ICT enhances </w:t>
      </w:r>
      <w:r w:rsidR="009F66CE" w:rsidRPr="001D2C3C">
        <w:rPr>
          <w:rFonts w:ascii="Times New Roman" w:hAnsi="Times New Roman"/>
          <w:sz w:val="24"/>
          <w:szCs w:val="24"/>
          <w:highlight w:val="cyan"/>
        </w:rPr>
        <w:t xml:space="preserve">efficiency at all levels of banking industry value chain by facilitating service definition and new product diversity, both minimizing risk and </w:t>
      </w:r>
      <w:proofErr w:type="spellStart"/>
      <w:r w:rsidR="009F66CE" w:rsidRPr="001D2C3C">
        <w:rPr>
          <w:rFonts w:ascii="Times New Roman" w:hAnsi="Times New Roman"/>
          <w:sz w:val="24"/>
          <w:szCs w:val="24"/>
          <w:highlight w:val="cyan"/>
        </w:rPr>
        <w:t>prducing</w:t>
      </w:r>
      <w:proofErr w:type="spellEnd"/>
      <w:r w:rsidR="009F66CE" w:rsidRPr="001D2C3C">
        <w:rPr>
          <w:rFonts w:ascii="Times New Roman" w:hAnsi="Times New Roman"/>
          <w:sz w:val="24"/>
          <w:szCs w:val="24"/>
          <w:highlight w:val="cyan"/>
        </w:rPr>
        <w:t xml:space="preserve"> quality competitive advantages.</w:t>
      </w:r>
      <w:r w:rsidR="007668EA" w:rsidRPr="001D2C3C">
        <w:rPr>
          <w:rFonts w:ascii="Times New Roman" w:hAnsi="Times New Roman"/>
          <w:sz w:val="24"/>
          <w:szCs w:val="24"/>
          <w:highlight w:val="cyan"/>
        </w:rPr>
        <w:t xml:space="preserve"> </w:t>
      </w:r>
      <w:r w:rsidR="00253FE7" w:rsidRPr="001D2C3C">
        <w:rPr>
          <w:rFonts w:ascii="Times New Roman" w:hAnsi="Times New Roman"/>
          <w:sz w:val="24"/>
          <w:szCs w:val="24"/>
          <w:highlight w:val="cyan"/>
        </w:rPr>
        <w:t>However i</w:t>
      </w:r>
      <w:r w:rsidR="006A2A7A" w:rsidRPr="001D2C3C">
        <w:rPr>
          <w:rFonts w:ascii="Times New Roman" w:hAnsi="Times New Roman"/>
          <w:sz w:val="24"/>
          <w:szCs w:val="24"/>
          <w:highlight w:val="cyan"/>
        </w:rPr>
        <w:t xml:space="preserve">ncreasing competition among the </w:t>
      </w:r>
      <w:r w:rsidR="00253FE7" w:rsidRPr="001D2C3C">
        <w:rPr>
          <w:rFonts w:ascii="Times New Roman" w:hAnsi="Times New Roman"/>
          <w:sz w:val="24"/>
          <w:szCs w:val="24"/>
          <w:highlight w:val="cyan"/>
        </w:rPr>
        <w:t xml:space="preserve">banks leading to losing their </w:t>
      </w:r>
      <w:r w:rsidR="00253FE7" w:rsidRPr="001D2C3C">
        <w:rPr>
          <w:rFonts w:ascii="Times New Roman" w:hAnsi="Times New Roman"/>
          <w:sz w:val="24"/>
          <w:szCs w:val="24"/>
          <w:highlight w:val="cyan"/>
        </w:rPr>
        <w:lastRenderedPageBreak/>
        <w:t xml:space="preserve">customers, but information </w:t>
      </w:r>
      <w:r w:rsidR="006A2A7A" w:rsidRPr="001D2C3C">
        <w:rPr>
          <w:rFonts w:ascii="Times New Roman" w:hAnsi="Times New Roman"/>
          <w:sz w:val="24"/>
          <w:szCs w:val="24"/>
          <w:highlight w:val="cyan"/>
        </w:rPr>
        <w:t xml:space="preserve">and technology by facilitating, </w:t>
      </w:r>
      <w:r w:rsidR="00253FE7" w:rsidRPr="001D2C3C">
        <w:rPr>
          <w:rFonts w:ascii="Times New Roman" w:hAnsi="Times New Roman"/>
          <w:sz w:val="24"/>
          <w:szCs w:val="24"/>
          <w:highlight w:val="cyan"/>
        </w:rPr>
        <w:t>serv</w:t>
      </w:r>
      <w:r w:rsidR="00017972" w:rsidRPr="001D2C3C">
        <w:rPr>
          <w:rFonts w:ascii="Times New Roman" w:hAnsi="Times New Roman"/>
          <w:sz w:val="24"/>
          <w:szCs w:val="24"/>
          <w:highlight w:val="cyan"/>
        </w:rPr>
        <w:t>ice definition and new product (</w:t>
      </w:r>
      <w:r w:rsidR="00253FE7" w:rsidRPr="001D2C3C">
        <w:rPr>
          <w:rFonts w:ascii="Times New Roman" w:hAnsi="Times New Roman"/>
          <w:sz w:val="24"/>
          <w:szCs w:val="24"/>
          <w:highlight w:val="cyan"/>
        </w:rPr>
        <w:t>diversity</w:t>
      </w:r>
      <w:r w:rsidR="00301B08" w:rsidRPr="001D2C3C">
        <w:rPr>
          <w:rFonts w:ascii="Times New Roman" w:hAnsi="Times New Roman"/>
          <w:sz w:val="24"/>
          <w:szCs w:val="24"/>
          <w:highlight w:val="cyan"/>
        </w:rPr>
        <w:t xml:space="preserve"> and enhances</w:t>
      </w:r>
      <w:r w:rsidR="00253FE7" w:rsidRPr="001D2C3C">
        <w:rPr>
          <w:rFonts w:ascii="Times New Roman" w:hAnsi="Times New Roman"/>
          <w:sz w:val="24"/>
          <w:szCs w:val="24"/>
          <w:highlight w:val="cyan"/>
        </w:rPr>
        <w:t xml:space="preserve"> efficiency at all levels of ban</w:t>
      </w:r>
      <w:r w:rsidR="009C3B3B" w:rsidRPr="001D2C3C">
        <w:rPr>
          <w:rFonts w:ascii="Times New Roman" w:hAnsi="Times New Roman"/>
          <w:sz w:val="24"/>
          <w:szCs w:val="24"/>
          <w:highlight w:val="cyan"/>
        </w:rPr>
        <w:t>king industry value chain, both</w:t>
      </w:r>
      <w:r w:rsidR="00301B08" w:rsidRPr="001D2C3C">
        <w:rPr>
          <w:rFonts w:ascii="Times New Roman" w:hAnsi="Times New Roman"/>
          <w:sz w:val="24"/>
          <w:szCs w:val="24"/>
          <w:highlight w:val="cyan"/>
        </w:rPr>
        <w:t xml:space="preserve"> reducing risk and creating</w:t>
      </w:r>
      <w:r w:rsidR="00253FE7" w:rsidRPr="001D2C3C">
        <w:rPr>
          <w:rFonts w:ascii="Times New Roman" w:hAnsi="Times New Roman"/>
          <w:sz w:val="24"/>
          <w:szCs w:val="24"/>
          <w:highlight w:val="cyan"/>
        </w:rPr>
        <w:t xml:space="preserve"> quality competitive advantages</w:t>
      </w:r>
      <w:r w:rsidR="00017972" w:rsidRPr="001D2C3C">
        <w:rPr>
          <w:rFonts w:ascii="Times New Roman" w:hAnsi="Times New Roman"/>
          <w:sz w:val="24"/>
          <w:szCs w:val="24"/>
          <w:highlight w:val="cyan"/>
        </w:rPr>
        <w:t xml:space="preserve">). </w:t>
      </w:r>
      <w:r w:rsidR="00987E80" w:rsidRPr="001D2C3C">
        <w:rPr>
          <w:rFonts w:ascii="Times New Roman" w:hAnsi="Times New Roman"/>
          <w:sz w:val="24"/>
          <w:szCs w:val="24"/>
          <w:highlight w:val="cyan"/>
        </w:rPr>
        <w:t>In</w:t>
      </w:r>
      <w:r w:rsidR="009C3B3B" w:rsidRPr="001D2C3C">
        <w:rPr>
          <w:rFonts w:ascii="Times New Roman" w:hAnsi="Times New Roman"/>
          <w:sz w:val="24"/>
          <w:szCs w:val="24"/>
          <w:highlight w:val="cyan"/>
        </w:rPr>
        <w:t xml:space="preserve"> Bangladesh, some</w:t>
      </w:r>
      <w:r w:rsidR="00457664" w:rsidRPr="001D2C3C">
        <w:rPr>
          <w:rFonts w:ascii="Times New Roman" w:hAnsi="Times New Roman"/>
          <w:sz w:val="24"/>
          <w:szCs w:val="24"/>
          <w:highlight w:val="cyan"/>
        </w:rPr>
        <w:t xml:space="preserve"> studies </w:t>
      </w:r>
      <w:r w:rsidR="00301B08" w:rsidRPr="001D2C3C">
        <w:rPr>
          <w:rFonts w:ascii="Times New Roman" w:hAnsi="Times New Roman"/>
          <w:sz w:val="24"/>
          <w:szCs w:val="24"/>
          <w:highlight w:val="cyan"/>
        </w:rPr>
        <w:t xml:space="preserve">using Stochastic frontier analysis and Data envelopment analysis </w:t>
      </w:r>
      <w:r w:rsidR="003633DF" w:rsidRPr="001D2C3C">
        <w:rPr>
          <w:rFonts w:ascii="Times New Roman" w:hAnsi="Times New Roman"/>
          <w:sz w:val="24"/>
          <w:szCs w:val="24"/>
          <w:highlight w:val="cyan"/>
        </w:rPr>
        <w:t xml:space="preserve">are available solely </w:t>
      </w:r>
      <w:r w:rsidR="00301B08" w:rsidRPr="001D2C3C">
        <w:rPr>
          <w:rFonts w:ascii="Times New Roman" w:hAnsi="Times New Roman"/>
          <w:sz w:val="24"/>
          <w:szCs w:val="24"/>
          <w:highlight w:val="cyan"/>
        </w:rPr>
        <w:t>on banking</w:t>
      </w:r>
      <w:r w:rsidR="00253FE7" w:rsidRPr="001D2C3C">
        <w:rPr>
          <w:rFonts w:ascii="Times New Roman" w:hAnsi="Times New Roman"/>
          <w:sz w:val="24"/>
          <w:szCs w:val="24"/>
          <w:highlight w:val="cyan"/>
        </w:rPr>
        <w:t xml:space="preserve"> cost and profit efficiency</w:t>
      </w:r>
      <w:r w:rsidR="001B6AEE" w:rsidRPr="001D2C3C">
        <w:rPr>
          <w:rFonts w:ascii="Times New Roman" w:hAnsi="Times New Roman"/>
          <w:sz w:val="24"/>
          <w:szCs w:val="24"/>
          <w:highlight w:val="cyan"/>
        </w:rPr>
        <w:t xml:space="preserve"> </w:t>
      </w:r>
      <w:r w:rsidR="005731FC" w:rsidRPr="001D2C3C">
        <w:rPr>
          <w:rFonts w:ascii="Times New Roman" w:hAnsi="Times New Roman"/>
          <w:sz w:val="24"/>
          <w:szCs w:val="24"/>
          <w:highlight w:val="cyan"/>
        </w:rPr>
        <w:fldChar w:fldCharType="begin" w:fldLock="1"/>
      </w:r>
      <w:r w:rsidR="00B77167" w:rsidRPr="001D2C3C">
        <w:rPr>
          <w:rFonts w:ascii="Times New Roman" w:hAnsi="Times New Roman"/>
          <w:sz w:val="24"/>
          <w:szCs w:val="24"/>
          <w:highlight w:val="cyan"/>
        </w:rPr>
        <w:instrText>ADDIN CSL_CITATION {"citationItems":[{"id":"ITEM-1","itemData":{"DOI":"10.4172/1204-5357.1000138","ISSN":"12045357","abstract":"This study employs the parametric approach, in particular the Stochastic Frontier Approach, to examine the cost and profit efficiency of National Commercial Banks and Private Banks in Bangladesh using stochastic frontier model. The cost inefficiency and profit efficiency are observed slightly higher for private banks than national commercial banks. The coefficient of advance (0.334) is highly significant at 1% level and the coefficient of off-balance sheet items (0.339) is significant at 5% level. Both results are positive influence to the banks for cost model. The coefficients of Advance, Other earning assets, Off-balance sheet items, Price of fixed assets and Price of labour are recorded highly significant in profit model. The average cost inefficiency and profit efficiency are observed 16.3% and 91% respectively. The lowest cost inefficiency is 5.3% for United Commercial Bank Limited while the highest cost inefficiency is 44.7% for Janata Bank. The lowest profit efficiency is 76.9% for Janata Bank while the highest profit efficiency is 94.9% for Eastern Bank Limited.","author":[{"dropping-particle":"","family":"Baten","given":"M. A.","non-dropping-particle":"","parse-names":false,"suffix":""},{"dropping-particle":"","family":"Kasim","given":"M. M.","non-dropping-particle":"","parse-names":false,"suffix":""},{"dropping-particle":"","family":"Rahman","given":"M.","non-dropping-particle":"","parse-names":false,"suffix":""}],"container-title":"Journal of Internet Banking and Commerce","id":"ITEM-1","issue":"3","issued":{"date-parts":[["2015"]]},"title":"Cost and profit efficiency of online banks: Do national commercial banks perform better than private banks","type":"article-journal","volume":"20"},"uris":["http://www.mendeley.com/documents/?uuid=b473ba9d-9197-34b5-8817-1c5f245faf82"]},{"id":"ITEM-2","itemData":{"abstract":"Banking industry dominates the financial sector of Bangladesh with an approximate share of 74% of the total intermediation. In recent years, this industry is at high risk due to supervision gaps, overcapacity and market distortions. Therefore, measuring the efficiency of the banking industry is critically important to identify poor banks and bring stability by concentrating on their performance. This study employs single stage stochastic frontier analysis (SFA) to measure the cost efficiency in the Bangladeshi banking sector during the 2011-2015 period. Five different stochastic models are used across the 35 sample banks. Evidence suggests that the mean cost efficiency found in the Bangladeshi banking sector is 88.50%. The mean efficiency is lower among the state-owned banks than conventional (private) commercial banks and Islamic Sariah banks. From the analysis, it seems that there is a low technological advancement in the banking sector during 2011-2015. Further, the analysis indicates that non-performing loans have a significant effect in reducing the overall cost efficiency among the banks.","author":[{"dropping-particle":"","family":"Hassan","given":"Md. Hashibul","non-dropping-particle":"","parse-names":false,"suffix":""},{"dropping-particle":"","family":"Hassan","given":"Mahmudul","non-dropping-particle":"","parse-names":false,"suffix":""}],"container-title":"Asian Journal of Empirical Research","id":"ITEM-2","issue":"6","issued":{"date-parts":[["2018"]]},"page":"208-224","publisher":"Asian Economic and Social Society","title":"Cost efficiency of banking sector of Bangladesh: evidence using the stochastic frontier analysis","type":"article-journal","volume":"8"},"uris":["http://www.mendeley.com/documents/?uuid=8c7cc267-8aeb-383b-b2a1-db9ca1a2195c"]},{"id":"ITEM-3","itemData":{"DOI":"10.12816/0028312","ISSN":"20704658","author":[{"dropping-particle":"","family":"Ara","given":"Shamim","non-dropping-particle":"","parse-names":false,"suffix":""}],"container-title":"Journal of Islamic Economics Banking and Finance","id":"ITEM-3","issue":"1","issued":{"date-parts":[["2016"]]},"page":"63-89","publisher":"Al Manhal FZ, LLC","title":"Profit and Cost Efficiencies of Conventional Banking ( CB ) and Islamic Banking ( IB ) Using Stochastic Frontier Approach : A Comparative Study","type":"article-journal","volume":"12"},"uris":["http://www.mendeley.com/documents/?uuid=3ecfab17-a03c-3bb4-ac0c-d4ced71b2aba"]}],"mendeley":{"formattedCitation":"(Ara 2016; Baten, Kasim &amp; Rahman 2015; Hassan &amp; Hassan 2018)","plainTextFormattedCitation":"(Ara 2016; Baten, Kasim &amp; Rahman 2015; Hassan &amp; Hassan 2018)","previouslyFormattedCitation":"(Ara, 2016; M. A. Baten et al., 2015; Hassan &amp; Hassan, 2018)"},"properties":{"noteIndex":0},"schema":"https://github.com/citation-style-language/schema/raw/master/csl-citation.json"}</w:instrText>
      </w:r>
      <w:r w:rsidR="005731FC" w:rsidRPr="001D2C3C">
        <w:rPr>
          <w:rFonts w:ascii="Times New Roman" w:hAnsi="Times New Roman"/>
          <w:sz w:val="24"/>
          <w:szCs w:val="24"/>
          <w:highlight w:val="cyan"/>
        </w:rPr>
        <w:fldChar w:fldCharType="separate"/>
      </w:r>
      <w:r w:rsidR="00B77167" w:rsidRPr="001D2C3C">
        <w:rPr>
          <w:rFonts w:ascii="Times New Roman" w:hAnsi="Times New Roman"/>
          <w:noProof/>
          <w:sz w:val="24"/>
          <w:szCs w:val="24"/>
          <w:highlight w:val="cyan"/>
        </w:rPr>
        <w:t>(Ara 2016; Baten, Kasim &amp; Rahman 2015; Hassan &amp; Hassan 2018)</w:t>
      </w:r>
      <w:r w:rsidR="005731FC" w:rsidRPr="001D2C3C">
        <w:rPr>
          <w:rFonts w:ascii="Times New Roman" w:hAnsi="Times New Roman"/>
          <w:sz w:val="24"/>
          <w:szCs w:val="24"/>
          <w:highlight w:val="cyan"/>
        </w:rPr>
        <w:fldChar w:fldCharType="end"/>
      </w:r>
      <w:r w:rsidR="00253FE7" w:rsidRPr="001D2C3C">
        <w:rPr>
          <w:rFonts w:ascii="Times New Roman" w:hAnsi="Times New Roman"/>
          <w:sz w:val="24"/>
          <w:szCs w:val="24"/>
          <w:highlight w:val="cyan"/>
        </w:rPr>
        <w:t xml:space="preserve"> </w:t>
      </w:r>
      <w:r w:rsidR="003633DF" w:rsidRPr="001D2C3C">
        <w:rPr>
          <w:rFonts w:ascii="Times New Roman" w:hAnsi="Times New Roman"/>
          <w:sz w:val="24"/>
          <w:szCs w:val="24"/>
          <w:highlight w:val="cyan"/>
        </w:rPr>
        <w:t>and there have been some empirical studies about the impact of ICT on banking in Bangladesh</w:t>
      </w:r>
      <w:r w:rsidR="005731FC" w:rsidRPr="001D2C3C">
        <w:rPr>
          <w:rFonts w:ascii="Times New Roman" w:hAnsi="Times New Roman"/>
          <w:sz w:val="24"/>
          <w:szCs w:val="24"/>
          <w:highlight w:val="cyan"/>
        </w:rPr>
        <w:t xml:space="preserve"> </w:t>
      </w:r>
      <w:r w:rsidR="00025B21" w:rsidRPr="001D2C3C">
        <w:rPr>
          <w:rFonts w:ascii="Times New Roman" w:hAnsi="Times New Roman"/>
          <w:sz w:val="24"/>
          <w:szCs w:val="24"/>
          <w:highlight w:val="cyan"/>
        </w:rPr>
        <w:fldChar w:fldCharType="begin" w:fldLock="1"/>
      </w:r>
      <w:r w:rsidR="00B77167" w:rsidRPr="001D2C3C">
        <w:rPr>
          <w:rFonts w:ascii="Times New Roman" w:hAnsi="Times New Roman"/>
          <w:sz w:val="24"/>
          <w:szCs w:val="24"/>
          <w:highlight w:val="cyan"/>
        </w:rPr>
        <w:instrText>ADDIN CSL_CITATION {"citationItems":[{"id":"ITEM-1","itemData":{"author":[{"dropping-particle":"","family":"Sadekin","given":"Mohamamd","non-dropping-particle":"","parse-names":false,"suffix":""},{"dropping-particle":"","family":"Shaikh","given":"Md.","non-dropping-particle":"","parse-names":false,"suffix":""}],"id":"ITEM-1","issued":{"date-parts":[["2015"]]},"title":"Current Status of E-Banking Practices in Bangladesh","type":"article"},"uris":["http://www.mendeley.com/documents/?uuid=7cd8719c-c281-3cb2-a8af-d1c7fbd7b139"]}],"mendeley":{"formattedCitation":"(Sadekin &amp; Shaikh 2015)","plainTextFormattedCitation":"(Sadekin &amp; Shaikh 2015)","previouslyFormattedCitation":"(Sadekin &amp; Shaikh, 2015)"},"properties":{"noteIndex":0},"schema":"https://github.com/citation-style-language/schema/raw/master/csl-citation.json"}</w:instrText>
      </w:r>
      <w:r w:rsidR="00025B21" w:rsidRPr="001D2C3C">
        <w:rPr>
          <w:rFonts w:ascii="Times New Roman" w:hAnsi="Times New Roman"/>
          <w:sz w:val="24"/>
          <w:szCs w:val="24"/>
          <w:highlight w:val="cyan"/>
        </w:rPr>
        <w:fldChar w:fldCharType="separate"/>
      </w:r>
      <w:r w:rsidR="00B77167" w:rsidRPr="001D2C3C">
        <w:rPr>
          <w:rFonts w:ascii="Times New Roman" w:hAnsi="Times New Roman"/>
          <w:noProof/>
          <w:sz w:val="24"/>
          <w:szCs w:val="24"/>
          <w:highlight w:val="cyan"/>
        </w:rPr>
        <w:t>(Sadekin &amp; Shaikh 2015)</w:t>
      </w:r>
      <w:r w:rsidR="00025B21" w:rsidRPr="001D2C3C">
        <w:rPr>
          <w:rFonts w:ascii="Times New Roman" w:hAnsi="Times New Roman"/>
          <w:sz w:val="24"/>
          <w:szCs w:val="24"/>
          <w:highlight w:val="cyan"/>
        </w:rPr>
        <w:fldChar w:fldCharType="end"/>
      </w:r>
      <w:r w:rsidR="003633DF" w:rsidRPr="001D2C3C">
        <w:rPr>
          <w:rFonts w:ascii="Times New Roman" w:hAnsi="Times New Roman"/>
          <w:sz w:val="24"/>
          <w:szCs w:val="24"/>
          <w:highlight w:val="cyan"/>
        </w:rPr>
        <w:t xml:space="preserve"> asserted that ICT investments are becoming an important factor in the future development of Bangladesh banking industry.</w:t>
      </w:r>
      <w:r w:rsidR="00BD5320" w:rsidRPr="006D74FE">
        <w:rPr>
          <w:rFonts w:ascii="Times New Roman" w:hAnsi="Times New Roman"/>
          <w:sz w:val="24"/>
          <w:szCs w:val="24"/>
        </w:rPr>
        <w:t xml:space="preserve"> </w:t>
      </w:r>
      <w:r w:rsidR="009F66CE" w:rsidRPr="001D2C3C">
        <w:rPr>
          <w:rFonts w:ascii="Times New Roman" w:hAnsi="Times New Roman"/>
          <w:sz w:val="24"/>
          <w:szCs w:val="24"/>
          <w:highlight w:val="yellow"/>
        </w:rPr>
        <w:t>There are</w:t>
      </w:r>
      <w:r w:rsidR="00BD5320" w:rsidRPr="001D2C3C">
        <w:rPr>
          <w:rFonts w:ascii="Times New Roman" w:hAnsi="Times New Roman"/>
          <w:sz w:val="24"/>
          <w:szCs w:val="24"/>
          <w:highlight w:val="yellow"/>
        </w:rPr>
        <w:t xml:space="preserve"> no studies available about the impact of ICT in the banking sector on the cost and profit efficiency</w:t>
      </w:r>
      <w:r w:rsidR="00A9601C">
        <w:rPr>
          <w:rFonts w:ascii="Times New Roman" w:hAnsi="Times New Roman"/>
          <w:sz w:val="24"/>
          <w:szCs w:val="24"/>
          <w:highlight w:val="yellow"/>
        </w:rPr>
        <w:t xml:space="preserve"> (</w:t>
      </w:r>
      <w:r w:rsidR="00A9601C" w:rsidRPr="00A9601C">
        <w:rPr>
          <w:rFonts w:ascii="Times New Roman" w:hAnsi="Times New Roman"/>
          <w:sz w:val="24"/>
          <w:szCs w:val="24"/>
        </w:rPr>
        <w:t>https://www.sciencedirect.com/science/article/pii/S0939362518305399</w:t>
      </w:r>
      <w:r w:rsidR="00A9601C">
        <w:rPr>
          <w:rFonts w:ascii="Times New Roman" w:hAnsi="Times New Roman"/>
          <w:sz w:val="24"/>
          <w:szCs w:val="24"/>
        </w:rPr>
        <w:t>)</w:t>
      </w:r>
      <w:r w:rsidR="00BD5320" w:rsidRPr="001D2C3C">
        <w:rPr>
          <w:rFonts w:ascii="Times New Roman" w:hAnsi="Times New Roman"/>
          <w:sz w:val="24"/>
          <w:szCs w:val="24"/>
          <w:highlight w:val="yellow"/>
        </w:rPr>
        <w:t>.</w:t>
      </w:r>
      <w:r w:rsidR="00543BE5" w:rsidRPr="001D2C3C">
        <w:rPr>
          <w:rFonts w:ascii="Times New Roman" w:hAnsi="Times New Roman"/>
          <w:sz w:val="24"/>
          <w:szCs w:val="24"/>
          <w:highlight w:val="yellow"/>
        </w:rPr>
        <w:fldChar w:fldCharType="begin" w:fldLock="1"/>
      </w:r>
      <w:r w:rsidR="00B77167" w:rsidRPr="001D2C3C">
        <w:rPr>
          <w:rFonts w:ascii="Times New Roman" w:hAnsi="Times New Roman"/>
          <w:sz w:val="24"/>
          <w:szCs w:val="24"/>
          <w:highlight w:val="yellow"/>
        </w:rPr>
        <w:instrText>ADDIN CSL_CITATION {"citationItems":[{"id":"ITEM-1","itemData":{"author":[{"dropping-particle":"","family":"Sadekin","given":"Mohamamd","non-dropping-particle":"","parse-names":false,"suffix":""},{"dropping-particle":"","family":"Shaikh","given":"Md.","non-dropping-particle":"","parse-names":false,"suffix":""}],"id":"ITEM-1","issued":{"date-parts":[["2015"]]},"title":"Current Status of E-Banking Practices in Bangladesh","type":"article"},"uris":["http://www.mendeley.com/documents/?uuid=7cd8719c-c281-3cb2-a8af-d1c7fbd7b139"]},{"id":"ITEM-2","itemData":{"DOI":"10.1016/j.chieco.2007.04.001","ISSN":"1043951X","abstract":"Using a non-parametric technique for data from 1995 to 2004, we investigate the cost and profit efficiency of 28 Chinese commercial banks. We examine the influence of ownership type, size, risk profile, profitability and key environmental changes on the bank efficiency using a Tobit regression. Consistent with the existing literature, we find that profit efficiency levels are well below those of cost efficiency. This suggests that the most important inefficiencies are on the revenue side. Our findings are also consistent with prior evidence on ownership and efficiency: joint-stock banks (national and city-based), on average, appear to be more cost- and profit-efficient than state-owned banks while medium-sized banks are significantly more efficient than small and large banks. These and other results suggest the need for speedier reforms to open the banking market, improving risk management, minimizing the government's capital subsidy and diversifying ownership of Chinese banks. © 2007 Elsevier Inc. All rights reserved.","author":[{"dropping-particle":"","family":"ARIFF","given":"Mohamed","non-dropping-particle":"","parse-names":false,"suffix":""},{"dropping-particle":"","family":"CAN","given":"Luc","non-dropping-particle":"","parse-names":false,"suffix":""}],"container-title":"China Economic Review","id":"ITEM-2","issue":"2","issued":{"date-parts":[["2008","6","1"]]},"page":"260-273","publisher":"North-Holland","title":"Cost and profit efficiency of Chinese banks: A non-parametric analysis","type":"article-journal","volume":"19"},"uris":["http://www.mendeley.com/documents/?uuid=4ca397cf-fdde-3cb2-9c34-6905fd1d27ed"]},{"id":"ITEM-3","itemData":{"DOI":"10.1080/0003684032000158109","ISSN":"00036846","abstract":"This paper investigates whether there has been an improvement in and convergence of productive efficiency across European banking markets since the creation of the Single Internal Market. Using efficiency measures derived from DEA estimation, the determinants of European bank efficiency are evaluated using the Tobit regression model approach. The established literature on modelling the determinants of bank efficiency is then extended by recognizing the problem of the inherent dependency of DEA efficiency scores when used in regression analysis. To overcome the dependency problem, a bootstrapping technique is applied. Overall, the results suggest that since the EU's Single Market Programme there has been a small improvement in bank efficiency levels, although there is little evidence to suggest that these have converged. The results also suggest that inference on the determinants of bank efficiency drawn from non-bootstrapped regression analysis may be biased and misleading.","author":[{"dropping-particle":"","family":"Casu","given":"Barbara","non-dropping-particle":"","parse-names":false,"suffix":""},{"dropping-particle":"","family":"Molyneux","given":"Philip","non-dropping-particle":"","parse-names":false,"suffix":""}],"container-title":"Applied Economics","id":"ITEM-3","issue":"17","issued":{"date-parts":[["2003","11","20"]]},"page":"1865-1876","publisher":" Taylor &amp; Francis Group ","title":"A comparative study of efficiency in European banking","type":"article-journal","volume":"35"},"uris":["http://www.mendeley.com/documents/?uuid=4efc499a-8cac-3051-bb10-b6b23dca42ae"]},{"id":"ITEM-4","itemData":{"DOI":"10.1080/0003684042000175334","ISSN":"00036846","abstract":"This study investigates the main determinants of Italian banks' cost efficiency over the period 1993-1996, by employing a Fourier-flexible stochastic cost frontier in order to measure X-efficiencies and economies of scale. Quality and riskiness of bank outputs are explicitly accounted for in the cost function and their impact on cost efficiency levels is evaluated. The results show that mean X-inefficiencies range between 13 and 15 per cent of total costs and they tend to decrease over time for all bank sizes. Economies of scale appear present and significant, being especially high for popular and credit co-operative banks. Moreover, the inclusion of risk and output quality variables in the cost function seems to reduce the significance of the scale economy estimates. Following Spong et al. (1995) a profitability test is undertaken that allows for the identification of banks that are both cost and profit efficient. The results suggest that the most efficient and profitable institutions are more able to control all aspects of costs, especially labour costs. Finally, the data are pooled to carry out a logistic regression model in order to examine bank- and market-specific factors that influence Italian banks' inefficiency. Confirming Mester (1993, 1996), inefficiencies appear to be inversely correlated with capital strength and positively related to the level of non-performing loans in the balance sheet. The analysis also shows that there is no clear relationship between asset size and bank efficiency. Finally, it is possible to infer that quoted banks seem to be on average more efficient than their non-quoted counterparts.","author":[{"dropping-particle":"","family":"Girardone","given":"Claudia","non-dropping-particle":"","parse-names":false,"suffix":""},{"dropping-particle":"","family":"Molyneux","given":"Philip","non-dropping-particle":"","parse-names":false,"suffix":""},{"dropping-particle":"","family":"Gardener","given":"Edward P.M.","non-dropping-particle":"","parse-names":false,"suffix":""}],"container-title":"Applied Economics","id":"ITEM-4","issue":"3","issued":{"date-parts":[["2004","2","20"]]},"page":"215-227","publisher":"Routledge","title":"Analysing the determinants of bank efficiency: The case of Italian banks","type":"article-journal","volume":"36"},"uris":["http://www.mendeley.com/documents/?uuid=8603a8a4-3845-3781-8672-7f5d6da8dc60"]}],"mendeley":{"formattedCitation":"(ARIFF &amp; CAN 2008; Casu &amp; Molyneux 2003; Girardone, Molyneux &amp; Gardener 2004; Sadekin &amp; Shaikh 2015)","manualFormatting":"(Ariff &amp; Can, 2008; Casu &amp; Molyneux, 2003; Girardone et al., 2004; Sadekin &amp; Shaikh, 2015)","plainTextFormattedCitation":"(ARIFF &amp; CAN 2008; Casu &amp; Molyneux 2003; Girardone, Molyneux &amp; Gardener 2004; Sadekin &amp; Shaikh 2015)","previouslyFormattedCitation":"(ARIFF &amp; CAN, 2008; Casu &amp; Molyneux, 2003; Girardone et al., 2004; Sadekin &amp; Shaikh, 2015)"},"properties":{"noteIndex":0},"schema":"https://github.com/citation-style-language/schema/raw/master/csl-citation.json"}</w:instrText>
      </w:r>
      <w:r w:rsidR="00543BE5" w:rsidRPr="001D2C3C">
        <w:rPr>
          <w:rFonts w:ascii="Times New Roman" w:hAnsi="Times New Roman"/>
          <w:sz w:val="24"/>
          <w:szCs w:val="24"/>
          <w:highlight w:val="yellow"/>
        </w:rPr>
        <w:fldChar w:fldCharType="separate"/>
      </w:r>
      <w:r w:rsidR="00543BE5" w:rsidRPr="001D2C3C">
        <w:rPr>
          <w:rFonts w:ascii="Times New Roman" w:hAnsi="Times New Roman"/>
          <w:noProof/>
          <w:sz w:val="24"/>
          <w:szCs w:val="24"/>
          <w:highlight w:val="yellow"/>
        </w:rPr>
        <w:t>(A</w:t>
      </w:r>
      <w:r w:rsidR="00181504" w:rsidRPr="001D2C3C">
        <w:rPr>
          <w:rFonts w:ascii="Times New Roman" w:hAnsi="Times New Roman"/>
          <w:noProof/>
          <w:sz w:val="24"/>
          <w:szCs w:val="24"/>
          <w:highlight w:val="yellow"/>
        </w:rPr>
        <w:t>riff</w:t>
      </w:r>
      <w:r w:rsidR="00543BE5" w:rsidRPr="001D2C3C">
        <w:rPr>
          <w:rFonts w:ascii="Times New Roman" w:hAnsi="Times New Roman"/>
          <w:noProof/>
          <w:sz w:val="24"/>
          <w:szCs w:val="24"/>
          <w:highlight w:val="yellow"/>
        </w:rPr>
        <w:t xml:space="preserve"> &amp; C</w:t>
      </w:r>
      <w:r w:rsidR="00181504" w:rsidRPr="001D2C3C">
        <w:rPr>
          <w:rFonts w:ascii="Times New Roman" w:hAnsi="Times New Roman"/>
          <w:noProof/>
          <w:sz w:val="24"/>
          <w:szCs w:val="24"/>
          <w:highlight w:val="yellow"/>
        </w:rPr>
        <w:t>an</w:t>
      </w:r>
      <w:r w:rsidR="00543BE5" w:rsidRPr="001D2C3C">
        <w:rPr>
          <w:rFonts w:ascii="Times New Roman" w:hAnsi="Times New Roman"/>
          <w:noProof/>
          <w:sz w:val="24"/>
          <w:szCs w:val="24"/>
          <w:highlight w:val="yellow"/>
        </w:rPr>
        <w:t>, 2008; Casu &amp; Molyneux, 2003; Girardone et al., 2004; Sadekin &amp; Shaikh, 2015)</w:t>
      </w:r>
      <w:r w:rsidR="00543BE5" w:rsidRPr="001D2C3C">
        <w:rPr>
          <w:rFonts w:ascii="Times New Roman" w:hAnsi="Times New Roman"/>
          <w:sz w:val="24"/>
          <w:szCs w:val="24"/>
          <w:highlight w:val="yellow"/>
        </w:rPr>
        <w:fldChar w:fldCharType="end"/>
      </w:r>
      <w:r w:rsidR="00543BE5" w:rsidRPr="001D2C3C">
        <w:rPr>
          <w:rFonts w:ascii="Times New Roman" w:hAnsi="Times New Roman"/>
          <w:sz w:val="24"/>
          <w:szCs w:val="24"/>
          <w:highlight w:val="yellow"/>
        </w:rPr>
        <w:t xml:space="preserve"> </w:t>
      </w:r>
      <w:r w:rsidR="00A20B98" w:rsidRPr="001D2C3C">
        <w:rPr>
          <w:rFonts w:ascii="Times New Roman" w:hAnsi="Times New Roman"/>
          <w:sz w:val="24"/>
          <w:szCs w:val="24"/>
          <w:highlight w:val="yellow"/>
        </w:rPr>
        <w:t>used TOBIT-regression method to examine the determinants of bank efficiency</w:t>
      </w:r>
      <w:r w:rsidR="00CB3E16" w:rsidRPr="001D2C3C">
        <w:rPr>
          <w:rFonts w:ascii="Times New Roman" w:hAnsi="Times New Roman"/>
          <w:sz w:val="24"/>
          <w:szCs w:val="24"/>
          <w:highlight w:val="yellow"/>
        </w:rPr>
        <w:t xml:space="preserve">. </w:t>
      </w:r>
      <w:r w:rsidR="00A20B98" w:rsidRPr="001D2C3C">
        <w:rPr>
          <w:rFonts w:ascii="Times New Roman" w:hAnsi="Times New Roman"/>
          <w:sz w:val="24"/>
          <w:szCs w:val="24"/>
          <w:highlight w:val="yellow"/>
        </w:rPr>
        <w:t>In this study,</w:t>
      </w:r>
      <w:r w:rsidR="00BD5320" w:rsidRPr="001D2C3C">
        <w:rPr>
          <w:rFonts w:ascii="Times New Roman" w:hAnsi="Times New Roman"/>
          <w:sz w:val="24"/>
          <w:szCs w:val="24"/>
          <w:highlight w:val="yellow"/>
        </w:rPr>
        <w:t xml:space="preserve"> TOBIT-regression </w:t>
      </w:r>
      <w:r w:rsidR="00A20B98" w:rsidRPr="001D2C3C">
        <w:rPr>
          <w:rFonts w:ascii="Times New Roman" w:hAnsi="Times New Roman"/>
          <w:sz w:val="24"/>
          <w:szCs w:val="24"/>
          <w:highlight w:val="yellow"/>
        </w:rPr>
        <w:t xml:space="preserve">model </w:t>
      </w:r>
      <w:r w:rsidR="008C7A20" w:rsidRPr="001D2C3C">
        <w:rPr>
          <w:rFonts w:ascii="Times New Roman" w:hAnsi="Times New Roman"/>
          <w:sz w:val="24"/>
          <w:szCs w:val="24"/>
          <w:highlight w:val="yellow"/>
        </w:rPr>
        <w:t>is</w:t>
      </w:r>
      <w:r w:rsidR="00A20B98" w:rsidRPr="001D2C3C">
        <w:rPr>
          <w:rFonts w:ascii="Times New Roman" w:hAnsi="Times New Roman"/>
          <w:sz w:val="24"/>
          <w:szCs w:val="24"/>
          <w:highlight w:val="yellow"/>
        </w:rPr>
        <w:t xml:space="preserve"> used </w:t>
      </w:r>
      <w:r w:rsidR="00BD5320" w:rsidRPr="001D2C3C">
        <w:rPr>
          <w:rFonts w:ascii="Times New Roman" w:hAnsi="Times New Roman"/>
          <w:sz w:val="24"/>
          <w:szCs w:val="24"/>
          <w:highlight w:val="yellow"/>
        </w:rPr>
        <w:t xml:space="preserve">to reveal the determinants of cost and profit efficiency </w:t>
      </w:r>
      <w:r w:rsidR="009F66CE" w:rsidRPr="001D2C3C">
        <w:rPr>
          <w:rFonts w:ascii="Times New Roman" w:hAnsi="Times New Roman"/>
          <w:sz w:val="24"/>
          <w:szCs w:val="24"/>
          <w:highlight w:val="yellow"/>
        </w:rPr>
        <w:t xml:space="preserve">of banks in Bangladesh </w:t>
      </w:r>
      <w:r w:rsidR="00BD5320" w:rsidRPr="001D2C3C">
        <w:rPr>
          <w:rFonts w:ascii="Times New Roman" w:hAnsi="Times New Roman"/>
          <w:sz w:val="24"/>
          <w:szCs w:val="24"/>
          <w:highlight w:val="yellow"/>
        </w:rPr>
        <w:t xml:space="preserve">given the fact </w:t>
      </w:r>
      <w:r w:rsidR="003D48D9" w:rsidRPr="001D2C3C">
        <w:rPr>
          <w:rFonts w:ascii="Times New Roman" w:hAnsi="Times New Roman"/>
          <w:sz w:val="24"/>
          <w:szCs w:val="24"/>
          <w:highlight w:val="yellow"/>
        </w:rPr>
        <w:t xml:space="preserve">that the </w:t>
      </w:r>
      <w:r w:rsidR="00BD5320" w:rsidRPr="001D2C3C">
        <w:rPr>
          <w:rFonts w:ascii="Times New Roman" w:hAnsi="Times New Roman"/>
          <w:sz w:val="24"/>
          <w:szCs w:val="24"/>
          <w:highlight w:val="yellow"/>
        </w:rPr>
        <w:t>efficiency scores are constrained bet</w:t>
      </w:r>
      <w:r w:rsidR="00A20B98" w:rsidRPr="001D2C3C">
        <w:rPr>
          <w:rFonts w:ascii="Times New Roman" w:hAnsi="Times New Roman"/>
          <w:sz w:val="24"/>
          <w:szCs w:val="24"/>
          <w:highlight w:val="yellow"/>
        </w:rPr>
        <w:t>ween zero and one</w:t>
      </w:r>
      <w:r w:rsidR="00930A84">
        <w:rPr>
          <w:rFonts w:ascii="Times New Roman" w:hAnsi="Times New Roman"/>
          <w:sz w:val="24"/>
          <w:szCs w:val="24"/>
          <w:highlight w:val="yellow"/>
        </w:rPr>
        <w:t xml:space="preserve"> </w:t>
      </w:r>
      <w:r w:rsidR="00A9601C">
        <w:rPr>
          <w:rFonts w:ascii="Times New Roman" w:hAnsi="Times New Roman"/>
          <w:sz w:val="24"/>
          <w:szCs w:val="24"/>
          <w:highlight w:val="yellow"/>
        </w:rPr>
        <w:t>(</w:t>
      </w:r>
      <w:r w:rsidR="00A9601C" w:rsidRPr="00A9601C">
        <w:rPr>
          <w:rFonts w:ascii="Times New Roman" w:hAnsi="Times New Roman"/>
          <w:sz w:val="24"/>
          <w:szCs w:val="24"/>
        </w:rPr>
        <w:t>https://www.researchgate.net/publication/312647412_THE_EFFICIENCY_OF_BANKS_IN_INDONESIA_SHARIA_VS_CONVENTIONAL_BANKS</w:t>
      </w:r>
      <w:r w:rsidR="00A9601C">
        <w:rPr>
          <w:rFonts w:ascii="Times New Roman" w:hAnsi="Times New Roman"/>
          <w:sz w:val="24"/>
          <w:szCs w:val="24"/>
        </w:rPr>
        <w:t>)</w:t>
      </w:r>
      <w:r w:rsidR="00A20B98" w:rsidRPr="001D2C3C">
        <w:rPr>
          <w:rFonts w:ascii="Times New Roman" w:hAnsi="Times New Roman"/>
          <w:sz w:val="24"/>
          <w:szCs w:val="24"/>
          <w:highlight w:val="yellow"/>
        </w:rPr>
        <w:t>.</w:t>
      </w:r>
      <w:r w:rsidR="00253FE7" w:rsidRPr="001D2C3C">
        <w:rPr>
          <w:rFonts w:ascii="Times New Roman" w:hAnsi="Times New Roman"/>
          <w:sz w:val="24"/>
          <w:szCs w:val="24"/>
          <w:highlight w:val="yellow"/>
        </w:rPr>
        <w:t xml:space="preserve"> </w:t>
      </w:r>
      <w:r w:rsidR="003633DF" w:rsidRPr="001D2C3C">
        <w:rPr>
          <w:rFonts w:ascii="Times New Roman" w:hAnsi="Times New Roman"/>
          <w:sz w:val="24"/>
          <w:szCs w:val="24"/>
          <w:highlight w:val="yellow"/>
        </w:rPr>
        <w:t>T</w:t>
      </w:r>
      <w:r w:rsidR="00253FE7" w:rsidRPr="001D2C3C">
        <w:rPr>
          <w:rFonts w:ascii="Times New Roman" w:hAnsi="Times New Roman"/>
          <w:sz w:val="24"/>
          <w:szCs w:val="24"/>
          <w:highlight w:val="yellow"/>
        </w:rPr>
        <w:t>h</w:t>
      </w:r>
      <w:r w:rsidR="003633DF" w:rsidRPr="001D2C3C">
        <w:rPr>
          <w:rFonts w:ascii="Times New Roman" w:hAnsi="Times New Roman"/>
          <w:sz w:val="24"/>
          <w:szCs w:val="24"/>
          <w:highlight w:val="yellow"/>
        </w:rPr>
        <w:t>is</w:t>
      </w:r>
      <w:r w:rsidR="00253FE7" w:rsidRPr="001D2C3C">
        <w:rPr>
          <w:rFonts w:ascii="Times New Roman" w:hAnsi="Times New Roman"/>
          <w:sz w:val="24"/>
          <w:szCs w:val="24"/>
          <w:highlight w:val="yellow"/>
        </w:rPr>
        <w:t xml:space="preserve"> study undertakes to investigate the use and development of some classes of ICT applications </w:t>
      </w:r>
      <w:r w:rsidR="003633DF" w:rsidRPr="001D2C3C">
        <w:rPr>
          <w:rFonts w:ascii="Times New Roman" w:hAnsi="Times New Roman"/>
          <w:sz w:val="24"/>
          <w:szCs w:val="24"/>
          <w:highlight w:val="yellow"/>
        </w:rPr>
        <w:t>(e.g., A</w:t>
      </w:r>
      <w:r w:rsidR="00253FE7" w:rsidRPr="001D2C3C">
        <w:rPr>
          <w:rFonts w:ascii="Times New Roman" w:hAnsi="Times New Roman"/>
          <w:sz w:val="24"/>
          <w:szCs w:val="24"/>
          <w:highlight w:val="yellow"/>
        </w:rPr>
        <w:t>TM, Credit cards, IT personnel Expenses an</w:t>
      </w:r>
      <w:r w:rsidR="00987E80" w:rsidRPr="001D2C3C">
        <w:rPr>
          <w:rFonts w:ascii="Times New Roman" w:hAnsi="Times New Roman"/>
          <w:sz w:val="24"/>
          <w:szCs w:val="24"/>
          <w:highlight w:val="yellow"/>
        </w:rPr>
        <w:t>d IT investment</w:t>
      </w:r>
      <w:r w:rsidR="003633DF" w:rsidRPr="001D2C3C">
        <w:rPr>
          <w:rFonts w:ascii="Times New Roman" w:hAnsi="Times New Roman"/>
          <w:sz w:val="24"/>
          <w:szCs w:val="24"/>
          <w:highlight w:val="yellow"/>
        </w:rPr>
        <w:t>)</w:t>
      </w:r>
      <w:r w:rsidR="00987E80" w:rsidRPr="001D2C3C">
        <w:rPr>
          <w:rFonts w:ascii="Times New Roman" w:hAnsi="Times New Roman"/>
          <w:sz w:val="24"/>
          <w:szCs w:val="24"/>
          <w:highlight w:val="yellow"/>
        </w:rPr>
        <w:t xml:space="preserve"> from selected 17</w:t>
      </w:r>
      <w:r w:rsidR="00253FE7" w:rsidRPr="001D2C3C">
        <w:rPr>
          <w:rFonts w:ascii="Times New Roman" w:hAnsi="Times New Roman"/>
          <w:sz w:val="24"/>
          <w:szCs w:val="24"/>
          <w:highlight w:val="yellow"/>
        </w:rPr>
        <w:t xml:space="preserve"> </w:t>
      </w:r>
      <w:r w:rsidR="003633DF" w:rsidRPr="001D2C3C">
        <w:rPr>
          <w:rFonts w:ascii="Times New Roman" w:hAnsi="Times New Roman"/>
          <w:sz w:val="24"/>
          <w:szCs w:val="24"/>
          <w:highlight w:val="yellow"/>
        </w:rPr>
        <w:t>PCBs and analyses the impact of ICT factors on the efficiency of PCBs in Bangladesh Banking</w:t>
      </w:r>
      <w:r w:rsidR="00301B08" w:rsidRPr="001D2C3C">
        <w:rPr>
          <w:rFonts w:ascii="Times New Roman" w:hAnsi="Times New Roman"/>
          <w:sz w:val="24"/>
          <w:szCs w:val="24"/>
          <w:highlight w:val="yellow"/>
        </w:rPr>
        <w:t xml:space="preserve"> industry </w:t>
      </w:r>
      <w:r w:rsidR="0064411B" w:rsidRPr="001D2C3C">
        <w:rPr>
          <w:rFonts w:ascii="Times New Roman" w:hAnsi="Times New Roman"/>
          <w:sz w:val="24"/>
          <w:szCs w:val="24"/>
          <w:highlight w:val="yellow"/>
        </w:rPr>
        <w:t xml:space="preserve">based on the estimated </w:t>
      </w:r>
      <w:r w:rsidR="003633DF" w:rsidRPr="001D2C3C">
        <w:rPr>
          <w:rFonts w:ascii="Times New Roman" w:hAnsi="Times New Roman"/>
          <w:sz w:val="24"/>
          <w:szCs w:val="24"/>
          <w:highlight w:val="yellow"/>
        </w:rPr>
        <w:t>cost and profit efficiency score</w:t>
      </w:r>
      <w:r w:rsidR="0064411B" w:rsidRPr="001D2C3C">
        <w:rPr>
          <w:rFonts w:ascii="Times New Roman" w:hAnsi="Times New Roman"/>
          <w:sz w:val="24"/>
          <w:szCs w:val="24"/>
          <w:highlight w:val="yellow"/>
        </w:rPr>
        <w:t>s</w:t>
      </w:r>
      <w:r w:rsidR="003633DF" w:rsidRPr="001D2C3C">
        <w:rPr>
          <w:rFonts w:ascii="Times New Roman" w:hAnsi="Times New Roman"/>
          <w:sz w:val="24"/>
          <w:szCs w:val="24"/>
          <w:highlight w:val="yellow"/>
        </w:rPr>
        <w:t>.</w:t>
      </w:r>
    </w:p>
    <w:p w14:paraId="7F90B2B7" w14:textId="77777777" w:rsidR="00F779E5" w:rsidRPr="006D74FE" w:rsidRDefault="00F779E5" w:rsidP="00A728A2">
      <w:pPr>
        <w:spacing w:after="0" w:line="240" w:lineRule="auto"/>
        <w:jc w:val="both"/>
        <w:rPr>
          <w:rFonts w:ascii="Times New Roman" w:hAnsi="Times New Roman"/>
          <w:sz w:val="24"/>
          <w:szCs w:val="24"/>
        </w:rPr>
      </w:pPr>
    </w:p>
    <w:p w14:paraId="61164F86" w14:textId="5273E48A" w:rsidR="00D400D1" w:rsidRPr="006D74FE" w:rsidRDefault="009E1652" w:rsidP="00A728A2">
      <w:pPr>
        <w:pStyle w:val="ListParagraph"/>
        <w:numPr>
          <w:ilvl w:val="0"/>
          <w:numId w:val="29"/>
        </w:numPr>
        <w:spacing w:line="240" w:lineRule="auto"/>
        <w:rPr>
          <w:rFonts w:ascii="Times New Roman" w:hAnsi="Times New Roman" w:cs="Times New Roman"/>
          <w:b/>
          <w:bCs/>
        </w:rPr>
      </w:pPr>
      <w:r w:rsidRPr="006D74FE">
        <w:rPr>
          <w:rFonts w:ascii="Times New Roman" w:hAnsi="Times New Roman" w:cs="Times New Roman"/>
          <w:b/>
          <w:bCs/>
        </w:rPr>
        <w:t>Methodology</w:t>
      </w:r>
    </w:p>
    <w:p w14:paraId="3C3763C1" w14:textId="77777777" w:rsidR="004D3A48" w:rsidRPr="006D74FE" w:rsidRDefault="004D3A48" w:rsidP="00A728A2">
      <w:pPr>
        <w:spacing w:after="0" w:line="240" w:lineRule="auto"/>
        <w:jc w:val="both"/>
        <w:rPr>
          <w:rFonts w:ascii="Times New Roman" w:hAnsi="Times New Roman"/>
          <w:b/>
          <w:bCs/>
          <w:sz w:val="24"/>
          <w:szCs w:val="24"/>
        </w:rPr>
      </w:pPr>
    </w:p>
    <w:p w14:paraId="2FF5B11B" w14:textId="333A901C" w:rsidR="00D400D1" w:rsidRPr="006D74FE" w:rsidRDefault="00D400D1" w:rsidP="00A728A2">
      <w:pPr>
        <w:pStyle w:val="ListParagraph"/>
        <w:numPr>
          <w:ilvl w:val="0"/>
          <w:numId w:val="30"/>
        </w:numPr>
        <w:spacing w:line="240" w:lineRule="auto"/>
        <w:rPr>
          <w:rFonts w:ascii="Times New Roman" w:hAnsi="Times New Roman" w:cs="Times New Roman"/>
        </w:rPr>
      </w:pPr>
      <w:r w:rsidRPr="006D74FE">
        <w:rPr>
          <w:rFonts w:ascii="Times New Roman" w:hAnsi="Times New Roman" w:cs="Times New Roman"/>
        </w:rPr>
        <w:t xml:space="preserve">Empirical Stochastic Cobb-Douglas Cost Frontier Model </w:t>
      </w:r>
    </w:p>
    <w:p w14:paraId="68B74528" w14:textId="77777777" w:rsidR="00DF6E50" w:rsidRPr="006D74FE" w:rsidRDefault="00DF6E50" w:rsidP="00A728A2">
      <w:pPr>
        <w:spacing w:line="240" w:lineRule="auto"/>
        <w:jc w:val="both"/>
        <w:rPr>
          <w:rFonts w:ascii="Times New Roman" w:hAnsi="Times New Roman"/>
          <w:sz w:val="24"/>
          <w:szCs w:val="24"/>
        </w:rPr>
      </w:pPr>
    </w:p>
    <w:p w14:paraId="7F982216" w14:textId="02B61A7F" w:rsidR="00D400D1" w:rsidRPr="006D74FE" w:rsidRDefault="00D400D1" w:rsidP="00A728A2">
      <w:pPr>
        <w:spacing w:after="0" w:line="240" w:lineRule="auto"/>
        <w:jc w:val="both"/>
        <w:rPr>
          <w:rFonts w:ascii="Times New Roman" w:hAnsi="Times New Roman"/>
          <w:sz w:val="24"/>
          <w:szCs w:val="24"/>
        </w:rPr>
      </w:pPr>
      <w:r w:rsidRPr="006D74FE">
        <w:rPr>
          <w:rFonts w:ascii="Times New Roman" w:hAnsi="Times New Roman"/>
          <w:sz w:val="24"/>
          <w:szCs w:val="24"/>
        </w:rPr>
        <w:t xml:space="preserve">The </w:t>
      </w:r>
      <w:r w:rsidR="005F6E54" w:rsidRPr="006D74FE">
        <w:rPr>
          <w:rFonts w:ascii="Times New Roman" w:hAnsi="Times New Roman"/>
          <w:sz w:val="24"/>
          <w:szCs w:val="24"/>
        </w:rPr>
        <w:t xml:space="preserve">specification of </w:t>
      </w:r>
      <w:r w:rsidRPr="006D74FE">
        <w:rPr>
          <w:rFonts w:ascii="Times New Roman" w:hAnsi="Times New Roman"/>
          <w:sz w:val="24"/>
          <w:szCs w:val="24"/>
        </w:rPr>
        <w:t xml:space="preserve">Cobb-Douglas stochastic frontier cost model </w:t>
      </w:r>
      <w:r w:rsidR="00C83E70" w:rsidRPr="006D74FE">
        <w:rPr>
          <w:rFonts w:ascii="Times New Roman" w:hAnsi="Times New Roman"/>
          <w:sz w:val="24"/>
          <w:szCs w:val="24"/>
        </w:rPr>
        <w:fldChar w:fldCharType="begin" w:fldLock="1"/>
      </w:r>
      <w:r w:rsidR="00B77167">
        <w:rPr>
          <w:rFonts w:ascii="Times New Roman" w:hAnsi="Times New Roman"/>
          <w:sz w:val="24"/>
          <w:szCs w:val="24"/>
        </w:rPr>
        <w:instrText>ADDIN CSL_CITATION {"citationItems":[{"id":"ITEM-1","itemData":{"DOI":"10.1007/BF01205442","ISSN":"03777332","abstract":"A stochastic frontier production function is defined for panel data on firms, in which the non-negative technical inefficiency effects are assumed to be a function of firm-specific variables and time. The inefficiency effects are assumed to be independently distributed as truncations of normal distributions with constant variance, but with means which are a linear function of observable variables. This panel data model is an extension of recently proposed models for inefficiency effects in stochastic frontiers for cross-sectional data. An empirical application of the model is obtained using up to ten years of data on paddy farmers from an Indian village. The null hypotheses, that the inefficiency effects are not stochastic or do not depend on the farmer-specific variables and time of observation, are rejected for these data. © 1995 Physica-Verlag.","author":[{"dropping-particle":"","family":"Battese","given":"G. E.","non-dropping-particle":"","parse-names":false,"suffix":""},{"dropping-particle":"","family":"Coelli","given":"T. J.","non-dropping-particle":"","parse-names":false,"suffix":""}],"container-title":"Empirical Economics","id":"ITEM-1","issue":"2","issued":{"date-parts":[["1995","6"]]},"page":"325-332","publisher":"Physica-Verlag","title":"A model for technical inefficiency effects in a stochastic frontier production function for panel data","type":"article-journal","volume":"20"},"uris":["http://www.mendeley.com/documents/?uuid=22c0dbf4-446a-3144-ba82-5820f1b5d710"]}],"mendeley":{"formattedCitation":"(Battese &amp; Coelli 1995)","plainTextFormattedCitation":"(Battese &amp; Coelli 1995)","previouslyFormattedCitation":"(Battese &amp; Coelli, 1995)"},"properties":{"noteIndex":0},"schema":"https://github.com/citation-style-language/schema/raw/master/csl-citation.json"}</w:instrText>
      </w:r>
      <w:r w:rsidR="00C83E70" w:rsidRPr="006D74FE">
        <w:rPr>
          <w:rFonts w:ascii="Times New Roman" w:hAnsi="Times New Roman"/>
          <w:sz w:val="24"/>
          <w:szCs w:val="24"/>
        </w:rPr>
        <w:fldChar w:fldCharType="separate"/>
      </w:r>
      <w:r w:rsidR="00B77167" w:rsidRPr="00B77167">
        <w:rPr>
          <w:rFonts w:ascii="Times New Roman" w:hAnsi="Times New Roman"/>
          <w:noProof/>
          <w:sz w:val="24"/>
          <w:szCs w:val="24"/>
        </w:rPr>
        <w:t>(Battese &amp; Coelli 1995)</w:t>
      </w:r>
      <w:r w:rsidR="00C83E70" w:rsidRPr="006D74FE">
        <w:rPr>
          <w:rFonts w:ascii="Times New Roman" w:hAnsi="Times New Roman"/>
          <w:sz w:val="24"/>
          <w:szCs w:val="24"/>
        </w:rPr>
        <w:fldChar w:fldCharType="end"/>
      </w:r>
      <w:r w:rsidR="00C83E70" w:rsidRPr="006D74FE">
        <w:rPr>
          <w:rFonts w:ascii="Times New Roman" w:hAnsi="Times New Roman"/>
          <w:sz w:val="24"/>
          <w:szCs w:val="24"/>
        </w:rPr>
        <w:t xml:space="preserve"> </w:t>
      </w:r>
      <w:r w:rsidR="00B24DF5" w:rsidRPr="006D74FE">
        <w:rPr>
          <w:rFonts w:ascii="Times New Roman" w:hAnsi="Times New Roman"/>
          <w:sz w:val="24"/>
          <w:szCs w:val="24"/>
        </w:rPr>
        <w:t xml:space="preserve">is </w:t>
      </w:r>
      <w:r w:rsidR="00323570" w:rsidRPr="006D74FE">
        <w:rPr>
          <w:rFonts w:ascii="Times New Roman" w:hAnsi="Times New Roman"/>
          <w:sz w:val="24"/>
          <w:szCs w:val="24"/>
        </w:rPr>
        <w:t>defined as:</w:t>
      </w:r>
    </w:p>
    <w:p w14:paraId="0A14D6E5" w14:textId="77777777" w:rsidR="004D3A48" w:rsidRPr="006D74FE" w:rsidRDefault="004D3A48" w:rsidP="00A728A2">
      <w:pPr>
        <w:spacing w:after="0" w:line="240" w:lineRule="auto"/>
        <w:jc w:val="both"/>
        <w:rPr>
          <w:rFonts w:ascii="Times New Roman" w:hAnsi="Times New Roman"/>
          <w:sz w:val="24"/>
          <w:szCs w:val="24"/>
        </w:rPr>
      </w:pPr>
    </w:p>
    <w:p w14:paraId="36C97573" w14:textId="5D3596A0" w:rsidR="007B0882" w:rsidRPr="006D74FE" w:rsidRDefault="004D3A48" w:rsidP="00A728A2">
      <w:pPr>
        <w:spacing w:after="0" w:line="240" w:lineRule="auto"/>
        <w:jc w:val="both"/>
        <w:rPr>
          <w:rFonts w:ascii="Times New Roman" w:hAnsi="Times New Roman"/>
          <w:sz w:val="24"/>
          <w:szCs w:val="24"/>
        </w:rPr>
      </w:pPr>
      <m:oMath>
        <m:r>
          <m:rPr>
            <m:nor/>
          </m:rPr>
          <w:rPr>
            <w:rFonts w:ascii="Times New Roman" w:hAnsi="Times New Roman"/>
            <w:sz w:val="24"/>
            <w:szCs w:val="24"/>
          </w:rPr>
          <m:t xml:space="preserve">ln </m:t>
        </m:r>
        <m:sSub>
          <m:sSubPr>
            <m:ctrlPr>
              <w:rPr>
                <w:rFonts w:ascii="Cambria Math" w:hAnsi="Cambria Math"/>
                <w:sz w:val="24"/>
                <w:szCs w:val="24"/>
              </w:rPr>
            </m:ctrlPr>
          </m:sSubPr>
          <m:e>
            <m:r>
              <m:rPr>
                <m:nor/>
              </m:rPr>
              <w:rPr>
                <w:rFonts w:ascii="Times New Roman" w:hAnsi="Times New Roman"/>
                <w:sz w:val="24"/>
                <w:szCs w:val="24"/>
              </w:rPr>
              <m:t>Y</m:t>
            </m:r>
          </m:e>
          <m:sub>
            <m:r>
              <m:rPr>
                <m:nor/>
              </m:rPr>
              <w:rPr>
                <w:rFonts w:ascii="Times New Roman" w:hAnsi="Times New Roman"/>
                <w:sz w:val="24"/>
                <w:szCs w:val="24"/>
              </w:rPr>
              <m:t>it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LO</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OB</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POF</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 xml:space="preserve"> +</m:t>
        </m:r>
        <m:r>
          <m:rPr>
            <m:nor/>
          </m:rPr>
          <w:rPr>
            <w:rFonts w:ascii="Times New Roman" w:hAnsi="Times New Roman"/>
            <w:sz w:val="24"/>
            <w:szCs w:val="24"/>
          </w:rPr>
          <m:t xml:space="preserve"> </m:t>
        </m:r>
        <m:sSub>
          <m:sSubPr>
            <m:ctrlPr>
              <w:rPr>
                <w:rFonts w:ascii="Cambria Math" w:hAnsi="Cambria Math"/>
                <w:sz w:val="24"/>
                <w:szCs w:val="24"/>
              </w:rPr>
            </m:ctrlPr>
          </m:sSubPr>
          <m:e>
            <m:r>
              <m:rPr>
                <m:nor/>
              </m:rPr>
              <w:rPr>
                <w:rFonts w:ascii="Times New Roman" w:hAnsi="Times New Roman"/>
                <w:sz w:val="24"/>
                <w:szCs w:val="24"/>
              </w:rPr>
              <m:t>v</m:t>
            </m:r>
          </m:e>
          <m:sub>
            <m:r>
              <m:rPr>
                <m:nor/>
              </m:rPr>
              <w:rPr>
                <w:rFonts w:ascii="Times New Roman" w:hAnsi="Times New Roman"/>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m:rPr>
                <m:nor/>
              </m:rPr>
              <w:rPr>
                <w:rFonts w:ascii="Times New Roman" w:hAnsi="Times New Roman"/>
                <w:sz w:val="24"/>
                <w:szCs w:val="24"/>
              </w:rPr>
              <m:t>it</m:t>
            </m:r>
            <m:ctrlPr>
              <w:rPr>
                <w:rFonts w:ascii="Cambria Math" w:hAnsi="Cambria Math"/>
                <w:sz w:val="24"/>
                <w:szCs w:val="24"/>
              </w:rPr>
            </m:ctrlPr>
          </m:sub>
        </m:sSub>
      </m:oMath>
      <w:r w:rsidRPr="006D74FE">
        <w:rPr>
          <w:rFonts w:ascii="Times New Roman" w:hAnsi="Times New Roman"/>
          <w:sz w:val="24"/>
          <w:szCs w:val="24"/>
        </w:rPr>
        <w:t xml:space="preserve"> (1)</w:t>
      </w:r>
      <w:r w:rsidR="00D400D1" w:rsidRPr="006D74FE">
        <w:rPr>
          <w:rFonts w:ascii="Times New Roman" w:hAnsi="Times New Roman"/>
          <w:sz w:val="24"/>
          <w:szCs w:val="24"/>
        </w:rPr>
        <w:br/>
      </w:r>
    </w:p>
    <w:p w14:paraId="7522EF90" w14:textId="58827474" w:rsidR="00D400D1" w:rsidRPr="005D313D" w:rsidRDefault="007B0882" w:rsidP="00A728A2">
      <w:pPr>
        <w:spacing w:after="0" w:line="240" w:lineRule="auto"/>
        <w:jc w:val="both"/>
        <w:rPr>
          <w:rFonts w:ascii="Times New Roman" w:hAnsi="Times New Roman"/>
          <w:sz w:val="24"/>
          <w:szCs w:val="24"/>
        </w:rPr>
      </w:pPr>
      <w:r w:rsidRPr="005D313D">
        <w:rPr>
          <w:rFonts w:ascii="Times New Roman" w:hAnsi="Times New Roman"/>
          <w:sz w:val="24"/>
          <w:szCs w:val="24"/>
          <w:highlight w:val="yellow"/>
        </w:rPr>
        <w:t>w</w:t>
      </w:r>
      <w:r w:rsidR="00D400D1" w:rsidRPr="005D313D">
        <w:rPr>
          <w:rFonts w:ascii="Times New Roman" w:hAnsi="Times New Roman"/>
          <w:sz w:val="24"/>
          <w:szCs w:val="24"/>
          <w:highlight w:val="yellow"/>
        </w:rPr>
        <w:t>here, ln is natural logarithm (that is log to base e, where e = 2.718)</w:t>
      </w:r>
      <w:r w:rsidR="005D313D" w:rsidRPr="005D313D">
        <w:rPr>
          <w:rFonts w:ascii="Times New Roman" w:hAnsi="Times New Roman"/>
          <w:sz w:val="24"/>
          <w:szCs w:val="24"/>
          <w:highlight w:val="yellow"/>
        </w:rPr>
        <w:t xml:space="preserve"> </w:t>
      </w:r>
      <w:r w:rsidR="005D313D">
        <w:rPr>
          <w:rFonts w:ascii="Times New Roman" w:hAnsi="Times New Roman"/>
          <w:sz w:val="24"/>
          <w:szCs w:val="24"/>
        </w:rPr>
        <w:t>(</w:t>
      </w:r>
      <w:r w:rsidR="005D313D" w:rsidRPr="005D313D">
        <w:rPr>
          <w:rFonts w:ascii="Times New Roman" w:hAnsi="Times New Roman"/>
          <w:sz w:val="24"/>
          <w:szCs w:val="24"/>
        </w:rPr>
        <w:t>https://www.varsitytutors.com/hotmath/hotmath_help/topics/natural-logarithm</w:t>
      </w:r>
      <w:r w:rsidR="005D313D">
        <w:rPr>
          <w:rFonts w:ascii="Times New Roman" w:hAnsi="Times New Roman"/>
          <w:sz w:val="24"/>
          <w:szCs w:val="24"/>
        </w:rPr>
        <w:t>)</w:t>
      </w:r>
      <w:r w:rsidR="00D400D1" w:rsidRPr="005D313D">
        <w:rPr>
          <w:rFonts w:ascii="Times New Roman" w:hAnsi="Times New Roman"/>
          <w:sz w:val="24"/>
          <w:szCs w:val="24"/>
          <w:highlight w:val="yellow"/>
        </w:rPr>
        <w:t xml:space="preserve">. </w:t>
      </w:r>
      <w:proofErr w:type="spellStart"/>
      <w:r w:rsidR="00D400D1" w:rsidRPr="005D313D">
        <w:rPr>
          <w:rFonts w:ascii="Times New Roman" w:hAnsi="Times New Roman"/>
          <w:sz w:val="24"/>
          <w:szCs w:val="24"/>
          <w:highlight w:val="yellow"/>
        </w:rPr>
        <w:t>Yit</w:t>
      </w:r>
      <w:proofErr w:type="spellEnd"/>
      <w:r w:rsidR="00D400D1" w:rsidRPr="005D313D">
        <w:rPr>
          <w:rFonts w:ascii="Times New Roman" w:hAnsi="Times New Roman"/>
          <w:sz w:val="24"/>
          <w:szCs w:val="24"/>
          <w:highlight w:val="yellow"/>
        </w:rPr>
        <w:t xml:space="preserve"> represent the total cost of </w:t>
      </w:r>
      <w:proofErr w:type="spellStart"/>
      <w:r w:rsidR="00D400D1" w:rsidRPr="005D313D">
        <w:rPr>
          <w:rFonts w:ascii="Times New Roman" w:hAnsi="Times New Roman"/>
          <w:sz w:val="24"/>
          <w:szCs w:val="24"/>
          <w:highlight w:val="yellow"/>
        </w:rPr>
        <w:t>ith</w:t>
      </w:r>
      <w:proofErr w:type="spellEnd"/>
      <w:r w:rsidR="00D400D1" w:rsidRPr="005D313D">
        <w:rPr>
          <w:rFonts w:ascii="Times New Roman" w:hAnsi="Times New Roman"/>
          <w:sz w:val="24"/>
          <w:szCs w:val="24"/>
          <w:highlight w:val="yellow"/>
        </w:rPr>
        <w:t xml:space="preserve"> bank in period t  </w:t>
      </w:r>
      <w:proofErr w:type="spellStart"/>
      <w:r w:rsidR="00D400D1" w:rsidRPr="005D313D">
        <w:rPr>
          <w:rFonts w:ascii="Times New Roman" w:hAnsi="Times New Roman"/>
          <w:sz w:val="24"/>
          <w:szCs w:val="24"/>
          <w:highlight w:val="yellow"/>
        </w:rPr>
        <w:t>LOAit</w:t>
      </w:r>
      <w:proofErr w:type="spellEnd"/>
      <w:r w:rsidR="00D400D1" w:rsidRPr="005D313D">
        <w:rPr>
          <w:rFonts w:ascii="Times New Roman" w:hAnsi="Times New Roman"/>
          <w:sz w:val="24"/>
          <w:szCs w:val="24"/>
          <w:highlight w:val="yellow"/>
        </w:rPr>
        <w:t xml:space="preserve"> is the loan of  bank </w:t>
      </w:r>
      <w:proofErr w:type="spellStart"/>
      <w:r w:rsidR="00D400D1" w:rsidRPr="005D313D">
        <w:rPr>
          <w:rFonts w:ascii="Times New Roman" w:hAnsi="Times New Roman"/>
          <w:sz w:val="24"/>
          <w:szCs w:val="24"/>
          <w:highlight w:val="yellow"/>
        </w:rPr>
        <w:t>i</w:t>
      </w:r>
      <w:proofErr w:type="spellEnd"/>
      <w:r w:rsidR="00D400D1" w:rsidRPr="005D313D">
        <w:rPr>
          <w:rFonts w:ascii="Times New Roman" w:hAnsi="Times New Roman"/>
          <w:sz w:val="24"/>
          <w:szCs w:val="24"/>
          <w:highlight w:val="yellow"/>
        </w:rPr>
        <w:t xml:space="preserve"> in period t;   </w:t>
      </w:r>
      <w:proofErr w:type="spellStart"/>
      <w:r w:rsidR="00D400D1" w:rsidRPr="005D313D">
        <w:rPr>
          <w:rFonts w:ascii="Times New Roman" w:hAnsi="Times New Roman"/>
          <w:sz w:val="24"/>
          <w:szCs w:val="24"/>
          <w:highlight w:val="yellow"/>
        </w:rPr>
        <w:t>OBSit</w:t>
      </w:r>
      <w:proofErr w:type="spellEnd"/>
      <w:r w:rsidR="00D400D1" w:rsidRPr="005D313D">
        <w:rPr>
          <w:rFonts w:ascii="Times New Roman" w:hAnsi="Times New Roman"/>
          <w:sz w:val="24"/>
          <w:szCs w:val="24"/>
          <w:highlight w:val="yellow"/>
        </w:rPr>
        <w:t xml:space="preserve"> is the off-balance sheet items of bank </w:t>
      </w:r>
      <w:proofErr w:type="spellStart"/>
      <w:r w:rsidR="00D400D1" w:rsidRPr="005D313D">
        <w:rPr>
          <w:rFonts w:ascii="Times New Roman" w:hAnsi="Times New Roman"/>
          <w:sz w:val="24"/>
          <w:szCs w:val="24"/>
          <w:highlight w:val="yellow"/>
        </w:rPr>
        <w:t>i</w:t>
      </w:r>
      <w:proofErr w:type="spellEnd"/>
      <w:r w:rsidR="00D400D1" w:rsidRPr="005D313D">
        <w:rPr>
          <w:rFonts w:ascii="Times New Roman" w:hAnsi="Times New Roman"/>
          <w:sz w:val="24"/>
          <w:szCs w:val="24"/>
          <w:highlight w:val="yellow"/>
        </w:rPr>
        <w:t xml:space="preserve"> in period t; ; </w:t>
      </w:r>
      <w:proofErr w:type="spellStart"/>
      <w:r w:rsidR="00D400D1" w:rsidRPr="005D313D">
        <w:rPr>
          <w:rFonts w:ascii="Times New Roman" w:hAnsi="Times New Roman"/>
          <w:sz w:val="24"/>
          <w:szCs w:val="24"/>
          <w:highlight w:val="yellow"/>
        </w:rPr>
        <w:t>POFit</w:t>
      </w:r>
      <w:proofErr w:type="spellEnd"/>
      <w:r w:rsidR="00D400D1" w:rsidRPr="005D313D">
        <w:rPr>
          <w:rFonts w:ascii="Times New Roman" w:hAnsi="Times New Roman"/>
          <w:sz w:val="24"/>
          <w:szCs w:val="24"/>
          <w:highlight w:val="yellow"/>
        </w:rPr>
        <w:t xml:space="preserve"> is  the price of fund of bank </w:t>
      </w:r>
      <w:proofErr w:type="spellStart"/>
      <w:r w:rsidR="00D400D1" w:rsidRPr="005D313D">
        <w:rPr>
          <w:rFonts w:ascii="Times New Roman" w:hAnsi="Times New Roman"/>
          <w:sz w:val="24"/>
          <w:szCs w:val="24"/>
          <w:highlight w:val="yellow"/>
        </w:rPr>
        <w:t>i</w:t>
      </w:r>
      <w:proofErr w:type="spellEnd"/>
      <w:r w:rsidR="00D400D1" w:rsidRPr="005D313D">
        <w:rPr>
          <w:rFonts w:ascii="Times New Roman" w:hAnsi="Times New Roman"/>
          <w:sz w:val="24"/>
          <w:szCs w:val="24"/>
          <w:highlight w:val="yellow"/>
        </w:rPr>
        <w:t xml:space="preserve"> in period t;  </w:t>
      </w:r>
      <w:proofErr w:type="spellStart"/>
      <w:r w:rsidR="00D400D1" w:rsidRPr="005D313D">
        <w:rPr>
          <w:rFonts w:ascii="Times New Roman" w:hAnsi="Times New Roman"/>
          <w:sz w:val="24"/>
          <w:szCs w:val="24"/>
          <w:highlight w:val="yellow"/>
        </w:rPr>
        <w:t>POFAit</w:t>
      </w:r>
      <w:proofErr w:type="spellEnd"/>
      <w:r w:rsidR="00D400D1" w:rsidRPr="005D313D">
        <w:rPr>
          <w:rFonts w:ascii="Times New Roman" w:hAnsi="Times New Roman"/>
          <w:sz w:val="24"/>
          <w:szCs w:val="24"/>
          <w:highlight w:val="yellow"/>
        </w:rPr>
        <w:t xml:space="preserve"> is the price of fixed assets of bank </w:t>
      </w:r>
      <w:proofErr w:type="spellStart"/>
      <w:r w:rsidR="00D400D1" w:rsidRPr="005D313D">
        <w:rPr>
          <w:rFonts w:ascii="Times New Roman" w:hAnsi="Times New Roman"/>
          <w:sz w:val="24"/>
          <w:szCs w:val="24"/>
          <w:highlight w:val="yellow"/>
        </w:rPr>
        <w:t>i</w:t>
      </w:r>
      <w:proofErr w:type="spellEnd"/>
      <w:r w:rsidR="00D400D1" w:rsidRPr="005D313D">
        <w:rPr>
          <w:rFonts w:ascii="Times New Roman" w:hAnsi="Times New Roman"/>
          <w:sz w:val="24"/>
          <w:szCs w:val="24"/>
          <w:highlight w:val="yellow"/>
        </w:rPr>
        <w:t xml:space="preserve"> in period t; </w:t>
      </w:r>
      <w:proofErr w:type="spellStart"/>
      <w:r w:rsidR="00D400D1" w:rsidRPr="005D313D">
        <w:rPr>
          <w:rFonts w:ascii="Times New Roman" w:hAnsi="Times New Roman"/>
          <w:sz w:val="24"/>
          <w:szCs w:val="24"/>
          <w:highlight w:val="yellow"/>
        </w:rPr>
        <w:t>POLit</w:t>
      </w:r>
      <w:proofErr w:type="spellEnd"/>
      <w:r w:rsidR="00D400D1" w:rsidRPr="005D313D">
        <w:rPr>
          <w:rFonts w:ascii="Times New Roman" w:hAnsi="Times New Roman"/>
          <w:sz w:val="24"/>
          <w:szCs w:val="24"/>
          <w:highlight w:val="yellow"/>
        </w:rPr>
        <w:t xml:space="preserve"> is  the price of </w:t>
      </w:r>
      <w:proofErr w:type="spellStart"/>
      <w:r w:rsidR="00D400D1" w:rsidRPr="005D313D">
        <w:rPr>
          <w:rFonts w:ascii="Times New Roman" w:hAnsi="Times New Roman"/>
          <w:sz w:val="24"/>
          <w:szCs w:val="24"/>
          <w:highlight w:val="yellow"/>
        </w:rPr>
        <w:t>labour</w:t>
      </w:r>
      <w:proofErr w:type="spellEnd"/>
      <w:r w:rsidR="00D400D1" w:rsidRPr="005D313D">
        <w:rPr>
          <w:rFonts w:ascii="Times New Roman" w:hAnsi="Times New Roman"/>
          <w:sz w:val="24"/>
          <w:szCs w:val="24"/>
          <w:highlight w:val="yellow"/>
        </w:rPr>
        <w:t xml:space="preserve"> of bank </w:t>
      </w:r>
      <w:proofErr w:type="spellStart"/>
      <w:r w:rsidR="00D400D1" w:rsidRPr="005D313D">
        <w:rPr>
          <w:rFonts w:ascii="Times New Roman" w:hAnsi="Times New Roman"/>
          <w:sz w:val="24"/>
          <w:szCs w:val="24"/>
          <w:highlight w:val="yellow"/>
        </w:rPr>
        <w:t>i</w:t>
      </w:r>
      <w:proofErr w:type="spellEnd"/>
      <w:r w:rsidR="00D400D1" w:rsidRPr="005D313D">
        <w:rPr>
          <w:rFonts w:ascii="Times New Roman" w:hAnsi="Times New Roman"/>
          <w:sz w:val="24"/>
          <w:szCs w:val="24"/>
          <w:highlight w:val="yellow"/>
        </w:rPr>
        <w:t xml:space="preserve"> in period t; v is a two-sided error term assumed to be identically and independently distributed, u is a non-negative technical inefficiency component of the error term and β’s are unknown parameters to be estimated</w:t>
      </w:r>
      <w:r w:rsidR="00D0108B">
        <w:rPr>
          <w:rFonts w:ascii="Times New Roman" w:hAnsi="Times New Roman"/>
          <w:sz w:val="24"/>
          <w:szCs w:val="24"/>
          <w:highlight w:val="yellow"/>
        </w:rPr>
        <w:t xml:space="preserve"> (</w:t>
      </w:r>
      <w:r w:rsidR="00D0108B" w:rsidRPr="00D0108B">
        <w:rPr>
          <w:rFonts w:ascii="Times New Roman" w:hAnsi="Times New Roman"/>
          <w:sz w:val="24"/>
          <w:szCs w:val="24"/>
        </w:rPr>
        <w:t>https://www.researchgate.net/publication/321322235_Exploring_the_Future_Potential_of_Jute_in_Bangladesh</w:t>
      </w:r>
      <w:r w:rsidR="00D0108B">
        <w:rPr>
          <w:rFonts w:ascii="Times New Roman" w:hAnsi="Times New Roman"/>
          <w:sz w:val="24"/>
          <w:szCs w:val="24"/>
        </w:rPr>
        <w:t>)</w:t>
      </w:r>
      <w:r w:rsidR="00D400D1" w:rsidRPr="005D313D">
        <w:rPr>
          <w:rFonts w:ascii="Times New Roman" w:hAnsi="Times New Roman"/>
          <w:sz w:val="24"/>
          <w:szCs w:val="24"/>
          <w:highlight w:val="yellow"/>
        </w:rPr>
        <w:t xml:space="preserve">. Having obtained the parameters for each variable by banks using equation (1), the technical efficiency level for </w:t>
      </w:r>
      <w:r w:rsidR="005F6E54" w:rsidRPr="005D313D">
        <w:rPr>
          <w:rFonts w:ascii="Times New Roman" w:hAnsi="Times New Roman"/>
          <w:sz w:val="24"/>
          <w:szCs w:val="24"/>
          <w:highlight w:val="yellow"/>
        </w:rPr>
        <w:t>PCBs</w:t>
      </w:r>
      <w:r w:rsidR="00D400D1" w:rsidRPr="005D313D">
        <w:rPr>
          <w:rFonts w:ascii="Times New Roman" w:hAnsi="Times New Roman"/>
          <w:sz w:val="24"/>
          <w:szCs w:val="24"/>
          <w:highlight w:val="yellow"/>
        </w:rPr>
        <w:t xml:space="preserve"> </w:t>
      </w:r>
      <w:r w:rsidR="005F5084" w:rsidRPr="005D313D">
        <w:rPr>
          <w:rFonts w:ascii="Times New Roman" w:hAnsi="Times New Roman"/>
          <w:sz w:val="24"/>
          <w:szCs w:val="24"/>
          <w:highlight w:val="yellow"/>
        </w:rPr>
        <w:t>is predicted with equation (2).</w:t>
      </w:r>
    </w:p>
    <w:p w14:paraId="68B73648" w14:textId="77777777" w:rsidR="004D3A48" w:rsidRPr="006D74FE" w:rsidRDefault="004D3A48" w:rsidP="00A728A2">
      <w:pPr>
        <w:spacing w:after="0" w:line="240" w:lineRule="auto"/>
        <w:jc w:val="both"/>
        <w:rPr>
          <w:rFonts w:ascii="Times New Roman" w:hAnsi="Times New Roman"/>
          <w:sz w:val="24"/>
          <w:szCs w:val="24"/>
        </w:rPr>
      </w:pPr>
    </w:p>
    <w:p w14:paraId="14F6B72D" w14:textId="46ED7D82" w:rsidR="004D3A48" w:rsidRPr="006D74FE" w:rsidRDefault="004D3A48" w:rsidP="00A728A2">
      <w:pPr>
        <w:spacing w:after="0" w:line="240" w:lineRule="auto"/>
        <w:jc w:val="both"/>
        <w:rPr>
          <w:rFonts w:ascii="Times New Roman" w:hAnsi="Times New Roman"/>
          <w:sz w:val="24"/>
          <w:szCs w:val="24"/>
        </w:rPr>
      </w:pPr>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LO</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OB</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POF</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 xml:space="preserve"> +</m:t>
                </m:r>
                <m:r>
                  <m:rPr>
                    <m:nor/>
                  </m:rPr>
                  <w:rPr>
                    <w:rFonts w:ascii="Times New Roman" w:hAnsi="Times New Roman"/>
                    <w:sz w:val="24"/>
                    <w:szCs w:val="24"/>
                  </w:rPr>
                  <m:t xml:space="preserve"> </m:t>
                </m:r>
                <m:sSub>
                  <m:sSubPr>
                    <m:ctrlPr>
                      <w:rPr>
                        <w:rFonts w:ascii="Cambria Math" w:hAnsi="Cambria Math"/>
                        <w:sz w:val="24"/>
                        <w:szCs w:val="24"/>
                      </w:rPr>
                    </m:ctrlPr>
                  </m:sSubPr>
                  <m:e>
                    <m:r>
                      <m:rPr>
                        <m:nor/>
                      </m:rPr>
                      <w:rPr>
                        <w:rFonts w:ascii="Times New Roman" w:hAnsi="Times New Roman"/>
                        <w:sz w:val="24"/>
                        <w:szCs w:val="24"/>
                      </w:rPr>
                      <m:t>v</m:t>
                    </m:r>
                  </m:e>
                  <m:sub>
                    <m:r>
                      <m:rPr>
                        <m:nor/>
                      </m:rPr>
                      <w:rPr>
                        <w:rFonts w:ascii="Times New Roman" w:hAnsi="Times New Roman"/>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m:rPr>
                        <m:nor/>
                      </m:rPr>
                      <w:rPr>
                        <w:rFonts w:ascii="Times New Roman" w:hAnsi="Times New Roman"/>
                        <w:sz w:val="24"/>
                        <w:szCs w:val="24"/>
                      </w:rPr>
                      <m:t>it</m:t>
                    </m:r>
                    <m:ctrlPr>
                      <w:rPr>
                        <w:rFonts w:ascii="Cambria Math" w:hAnsi="Cambria Math"/>
                        <w:sz w:val="24"/>
                        <w:szCs w:val="24"/>
                      </w:rPr>
                    </m:ctrlPr>
                  </m:sub>
                </m:sSub>
              </m:sup>
            </m:sSup>
          </m:den>
        </m:f>
        <m:r>
          <m:rPr>
            <m:nor/>
          </m:rPr>
          <w:rPr>
            <w:rFonts w:ascii="Times New Roman" w:hAnsi="Times New Roman"/>
            <w:sz w:val="24"/>
            <w:szCs w:val="24"/>
          </w:rPr>
          <m:t xml:space="preserve">  </m:t>
        </m:r>
        <m:r>
          <m:rPr>
            <m:sty m:val="p"/>
          </m:rPr>
          <w:rPr>
            <w:rFonts w:ascii="Cambria Math" w:hAnsi="Cambria Math"/>
            <w:sz w:val="24"/>
            <w:szCs w:val="24"/>
          </w:rPr>
          <m:t>=</m:t>
        </m:r>
        <m:r>
          <m:rPr>
            <m:nor/>
          </m:rPr>
          <w:rPr>
            <w:rFonts w:ascii="Times New Roman" w:hAnsi="Times New Roman"/>
            <w:sz w:val="24"/>
            <w:szCs w:val="24"/>
          </w:rPr>
          <m:t xml:space="preserve"> </m:t>
        </m:r>
        <m:sSup>
          <m:sSupPr>
            <m:ctrlPr>
              <w:rPr>
                <w:rFonts w:ascii="Cambria Math" w:hAnsi="Cambria Math"/>
                <w:sz w:val="24"/>
                <w:szCs w:val="24"/>
              </w:rPr>
            </m:ctrlPr>
          </m:sSupPr>
          <m:e>
            <m:r>
              <m:rPr>
                <m:nor/>
              </m:rPr>
              <w:rPr>
                <w:rFonts w:ascii="Times New Roman" w:hAnsi="Times New Roman"/>
                <w:sz w:val="24"/>
                <w:szCs w:val="24"/>
              </w:rPr>
              <m:t>e</m:t>
            </m:r>
          </m:e>
          <m:sup>
            <m:r>
              <m:rPr>
                <m:nor/>
              </m:rPr>
              <w:rPr>
                <w:rFonts w:ascii="Times New Roman" w:hAnsi="Times New Roman"/>
                <w:sz w:val="24"/>
                <w:szCs w:val="24"/>
              </w:rPr>
              <m:t>-uit</m:t>
            </m:r>
          </m:sup>
        </m:sSup>
        <m:r>
          <w:rPr>
            <w:rFonts w:ascii="Cambria Math" w:hAnsi="Cambria Math"/>
            <w:sz w:val="24"/>
            <w:szCs w:val="24"/>
          </w:rPr>
          <m:t xml:space="preserve">                                         </m:t>
        </m:r>
      </m:oMath>
      <w:r w:rsidRPr="006D74FE">
        <w:rPr>
          <w:rFonts w:ascii="Times New Roman" w:hAnsi="Times New Roman"/>
          <w:sz w:val="24"/>
          <w:szCs w:val="24"/>
        </w:rPr>
        <w:t>(2)</w:t>
      </w:r>
    </w:p>
    <w:p w14:paraId="1FF4BD78" w14:textId="77777777" w:rsidR="004D3A48" w:rsidRPr="006D74FE" w:rsidRDefault="004D3A48" w:rsidP="00A728A2">
      <w:pPr>
        <w:spacing w:after="0" w:line="240" w:lineRule="auto"/>
        <w:jc w:val="both"/>
        <w:rPr>
          <w:rFonts w:ascii="Times New Roman" w:hAnsi="Times New Roman"/>
          <w:sz w:val="24"/>
          <w:szCs w:val="24"/>
        </w:rPr>
      </w:pPr>
    </w:p>
    <w:p w14:paraId="209DAFF0" w14:textId="14FB07D8" w:rsidR="00DF6E50" w:rsidRPr="006D74FE" w:rsidRDefault="007B0882" w:rsidP="00A728A2">
      <w:pPr>
        <w:pStyle w:val="ListParagraph"/>
        <w:numPr>
          <w:ilvl w:val="0"/>
          <w:numId w:val="31"/>
        </w:numPr>
        <w:spacing w:line="240" w:lineRule="auto"/>
        <w:rPr>
          <w:rFonts w:ascii="Times New Roman" w:hAnsi="Times New Roman" w:cs="Times New Roman"/>
        </w:rPr>
      </w:pPr>
      <w:r w:rsidRPr="006D74FE">
        <w:rPr>
          <w:rFonts w:ascii="Times New Roman" w:hAnsi="Times New Roman" w:cs="Times New Roman"/>
        </w:rPr>
        <w:t>E</w:t>
      </w:r>
      <w:r w:rsidR="00D400D1" w:rsidRPr="006D74FE">
        <w:rPr>
          <w:rFonts w:ascii="Times New Roman" w:hAnsi="Times New Roman" w:cs="Times New Roman"/>
        </w:rPr>
        <w:t xml:space="preserve">mpirical Stochastic Cobb-Douglas Cost Frontier </w:t>
      </w:r>
      <w:r w:rsidR="005F6E54" w:rsidRPr="006D74FE">
        <w:rPr>
          <w:rFonts w:ascii="Times New Roman" w:hAnsi="Times New Roman" w:cs="Times New Roman"/>
        </w:rPr>
        <w:t xml:space="preserve">Inefficiency Effects </w:t>
      </w:r>
      <w:r w:rsidR="00D400D1" w:rsidRPr="006D74FE">
        <w:rPr>
          <w:rFonts w:ascii="Times New Roman" w:hAnsi="Times New Roman" w:cs="Times New Roman"/>
        </w:rPr>
        <w:t xml:space="preserve">Model </w:t>
      </w:r>
    </w:p>
    <w:p w14:paraId="7D68A40F" w14:textId="77777777" w:rsidR="00DF6E50" w:rsidRPr="006D74FE" w:rsidRDefault="00DF6E50" w:rsidP="00A728A2">
      <w:pPr>
        <w:spacing w:line="240" w:lineRule="auto"/>
        <w:jc w:val="both"/>
        <w:rPr>
          <w:rFonts w:ascii="Times New Roman" w:hAnsi="Times New Roman"/>
          <w:sz w:val="24"/>
          <w:szCs w:val="24"/>
        </w:rPr>
      </w:pPr>
    </w:p>
    <w:p w14:paraId="28CBCFD8" w14:textId="4A884760" w:rsidR="00D400D1" w:rsidRPr="006D74FE" w:rsidRDefault="00D400D1" w:rsidP="00A728A2">
      <w:pPr>
        <w:spacing w:after="0" w:line="240" w:lineRule="auto"/>
        <w:jc w:val="both"/>
        <w:rPr>
          <w:rFonts w:ascii="Times New Roman" w:hAnsi="Times New Roman"/>
          <w:sz w:val="24"/>
          <w:szCs w:val="24"/>
        </w:rPr>
      </w:pPr>
      <w:r w:rsidRPr="006D74FE">
        <w:rPr>
          <w:rFonts w:ascii="Times New Roman" w:hAnsi="Times New Roman"/>
          <w:sz w:val="24"/>
          <w:szCs w:val="24"/>
        </w:rPr>
        <w:t xml:space="preserve">The empirical cost inefficiency </w:t>
      </w:r>
      <w:r w:rsidR="005F5084" w:rsidRPr="006D74FE">
        <w:rPr>
          <w:rFonts w:ascii="Times New Roman" w:hAnsi="Times New Roman"/>
          <w:sz w:val="24"/>
          <w:szCs w:val="24"/>
        </w:rPr>
        <w:t xml:space="preserve">effects model </w:t>
      </w:r>
      <w:r w:rsidRPr="006D74FE">
        <w:rPr>
          <w:rFonts w:ascii="Times New Roman" w:hAnsi="Times New Roman"/>
          <w:sz w:val="24"/>
          <w:szCs w:val="24"/>
        </w:rPr>
        <w:t xml:space="preserve">can be written </w:t>
      </w:r>
      <w:r w:rsidR="005F5084" w:rsidRPr="006D74FE">
        <w:rPr>
          <w:rFonts w:ascii="Times New Roman" w:hAnsi="Times New Roman"/>
          <w:sz w:val="24"/>
          <w:szCs w:val="24"/>
        </w:rPr>
        <w:t>a</w:t>
      </w:r>
      <w:r w:rsidRPr="006D74FE">
        <w:rPr>
          <w:rFonts w:ascii="Times New Roman" w:hAnsi="Times New Roman"/>
          <w:sz w:val="24"/>
          <w:szCs w:val="24"/>
        </w:rPr>
        <w:t>s:</w:t>
      </w:r>
    </w:p>
    <w:p w14:paraId="175666AC" w14:textId="77777777" w:rsidR="004D3A48" w:rsidRPr="006D74FE" w:rsidRDefault="004D3A48" w:rsidP="00A728A2">
      <w:pPr>
        <w:spacing w:after="0" w:line="240" w:lineRule="auto"/>
        <w:jc w:val="both"/>
        <w:rPr>
          <w:rFonts w:ascii="Times New Roman" w:hAnsi="Times New Roman"/>
          <w:sz w:val="24"/>
          <w:szCs w:val="24"/>
        </w:rPr>
      </w:pPr>
    </w:p>
    <w:p w14:paraId="12120C9A" w14:textId="77777777" w:rsidR="004D3A48" w:rsidRPr="006D74FE" w:rsidRDefault="00747424" w:rsidP="00A728A2">
      <w:pPr>
        <w:spacing w:after="0" w:line="240" w:lineRule="auto"/>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r>
              <m:rPr>
                <m:nor/>
              </m:rPr>
              <w:rPr>
                <w:rFonts w:ascii="Times New Roman" w:hAnsi="Times New Roman"/>
                <w:sz w:val="24"/>
                <w:szCs w:val="24"/>
              </w:rPr>
              <m:t xml:space="preserve">  </m:t>
            </m:r>
            <m:ctrlPr>
              <w:rPr>
                <w:rFonts w:ascii="Cambria Math" w:hAnsi="Cambria Math"/>
                <w:sz w:val="24"/>
                <w:szCs w:val="24"/>
              </w:rPr>
            </m:ctrlP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NI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NP</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3</m:t>
            </m:r>
          </m:sub>
        </m:sSub>
        <m:r>
          <w:rPr>
            <w:rFonts w:ascii="Cambria Math" w:hAnsi="Cambria Math"/>
            <w:sz w:val="24"/>
            <w:szCs w:val="24"/>
          </w:rPr>
          <m:t>RO</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4</m:t>
            </m:r>
          </m:sub>
        </m:sSub>
        <m:r>
          <w:rPr>
            <w:rFonts w:ascii="Cambria Math" w:hAnsi="Cambria Math"/>
            <w:sz w:val="24"/>
            <w:szCs w:val="24"/>
          </w:rPr>
          <m:t>RO</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5</m:t>
            </m:r>
          </m:sub>
        </m:sSub>
        <m:r>
          <w:rPr>
            <w:rFonts w:ascii="Cambria Math" w:hAnsi="Cambria Math"/>
            <w:sz w:val="24"/>
            <w:szCs w:val="24"/>
          </w:rPr>
          <m:t>CA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it</m:t>
            </m:r>
          </m:sub>
        </m:sSub>
        <m:r>
          <w:rPr>
            <w:rFonts w:ascii="Cambria Math" w:hAnsi="Cambria Math"/>
            <w:sz w:val="24"/>
            <w:szCs w:val="24"/>
          </w:rPr>
          <m:t>                                 (3)</m:t>
        </m:r>
      </m:oMath>
      <w:r w:rsidR="00D400D1" w:rsidRPr="006D74FE">
        <w:rPr>
          <w:rFonts w:ascii="Times New Roman" w:hAnsi="Times New Roman"/>
          <w:sz w:val="24"/>
          <w:szCs w:val="24"/>
        </w:rPr>
        <w:t xml:space="preserve">  </w:t>
      </w:r>
      <w:r w:rsidR="00ED52E3" w:rsidRPr="006D74FE">
        <w:rPr>
          <w:rFonts w:ascii="Times New Roman" w:hAnsi="Times New Roman"/>
          <w:sz w:val="24"/>
          <w:szCs w:val="24"/>
        </w:rPr>
        <w:t xml:space="preserve">       </w:t>
      </w:r>
    </w:p>
    <w:p w14:paraId="2DF149AB" w14:textId="1C7365B8" w:rsidR="00D400D1" w:rsidRPr="006D74FE" w:rsidRDefault="00ED52E3" w:rsidP="00A728A2">
      <w:pPr>
        <w:spacing w:after="0" w:line="240" w:lineRule="auto"/>
        <w:jc w:val="both"/>
        <w:rPr>
          <w:rFonts w:ascii="Times New Roman" w:hAnsi="Times New Roman"/>
          <w:sz w:val="24"/>
          <w:szCs w:val="24"/>
        </w:rPr>
      </w:pPr>
      <w:r w:rsidRPr="006D74FE">
        <w:rPr>
          <w:rFonts w:ascii="Times New Roman" w:hAnsi="Times New Roman"/>
          <w:sz w:val="24"/>
          <w:szCs w:val="24"/>
        </w:rPr>
        <w:t xml:space="preserve">                       </w:t>
      </w:r>
    </w:p>
    <w:p w14:paraId="560C67FE" w14:textId="1710E5FD" w:rsidR="005F6E54" w:rsidRPr="006D74FE" w:rsidRDefault="00D400D1" w:rsidP="00A728A2">
      <w:pPr>
        <w:spacing w:after="0" w:line="240" w:lineRule="auto"/>
        <w:jc w:val="both"/>
        <w:rPr>
          <w:rFonts w:ascii="Times New Roman" w:hAnsi="Times New Roman"/>
          <w:sz w:val="24"/>
          <w:szCs w:val="24"/>
        </w:rPr>
      </w:pPr>
      <w:r w:rsidRPr="00A2732D">
        <w:rPr>
          <w:rFonts w:ascii="Times New Roman" w:hAnsi="Times New Roman"/>
          <w:sz w:val="24"/>
          <w:szCs w:val="24"/>
          <w:highlight w:val="yellow"/>
        </w:rPr>
        <w:t xml:space="preserve">where </w:t>
      </w:r>
      <w:proofErr w:type="spellStart"/>
      <w:r w:rsidRPr="00A2732D">
        <w:rPr>
          <w:rFonts w:ascii="Times New Roman" w:hAnsi="Times New Roman"/>
          <w:sz w:val="24"/>
          <w:szCs w:val="24"/>
          <w:highlight w:val="yellow"/>
        </w:rPr>
        <w:t>uit</w:t>
      </w:r>
      <w:proofErr w:type="spellEnd"/>
      <w:r w:rsidRPr="00A2732D">
        <w:rPr>
          <w:rFonts w:ascii="Times New Roman" w:hAnsi="Times New Roman"/>
          <w:sz w:val="24"/>
          <w:szCs w:val="24"/>
          <w:highlight w:val="yellow"/>
        </w:rPr>
        <w:t xml:space="preserve"> is defined as the inefficiency term in the cost function; </w:t>
      </w:r>
      <w:proofErr w:type="spellStart"/>
      <w:r w:rsidRPr="00A2732D">
        <w:rPr>
          <w:rFonts w:ascii="Times New Roman" w:hAnsi="Times New Roman"/>
          <w:sz w:val="24"/>
          <w:szCs w:val="24"/>
          <w:highlight w:val="yellow"/>
        </w:rPr>
        <w:t>NIIit</w:t>
      </w:r>
      <w:proofErr w:type="spellEnd"/>
      <w:r w:rsidRPr="00A2732D">
        <w:rPr>
          <w:rFonts w:ascii="Times New Roman" w:hAnsi="Times New Roman"/>
          <w:sz w:val="24"/>
          <w:szCs w:val="24"/>
          <w:highlight w:val="yellow"/>
        </w:rPr>
        <w:t xml:space="preserve"> is the non- interest income of bank </w:t>
      </w:r>
      <w:proofErr w:type="spellStart"/>
      <w:r w:rsidRPr="00A2732D">
        <w:rPr>
          <w:rFonts w:ascii="Times New Roman" w:hAnsi="Times New Roman"/>
          <w:sz w:val="24"/>
          <w:szCs w:val="24"/>
          <w:highlight w:val="yellow"/>
        </w:rPr>
        <w:t>i</w:t>
      </w:r>
      <w:proofErr w:type="spellEnd"/>
      <w:r w:rsidRPr="00A2732D">
        <w:rPr>
          <w:rFonts w:ascii="Times New Roman" w:hAnsi="Times New Roman"/>
          <w:sz w:val="24"/>
          <w:szCs w:val="24"/>
          <w:highlight w:val="yellow"/>
        </w:rPr>
        <w:t xml:space="preserve"> in period t; </w:t>
      </w:r>
      <w:proofErr w:type="spellStart"/>
      <w:r w:rsidRPr="00A2732D">
        <w:rPr>
          <w:rFonts w:ascii="Times New Roman" w:hAnsi="Times New Roman"/>
          <w:sz w:val="24"/>
          <w:szCs w:val="24"/>
          <w:highlight w:val="yellow"/>
        </w:rPr>
        <w:t>NPLit</w:t>
      </w:r>
      <w:proofErr w:type="spellEnd"/>
      <w:r w:rsidRPr="00A2732D">
        <w:rPr>
          <w:rFonts w:ascii="Times New Roman" w:hAnsi="Times New Roman"/>
          <w:sz w:val="24"/>
          <w:szCs w:val="24"/>
          <w:highlight w:val="yellow"/>
        </w:rPr>
        <w:t xml:space="preserve"> is the non-performing loan of bank </w:t>
      </w:r>
      <w:proofErr w:type="spellStart"/>
      <w:r w:rsidRPr="00A2732D">
        <w:rPr>
          <w:rFonts w:ascii="Times New Roman" w:hAnsi="Times New Roman"/>
          <w:sz w:val="24"/>
          <w:szCs w:val="24"/>
          <w:highlight w:val="yellow"/>
        </w:rPr>
        <w:t>i</w:t>
      </w:r>
      <w:proofErr w:type="spellEnd"/>
      <w:r w:rsidRPr="00A2732D">
        <w:rPr>
          <w:rFonts w:ascii="Times New Roman" w:hAnsi="Times New Roman"/>
          <w:sz w:val="24"/>
          <w:szCs w:val="24"/>
          <w:highlight w:val="yellow"/>
        </w:rPr>
        <w:t xml:space="preserve"> in period t; </w:t>
      </w:r>
      <w:proofErr w:type="spellStart"/>
      <w:r w:rsidRPr="00A2732D">
        <w:rPr>
          <w:rFonts w:ascii="Times New Roman" w:hAnsi="Times New Roman"/>
          <w:sz w:val="24"/>
          <w:szCs w:val="24"/>
          <w:highlight w:val="yellow"/>
        </w:rPr>
        <w:t>ROAit</w:t>
      </w:r>
      <w:proofErr w:type="spellEnd"/>
      <w:r w:rsidRPr="00A2732D">
        <w:rPr>
          <w:rFonts w:ascii="Times New Roman" w:hAnsi="Times New Roman"/>
          <w:sz w:val="24"/>
          <w:szCs w:val="24"/>
          <w:highlight w:val="yellow"/>
        </w:rPr>
        <w:t xml:space="preserve"> is  the return on assets of bank </w:t>
      </w:r>
      <w:proofErr w:type="spellStart"/>
      <w:r w:rsidRPr="00A2732D">
        <w:rPr>
          <w:rFonts w:ascii="Times New Roman" w:hAnsi="Times New Roman"/>
          <w:sz w:val="24"/>
          <w:szCs w:val="24"/>
          <w:highlight w:val="yellow"/>
        </w:rPr>
        <w:t>i</w:t>
      </w:r>
      <w:proofErr w:type="spellEnd"/>
      <w:r w:rsidRPr="00A2732D">
        <w:rPr>
          <w:rFonts w:ascii="Times New Roman" w:hAnsi="Times New Roman"/>
          <w:sz w:val="24"/>
          <w:szCs w:val="24"/>
          <w:highlight w:val="yellow"/>
        </w:rPr>
        <w:t xml:space="preserve"> in period t;  </w:t>
      </w:r>
      <w:proofErr w:type="spellStart"/>
      <w:r w:rsidRPr="00A2732D">
        <w:rPr>
          <w:rFonts w:ascii="Times New Roman" w:hAnsi="Times New Roman"/>
          <w:sz w:val="24"/>
          <w:szCs w:val="24"/>
          <w:highlight w:val="yellow"/>
        </w:rPr>
        <w:t>ROEit</w:t>
      </w:r>
      <w:proofErr w:type="spellEnd"/>
      <w:r w:rsidRPr="00A2732D">
        <w:rPr>
          <w:rFonts w:ascii="Times New Roman" w:hAnsi="Times New Roman"/>
          <w:sz w:val="24"/>
          <w:szCs w:val="24"/>
          <w:highlight w:val="yellow"/>
        </w:rPr>
        <w:t xml:space="preserve"> is the return on equity of bank </w:t>
      </w:r>
      <w:proofErr w:type="spellStart"/>
      <w:r w:rsidRPr="00A2732D">
        <w:rPr>
          <w:rFonts w:ascii="Times New Roman" w:hAnsi="Times New Roman"/>
          <w:sz w:val="24"/>
          <w:szCs w:val="24"/>
          <w:highlight w:val="yellow"/>
        </w:rPr>
        <w:t>i</w:t>
      </w:r>
      <w:proofErr w:type="spellEnd"/>
      <w:r w:rsidRPr="00A2732D">
        <w:rPr>
          <w:rFonts w:ascii="Times New Roman" w:hAnsi="Times New Roman"/>
          <w:sz w:val="24"/>
          <w:szCs w:val="24"/>
          <w:highlight w:val="yellow"/>
        </w:rPr>
        <w:t xml:space="preserve"> in period t; </w:t>
      </w:r>
      <w:proofErr w:type="spellStart"/>
      <w:r w:rsidRPr="00A2732D">
        <w:rPr>
          <w:rFonts w:ascii="Times New Roman" w:hAnsi="Times New Roman"/>
          <w:sz w:val="24"/>
          <w:szCs w:val="24"/>
          <w:highlight w:val="yellow"/>
        </w:rPr>
        <w:t>CARit</w:t>
      </w:r>
      <w:proofErr w:type="spellEnd"/>
      <w:r w:rsidRPr="00A2732D">
        <w:rPr>
          <w:rFonts w:ascii="Times New Roman" w:hAnsi="Times New Roman"/>
          <w:sz w:val="24"/>
          <w:szCs w:val="24"/>
          <w:highlight w:val="yellow"/>
        </w:rPr>
        <w:t xml:space="preserve"> is  the capital adequacy ratio of bank </w:t>
      </w:r>
      <w:proofErr w:type="spellStart"/>
      <w:r w:rsidRPr="00A2732D">
        <w:rPr>
          <w:rFonts w:ascii="Times New Roman" w:hAnsi="Times New Roman"/>
          <w:sz w:val="24"/>
          <w:szCs w:val="24"/>
          <w:highlight w:val="yellow"/>
        </w:rPr>
        <w:t>i</w:t>
      </w:r>
      <w:proofErr w:type="spellEnd"/>
      <w:r w:rsidRPr="00A2732D">
        <w:rPr>
          <w:rFonts w:ascii="Times New Roman" w:hAnsi="Times New Roman"/>
          <w:sz w:val="24"/>
          <w:szCs w:val="24"/>
          <w:highlight w:val="yellow"/>
        </w:rPr>
        <w:t xml:space="preserve"> in period t;</w:t>
      </w:r>
      <w:r w:rsidR="00CE747B" w:rsidRPr="00A2732D">
        <w:rPr>
          <w:rFonts w:ascii="Times New Roman" w:hAnsi="Times New Roman"/>
          <w:sz w:val="24"/>
          <w:szCs w:val="24"/>
          <w:highlight w:val="yellow"/>
        </w:rPr>
        <w:t xml:space="preserve"> </w:t>
      </w:r>
      <w:proofErr w:type="spellStart"/>
      <w:r w:rsidR="00CE747B" w:rsidRPr="00A2732D">
        <w:rPr>
          <w:rFonts w:ascii="Times New Roman" w:hAnsi="Times New Roman"/>
          <w:sz w:val="24"/>
          <w:szCs w:val="24"/>
          <w:highlight w:val="yellow"/>
        </w:rPr>
        <w:t>ωit</w:t>
      </w:r>
      <w:proofErr w:type="spellEnd"/>
      <w:r w:rsidR="00CE747B" w:rsidRPr="00A2732D">
        <w:rPr>
          <w:rFonts w:ascii="Times New Roman" w:hAnsi="Times New Roman"/>
          <w:sz w:val="24"/>
          <w:szCs w:val="24"/>
          <w:highlight w:val="yellow"/>
        </w:rPr>
        <w:t xml:space="preserve"> is the error term</w:t>
      </w:r>
      <w:r w:rsidR="00A2732D">
        <w:rPr>
          <w:rFonts w:ascii="Times New Roman" w:hAnsi="Times New Roman"/>
          <w:sz w:val="24"/>
          <w:szCs w:val="24"/>
          <w:highlight w:val="yellow"/>
        </w:rPr>
        <w:t xml:space="preserve"> (</w:t>
      </w:r>
      <w:r w:rsidR="00A2732D" w:rsidRPr="00A2732D">
        <w:rPr>
          <w:rFonts w:ascii="Times New Roman" w:hAnsi="Times New Roman"/>
          <w:sz w:val="24"/>
          <w:szCs w:val="24"/>
        </w:rPr>
        <w:t>https://www.sciencedirect.com/science/article/pii/0165410190900272</w:t>
      </w:r>
      <w:r w:rsidR="00A2732D">
        <w:rPr>
          <w:rFonts w:ascii="Times New Roman" w:hAnsi="Times New Roman"/>
          <w:sz w:val="24"/>
          <w:szCs w:val="24"/>
        </w:rPr>
        <w:t>)</w:t>
      </w:r>
      <w:r w:rsidR="00CE747B" w:rsidRPr="00A2732D">
        <w:rPr>
          <w:rFonts w:ascii="Times New Roman" w:hAnsi="Times New Roman"/>
          <w:sz w:val="24"/>
          <w:szCs w:val="24"/>
          <w:highlight w:val="yellow"/>
        </w:rPr>
        <w:t>.</w:t>
      </w:r>
    </w:p>
    <w:p w14:paraId="1029D4EF" w14:textId="77777777" w:rsidR="004A12E6" w:rsidRPr="006D74FE" w:rsidRDefault="004A12E6" w:rsidP="00A728A2">
      <w:pPr>
        <w:spacing w:after="0" w:line="240" w:lineRule="auto"/>
        <w:jc w:val="both"/>
        <w:rPr>
          <w:rFonts w:ascii="Times New Roman" w:hAnsi="Times New Roman"/>
          <w:sz w:val="24"/>
          <w:szCs w:val="24"/>
        </w:rPr>
      </w:pPr>
    </w:p>
    <w:p w14:paraId="34FE611A" w14:textId="0EFB31B8" w:rsidR="00D400D1" w:rsidRPr="006D74FE" w:rsidRDefault="00D400D1" w:rsidP="00A728A2">
      <w:pPr>
        <w:pStyle w:val="ListParagraph"/>
        <w:numPr>
          <w:ilvl w:val="0"/>
          <w:numId w:val="32"/>
        </w:numPr>
        <w:spacing w:line="240" w:lineRule="auto"/>
        <w:rPr>
          <w:rFonts w:ascii="Times New Roman" w:hAnsi="Times New Roman" w:cs="Times New Roman"/>
        </w:rPr>
      </w:pPr>
      <w:r w:rsidRPr="006D74FE">
        <w:rPr>
          <w:rFonts w:ascii="Times New Roman" w:hAnsi="Times New Roman" w:cs="Times New Roman"/>
        </w:rPr>
        <w:t>Empirical Stochastic Cobb-Douglas Profit Frontier Model</w:t>
      </w:r>
    </w:p>
    <w:p w14:paraId="55AF139E" w14:textId="77777777" w:rsidR="00DF6E50" w:rsidRPr="006D74FE" w:rsidRDefault="00DF6E50" w:rsidP="00A728A2">
      <w:pPr>
        <w:spacing w:line="240" w:lineRule="auto"/>
        <w:jc w:val="both"/>
        <w:rPr>
          <w:rFonts w:ascii="Times New Roman" w:hAnsi="Times New Roman"/>
          <w:sz w:val="24"/>
          <w:szCs w:val="24"/>
        </w:rPr>
      </w:pPr>
    </w:p>
    <w:p w14:paraId="1DDFF684" w14:textId="1DB3C04F" w:rsidR="00D400D1" w:rsidRPr="006D74FE" w:rsidRDefault="00D400D1" w:rsidP="00A728A2">
      <w:pPr>
        <w:spacing w:after="0" w:line="240" w:lineRule="auto"/>
        <w:jc w:val="both"/>
        <w:rPr>
          <w:rFonts w:ascii="Times New Roman" w:hAnsi="Times New Roman"/>
          <w:sz w:val="24"/>
          <w:szCs w:val="24"/>
        </w:rPr>
      </w:pPr>
      <w:r w:rsidRPr="006D74FE">
        <w:rPr>
          <w:rFonts w:ascii="Times New Roman" w:hAnsi="Times New Roman"/>
          <w:sz w:val="24"/>
          <w:szCs w:val="24"/>
        </w:rPr>
        <w:t xml:space="preserve">The </w:t>
      </w:r>
      <w:r w:rsidR="005F6E54" w:rsidRPr="006D74FE">
        <w:rPr>
          <w:rFonts w:ascii="Times New Roman" w:hAnsi="Times New Roman"/>
          <w:sz w:val="24"/>
          <w:szCs w:val="24"/>
        </w:rPr>
        <w:t xml:space="preserve">specification of </w:t>
      </w:r>
      <w:r w:rsidRPr="006D74FE">
        <w:rPr>
          <w:rFonts w:ascii="Times New Roman" w:hAnsi="Times New Roman"/>
          <w:sz w:val="24"/>
          <w:szCs w:val="24"/>
        </w:rPr>
        <w:t xml:space="preserve">Cobb-Douglas stochastic frontier profit model </w:t>
      </w:r>
      <w:r w:rsidR="00C83E70" w:rsidRPr="006D74FE">
        <w:rPr>
          <w:rFonts w:ascii="Times New Roman" w:hAnsi="Times New Roman"/>
          <w:sz w:val="24"/>
          <w:szCs w:val="24"/>
        </w:rPr>
        <w:fldChar w:fldCharType="begin" w:fldLock="1"/>
      </w:r>
      <w:r w:rsidR="00B77167">
        <w:rPr>
          <w:rFonts w:ascii="Times New Roman" w:hAnsi="Times New Roman"/>
          <w:sz w:val="24"/>
          <w:szCs w:val="24"/>
        </w:rPr>
        <w:instrText>ADDIN CSL_CITATION {"citationItems":[{"id":"ITEM-1","itemData":{"DOI":"10.1007/BF01205442","ISSN":"03777332","abstract":"A stochastic frontier production function is defined for panel data on firms, in which the non-negative technical inefficiency effects are assumed to be a function of firm-specific variables and time. The inefficiency effects are assumed to be independently distributed as truncations of normal distributions with constant variance, but with means which are a linear function of observable variables. This panel data model is an extension of recently proposed models for inefficiency effects in stochastic frontiers for cross-sectional data. An empirical application of the model is obtained using up to ten years of data on paddy farmers from an Indian village. The null hypotheses, that the inefficiency effects are not stochastic or do not depend on the farmer-specific variables and time of observation, are rejected for these data. © 1995 Physica-Verlag.","author":[{"dropping-particle":"","family":"Battese","given":"G. E.","non-dropping-particle":"","parse-names":false,"suffix":""},{"dropping-particle":"","family":"Coelli","given":"T. J.","non-dropping-particle":"","parse-names":false,"suffix":""}],"container-title":"Empirical Economics","id":"ITEM-1","issue":"2","issued":{"date-parts":[["1995","6"]]},"page":"325-332","publisher":"Physica-Verlag","title":"A model for technical inefficiency effects in a stochastic frontier production function for panel data","type":"article-journal","volume":"20"},"uris":["http://www.mendeley.com/documents/?uuid=22c0dbf4-446a-3144-ba82-5820f1b5d710"]}],"mendeley":{"formattedCitation":"(Battese &amp; Coelli 1995)","plainTextFormattedCitation":"(Battese &amp; Coelli 1995)","previouslyFormattedCitation":"(Battese &amp; Coelli, 1995)"},"properties":{"noteIndex":0},"schema":"https://github.com/citation-style-language/schema/raw/master/csl-citation.json"}</w:instrText>
      </w:r>
      <w:r w:rsidR="00C83E70" w:rsidRPr="006D74FE">
        <w:rPr>
          <w:rFonts w:ascii="Times New Roman" w:hAnsi="Times New Roman"/>
          <w:sz w:val="24"/>
          <w:szCs w:val="24"/>
        </w:rPr>
        <w:fldChar w:fldCharType="separate"/>
      </w:r>
      <w:r w:rsidR="00B77167" w:rsidRPr="00B77167">
        <w:rPr>
          <w:rFonts w:ascii="Times New Roman" w:hAnsi="Times New Roman"/>
          <w:noProof/>
          <w:sz w:val="24"/>
          <w:szCs w:val="24"/>
        </w:rPr>
        <w:t>(Battese &amp; Coelli 1995)</w:t>
      </w:r>
      <w:r w:rsidR="00C83E70" w:rsidRPr="006D74FE">
        <w:rPr>
          <w:rFonts w:ascii="Times New Roman" w:hAnsi="Times New Roman"/>
          <w:sz w:val="24"/>
          <w:szCs w:val="24"/>
        </w:rPr>
        <w:fldChar w:fldCharType="end"/>
      </w:r>
      <w:r w:rsidR="00C83E70" w:rsidRPr="006D74FE">
        <w:rPr>
          <w:rFonts w:ascii="Times New Roman" w:hAnsi="Times New Roman"/>
          <w:sz w:val="24"/>
          <w:szCs w:val="24"/>
        </w:rPr>
        <w:t xml:space="preserve"> </w:t>
      </w:r>
      <w:r w:rsidRPr="006D74FE">
        <w:rPr>
          <w:rFonts w:ascii="Times New Roman" w:hAnsi="Times New Roman"/>
          <w:sz w:val="24"/>
          <w:szCs w:val="24"/>
        </w:rPr>
        <w:t>is defined as:</w:t>
      </w:r>
    </w:p>
    <w:p w14:paraId="6CC5CDFD" w14:textId="77777777" w:rsidR="004A12E6" w:rsidRPr="006D74FE" w:rsidRDefault="004A12E6" w:rsidP="00A728A2">
      <w:pPr>
        <w:spacing w:after="0" w:line="240" w:lineRule="auto"/>
        <w:jc w:val="both"/>
        <w:rPr>
          <w:rFonts w:ascii="Times New Roman" w:hAnsi="Times New Roman"/>
          <w:sz w:val="24"/>
          <w:szCs w:val="24"/>
        </w:rPr>
      </w:pPr>
    </w:p>
    <w:p w14:paraId="3400F827" w14:textId="2F586C53" w:rsidR="00D400D1" w:rsidRPr="006D74FE" w:rsidRDefault="00747424" w:rsidP="00A728A2">
      <w:pPr>
        <w:spacing w:after="0" w:line="240" w:lineRule="auto"/>
        <w:jc w:val="both"/>
        <w:rPr>
          <w:rFonts w:ascii="Times New Roman" w:hAnsi="Times New Roman"/>
          <w:sz w:val="24"/>
          <w:szCs w:val="24"/>
        </w:rPr>
      </w:pPr>
      <m:oMathPara>
        <m:oMath>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it</m:t>
              </m:r>
            </m:sub>
          </m:sSub>
          <m:r>
            <w:rPr>
              <w:rFonts w:ascii="Cambria Math" w:hAnsi="Cambria Math"/>
              <w:sz w:val="24"/>
              <w:szCs w:val="24"/>
            </w:rPr>
            <m:t xml:space="preserve">+θ)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LO</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OB</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POF</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 xml:space="preserve"> +</m:t>
          </m:r>
          <m:r>
            <m:rPr>
              <m:nor/>
            </m:rPr>
            <w:rPr>
              <w:rFonts w:ascii="Times New Roman" w:hAnsi="Times New Roman"/>
              <w:sz w:val="24"/>
              <w:szCs w:val="24"/>
            </w:rPr>
            <m:t xml:space="preserve"> </m:t>
          </m:r>
          <m:sSub>
            <m:sSubPr>
              <m:ctrlPr>
                <w:rPr>
                  <w:rFonts w:ascii="Cambria Math" w:hAnsi="Cambria Math"/>
                  <w:sz w:val="24"/>
                  <w:szCs w:val="24"/>
                </w:rPr>
              </m:ctrlPr>
            </m:sSubPr>
            <m:e>
              <m:r>
                <m:rPr>
                  <m:nor/>
                </m:rPr>
                <w:rPr>
                  <w:rFonts w:ascii="Times New Roman" w:hAnsi="Times New Roman"/>
                  <w:sz w:val="24"/>
                  <w:szCs w:val="24"/>
                </w:rPr>
                <m:t>v</m:t>
              </m:r>
            </m:e>
            <m:sub>
              <m:r>
                <m:rPr>
                  <m:nor/>
                </m:rPr>
                <w:rPr>
                  <w:rFonts w:ascii="Times New Roman" w:hAnsi="Times New Roman"/>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m:rPr>
                  <m:nor/>
                </m:rPr>
                <w:rPr>
                  <w:rFonts w:ascii="Times New Roman" w:hAnsi="Times New Roman"/>
                  <w:sz w:val="24"/>
                  <w:szCs w:val="24"/>
                </w:rPr>
                <m:t>it</m:t>
              </m:r>
              <m:r>
                <m:rPr>
                  <m:sty m:val="p"/>
                </m:rPr>
                <w:rPr>
                  <w:rFonts w:ascii="Cambria Math" w:hAnsi="Cambria Math"/>
                  <w:sz w:val="24"/>
                  <w:szCs w:val="24"/>
                </w:rPr>
                <m:t> </m:t>
              </m:r>
              <m:ctrlPr>
                <w:rPr>
                  <w:rFonts w:ascii="Cambria Math" w:hAnsi="Cambria Math"/>
                  <w:sz w:val="24"/>
                  <w:szCs w:val="24"/>
                </w:rPr>
              </m:ctrlPr>
            </m:sub>
          </m:sSub>
          <m:r>
            <w:rPr>
              <w:rFonts w:ascii="Cambria Math" w:hAnsi="Cambria Math"/>
              <w:sz w:val="24"/>
              <w:szCs w:val="24"/>
            </w:rPr>
            <m:t xml:space="preserve">     (4)</m:t>
          </m:r>
          <m:r>
            <m:rPr>
              <m:sty m:val="p"/>
            </m:rPr>
            <w:rPr>
              <w:rFonts w:ascii="Cambria Math" w:hAnsi="Cambria Math"/>
              <w:sz w:val="24"/>
              <w:szCs w:val="24"/>
            </w:rPr>
            <w:br/>
          </m:r>
        </m:oMath>
      </m:oMathPara>
    </w:p>
    <w:p w14:paraId="243CAD9C" w14:textId="251B1E1B" w:rsidR="00D400D1" w:rsidRPr="006D74FE" w:rsidRDefault="00D400D1" w:rsidP="00A728A2">
      <w:pPr>
        <w:spacing w:after="0" w:line="240" w:lineRule="auto"/>
        <w:jc w:val="both"/>
        <w:rPr>
          <w:rFonts w:ascii="Times New Roman" w:hAnsi="Times New Roman"/>
          <w:sz w:val="24"/>
          <w:szCs w:val="24"/>
        </w:rPr>
      </w:pPr>
      <w:r w:rsidRPr="006D74FE">
        <w:rPr>
          <w:rFonts w:ascii="Times New Roman" w:hAnsi="Times New Roman"/>
          <w:sz w:val="24"/>
          <w:szCs w:val="24"/>
        </w:rPr>
        <w:t xml:space="preserve">Where ln is natural logarithm (that is log to base e, where e = 2.718). </w:t>
      </w:r>
      <w:r w:rsidR="00261C04" w:rsidRPr="006D74FE">
        <w:rPr>
          <w:rFonts w:ascii="Times New Roman" w:hAnsi="Times New Roman"/>
          <w:sz w:val="24"/>
          <w:szCs w:val="24"/>
        </w:rPr>
        <w:t>Where</w:t>
      </w:r>
      <w:r w:rsidRPr="006D74FE">
        <w:rPr>
          <w:rFonts w:ascii="Times New Roman" w:hAnsi="Times New Roman"/>
          <w:sz w:val="24"/>
          <w:szCs w:val="24"/>
        </w:rPr>
        <w:object w:dxaOrig="315" w:dyaOrig="375" w14:anchorId="2A58F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8" o:title=""/>
          </v:shape>
          <o:OLEObject Type="Embed" ProgID="Equation.3" ShapeID="_x0000_i1025" DrawAspect="Content" ObjectID="_1657558360" r:id="rId9"/>
        </w:object>
      </w:r>
      <w:r w:rsidR="00261C04" w:rsidRPr="006D74FE">
        <w:rPr>
          <w:rFonts w:ascii="Times New Roman" w:hAnsi="Times New Roman"/>
          <w:sz w:val="24"/>
          <w:szCs w:val="24"/>
        </w:rPr>
        <w:t xml:space="preserve">is the profit after </w:t>
      </w:r>
      <w:r w:rsidR="00CE747B" w:rsidRPr="006D74FE">
        <w:rPr>
          <w:rFonts w:ascii="Times New Roman" w:hAnsi="Times New Roman"/>
          <w:sz w:val="24"/>
          <w:szCs w:val="24"/>
        </w:rPr>
        <w:t>tax of</w:t>
      </w:r>
      <w:r w:rsidRPr="006D74FE">
        <w:rPr>
          <w:rFonts w:ascii="Times New Roman" w:hAnsi="Times New Roman"/>
          <w:sz w:val="24"/>
          <w:szCs w:val="24"/>
        </w:rPr>
        <w:t xml:space="preserve"> </w:t>
      </w:r>
      <w:proofErr w:type="spellStart"/>
      <w:r w:rsidRPr="006D74FE">
        <w:rPr>
          <w:rFonts w:ascii="Times New Roman" w:hAnsi="Times New Roman"/>
          <w:sz w:val="24"/>
          <w:szCs w:val="24"/>
        </w:rPr>
        <w:t>ith</w:t>
      </w:r>
      <w:proofErr w:type="spellEnd"/>
      <w:r w:rsidRPr="006D74FE">
        <w:rPr>
          <w:rFonts w:ascii="Times New Roman" w:hAnsi="Times New Roman"/>
          <w:sz w:val="24"/>
          <w:szCs w:val="24"/>
        </w:rPr>
        <w:t xml:space="preserve"> bank in period </w:t>
      </w:r>
      <w:r w:rsidR="00261C04" w:rsidRPr="006D74FE">
        <w:rPr>
          <w:rFonts w:ascii="Times New Roman" w:hAnsi="Times New Roman"/>
          <w:sz w:val="24"/>
          <w:szCs w:val="24"/>
        </w:rPr>
        <w:t>t measured</w:t>
      </w:r>
      <w:r w:rsidR="00C81B94" w:rsidRPr="006D74FE">
        <w:rPr>
          <w:rFonts w:ascii="Times New Roman" w:hAnsi="Times New Roman"/>
          <w:sz w:val="24"/>
          <w:szCs w:val="24"/>
        </w:rPr>
        <w:t xml:space="preserve"> by revenues minus costs; </w:t>
      </w:r>
      <w:r w:rsidRPr="006D74FE">
        <w:rPr>
          <w:rFonts w:ascii="Times New Roman" w:hAnsi="Times New Roman"/>
          <w:sz w:val="24"/>
          <w:szCs w:val="24"/>
        </w:rPr>
        <w:object w:dxaOrig="195" w:dyaOrig="285" w14:anchorId="31843207">
          <v:shape id="_x0000_i1026" type="#_x0000_t75" style="width:10.5pt;height:14.25pt" o:ole="">
            <v:imagedata r:id="rId10" o:title=""/>
          </v:shape>
          <o:OLEObject Type="Embed" ProgID="Equation.3" ShapeID="_x0000_i1026" DrawAspect="Content" ObjectID="_1657558361" r:id="rId11"/>
        </w:object>
      </w:r>
      <w:r w:rsidRPr="006D74FE">
        <w:rPr>
          <w:rFonts w:ascii="Times New Roman" w:hAnsi="Times New Roman"/>
          <w:sz w:val="24"/>
          <w:szCs w:val="24"/>
        </w:rPr>
        <w:t xml:space="preserve">is a constant to ensure the natural log of profits to be positive. </w:t>
      </w:r>
      <w:r w:rsidR="005F6E54" w:rsidRPr="006D74FE">
        <w:rPr>
          <w:rFonts w:ascii="Times New Roman" w:hAnsi="Times New Roman"/>
          <w:sz w:val="24"/>
          <w:szCs w:val="24"/>
        </w:rPr>
        <w:t xml:space="preserve">All the independent variables are the same line as the described in the equation (1). </w:t>
      </w:r>
      <w:r w:rsidRPr="006D74FE">
        <w:rPr>
          <w:rFonts w:ascii="Times New Roman" w:hAnsi="Times New Roman"/>
          <w:sz w:val="24"/>
          <w:szCs w:val="24"/>
        </w:rPr>
        <w:t xml:space="preserve">Having obtained the parameters for each variable by banks using equation (5), the technical efficiency level for firms is predicted </w:t>
      </w:r>
      <w:r w:rsidR="005F5084" w:rsidRPr="006D74FE">
        <w:rPr>
          <w:rFonts w:ascii="Times New Roman" w:hAnsi="Times New Roman"/>
          <w:sz w:val="24"/>
          <w:szCs w:val="24"/>
        </w:rPr>
        <w:t>as like as the equation (2</w:t>
      </w:r>
      <w:r w:rsidRPr="006D74FE">
        <w:rPr>
          <w:rFonts w:ascii="Times New Roman" w:hAnsi="Times New Roman"/>
          <w:sz w:val="24"/>
          <w:szCs w:val="24"/>
        </w:rPr>
        <w:t>).</w:t>
      </w:r>
      <w:r w:rsidR="005F5084" w:rsidRPr="006D74FE">
        <w:rPr>
          <w:rFonts w:ascii="Times New Roman" w:hAnsi="Times New Roman"/>
          <w:sz w:val="24"/>
          <w:szCs w:val="24"/>
        </w:rPr>
        <w:t xml:space="preserve"> </w:t>
      </w:r>
      <w:r w:rsidRPr="006D74FE">
        <w:rPr>
          <w:rFonts w:ascii="Times New Roman" w:hAnsi="Times New Roman"/>
          <w:sz w:val="24"/>
          <w:szCs w:val="24"/>
        </w:rPr>
        <w:t xml:space="preserve">The profit inefficiency </w:t>
      </w:r>
      <w:r w:rsidR="005F5084" w:rsidRPr="006D74FE">
        <w:rPr>
          <w:rFonts w:ascii="Times New Roman" w:hAnsi="Times New Roman"/>
          <w:sz w:val="24"/>
          <w:szCs w:val="24"/>
        </w:rPr>
        <w:t xml:space="preserve">effects model </w:t>
      </w:r>
      <w:r w:rsidRPr="006D74FE">
        <w:rPr>
          <w:rFonts w:ascii="Times New Roman" w:hAnsi="Times New Roman"/>
          <w:sz w:val="24"/>
          <w:szCs w:val="24"/>
        </w:rPr>
        <w:t>ca</w:t>
      </w:r>
      <w:r w:rsidR="00323570" w:rsidRPr="006D74FE">
        <w:rPr>
          <w:rFonts w:ascii="Times New Roman" w:hAnsi="Times New Roman"/>
          <w:sz w:val="24"/>
          <w:szCs w:val="24"/>
        </w:rPr>
        <w:t xml:space="preserve">n be </w:t>
      </w:r>
      <w:r w:rsidR="005F5084" w:rsidRPr="006D74FE">
        <w:rPr>
          <w:rFonts w:ascii="Times New Roman" w:hAnsi="Times New Roman"/>
          <w:sz w:val="24"/>
          <w:szCs w:val="24"/>
        </w:rPr>
        <w:t>estimated as the same line as the equation (3) with the exception on the dependent variable of profit inefficiency.</w:t>
      </w:r>
    </w:p>
    <w:p w14:paraId="1C5EA60A" w14:textId="77777777" w:rsidR="004A00F7" w:rsidRPr="006D74FE" w:rsidRDefault="004A00F7" w:rsidP="00A728A2">
      <w:pPr>
        <w:spacing w:after="0" w:line="240" w:lineRule="auto"/>
        <w:jc w:val="both"/>
        <w:rPr>
          <w:rFonts w:ascii="Times New Roman" w:hAnsi="Times New Roman"/>
          <w:sz w:val="24"/>
          <w:szCs w:val="24"/>
        </w:rPr>
      </w:pPr>
    </w:p>
    <w:p w14:paraId="46DD116A" w14:textId="7F6523AC" w:rsidR="00D400D1" w:rsidRPr="006D74FE" w:rsidRDefault="00D400D1" w:rsidP="00A728A2">
      <w:pPr>
        <w:pStyle w:val="ListParagraph"/>
        <w:numPr>
          <w:ilvl w:val="0"/>
          <w:numId w:val="33"/>
        </w:numPr>
        <w:spacing w:line="240" w:lineRule="auto"/>
        <w:rPr>
          <w:rFonts w:ascii="Times New Roman" w:hAnsi="Times New Roman" w:cs="Times New Roman"/>
        </w:rPr>
      </w:pPr>
      <w:r w:rsidRPr="006D74FE">
        <w:rPr>
          <w:rFonts w:ascii="Times New Roman" w:hAnsi="Times New Roman" w:cs="Times New Roman"/>
        </w:rPr>
        <w:t xml:space="preserve">Empirical Stochastic </w:t>
      </w:r>
      <w:proofErr w:type="spellStart"/>
      <w:r w:rsidRPr="006D74FE">
        <w:rPr>
          <w:rFonts w:ascii="Times New Roman" w:hAnsi="Times New Roman" w:cs="Times New Roman"/>
        </w:rPr>
        <w:t>Translog</w:t>
      </w:r>
      <w:proofErr w:type="spellEnd"/>
      <w:r w:rsidRPr="006D74FE">
        <w:rPr>
          <w:rFonts w:ascii="Times New Roman" w:hAnsi="Times New Roman" w:cs="Times New Roman"/>
        </w:rPr>
        <w:t xml:space="preserve"> Cost Frontier Analysis Model</w:t>
      </w:r>
    </w:p>
    <w:p w14:paraId="661668DB" w14:textId="77777777" w:rsidR="00DF6E50" w:rsidRPr="006D74FE" w:rsidRDefault="00DF6E50" w:rsidP="00A728A2">
      <w:pPr>
        <w:spacing w:line="240" w:lineRule="auto"/>
        <w:jc w:val="both"/>
        <w:rPr>
          <w:rFonts w:ascii="Times New Roman" w:hAnsi="Times New Roman"/>
          <w:sz w:val="24"/>
          <w:szCs w:val="24"/>
        </w:rPr>
      </w:pPr>
    </w:p>
    <w:p w14:paraId="29F1DDE2" w14:textId="4E0AABED" w:rsidR="00D400D1" w:rsidRPr="006D74FE" w:rsidRDefault="00D400D1" w:rsidP="00A728A2">
      <w:pPr>
        <w:spacing w:after="0" w:line="240" w:lineRule="auto"/>
        <w:jc w:val="both"/>
        <w:rPr>
          <w:rFonts w:ascii="Times New Roman" w:hAnsi="Times New Roman"/>
          <w:sz w:val="24"/>
          <w:szCs w:val="24"/>
        </w:rPr>
      </w:pPr>
      <w:r w:rsidRPr="006D74FE">
        <w:rPr>
          <w:rFonts w:ascii="Times New Roman" w:hAnsi="Times New Roman"/>
          <w:sz w:val="24"/>
          <w:szCs w:val="24"/>
        </w:rPr>
        <w:t xml:space="preserve">The </w:t>
      </w:r>
      <w:r w:rsidR="005F6E54" w:rsidRPr="006D74FE">
        <w:rPr>
          <w:rFonts w:ascii="Times New Roman" w:hAnsi="Times New Roman"/>
          <w:sz w:val="24"/>
          <w:szCs w:val="24"/>
        </w:rPr>
        <w:t xml:space="preserve">specification of </w:t>
      </w:r>
      <w:r w:rsidR="005F5084" w:rsidRPr="006D74FE">
        <w:rPr>
          <w:rFonts w:ascii="Times New Roman" w:hAnsi="Times New Roman"/>
          <w:sz w:val="24"/>
          <w:szCs w:val="24"/>
        </w:rPr>
        <w:t xml:space="preserve">Stochastic </w:t>
      </w:r>
      <w:proofErr w:type="spellStart"/>
      <w:r w:rsidR="005F5084" w:rsidRPr="006D74FE">
        <w:rPr>
          <w:rFonts w:ascii="Times New Roman" w:hAnsi="Times New Roman"/>
          <w:sz w:val="24"/>
          <w:szCs w:val="24"/>
        </w:rPr>
        <w:t>Translog</w:t>
      </w:r>
      <w:proofErr w:type="spellEnd"/>
      <w:r w:rsidR="005F5084" w:rsidRPr="006D74FE">
        <w:rPr>
          <w:rFonts w:ascii="Times New Roman" w:hAnsi="Times New Roman"/>
          <w:sz w:val="24"/>
          <w:szCs w:val="24"/>
        </w:rPr>
        <w:t xml:space="preserve"> Cost </w:t>
      </w:r>
      <w:r w:rsidR="005F6E54" w:rsidRPr="006D74FE">
        <w:rPr>
          <w:rFonts w:ascii="Times New Roman" w:hAnsi="Times New Roman"/>
          <w:sz w:val="24"/>
          <w:szCs w:val="24"/>
        </w:rPr>
        <w:t>f</w:t>
      </w:r>
      <w:r w:rsidR="005F5084" w:rsidRPr="006D74FE">
        <w:rPr>
          <w:rFonts w:ascii="Times New Roman" w:hAnsi="Times New Roman"/>
          <w:sz w:val="24"/>
          <w:szCs w:val="24"/>
        </w:rPr>
        <w:t xml:space="preserve">rontier model </w:t>
      </w:r>
      <w:r w:rsidRPr="006D74FE">
        <w:rPr>
          <w:rFonts w:ascii="Times New Roman" w:hAnsi="Times New Roman"/>
          <w:sz w:val="24"/>
          <w:szCs w:val="24"/>
        </w:rPr>
        <w:t xml:space="preserve">is </w:t>
      </w:r>
      <w:r w:rsidR="005F6E54" w:rsidRPr="006D74FE">
        <w:rPr>
          <w:rFonts w:ascii="Times New Roman" w:hAnsi="Times New Roman"/>
          <w:sz w:val="24"/>
          <w:szCs w:val="24"/>
        </w:rPr>
        <w:t xml:space="preserve">defined </w:t>
      </w:r>
      <w:r w:rsidRPr="006D74FE">
        <w:rPr>
          <w:rFonts w:ascii="Times New Roman" w:hAnsi="Times New Roman"/>
          <w:sz w:val="24"/>
          <w:szCs w:val="24"/>
        </w:rPr>
        <w:t>by</w:t>
      </w:r>
    </w:p>
    <w:p w14:paraId="0A728ACD" w14:textId="77777777" w:rsidR="004A00F7" w:rsidRPr="006D74FE" w:rsidRDefault="004A00F7" w:rsidP="00A728A2">
      <w:pPr>
        <w:spacing w:after="0" w:line="240" w:lineRule="auto"/>
        <w:jc w:val="both"/>
        <w:rPr>
          <w:rFonts w:ascii="Times New Roman" w:hAnsi="Times New Roman"/>
          <w:sz w:val="24"/>
          <w:szCs w:val="24"/>
        </w:rPr>
      </w:pPr>
    </w:p>
    <w:p w14:paraId="3EDA00CB" w14:textId="29778655" w:rsidR="00D400D1" w:rsidRPr="006D74FE" w:rsidRDefault="00747424" w:rsidP="00A728A2">
      <w:pPr>
        <w:spacing w:after="0" w:line="240" w:lineRule="auto"/>
        <w:jc w:val="both"/>
        <w:rPr>
          <w:rFonts w:ascii="Times New Roman" w:hAnsi="Times New Roman"/>
          <w:sz w:val="24"/>
          <w:szCs w:val="24"/>
        </w:rPr>
      </w:pPr>
      <m:oMathPara>
        <m:oMath>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LO</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OB</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PF</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11</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LO</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22</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OB</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33</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44</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PF</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e>
            <m:sub>
              <m:r>
                <w:rPr>
                  <w:rFonts w:ascii="Cambria Math" w:hAnsi="Cambria Math"/>
                  <w:sz w:val="24"/>
                  <w:szCs w:val="24"/>
                </w:rPr>
                <m:t>it</m:t>
              </m:r>
            </m:sub>
          </m:sSub>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55</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12</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LO</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OB</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13</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LO</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it</m:t>
              </m:r>
            </m:sub>
          </m:sSub>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23</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OB</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45</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PF</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14</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LO</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PF</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15</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LO</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24</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OB</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PF</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25</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OB</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34</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PF</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35</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r>
            <m:rPr>
              <m:nor/>
            </m:rPr>
            <w:rPr>
              <w:rFonts w:ascii="Times New Roman" w:hAnsi="Times New Roman"/>
              <w:sz w:val="24"/>
              <w:szCs w:val="24"/>
            </w:rPr>
            <m:t xml:space="preserve">                                                                                                                                               </m:t>
          </m:r>
          <m:r>
            <m:rPr>
              <m:sty m:val="p"/>
            </m:rPr>
            <w:rPr>
              <w:rFonts w:ascii="Cambria Math" w:hAnsi="Cambria Math"/>
              <w:sz w:val="24"/>
              <w:szCs w:val="24"/>
            </w:rPr>
            <m:t>(</m:t>
          </m:r>
          <m:r>
            <w:rPr>
              <w:rFonts w:ascii="Cambria Math" w:hAnsi="Cambria Math"/>
              <w:sz w:val="24"/>
              <w:szCs w:val="24"/>
            </w:rPr>
            <m:t>5)</m:t>
          </m:r>
        </m:oMath>
      </m:oMathPara>
    </w:p>
    <w:p w14:paraId="69694038" w14:textId="77777777" w:rsidR="004A00F7" w:rsidRPr="006D74FE" w:rsidRDefault="004A00F7" w:rsidP="00A728A2">
      <w:pPr>
        <w:spacing w:after="0" w:line="240" w:lineRule="auto"/>
        <w:jc w:val="both"/>
        <w:rPr>
          <w:rFonts w:ascii="Times New Roman" w:hAnsi="Times New Roman"/>
          <w:sz w:val="24"/>
          <w:szCs w:val="24"/>
        </w:rPr>
      </w:pPr>
    </w:p>
    <w:p w14:paraId="4C5D2F7B" w14:textId="05D1A047" w:rsidR="005F5084" w:rsidRPr="006D74FE" w:rsidRDefault="00D400D1" w:rsidP="00A728A2">
      <w:pPr>
        <w:spacing w:after="0" w:line="240" w:lineRule="auto"/>
        <w:jc w:val="both"/>
        <w:rPr>
          <w:rFonts w:ascii="Times New Roman" w:hAnsi="Times New Roman"/>
          <w:sz w:val="24"/>
          <w:szCs w:val="24"/>
        </w:rPr>
      </w:pPr>
      <w:r w:rsidRPr="001F70C3">
        <w:rPr>
          <w:rFonts w:ascii="Times New Roman" w:hAnsi="Times New Roman"/>
          <w:sz w:val="24"/>
          <w:szCs w:val="24"/>
          <w:highlight w:val="yellow"/>
        </w:rPr>
        <w:t xml:space="preserve">where </w:t>
      </w:r>
      <w:proofErr w:type="spellStart"/>
      <w:r w:rsidRPr="001F70C3">
        <w:rPr>
          <w:rFonts w:ascii="Times New Roman" w:hAnsi="Times New Roman"/>
          <w:sz w:val="24"/>
          <w:szCs w:val="24"/>
          <w:highlight w:val="yellow"/>
        </w:rPr>
        <w:t>Cit</w:t>
      </w:r>
      <w:proofErr w:type="spellEnd"/>
      <w:r w:rsidRPr="001F70C3">
        <w:rPr>
          <w:rFonts w:ascii="Times New Roman" w:hAnsi="Times New Roman"/>
          <w:sz w:val="24"/>
          <w:szCs w:val="24"/>
          <w:highlight w:val="yellow"/>
        </w:rPr>
        <w:t xml:space="preserve"> </w:t>
      </w:r>
      <w:r w:rsidR="005F6E54" w:rsidRPr="001F70C3">
        <w:rPr>
          <w:rFonts w:ascii="Times New Roman" w:hAnsi="Times New Roman"/>
          <w:sz w:val="24"/>
          <w:szCs w:val="24"/>
          <w:highlight w:val="yellow"/>
        </w:rPr>
        <w:t xml:space="preserve">is defined as the total cost. All the independent variables are the same line as the described in the equation (1). </w:t>
      </w:r>
      <w:r w:rsidRPr="001F70C3">
        <w:rPr>
          <w:rFonts w:ascii="Times New Roman" w:hAnsi="Times New Roman"/>
          <w:sz w:val="24"/>
          <w:szCs w:val="24"/>
          <w:highlight w:val="yellow"/>
        </w:rPr>
        <w:t xml:space="preserve">The empirical cost inefficiency </w:t>
      </w:r>
      <w:r w:rsidR="005F5084" w:rsidRPr="001F70C3">
        <w:rPr>
          <w:rFonts w:ascii="Times New Roman" w:hAnsi="Times New Roman"/>
          <w:sz w:val="24"/>
          <w:szCs w:val="24"/>
          <w:highlight w:val="yellow"/>
        </w:rPr>
        <w:t xml:space="preserve">effects model </w:t>
      </w:r>
      <w:r w:rsidRPr="001F70C3">
        <w:rPr>
          <w:rFonts w:ascii="Times New Roman" w:hAnsi="Times New Roman"/>
          <w:sz w:val="24"/>
          <w:szCs w:val="24"/>
          <w:highlight w:val="yellow"/>
        </w:rPr>
        <w:t>ca</w:t>
      </w:r>
      <w:r w:rsidR="00323570" w:rsidRPr="001F70C3">
        <w:rPr>
          <w:rFonts w:ascii="Times New Roman" w:hAnsi="Times New Roman"/>
          <w:sz w:val="24"/>
          <w:szCs w:val="24"/>
          <w:highlight w:val="yellow"/>
        </w:rPr>
        <w:t xml:space="preserve">n be </w:t>
      </w:r>
      <w:r w:rsidR="005F5084" w:rsidRPr="001F70C3">
        <w:rPr>
          <w:rFonts w:ascii="Times New Roman" w:hAnsi="Times New Roman"/>
          <w:sz w:val="24"/>
          <w:szCs w:val="24"/>
          <w:highlight w:val="yellow"/>
        </w:rPr>
        <w:t>estimated as the same line as the equation (3) with the exception on the dependen</w:t>
      </w:r>
      <w:r w:rsidR="00C025D3" w:rsidRPr="001F70C3">
        <w:rPr>
          <w:rFonts w:ascii="Times New Roman" w:hAnsi="Times New Roman"/>
          <w:sz w:val="24"/>
          <w:szCs w:val="24"/>
          <w:highlight w:val="yellow"/>
        </w:rPr>
        <w:t xml:space="preserve">t variable of cost inefficiency in </w:t>
      </w:r>
      <w:proofErr w:type="spellStart"/>
      <w:r w:rsidR="00C025D3" w:rsidRPr="001F70C3">
        <w:rPr>
          <w:rFonts w:ascii="Times New Roman" w:hAnsi="Times New Roman"/>
          <w:sz w:val="24"/>
          <w:szCs w:val="24"/>
          <w:highlight w:val="yellow"/>
        </w:rPr>
        <w:t>Tanslog</w:t>
      </w:r>
      <w:proofErr w:type="spellEnd"/>
      <w:r w:rsidR="00C025D3" w:rsidRPr="001F70C3">
        <w:rPr>
          <w:rFonts w:ascii="Times New Roman" w:hAnsi="Times New Roman"/>
          <w:sz w:val="24"/>
          <w:szCs w:val="24"/>
          <w:highlight w:val="yellow"/>
        </w:rPr>
        <w:t xml:space="preserve"> case.</w:t>
      </w:r>
    </w:p>
    <w:p w14:paraId="55FE87E7" w14:textId="77777777" w:rsidR="004A00F7" w:rsidRPr="006D74FE" w:rsidRDefault="004A00F7" w:rsidP="00A728A2">
      <w:pPr>
        <w:spacing w:after="0" w:line="240" w:lineRule="auto"/>
        <w:jc w:val="both"/>
        <w:rPr>
          <w:rFonts w:ascii="Times New Roman" w:hAnsi="Times New Roman"/>
          <w:sz w:val="24"/>
          <w:szCs w:val="24"/>
        </w:rPr>
      </w:pPr>
    </w:p>
    <w:p w14:paraId="2DF36351" w14:textId="000CDF1B" w:rsidR="00D400D1" w:rsidRPr="006D74FE" w:rsidRDefault="00D400D1" w:rsidP="00A728A2">
      <w:pPr>
        <w:pStyle w:val="ListParagraph"/>
        <w:numPr>
          <w:ilvl w:val="0"/>
          <w:numId w:val="34"/>
        </w:numPr>
        <w:spacing w:line="240" w:lineRule="auto"/>
        <w:rPr>
          <w:rFonts w:ascii="Times New Roman" w:hAnsi="Times New Roman" w:cs="Times New Roman"/>
        </w:rPr>
      </w:pPr>
      <w:r w:rsidRPr="006D74FE">
        <w:rPr>
          <w:rFonts w:ascii="Times New Roman" w:hAnsi="Times New Roman" w:cs="Times New Roman"/>
        </w:rPr>
        <w:t xml:space="preserve">Empirical Stochastic </w:t>
      </w:r>
      <w:proofErr w:type="spellStart"/>
      <w:r w:rsidRPr="006D74FE">
        <w:rPr>
          <w:rFonts w:ascii="Times New Roman" w:hAnsi="Times New Roman" w:cs="Times New Roman"/>
        </w:rPr>
        <w:t>Translog</w:t>
      </w:r>
      <w:proofErr w:type="spellEnd"/>
      <w:r w:rsidRPr="006D74FE">
        <w:rPr>
          <w:rFonts w:ascii="Times New Roman" w:hAnsi="Times New Roman" w:cs="Times New Roman"/>
        </w:rPr>
        <w:t xml:space="preserve"> Profit Frontier Model </w:t>
      </w:r>
    </w:p>
    <w:p w14:paraId="08D7CFB3" w14:textId="77777777" w:rsidR="00DF6E50" w:rsidRPr="006D74FE" w:rsidRDefault="00DF6E50" w:rsidP="00A728A2">
      <w:pPr>
        <w:spacing w:line="240" w:lineRule="auto"/>
        <w:jc w:val="both"/>
        <w:rPr>
          <w:rFonts w:ascii="Times New Roman" w:hAnsi="Times New Roman"/>
          <w:sz w:val="24"/>
          <w:szCs w:val="24"/>
        </w:rPr>
      </w:pPr>
    </w:p>
    <w:p w14:paraId="6D35E7E6" w14:textId="0978359D" w:rsidR="00D400D1" w:rsidRPr="006D74FE" w:rsidRDefault="00D400D1" w:rsidP="00A728A2">
      <w:pPr>
        <w:spacing w:after="0" w:line="240" w:lineRule="auto"/>
        <w:jc w:val="both"/>
        <w:rPr>
          <w:rFonts w:ascii="Times New Roman" w:hAnsi="Times New Roman"/>
          <w:sz w:val="24"/>
          <w:szCs w:val="24"/>
        </w:rPr>
      </w:pPr>
      <w:r w:rsidRPr="006D74FE">
        <w:rPr>
          <w:rFonts w:ascii="Times New Roman" w:hAnsi="Times New Roman"/>
          <w:sz w:val="24"/>
          <w:szCs w:val="24"/>
        </w:rPr>
        <w:lastRenderedPageBreak/>
        <w:t xml:space="preserve">The </w:t>
      </w:r>
      <w:r w:rsidR="005F6E54" w:rsidRPr="006D74FE">
        <w:rPr>
          <w:rFonts w:ascii="Times New Roman" w:hAnsi="Times New Roman"/>
          <w:sz w:val="24"/>
          <w:szCs w:val="24"/>
        </w:rPr>
        <w:t xml:space="preserve">specification </w:t>
      </w:r>
      <w:r w:rsidRPr="006D74FE">
        <w:rPr>
          <w:rFonts w:ascii="Times New Roman" w:hAnsi="Times New Roman"/>
          <w:sz w:val="24"/>
          <w:szCs w:val="24"/>
        </w:rPr>
        <w:t>for</w:t>
      </w:r>
      <w:r w:rsidR="005F6E54" w:rsidRPr="006D74FE">
        <w:rPr>
          <w:rFonts w:ascii="Times New Roman" w:hAnsi="Times New Roman"/>
          <w:sz w:val="24"/>
          <w:szCs w:val="24"/>
        </w:rPr>
        <w:t>m</w:t>
      </w:r>
      <w:r w:rsidRPr="006D74FE">
        <w:rPr>
          <w:rFonts w:ascii="Times New Roman" w:hAnsi="Times New Roman"/>
          <w:sz w:val="24"/>
          <w:szCs w:val="24"/>
        </w:rPr>
        <w:t xml:space="preserve"> for </w:t>
      </w:r>
      <w:r w:rsidR="005F6E54" w:rsidRPr="006D74FE">
        <w:rPr>
          <w:rFonts w:ascii="Times New Roman" w:hAnsi="Times New Roman"/>
          <w:sz w:val="24"/>
          <w:szCs w:val="24"/>
        </w:rPr>
        <w:t xml:space="preserve">stochastic </w:t>
      </w:r>
      <w:proofErr w:type="spellStart"/>
      <w:r w:rsidR="005F6E54" w:rsidRPr="006D74FE">
        <w:rPr>
          <w:rFonts w:ascii="Times New Roman" w:hAnsi="Times New Roman"/>
          <w:sz w:val="24"/>
          <w:szCs w:val="24"/>
        </w:rPr>
        <w:t>Translog</w:t>
      </w:r>
      <w:proofErr w:type="spellEnd"/>
      <w:r w:rsidR="005F6E54" w:rsidRPr="006D74FE">
        <w:rPr>
          <w:rFonts w:ascii="Times New Roman" w:hAnsi="Times New Roman"/>
          <w:sz w:val="24"/>
          <w:szCs w:val="24"/>
        </w:rPr>
        <w:t xml:space="preserve"> p</w:t>
      </w:r>
      <w:r w:rsidRPr="006D74FE">
        <w:rPr>
          <w:rFonts w:ascii="Times New Roman" w:hAnsi="Times New Roman"/>
          <w:sz w:val="24"/>
          <w:szCs w:val="24"/>
        </w:rPr>
        <w:t>rofit frontier</w:t>
      </w:r>
      <w:r w:rsidR="005F6E54" w:rsidRPr="006D74FE">
        <w:rPr>
          <w:rFonts w:ascii="Times New Roman" w:hAnsi="Times New Roman"/>
          <w:sz w:val="24"/>
          <w:szCs w:val="24"/>
        </w:rPr>
        <w:t xml:space="preserve"> model can be written as</w:t>
      </w:r>
      <w:r w:rsidRPr="006D74FE">
        <w:rPr>
          <w:rFonts w:ascii="Times New Roman" w:hAnsi="Times New Roman"/>
          <w:sz w:val="24"/>
          <w:szCs w:val="24"/>
        </w:rPr>
        <w:t>:</w:t>
      </w:r>
    </w:p>
    <w:p w14:paraId="63AD8014" w14:textId="77777777" w:rsidR="004A00F7" w:rsidRPr="006D74FE" w:rsidRDefault="004A00F7" w:rsidP="00A728A2">
      <w:pPr>
        <w:spacing w:after="0" w:line="240" w:lineRule="auto"/>
        <w:jc w:val="both"/>
        <w:rPr>
          <w:rFonts w:ascii="Times New Roman" w:hAnsi="Times New Roman"/>
          <w:sz w:val="24"/>
          <w:szCs w:val="24"/>
        </w:rPr>
      </w:pPr>
    </w:p>
    <w:p w14:paraId="480E5BB7" w14:textId="12177A60" w:rsidR="005F6E54" w:rsidRPr="006D74FE" w:rsidRDefault="00747424" w:rsidP="00A728A2">
      <w:pPr>
        <w:spacing w:after="0" w:line="240" w:lineRule="auto"/>
        <w:jc w:val="both"/>
        <w:rPr>
          <w:rFonts w:ascii="Times New Roman" w:hAnsi="Times New Roman"/>
          <w:sz w:val="24"/>
          <w:szCs w:val="24"/>
        </w:rPr>
      </w:pPr>
      <m:oMathPara>
        <m:oMath>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it</m:t>
              </m:r>
            </m:sub>
          </m:sSub>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LO</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OB</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PF</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11</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LO</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22</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OB</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33</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44</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PF</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e>
            <m:sub>
              <m:r>
                <w:rPr>
                  <w:rFonts w:ascii="Cambria Math" w:hAnsi="Cambria Math"/>
                  <w:sz w:val="24"/>
                  <w:szCs w:val="24"/>
                </w:rPr>
                <m:t>it</m:t>
              </m:r>
            </m:sub>
          </m:sSub>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55</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12</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LO</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OB</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13</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LO</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it</m:t>
              </m:r>
            </m:sub>
          </m:sSub>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14</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LO</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PF</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15</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LO</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23</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OB</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it</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24</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OB</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PF</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25</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OB</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34</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PF</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35</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45</m:t>
              </m:r>
            </m:sub>
          </m:sSub>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PF</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m:t>
              </m:r>
            </m:e>
          </m:func>
          <m:r>
            <w:rPr>
              <w:rFonts w:ascii="Cambria Math" w:hAnsi="Cambria Math"/>
              <w:sz w:val="24"/>
              <w:szCs w:val="24"/>
            </w:rPr>
            <m:t>PO</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r>
            <m:rPr>
              <m:nor/>
            </m:rPr>
            <w:rPr>
              <w:rFonts w:ascii="Times New Roman" w:hAnsi="Times New Roman"/>
              <w:sz w:val="24"/>
              <w:szCs w:val="24"/>
            </w:rPr>
            <m:t xml:space="preserve">                              </m:t>
          </m:r>
          <m:r>
            <m:rPr>
              <m:sty m:val="p"/>
            </m:rPr>
            <w:rPr>
              <w:rFonts w:ascii="Cambria Math" w:hAnsi="Cambria Math"/>
              <w:sz w:val="24"/>
              <w:szCs w:val="24"/>
            </w:rPr>
            <m:t>(</m:t>
          </m:r>
          <m:r>
            <w:rPr>
              <w:rFonts w:ascii="Cambria Math" w:hAnsi="Cambria Math"/>
              <w:sz w:val="24"/>
              <w:szCs w:val="24"/>
            </w:rPr>
            <m:t>6)</m:t>
          </m:r>
        </m:oMath>
      </m:oMathPara>
    </w:p>
    <w:p w14:paraId="29BE7910" w14:textId="77777777" w:rsidR="004A00F7" w:rsidRPr="006D74FE" w:rsidRDefault="004A00F7" w:rsidP="00A728A2">
      <w:pPr>
        <w:spacing w:after="0" w:line="240" w:lineRule="auto"/>
        <w:jc w:val="both"/>
        <w:rPr>
          <w:rFonts w:ascii="Times New Roman" w:hAnsi="Times New Roman"/>
          <w:sz w:val="24"/>
          <w:szCs w:val="24"/>
        </w:rPr>
      </w:pPr>
    </w:p>
    <w:p w14:paraId="69E14A61" w14:textId="6E408338" w:rsidR="00C025D3" w:rsidRPr="006D74FE" w:rsidRDefault="00854BE1" w:rsidP="00A728A2">
      <w:pPr>
        <w:spacing w:after="0" w:line="240" w:lineRule="auto"/>
        <w:jc w:val="both"/>
        <w:rPr>
          <w:rFonts w:ascii="Times New Roman" w:hAnsi="Times New Roman"/>
          <w:sz w:val="24"/>
          <w:szCs w:val="24"/>
        </w:rPr>
      </w:pPr>
      <w:r w:rsidRPr="001F70C3">
        <w:rPr>
          <w:rFonts w:ascii="Times New Roman" w:hAnsi="Times New Roman"/>
          <w:sz w:val="24"/>
          <w:szCs w:val="24"/>
          <w:highlight w:val="yellow"/>
        </w:rPr>
        <w:t xml:space="preserve">Where </w:t>
      </w:r>
      <w:r w:rsidR="00D400D1" w:rsidRPr="001F70C3">
        <w:rPr>
          <w:rFonts w:ascii="Times New Roman" w:hAnsi="Times New Roman"/>
          <w:sz w:val="24"/>
          <w:szCs w:val="24"/>
          <w:highlight w:val="yellow"/>
        </w:rPr>
        <w:object w:dxaOrig="315" w:dyaOrig="375" w14:anchorId="12C3FA86">
          <v:shape id="_x0000_i1027" type="#_x0000_t75" style="width:15.75pt;height:18.75pt" o:ole="">
            <v:imagedata r:id="rId8" o:title=""/>
          </v:shape>
          <o:OLEObject Type="Embed" ProgID="Equation.3" ShapeID="_x0000_i1027" DrawAspect="Content" ObjectID="_1657558362" r:id="rId12"/>
        </w:object>
      </w:r>
      <w:r w:rsidRPr="001F70C3">
        <w:rPr>
          <w:rFonts w:ascii="Times New Roman" w:hAnsi="Times New Roman"/>
          <w:sz w:val="24"/>
          <w:szCs w:val="24"/>
          <w:highlight w:val="yellow"/>
        </w:rPr>
        <w:t xml:space="preserve"> </w:t>
      </w:r>
      <w:r w:rsidR="00D400D1" w:rsidRPr="001F70C3">
        <w:rPr>
          <w:rFonts w:ascii="Times New Roman" w:hAnsi="Times New Roman"/>
          <w:sz w:val="24"/>
          <w:szCs w:val="24"/>
          <w:highlight w:val="yellow"/>
        </w:rPr>
        <w:t xml:space="preserve">is the </w:t>
      </w:r>
      <w:r w:rsidR="00261C04" w:rsidRPr="001F70C3">
        <w:rPr>
          <w:rFonts w:ascii="Times New Roman" w:hAnsi="Times New Roman"/>
          <w:sz w:val="24"/>
          <w:szCs w:val="24"/>
          <w:highlight w:val="yellow"/>
        </w:rPr>
        <w:t>profit after tax of</w:t>
      </w:r>
      <w:r w:rsidR="00D400D1" w:rsidRPr="001F70C3">
        <w:rPr>
          <w:rFonts w:ascii="Times New Roman" w:hAnsi="Times New Roman"/>
          <w:sz w:val="24"/>
          <w:szCs w:val="24"/>
          <w:highlight w:val="yellow"/>
        </w:rPr>
        <w:t xml:space="preserve"> </w:t>
      </w:r>
      <w:proofErr w:type="spellStart"/>
      <w:r w:rsidR="00D400D1" w:rsidRPr="001F70C3">
        <w:rPr>
          <w:rFonts w:ascii="Times New Roman" w:hAnsi="Times New Roman"/>
          <w:sz w:val="24"/>
          <w:szCs w:val="24"/>
          <w:highlight w:val="yellow"/>
        </w:rPr>
        <w:t>ith</w:t>
      </w:r>
      <w:proofErr w:type="spellEnd"/>
      <w:r w:rsidR="00D400D1" w:rsidRPr="001F70C3">
        <w:rPr>
          <w:rFonts w:ascii="Times New Roman" w:hAnsi="Times New Roman"/>
          <w:sz w:val="24"/>
          <w:szCs w:val="24"/>
          <w:highlight w:val="yellow"/>
        </w:rPr>
        <w:t xml:space="preserve"> bank in period </w:t>
      </w:r>
      <w:r w:rsidR="00261C04" w:rsidRPr="001F70C3">
        <w:rPr>
          <w:rFonts w:ascii="Times New Roman" w:hAnsi="Times New Roman"/>
          <w:sz w:val="24"/>
          <w:szCs w:val="24"/>
          <w:highlight w:val="yellow"/>
        </w:rPr>
        <w:t xml:space="preserve">t measured by revenues minus costs; </w:t>
      </w:r>
      <w:r w:rsidR="00D400D1" w:rsidRPr="001F70C3">
        <w:rPr>
          <w:rFonts w:ascii="Times New Roman" w:hAnsi="Times New Roman"/>
          <w:sz w:val="24"/>
          <w:szCs w:val="24"/>
          <w:highlight w:val="yellow"/>
        </w:rPr>
        <w:object w:dxaOrig="195" w:dyaOrig="285" w14:anchorId="036EA4CD">
          <v:shape id="_x0000_i1028" type="#_x0000_t75" style="width:10.5pt;height:14.25pt" o:ole="">
            <v:imagedata r:id="rId10" o:title=""/>
          </v:shape>
          <o:OLEObject Type="Embed" ProgID="Equation.3" ShapeID="_x0000_i1028" DrawAspect="Content" ObjectID="_1657558363" r:id="rId13"/>
        </w:object>
      </w:r>
      <w:r w:rsidR="00D400D1" w:rsidRPr="001F70C3">
        <w:rPr>
          <w:rFonts w:ascii="Times New Roman" w:hAnsi="Times New Roman"/>
          <w:sz w:val="24"/>
          <w:szCs w:val="24"/>
          <w:highlight w:val="yellow"/>
        </w:rPr>
        <w:t xml:space="preserve">is a constant to ensure the natural log of profits to be positive. </w:t>
      </w:r>
      <w:r w:rsidR="005F6E54" w:rsidRPr="001F70C3">
        <w:rPr>
          <w:rFonts w:ascii="Times New Roman" w:hAnsi="Times New Roman"/>
          <w:sz w:val="24"/>
          <w:szCs w:val="24"/>
          <w:highlight w:val="yellow"/>
        </w:rPr>
        <w:t xml:space="preserve">All the independent variables are the same line as the described in the equation (5). </w:t>
      </w:r>
      <w:r w:rsidR="00D400D1" w:rsidRPr="001F70C3">
        <w:rPr>
          <w:rFonts w:ascii="Times New Roman" w:hAnsi="Times New Roman"/>
          <w:sz w:val="24"/>
          <w:szCs w:val="24"/>
          <w:highlight w:val="yellow"/>
        </w:rPr>
        <w:t xml:space="preserve">The empirical </w:t>
      </w:r>
      <w:r w:rsidR="005F6E54" w:rsidRPr="001F70C3">
        <w:rPr>
          <w:rFonts w:ascii="Times New Roman" w:hAnsi="Times New Roman"/>
          <w:sz w:val="24"/>
          <w:szCs w:val="24"/>
          <w:highlight w:val="yellow"/>
        </w:rPr>
        <w:t>p</w:t>
      </w:r>
      <w:r w:rsidR="00D400D1" w:rsidRPr="001F70C3">
        <w:rPr>
          <w:rFonts w:ascii="Times New Roman" w:hAnsi="Times New Roman"/>
          <w:sz w:val="24"/>
          <w:szCs w:val="24"/>
          <w:highlight w:val="yellow"/>
        </w:rPr>
        <w:t xml:space="preserve">rofit inefficiency </w:t>
      </w:r>
      <w:r w:rsidR="00C025D3" w:rsidRPr="001F70C3">
        <w:rPr>
          <w:rFonts w:ascii="Times New Roman" w:hAnsi="Times New Roman"/>
          <w:sz w:val="24"/>
          <w:szCs w:val="24"/>
          <w:highlight w:val="yellow"/>
        </w:rPr>
        <w:t xml:space="preserve">effects model </w:t>
      </w:r>
      <w:r w:rsidR="00D400D1" w:rsidRPr="001F70C3">
        <w:rPr>
          <w:rFonts w:ascii="Times New Roman" w:hAnsi="Times New Roman"/>
          <w:sz w:val="24"/>
          <w:szCs w:val="24"/>
          <w:highlight w:val="yellow"/>
        </w:rPr>
        <w:t>ca</w:t>
      </w:r>
      <w:r w:rsidR="00323570" w:rsidRPr="001F70C3">
        <w:rPr>
          <w:rFonts w:ascii="Times New Roman" w:hAnsi="Times New Roman"/>
          <w:sz w:val="24"/>
          <w:szCs w:val="24"/>
          <w:highlight w:val="yellow"/>
        </w:rPr>
        <w:t xml:space="preserve">n be </w:t>
      </w:r>
      <w:r w:rsidR="00C025D3" w:rsidRPr="001F70C3">
        <w:rPr>
          <w:rFonts w:ascii="Times New Roman" w:hAnsi="Times New Roman"/>
          <w:sz w:val="24"/>
          <w:szCs w:val="24"/>
          <w:highlight w:val="yellow"/>
        </w:rPr>
        <w:t xml:space="preserve">estimated as the same line as the equation (3) with the exception on the dependent variable of profit efficiency in </w:t>
      </w:r>
      <w:proofErr w:type="spellStart"/>
      <w:r w:rsidR="00C025D3" w:rsidRPr="001F70C3">
        <w:rPr>
          <w:rFonts w:ascii="Times New Roman" w:hAnsi="Times New Roman"/>
          <w:sz w:val="24"/>
          <w:szCs w:val="24"/>
          <w:highlight w:val="yellow"/>
        </w:rPr>
        <w:t>Translog</w:t>
      </w:r>
      <w:proofErr w:type="spellEnd"/>
      <w:r w:rsidR="00C025D3" w:rsidRPr="001F70C3">
        <w:rPr>
          <w:rFonts w:ascii="Times New Roman" w:hAnsi="Times New Roman"/>
          <w:sz w:val="24"/>
          <w:szCs w:val="24"/>
          <w:highlight w:val="yellow"/>
        </w:rPr>
        <w:t xml:space="preserve"> case.</w:t>
      </w:r>
    </w:p>
    <w:p w14:paraId="3BF6E33B" w14:textId="77777777" w:rsidR="004A00F7" w:rsidRPr="006D74FE" w:rsidRDefault="004A00F7" w:rsidP="00A728A2">
      <w:pPr>
        <w:spacing w:after="0" w:line="240" w:lineRule="auto"/>
        <w:jc w:val="both"/>
        <w:rPr>
          <w:rFonts w:ascii="Times New Roman" w:hAnsi="Times New Roman"/>
          <w:sz w:val="24"/>
          <w:szCs w:val="24"/>
        </w:rPr>
      </w:pPr>
    </w:p>
    <w:p w14:paraId="02EF4F59" w14:textId="77777777" w:rsidR="00D400D1" w:rsidRPr="006D74FE" w:rsidRDefault="00D400D1" w:rsidP="00A728A2">
      <w:pPr>
        <w:pStyle w:val="ListParagraph"/>
        <w:numPr>
          <w:ilvl w:val="0"/>
          <w:numId w:val="35"/>
        </w:numPr>
        <w:spacing w:line="240" w:lineRule="auto"/>
        <w:rPr>
          <w:rFonts w:ascii="Times New Roman" w:hAnsi="Times New Roman" w:cs="Times New Roman"/>
        </w:rPr>
      </w:pPr>
      <w:r w:rsidRPr="006D74FE">
        <w:rPr>
          <w:rFonts w:ascii="Times New Roman" w:hAnsi="Times New Roman" w:cs="Times New Roman"/>
        </w:rPr>
        <w:t>Empirical Tobit Regression Model</w:t>
      </w:r>
    </w:p>
    <w:p w14:paraId="31C3B039" w14:textId="2C58F997" w:rsidR="00D400D1" w:rsidRPr="006D74FE" w:rsidRDefault="00D400D1" w:rsidP="00A728A2">
      <w:pPr>
        <w:spacing w:after="0" w:line="240" w:lineRule="auto"/>
        <w:jc w:val="both"/>
        <w:rPr>
          <w:rFonts w:ascii="Times New Roman" w:hAnsi="Times New Roman"/>
          <w:sz w:val="24"/>
          <w:szCs w:val="24"/>
        </w:rPr>
      </w:pPr>
      <w:r w:rsidRPr="006D74FE">
        <w:rPr>
          <w:rFonts w:ascii="Times New Roman" w:hAnsi="Times New Roman"/>
          <w:sz w:val="24"/>
          <w:szCs w:val="24"/>
        </w:rPr>
        <w:t xml:space="preserve">The </w:t>
      </w:r>
      <w:r w:rsidR="001C7B30" w:rsidRPr="006D74FE">
        <w:rPr>
          <w:rFonts w:ascii="Times New Roman" w:hAnsi="Times New Roman"/>
          <w:sz w:val="24"/>
          <w:szCs w:val="24"/>
        </w:rPr>
        <w:t>s</w:t>
      </w:r>
      <w:r w:rsidRPr="006D74FE">
        <w:rPr>
          <w:rFonts w:ascii="Times New Roman" w:hAnsi="Times New Roman"/>
          <w:sz w:val="24"/>
          <w:szCs w:val="24"/>
        </w:rPr>
        <w:t xml:space="preserve">pecification of the </w:t>
      </w:r>
      <w:r w:rsidR="001C7B30" w:rsidRPr="006D74FE">
        <w:rPr>
          <w:rFonts w:ascii="Times New Roman" w:hAnsi="Times New Roman"/>
          <w:sz w:val="24"/>
          <w:szCs w:val="24"/>
        </w:rPr>
        <w:t>T</w:t>
      </w:r>
      <w:r w:rsidRPr="006D74FE">
        <w:rPr>
          <w:rFonts w:ascii="Times New Roman" w:hAnsi="Times New Roman"/>
          <w:sz w:val="24"/>
          <w:szCs w:val="24"/>
        </w:rPr>
        <w:t xml:space="preserve">obit </w:t>
      </w:r>
      <w:r w:rsidR="001C7B30" w:rsidRPr="006D74FE">
        <w:rPr>
          <w:rFonts w:ascii="Times New Roman" w:hAnsi="Times New Roman"/>
          <w:sz w:val="24"/>
          <w:szCs w:val="24"/>
        </w:rPr>
        <w:t>r</w:t>
      </w:r>
      <w:r w:rsidRPr="006D74FE">
        <w:rPr>
          <w:rFonts w:ascii="Times New Roman" w:hAnsi="Times New Roman"/>
          <w:sz w:val="24"/>
          <w:szCs w:val="24"/>
        </w:rPr>
        <w:t xml:space="preserve">egression </w:t>
      </w:r>
      <w:r w:rsidR="001C7B30" w:rsidRPr="006D74FE">
        <w:rPr>
          <w:rFonts w:ascii="Times New Roman" w:hAnsi="Times New Roman"/>
          <w:sz w:val="24"/>
          <w:szCs w:val="24"/>
        </w:rPr>
        <w:t>m</w:t>
      </w:r>
      <w:r w:rsidRPr="006D74FE">
        <w:rPr>
          <w:rFonts w:ascii="Times New Roman" w:hAnsi="Times New Roman"/>
          <w:sz w:val="24"/>
          <w:szCs w:val="24"/>
        </w:rPr>
        <w:t>odel</w:t>
      </w:r>
      <w:r w:rsidR="001C7B30" w:rsidRPr="006D74FE">
        <w:rPr>
          <w:rFonts w:ascii="Times New Roman" w:hAnsi="Times New Roman"/>
          <w:sz w:val="24"/>
          <w:szCs w:val="24"/>
        </w:rPr>
        <w:t xml:space="preserve"> can be written as: </w:t>
      </w:r>
    </w:p>
    <w:p w14:paraId="6C6BDC83" w14:textId="77777777" w:rsidR="004C5F52" w:rsidRPr="006D74FE" w:rsidRDefault="004C5F52" w:rsidP="00A728A2">
      <w:pPr>
        <w:spacing w:after="0" w:line="240" w:lineRule="auto"/>
        <w:jc w:val="both"/>
        <w:rPr>
          <w:rFonts w:ascii="Times New Roman" w:hAnsi="Times New Roman"/>
          <w:sz w:val="24"/>
          <w:szCs w:val="24"/>
        </w:rPr>
      </w:pPr>
    </w:p>
    <w:p w14:paraId="69706B27" w14:textId="4182AA97" w:rsidR="004A00F7" w:rsidRPr="006D74FE" w:rsidRDefault="00747424" w:rsidP="00A728A2">
      <w:pPr>
        <w:spacing w:after="0" w:line="240" w:lineRule="auto"/>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r>
              <m:rPr>
                <m:nor/>
              </m:rPr>
              <w:rPr>
                <w:rFonts w:ascii="Times New Roman" w:hAnsi="Times New Roman"/>
                <w:sz w:val="24"/>
                <w:szCs w:val="24"/>
              </w:rPr>
              <m:t xml:space="preserve">  </m:t>
            </m:r>
            <m:ctrlPr>
              <w:rPr>
                <w:rFonts w:ascii="Cambria Math" w:hAnsi="Cambria Math"/>
                <w:sz w:val="24"/>
                <w:szCs w:val="24"/>
              </w:rPr>
            </m:ctrlP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r>
          <w:rPr>
            <w:rFonts w:ascii="Cambria Math" w:hAnsi="Cambria Math"/>
            <w:sz w:val="24"/>
            <w:szCs w:val="24"/>
          </w:rPr>
          <m:t>IT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2</m:t>
            </m:r>
          </m:sub>
        </m:sSub>
        <m:r>
          <w:rPr>
            <w:rFonts w:ascii="Cambria Math" w:hAnsi="Cambria Math"/>
            <w:sz w:val="24"/>
            <w:szCs w:val="24"/>
          </w:rPr>
          <m:t>IT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3</m:t>
            </m:r>
          </m:sub>
        </m:sSub>
        <m:r>
          <w:rPr>
            <w:rFonts w:ascii="Cambria Math" w:hAnsi="Cambria Math"/>
            <w:sz w:val="24"/>
            <w:szCs w:val="24"/>
          </w:rPr>
          <m:t>ITI</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4</m:t>
            </m:r>
          </m:sub>
        </m:sSub>
        <m:r>
          <w:rPr>
            <w:rFonts w:ascii="Cambria Math" w:hAnsi="Cambria Math"/>
            <w:sz w:val="24"/>
            <w:szCs w:val="24"/>
          </w:rPr>
          <m:t>IT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5</m:t>
            </m:r>
          </m:sub>
        </m:sSub>
        <m:r>
          <w:rPr>
            <w:rFonts w:ascii="Cambria Math" w:hAnsi="Cambria Math"/>
            <w:sz w:val="24"/>
            <w:szCs w:val="24"/>
          </w:rPr>
          <m:t>ITP</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6</m:t>
            </m:r>
          </m:sub>
        </m:sSub>
        <m:r>
          <w:rPr>
            <w:rFonts w:ascii="Cambria Math" w:hAnsi="Cambria Math"/>
            <w:sz w:val="24"/>
            <w:szCs w:val="24"/>
          </w:rPr>
          <m:t>ATM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7</m:t>
            </m:r>
          </m:sub>
        </m:sSub>
        <m:r>
          <w:rPr>
            <w:rFonts w:ascii="Cambria Math" w:hAnsi="Cambria Math"/>
            <w:sz w:val="24"/>
            <w:szCs w:val="24"/>
          </w:rPr>
          <m:t>ATM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8</m:t>
            </m:r>
          </m:sub>
        </m:sSub>
        <m:r>
          <w:rPr>
            <w:rFonts w:ascii="Cambria Math" w:hAnsi="Cambria Math"/>
            <w:sz w:val="24"/>
            <w:szCs w:val="24"/>
          </w:rPr>
          <m:t>CC</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9</m:t>
            </m:r>
          </m:sub>
        </m:sSub>
        <m:r>
          <w:rPr>
            <w:rFonts w:ascii="Cambria Math" w:hAnsi="Cambria Math"/>
            <w:sz w:val="24"/>
            <w:szCs w:val="24"/>
          </w:rPr>
          <m:t>CC</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it</m:t>
            </m:r>
          </m:sub>
        </m:sSub>
        <m:r>
          <m:rPr>
            <m:nor/>
          </m:rPr>
          <w:rPr>
            <w:rFonts w:ascii="Times New Roman" w:hAnsi="Times New Roman"/>
            <w:sz w:val="24"/>
            <w:szCs w:val="24"/>
          </w:rPr>
          <m:t xml:space="preserve">.                                                                                          </m:t>
        </m:r>
        <m:r>
          <m:rPr>
            <m:sty m:val="p"/>
          </m:rPr>
          <w:rPr>
            <w:rFonts w:ascii="Cambria Math" w:hAnsi="Cambria Math"/>
            <w:sz w:val="24"/>
            <w:szCs w:val="24"/>
          </w:rPr>
          <m:t>(</m:t>
        </m:r>
        <m:r>
          <w:rPr>
            <w:rFonts w:ascii="Cambria Math" w:hAnsi="Cambria Math"/>
            <w:sz w:val="24"/>
            <w:szCs w:val="24"/>
          </w:rPr>
          <m:t>7)</m:t>
        </m:r>
      </m:oMath>
      <w:r w:rsidR="004A00F7" w:rsidRPr="006D74FE">
        <w:rPr>
          <w:rFonts w:ascii="Times New Roman" w:hAnsi="Times New Roman"/>
          <w:sz w:val="24"/>
          <w:szCs w:val="24"/>
        </w:rPr>
        <w:t xml:space="preserve"> </w:t>
      </w:r>
    </w:p>
    <w:p w14:paraId="762437C5" w14:textId="37198783" w:rsidR="00B4761F" w:rsidRPr="006D74FE" w:rsidRDefault="00D400D1" w:rsidP="00A728A2">
      <w:pPr>
        <w:spacing w:after="0" w:line="240" w:lineRule="auto"/>
        <w:jc w:val="both"/>
        <w:rPr>
          <w:rFonts w:ascii="Times New Roman" w:hAnsi="Times New Roman"/>
          <w:sz w:val="24"/>
          <w:szCs w:val="24"/>
        </w:rPr>
      </w:pPr>
      <w:r w:rsidRPr="001F70C3">
        <w:rPr>
          <w:rFonts w:ascii="Times New Roman" w:hAnsi="Times New Roman"/>
          <w:sz w:val="24"/>
          <w:szCs w:val="24"/>
          <w:highlight w:val="yellow"/>
        </w:rPr>
        <w:t xml:space="preserve">where </w:t>
      </w:r>
      <w:proofErr w:type="spellStart"/>
      <w:r w:rsidRPr="001F70C3">
        <w:rPr>
          <w:rFonts w:ascii="Times New Roman" w:hAnsi="Times New Roman"/>
          <w:sz w:val="24"/>
          <w:szCs w:val="24"/>
          <w:highlight w:val="yellow"/>
        </w:rPr>
        <w:t>Eit</w:t>
      </w:r>
      <w:proofErr w:type="spellEnd"/>
      <w:r w:rsidRPr="001F70C3">
        <w:rPr>
          <w:rFonts w:ascii="Times New Roman" w:hAnsi="Times New Roman"/>
          <w:sz w:val="24"/>
          <w:szCs w:val="24"/>
          <w:highlight w:val="yellow"/>
        </w:rPr>
        <w:t xml:space="preserve"> is defined as the Stochas</w:t>
      </w:r>
      <w:r w:rsidR="001C7B30" w:rsidRPr="001F70C3">
        <w:rPr>
          <w:rFonts w:ascii="Times New Roman" w:hAnsi="Times New Roman"/>
          <w:sz w:val="24"/>
          <w:szCs w:val="24"/>
          <w:highlight w:val="yellow"/>
        </w:rPr>
        <w:t>tic Cobb-D</w:t>
      </w:r>
      <w:r w:rsidR="00261C04" w:rsidRPr="001F70C3">
        <w:rPr>
          <w:rFonts w:ascii="Times New Roman" w:hAnsi="Times New Roman"/>
          <w:sz w:val="24"/>
          <w:szCs w:val="24"/>
          <w:highlight w:val="yellow"/>
        </w:rPr>
        <w:t xml:space="preserve">ouglas and </w:t>
      </w:r>
      <w:proofErr w:type="spellStart"/>
      <w:r w:rsidR="00261C04" w:rsidRPr="001F70C3">
        <w:rPr>
          <w:rFonts w:ascii="Times New Roman" w:hAnsi="Times New Roman"/>
          <w:sz w:val="24"/>
          <w:szCs w:val="24"/>
          <w:highlight w:val="yellow"/>
        </w:rPr>
        <w:t>Translog</w:t>
      </w:r>
      <w:proofErr w:type="spellEnd"/>
      <w:r w:rsidR="001C7B30" w:rsidRPr="001F70C3">
        <w:rPr>
          <w:rFonts w:ascii="Times New Roman" w:hAnsi="Times New Roman"/>
          <w:sz w:val="24"/>
          <w:szCs w:val="24"/>
          <w:highlight w:val="yellow"/>
        </w:rPr>
        <w:t xml:space="preserve"> </w:t>
      </w:r>
      <w:r w:rsidRPr="001F70C3">
        <w:rPr>
          <w:rFonts w:ascii="Times New Roman" w:hAnsi="Times New Roman"/>
          <w:sz w:val="24"/>
          <w:szCs w:val="24"/>
          <w:highlight w:val="yellow"/>
        </w:rPr>
        <w:t xml:space="preserve">cost and profit efficiency </w:t>
      </w:r>
      <w:r w:rsidR="001C7B30" w:rsidRPr="001F70C3">
        <w:rPr>
          <w:rFonts w:ascii="Times New Roman" w:hAnsi="Times New Roman"/>
          <w:sz w:val="24"/>
          <w:szCs w:val="24"/>
          <w:highlight w:val="yellow"/>
        </w:rPr>
        <w:t>scores</w:t>
      </w:r>
      <w:r w:rsidRPr="001F70C3">
        <w:rPr>
          <w:rFonts w:ascii="Times New Roman" w:hAnsi="Times New Roman"/>
          <w:sz w:val="24"/>
          <w:szCs w:val="24"/>
          <w:highlight w:val="yellow"/>
        </w:rPr>
        <w:t xml:space="preserve"> of the </w:t>
      </w:r>
      <w:proofErr w:type="spellStart"/>
      <w:r w:rsidRPr="001F70C3">
        <w:rPr>
          <w:rFonts w:ascii="Times New Roman" w:hAnsi="Times New Roman"/>
          <w:sz w:val="24"/>
          <w:szCs w:val="24"/>
          <w:highlight w:val="yellow"/>
        </w:rPr>
        <w:t>i-th</w:t>
      </w:r>
      <w:proofErr w:type="spellEnd"/>
      <w:r w:rsidRPr="001F70C3">
        <w:rPr>
          <w:rFonts w:ascii="Times New Roman" w:hAnsi="Times New Roman"/>
          <w:sz w:val="24"/>
          <w:szCs w:val="24"/>
          <w:highlight w:val="yellow"/>
        </w:rPr>
        <w:t xml:space="preserve"> bank in period t;  </w:t>
      </w:r>
      <w:proofErr w:type="spellStart"/>
      <w:r w:rsidRPr="001F70C3">
        <w:rPr>
          <w:rFonts w:ascii="Times New Roman" w:hAnsi="Times New Roman"/>
          <w:sz w:val="24"/>
          <w:szCs w:val="24"/>
          <w:highlight w:val="yellow"/>
        </w:rPr>
        <w:t>ITEit</w:t>
      </w:r>
      <w:proofErr w:type="spellEnd"/>
      <w:r w:rsidRPr="001F70C3">
        <w:rPr>
          <w:rFonts w:ascii="Times New Roman" w:hAnsi="Times New Roman"/>
          <w:sz w:val="24"/>
          <w:szCs w:val="24"/>
          <w:highlight w:val="yellow"/>
        </w:rPr>
        <w:t xml:space="preserve"> is the IT expanse of  bank </w:t>
      </w:r>
      <w:proofErr w:type="spellStart"/>
      <w:r w:rsidRPr="001F70C3">
        <w:rPr>
          <w:rFonts w:ascii="Times New Roman" w:hAnsi="Times New Roman"/>
          <w:sz w:val="24"/>
          <w:szCs w:val="24"/>
          <w:highlight w:val="yellow"/>
        </w:rPr>
        <w:t>i</w:t>
      </w:r>
      <w:proofErr w:type="spellEnd"/>
      <w:r w:rsidRPr="001F70C3">
        <w:rPr>
          <w:rFonts w:ascii="Times New Roman" w:hAnsi="Times New Roman"/>
          <w:sz w:val="24"/>
          <w:szCs w:val="24"/>
          <w:highlight w:val="yellow"/>
        </w:rPr>
        <w:t xml:space="preserve"> in period t;   </w:t>
      </w:r>
      <w:proofErr w:type="spellStart"/>
      <w:r w:rsidRPr="001F70C3">
        <w:rPr>
          <w:rFonts w:ascii="Times New Roman" w:hAnsi="Times New Roman"/>
          <w:sz w:val="24"/>
          <w:szCs w:val="24"/>
          <w:highlight w:val="yellow"/>
        </w:rPr>
        <w:t>ITIit</w:t>
      </w:r>
      <w:proofErr w:type="spellEnd"/>
      <w:r w:rsidRPr="001F70C3">
        <w:rPr>
          <w:rFonts w:ascii="Times New Roman" w:hAnsi="Times New Roman"/>
          <w:sz w:val="24"/>
          <w:szCs w:val="24"/>
          <w:highlight w:val="yellow"/>
        </w:rPr>
        <w:t xml:space="preserve"> is the IT income of bank </w:t>
      </w:r>
      <w:proofErr w:type="spellStart"/>
      <w:r w:rsidRPr="001F70C3">
        <w:rPr>
          <w:rFonts w:ascii="Times New Roman" w:hAnsi="Times New Roman"/>
          <w:sz w:val="24"/>
          <w:szCs w:val="24"/>
          <w:highlight w:val="yellow"/>
        </w:rPr>
        <w:t>i</w:t>
      </w:r>
      <w:proofErr w:type="spellEnd"/>
      <w:r w:rsidRPr="001F70C3">
        <w:rPr>
          <w:rFonts w:ascii="Times New Roman" w:hAnsi="Times New Roman"/>
          <w:sz w:val="24"/>
          <w:szCs w:val="24"/>
          <w:highlight w:val="yellow"/>
        </w:rPr>
        <w:t xml:space="preserve"> in period t;  </w:t>
      </w:r>
      <w:proofErr w:type="spellStart"/>
      <w:r w:rsidRPr="001F70C3">
        <w:rPr>
          <w:rFonts w:ascii="Times New Roman" w:hAnsi="Times New Roman"/>
          <w:sz w:val="24"/>
          <w:szCs w:val="24"/>
          <w:highlight w:val="yellow"/>
        </w:rPr>
        <w:t>ITINit</w:t>
      </w:r>
      <w:proofErr w:type="spellEnd"/>
      <w:r w:rsidRPr="001F70C3">
        <w:rPr>
          <w:rFonts w:ascii="Times New Roman" w:hAnsi="Times New Roman"/>
          <w:sz w:val="24"/>
          <w:szCs w:val="24"/>
          <w:highlight w:val="yellow"/>
        </w:rPr>
        <w:t xml:space="preserve"> is  the IT investment of bank </w:t>
      </w:r>
      <w:proofErr w:type="spellStart"/>
      <w:r w:rsidRPr="001F70C3">
        <w:rPr>
          <w:rFonts w:ascii="Times New Roman" w:hAnsi="Times New Roman"/>
          <w:sz w:val="24"/>
          <w:szCs w:val="24"/>
          <w:highlight w:val="yellow"/>
        </w:rPr>
        <w:t>i</w:t>
      </w:r>
      <w:proofErr w:type="spellEnd"/>
      <w:r w:rsidRPr="001F70C3">
        <w:rPr>
          <w:rFonts w:ascii="Times New Roman" w:hAnsi="Times New Roman"/>
          <w:sz w:val="24"/>
          <w:szCs w:val="24"/>
          <w:highlight w:val="yellow"/>
        </w:rPr>
        <w:t xml:space="preserve"> in period t;  </w:t>
      </w:r>
      <w:proofErr w:type="spellStart"/>
      <w:r w:rsidRPr="001F70C3">
        <w:rPr>
          <w:rFonts w:ascii="Times New Roman" w:hAnsi="Times New Roman"/>
          <w:sz w:val="24"/>
          <w:szCs w:val="24"/>
          <w:highlight w:val="yellow"/>
        </w:rPr>
        <w:t>ITPit</w:t>
      </w:r>
      <w:proofErr w:type="spellEnd"/>
      <w:r w:rsidRPr="001F70C3">
        <w:rPr>
          <w:rFonts w:ascii="Times New Roman" w:hAnsi="Times New Roman"/>
          <w:sz w:val="24"/>
          <w:szCs w:val="24"/>
          <w:highlight w:val="yellow"/>
        </w:rPr>
        <w:t xml:space="preserve"> is the IT personnel of bank </w:t>
      </w:r>
      <w:proofErr w:type="spellStart"/>
      <w:r w:rsidRPr="001F70C3">
        <w:rPr>
          <w:rFonts w:ascii="Times New Roman" w:hAnsi="Times New Roman"/>
          <w:sz w:val="24"/>
          <w:szCs w:val="24"/>
          <w:highlight w:val="yellow"/>
        </w:rPr>
        <w:t>i</w:t>
      </w:r>
      <w:proofErr w:type="spellEnd"/>
      <w:r w:rsidRPr="001F70C3">
        <w:rPr>
          <w:rFonts w:ascii="Times New Roman" w:hAnsi="Times New Roman"/>
          <w:sz w:val="24"/>
          <w:szCs w:val="24"/>
          <w:highlight w:val="yellow"/>
        </w:rPr>
        <w:t xml:space="preserve"> in period t; </w:t>
      </w:r>
      <w:proofErr w:type="spellStart"/>
      <w:r w:rsidRPr="001F70C3">
        <w:rPr>
          <w:rFonts w:ascii="Times New Roman" w:hAnsi="Times New Roman"/>
          <w:sz w:val="24"/>
          <w:szCs w:val="24"/>
          <w:highlight w:val="yellow"/>
        </w:rPr>
        <w:t>ITPEit</w:t>
      </w:r>
      <w:proofErr w:type="spellEnd"/>
      <w:r w:rsidRPr="001F70C3">
        <w:rPr>
          <w:rFonts w:ascii="Times New Roman" w:hAnsi="Times New Roman"/>
          <w:sz w:val="24"/>
          <w:szCs w:val="24"/>
          <w:highlight w:val="yellow"/>
        </w:rPr>
        <w:t xml:space="preserve"> is  the IT personnel expenses of bank </w:t>
      </w:r>
      <w:proofErr w:type="spellStart"/>
      <w:r w:rsidRPr="001F70C3">
        <w:rPr>
          <w:rFonts w:ascii="Times New Roman" w:hAnsi="Times New Roman"/>
          <w:sz w:val="24"/>
          <w:szCs w:val="24"/>
          <w:highlight w:val="yellow"/>
        </w:rPr>
        <w:t>i</w:t>
      </w:r>
      <w:proofErr w:type="spellEnd"/>
      <w:r w:rsidRPr="001F70C3">
        <w:rPr>
          <w:rFonts w:ascii="Times New Roman" w:hAnsi="Times New Roman"/>
          <w:sz w:val="24"/>
          <w:szCs w:val="24"/>
          <w:highlight w:val="yellow"/>
        </w:rPr>
        <w:t xml:space="preserve"> in period t; </w:t>
      </w:r>
      <w:proofErr w:type="spellStart"/>
      <w:r w:rsidRPr="001F70C3">
        <w:rPr>
          <w:rFonts w:ascii="Times New Roman" w:hAnsi="Times New Roman"/>
          <w:sz w:val="24"/>
          <w:szCs w:val="24"/>
          <w:highlight w:val="yellow"/>
        </w:rPr>
        <w:t>ATMTit</w:t>
      </w:r>
      <w:proofErr w:type="spellEnd"/>
      <w:r w:rsidRPr="001F70C3">
        <w:rPr>
          <w:rFonts w:ascii="Times New Roman" w:hAnsi="Times New Roman"/>
          <w:sz w:val="24"/>
          <w:szCs w:val="24"/>
          <w:highlight w:val="yellow"/>
        </w:rPr>
        <w:t xml:space="preserve"> is the ATM transaction of bank </w:t>
      </w:r>
      <w:proofErr w:type="spellStart"/>
      <w:r w:rsidRPr="001F70C3">
        <w:rPr>
          <w:rFonts w:ascii="Times New Roman" w:hAnsi="Times New Roman"/>
          <w:sz w:val="24"/>
          <w:szCs w:val="24"/>
          <w:highlight w:val="yellow"/>
        </w:rPr>
        <w:t>i</w:t>
      </w:r>
      <w:proofErr w:type="spellEnd"/>
      <w:r w:rsidRPr="001F70C3">
        <w:rPr>
          <w:rFonts w:ascii="Times New Roman" w:hAnsi="Times New Roman"/>
          <w:sz w:val="24"/>
          <w:szCs w:val="24"/>
          <w:highlight w:val="yellow"/>
        </w:rPr>
        <w:t xml:space="preserve"> in period t; </w:t>
      </w:r>
      <w:proofErr w:type="spellStart"/>
      <w:r w:rsidRPr="001F70C3">
        <w:rPr>
          <w:rFonts w:ascii="Times New Roman" w:hAnsi="Times New Roman"/>
          <w:sz w:val="24"/>
          <w:szCs w:val="24"/>
          <w:highlight w:val="yellow"/>
        </w:rPr>
        <w:t>ATMEit</w:t>
      </w:r>
      <w:proofErr w:type="spellEnd"/>
      <w:r w:rsidRPr="001F70C3">
        <w:rPr>
          <w:rFonts w:ascii="Times New Roman" w:hAnsi="Times New Roman"/>
          <w:sz w:val="24"/>
          <w:szCs w:val="24"/>
          <w:highlight w:val="yellow"/>
        </w:rPr>
        <w:t xml:space="preserve"> is the ATM expenses of bank </w:t>
      </w:r>
      <w:proofErr w:type="spellStart"/>
      <w:r w:rsidRPr="001F70C3">
        <w:rPr>
          <w:rFonts w:ascii="Times New Roman" w:hAnsi="Times New Roman"/>
          <w:sz w:val="24"/>
          <w:szCs w:val="24"/>
          <w:highlight w:val="yellow"/>
        </w:rPr>
        <w:t>i</w:t>
      </w:r>
      <w:proofErr w:type="spellEnd"/>
      <w:r w:rsidRPr="001F70C3">
        <w:rPr>
          <w:rFonts w:ascii="Times New Roman" w:hAnsi="Times New Roman"/>
          <w:sz w:val="24"/>
          <w:szCs w:val="24"/>
          <w:highlight w:val="yellow"/>
        </w:rPr>
        <w:t xml:space="preserve"> in period t; CCT is the Credit Card Transaction of bank </w:t>
      </w:r>
      <w:proofErr w:type="spellStart"/>
      <w:r w:rsidRPr="001F70C3">
        <w:rPr>
          <w:rFonts w:ascii="Times New Roman" w:hAnsi="Times New Roman"/>
          <w:sz w:val="24"/>
          <w:szCs w:val="24"/>
          <w:highlight w:val="yellow"/>
        </w:rPr>
        <w:t>i</w:t>
      </w:r>
      <w:proofErr w:type="spellEnd"/>
      <w:r w:rsidRPr="001F70C3">
        <w:rPr>
          <w:rFonts w:ascii="Times New Roman" w:hAnsi="Times New Roman"/>
          <w:sz w:val="24"/>
          <w:szCs w:val="24"/>
          <w:highlight w:val="yellow"/>
        </w:rPr>
        <w:t xml:space="preserve"> in period t; CCE is the credit card expenses of bank </w:t>
      </w:r>
      <w:proofErr w:type="spellStart"/>
      <w:r w:rsidRPr="001F70C3">
        <w:rPr>
          <w:rFonts w:ascii="Times New Roman" w:hAnsi="Times New Roman"/>
          <w:sz w:val="24"/>
          <w:szCs w:val="24"/>
          <w:highlight w:val="yellow"/>
        </w:rPr>
        <w:t>i</w:t>
      </w:r>
      <w:proofErr w:type="spellEnd"/>
      <w:r w:rsidRPr="001F70C3">
        <w:rPr>
          <w:rFonts w:ascii="Times New Roman" w:hAnsi="Times New Roman"/>
          <w:sz w:val="24"/>
          <w:szCs w:val="24"/>
          <w:highlight w:val="yellow"/>
        </w:rPr>
        <w:t xml:space="preserve"> in period t. </w:t>
      </w:r>
      <w:proofErr w:type="spellStart"/>
      <w:r w:rsidRPr="001F70C3">
        <w:rPr>
          <w:rFonts w:ascii="Times New Roman" w:hAnsi="Times New Roman"/>
          <w:sz w:val="24"/>
          <w:szCs w:val="24"/>
          <w:highlight w:val="yellow"/>
        </w:rPr>
        <w:t>ξit</w:t>
      </w:r>
      <w:proofErr w:type="spellEnd"/>
      <w:r w:rsidR="008B15C9" w:rsidRPr="001F70C3">
        <w:rPr>
          <w:rFonts w:ascii="Times New Roman" w:hAnsi="Times New Roman"/>
          <w:sz w:val="24"/>
          <w:szCs w:val="24"/>
          <w:highlight w:val="yellow"/>
        </w:rPr>
        <w:t xml:space="preserve"> is the error term.</w:t>
      </w:r>
    </w:p>
    <w:p w14:paraId="2C721A95" w14:textId="77777777" w:rsidR="00467F97" w:rsidRPr="006D74FE" w:rsidRDefault="00467F97" w:rsidP="00A728A2">
      <w:pPr>
        <w:spacing w:after="0" w:line="240" w:lineRule="auto"/>
        <w:jc w:val="both"/>
        <w:rPr>
          <w:rFonts w:ascii="Times New Roman" w:hAnsi="Times New Roman"/>
          <w:sz w:val="24"/>
          <w:szCs w:val="24"/>
        </w:rPr>
      </w:pPr>
    </w:p>
    <w:p w14:paraId="505C6336" w14:textId="00F77273" w:rsidR="009045A0" w:rsidRPr="006D74FE" w:rsidRDefault="007B0882" w:rsidP="00A728A2">
      <w:pPr>
        <w:pStyle w:val="ListParagraph"/>
        <w:numPr>
          <w:ilvl w:val="0"/>
          <w:numId w:val="29"/>
        </w:numPr>
        <w:spacing w:line="240" w:lineRule="auto"/>
        <w:rPr>
          <w:rFonts w:ascii="Times New Roman" w:hAnsi="Times New Roman" w:cs="Times New Roman"/>
          <w:b/>
          <w:bCs/>
        </w:rPr>
      </w:pPr>
      <w:r w:rsidRPr="006D74FE">
        <w:rPr>
          <w:rFonts w:ascii="Times New Roman" w:hAnsi="Times New Roman" w:cs="Times New Roman"/>
          <w:b/>
          <w:bCs/>
        </w:rPr>
        <w:t>Result</w:t>
      </w:r>
      <w:r w:rsidR="001C7B30" w:rsidRPr="006D74FE">
        <w:rPr>
          <w:rFonts w:ascii="Times New Roman" w:hAnsi="Times New Roman" w:cs="Times New Roman"/>
          <w:b/>
          <w:bCs/>
        </w:rPr>
        <w:t>s</w:t>
      </w:r>
      <w:r w:rsidRPr="006D74FE">
        <w:rPr>
          <w:rFonts w:ascii="Times New Roman" w:hAnsi="Times New Roman" w:cs="Times New Roman"/>
          <w:b/>
          <w:bCs/>
        </w:rPr>
        <w:t xml:space="preserve"> and Discussion</w:t>
      </w:r>
      <w:r w:rsidR="00A109E8" w:rsidRPr="006D74FE">
        <w:rPr>
          <w:rFonts w:ascii="Times New Roman" w:hAnsi="Times New Roman" w:cs="Times New Roman"/>
          <w:b/>
          <w:bCs/>
        </w:rPr>
        <w:t xml:space="preserve"> </w:t>
      </w:r>
    </w:p>
    <w:p w14:paraId="2FEE45C6" w14:textId="77777777" w:rsidR="004C5F52" w:rsidRPr="006D74FE" w:rsidRDefault="004C5F52" w:rsidP="00A728A2">
      <w:pPr>
        <w:spacing w:after="0" w:line="240" w:lineRule="auto"/>
        <w:jc w:val="both"/>
        <w:rPr>
          <w:rFonts w:ascii="Times New Roman" w:hAnsi="Times New Roman"/>
          <w:b/>
          <w:bCs/>
          <w:sz w:val="24"/>
          <w:szCs w:val="24"/>
        </w:rPr>
      </w:pPr>
    </w:p>
    <w:p w14:paraId="06C2E5D6" w14:textId="40DA90C6" w:rsidR="00DF6E50" w:rsidRPr="006D74FE" w:rsidRDefault="008B15C9" w:rsidP="00A728A2">
      <w:pPr>
        <w:pStyle w:val="ListParagraph"/>
        <w:numPr>
          <w:ilvl w:val="0"/>
          <w:numId w:val="36"/>
        </w:numPr>
        <w:spacing w:line="240" w:lineRule="auto"/>
        <w:rPr>
          <w:rFonts w:ascii="Times New Roman" w:hAnsi="Times New Roman" w:cs="Times New Roman"/>
          <w:i/>
          <w:iCs/>
        </w:rPr>
      </w:pPr>
      <w:r w:rsidRPr="006D74FE">
        <w:rPr>
          <w:rFonts w:ascii="Times New Roman" w:hAnsi="Times New Roman" w:cs="Times New Roman"/>
          <w:i/>
          <w:iCs/>
        </w:rPr>
        <w:t xml:space="preserve">Cost and Profit Efficiency Results Based on </w:t>
      </w:r>
      <w:r w:rsidR="00E43679" w:rsidRPr="006D74FE">
        <w:rPr>
          <w:rFonts w:ascii="Times New Roman" w:hAnsi="Times New Roman" w:cs="Times New Roman"/>
          <w:i/>
          <w:iCs/>
        </w:rPr>
        <w:t xml:space="preserve">Cobb-Douglas and </w:t>
      </w:r>
      <w:proofErr w:type="spellStart"/>
      <w:r w:rsidR="00E43679" w:rsidRPr="006D74FE">
        <w:rPr>
          <w:rFonts w:ascii="Times New Roman" w:hAnsi="Times New Roman" w:cs="Times New Roman"/>
          <w:i/>
          <w:iCs/>
        </w:rPr>
        <w:t>Tra</w:t>
      </w:r>
      <w:r w:rsidR="005750AE" w:rsidRPr="006D74FE">
        <w:rPr>
          <w:rFonts w:ascii="Times New Roman" w:hAnsi="Times New Roman" w:cs="Times New Roman"/>
          <w:i/>
          <w:iCs/>
        </w:rPr>
        <w:t>nslog</w:t>
      </w:r>
      <w:proofErr w:type="spellEnd"/>
      <w:r w:rsidR="005750AE" w:rsidRPr="006D74FE">
        <w:rPr>
          <w:rFonts w:ascii="Times New Roman" w:hAnsi="Times New Roman" w:cs="Times New Roman"/>
          <w:i/>
          <w:iCs/>
        </w:rPr>
        <w:t xml:space="preserve"> Stochastic Frontier Models</w:t>
      </w:r>
    </w:p>
    <w:p w14:paraId="1BF0DD7D" w14:textId="77777777" w:rsidR="00DF6E50" w:rsidRPr="006D74FE" w:rsidRDefault="00DF6E50" w:rsidP="00A728A2">
      <w:pPr>
        <w:spacing w:line="240" w:lineRule="auto"/>
        <w:jc w:val="both"/>
        <w:rPr>
          <w:rFonts w:ascii="Times New Roman" w:hAnsi="Times New Roman"/>
          <w:i/>
          <w:iCs/>
          <w:sz w:val="24"/>
          <w:szCs w:val="24"/>
        </w:rPr>
      </w:pPr>
    </w:p>
    <w:p w14:paraId="39F6A35C" w14:textId="4D0846EE" w:rsidR="009045A0" w:rsidRPr="006D74FE" w:rsidRDefault="008B4A76" w:rsidP="00A728A2">
      <w:pPr>
        <w:spacing w:after="0" w:line="240" w:lineRule="auto"/>
        <w:jc w:val="both"/>
        <w:rPr>
          <w:rFonts w:ascii="Times New Roman" w:hAnsi="Times New Roman"/>
          <w:sz w:val="24"/>
          <w:szCs w:val="24"/>
        </w:rPr>
      </w:pPr>
      <w:r w:rsidRPr="001F70C3">
        <w:rPr>
          <w:rFonts w:ascii="Times New Roman" w:hAnsi="Times New Roman"/>
          <w:sz w:val="24"/>
          <w:szCs w:val="24"/>
          <w:highlight w:val="yellow"/>
        </w:rPr>
        <w:t xml:space="preserve">The results of maximum likelihood estimates using stochastic Cobb-Douglas and </w:t>
      </w:r>
      <w:proofErr w:type="spellStart"/>
      <w:r w:rsidRPr="001F70C3">
        <w:rPr>
          <w:rFonts w:ascii="Times New Roman" w:hAnsi="Times New Roman"/>
          <w:sz w:val="24"/>
          <w:szCs w:val="24"/>
          <w:highlight w:val="yellow"/>
        </w:rPr>
        <w:t>Translog</w:t>
      </w:r>
      <w:proofErr w:type="spellEnd"/>
      <w:r w:rsidRPr="001F70C3">
        <w:rPr>
          <w:rFonts w:ascii="Times New Roman" w:hAnsi="Times New Roman"/>
          <w:sz w:val="24"/>
          <w:szCs w:val="24"/>
          <w:highlight w:val="yellow"/>
        </w:rPr>
        <w:t xml:space="preserve"> cost and profit frontier models of the PCBs are given in Table</w:t>
      </w:r>
      <w:r w:rsidR="009812C5" w:rsidRPr="001F70C3">
        <w:rPr>
          <w:rFonts w:ascii="Times New Roman" w:hAnsi="Times New Roman"/>
          <w:sz w:val="24"/>
          <w:szCs w:val="24"/>
          <w:highlight w:val="yellow"/>
        </w:rPr>
        <w:t xml:space="preserve"> </w:t>
      </w:r>
      <w:r w:rsidRPr="001F70C3">
        <w:rPr>
          <w:rFonts w:ascii="Times New Roman" w:hAnsi="Times New Roman"/>
          <w:sz w:val="24"/>
          <w:szCs w:val="24"/>
          <w:highlight w:val="yellow"/>
        </w:rPr>
        <w:t xml:space="preserve">1. In the Cobb-Douglas cost frontier model, the loan with β1 </w:t>
      </w:r>
      <w:r w:rsidR="00017972" w:rsidRPr="001F70C3">
        <w:rPr>
          <w:rFonts w:ascii="Times New Roman" w:hAnsi="Times New Roman"/>
          <w:sz w:val="24"/>
          <w:szCs w:val="24"/>
          <w:highlight w:val="yellow"/>
        </w:rPr>
        <w:t>(0.554) wa</w:t>
      </w:r>
      <w:r w:rsidRPr="001F70C3">
        <w:rPr>
          <w:rFonts w:ascii="Times New Roman" w:hAnsi="Times New Roman"/>
          <w:sz w:val="24"/>
          <w:szCs w:val="24"/>
          <w:highlight w:val="yellow"/>
        </w:rPr>
        <w:t xml:space="preserve">s positively significant implies that bank reduce their cost from loan given to the customer by making proper collection efforts. </w:t>
      </w:r>
      <w:r w:rsidR="00944344" w:rsidRPr="001F70C3">
        <w:rPr>
          <w:rFonts w:ascii="Times New Roman" w:hAnsi="Times New Roman"/>
          <w:sz w:val="24"/>
          <w:szCs w:val="24"/>
          <w:highlight w:val="yellow"/>
        </w:rPr>
        <w:t>T</w:t>
      </w:r>
      <w:r w:rsidRPr="001F70C3">
        <w:rPr>
          <w:rFonts w:ascii="Times New Roman" w:hAnsi="Times New Roman"/>
          <w:sz w:val="24"/>
          <w:szCs w:val="24"/>
          <w:highlight w:val="yellow"/>
        </w:rPr>
        <w:t>he input</w:t>
      </w:r>
      <w:r w:rsidR="00944344" w:rsidRPr="001F70C3">
        <w:rPr>
          <w:rFonts w:ascii="Times New Roman" w:hAnsi="Times New Roman"/>
          <w:sz w:val="24"/>
          <w:szCs w:val="24"/>
          <w:highlight w:val="yellow"/>
        </w:rPr>
        <w:t>,</w:t>
      </w:r>
      <w:r w:rsidRPr="001F70C3">
        <w:rPr>
          <w:rFonts w:ascii="Times New Roman" w:hAnsi="Times New Roman"/>
          <w:sz w:val="24"/>
          <w:szCs w:val="24"/>
          <w:highlight w:val="yellow"/>
        </w:rPr>
        <w:t xml:space="preserve"> price of fixed assets β4 </w:t>
      </w:r>
      <w:r w:rsidR="00017972" w:rsidRPr="001F70C3">
        <w:rPr>
          <w:rFonts w:ascii="Times New Roman" w:hAnsi="Times New Roman"/>
          <w:sz w:val="24"/>
          <w:szCs w:val="24"/>
          <w:highlight w:val="yellow"/>
        </w:rPr>
        <w:t xml:space="preserve">(0.09) was </w:t>
      </w:r>
      <w:r w:rsidRPr="001F70C3">
        <w:rPr>
          <w:rFonts w:ascii="Times New Roman" w:hAnsi="Times New Roman"/>
          <w:sz w:val="24"/>
          <w:szCs w:val="24"/>
          <w:highlight w:val="yellow"/>
        </w:rPr>
        <w:t>positively significant implying that they had been a positive influence on the bank’s cost model</w:t>
      </w:r>
      <w:r w:rsidR="001F70C3">
        <w:rPr>
          <w:rFonts w:ascii="Times New Roman" w:hAnsi="Times New Roman"/>
          <w:sz w:val="24"/>
          <w:szCs w:val="24"/>
          <w:highlight w:val="yellow"/>
        </w:rPr>
        <w:t xml:space="preserve"> (</w:t>
      </w:r>
      <w:r w:rsidR="001F70C3" w:rsidRPr="001F70C3">
        <w:rPr>
          <w:rFonts w:ascii="Times New Roman" w:hAnsi="Times New Roman"/>
          <w:sz w:val="24"/>
          <w:szCs w:val="24"/>
        </w:rPr>
        <w:t>https://eur-lex.europa.eu/legal-content/EN/TXT/?uri=CELEX:52016SC0377</w:t>
      </w:r>
      <w:r w:rsidR="001F70C3">
        <w:rPr>
          <w:rFonts w:ascii="Times New Roman" w:hAnsi="Times New Roman"/>
          <w:sz w:val="24"/>
          <w:szCs w:val="24"/>
        </w:rPr>
        <w:t>)</w:t>
      </w:r>
      <w:r w:rsidRPr="001F70C3">
        <w:rPr>
          <w:rFonts w:ascii="Times New Roman" w:hAnsi="Times New Roman"/>
          <w:sz w:val="24"/>
          <w:szCs w:val="24"/>
          <w:highlight w:val="yellow"/>
        </w:rPr>
        <w:t xml:space="preserve">. On the other hand, only the output variable off-balance sheet </w:t>
      </w:r>
      <w:r w:rsidR="00017972" w:rsidRPr="001F70C3">
        <w:rPr>
          <w:rFonts w:ascii="Times New Roman" w:hAnsi="Times New Roman"/>
          <w:sz w:val="24"/>
          <w:szCs w:val="24"/>
          <w:highlight w:val="yellow"/>
        </w:rPr>
        <w:t>item</w:t>
      </w:r>
      <w:r w:rsidR="00C10554" w:rsidRPr="001F70C3">
        <w:rPr>
          <w:rFonts w:ascii="Times New Roman" w:hAnsi="Times New Roman"/>
          <w:sz w:val="24"/>
          <w:szCs w:val="24"/>
          <w:highlight w:val="yellow"/>
        </w:rPr>
        <w:t xml:space="preserve"> </w:t>
      </w:r>
      <w:r w:rsidR="00017972" w:rsidRPr="001F70C3">
        <w:rPr>
          <w:rFonts w:ascii="Times New Roman" w:hAnsi="Times New Roman"/>
          <w:sz w:val="24"/>
          <w:szCs w:val="24"/>
          <w:highlight w:val="yellow"/>
        </w:rPr>
        <w:t>was</w:t>
      </w:r>
      <w:r w:rsidRPr="001F70C3">
        <w:rPr>
          <w:rFonts w:ascii="Times New Roman" w:hAnsi="Times New Roman"/>
          <w:sz w:val="24"/>
          <w:szCs w:val="24"/>
          <w:highlight w:val="yellow"/>
        </w:rPr>
        <w:t xml:space="preserve"> </w:t>
      </w:r>
      <w:r w:rsidR="00C10554" w:rsidRPr="001F70C3">
        <w:rPr>
          <w:rFonts w:ascii="Times New Roman" w:hAnsi="Times New Roman"/>
          <w:sz w:val="24"/>
          <w:szCs w:val="24"/>
          <w:highlight w:val="yellow"/>
        </w:rPr>
        <w:t xml:space="preserve">found </w:t>
      </w:r>
      <w:r w:rsidRPr="001F70C3">
        <w:rPr>
          <w:rFonts w:ascii="Times New Roman" w:hAnsi="Times New Roman"/>
          <w:sz w:val="24"/>
          <w:szCs w:val="24"/>
          <w:highlight w:val="yellow"/>
        </w:rPr>
        <w:t>negatively significant with β2 (-2.767) implie</w:t>
      </w:r>
      <w:r w:rsidR="00C10554" w:rsidRPr="001F70C3">
        <w:rPr>
          <w:rFonts w:ascii="Times New Roman" w:hAnsi="Times New Roman"/>
          <w:sz w:val="24"/>
          <w:szCs w:val="24"/>
          <w:highlight w:val="yellow"/>
        </w:rPr>
        <w:t>d</w:t>
      </w:r>
      <w:r w:rsidR="00C81B94" w:rsidRPr="001F70C3">
        <w:rPr>
          <w:rFonts w:ascii="Times New Roman" w:hAnsi="Times New Roman"/>
          <w:sz w:val="24"/>
          <w:szCs w:val="24"/>
          <w:highlight w:val="yellow"/>
        </w:rPr>
        <w:t xml:space="preserve"> that off-balance sheet item had</w:t>
      </w:r>
      <w:r w:rsidRPr="001F70C3">
        <w:rPr>
          <w:rFonts w:ascii="Times New Roman" w:hAnsi="Times New Roman"/>
          <w:sz w:val="24"/>
          <w:szCs w:val="24"/>
          <w:highlight w:val="yellow"/>
        </w:rPr>
        <w:t xml:space="preserve"> not a great influence on the bank’</w:t>
      </w:r>
      <w:r w:rsidR="00CF018D" w:rsidRPr="001F70C3">
        <w:rPr>
          <w:rFonts w:ascii="Times New Roman" w:hAnsi="Times New Roman"/>
          <w:sz w:val="24"/>
          <w:szCs w:val="24"/>
          <w:highlight w:val="yellow"/>
        </w:rPr>
        <w:t>s cost</w:t>
      </w:r>
      <w:r w:rsidRPr="001F70C3">
        <w:rPr>
          <w:rFonts w:ascii="Times New Roman" w:hAnsi="Times New Roman"/>
          <w:sz w:val="24"/>
          <w:szCs w:val="24"/>
          <w:highlight w:val="yellow"/>
        </w:rPr>
        <w:t xml:space="preserve">. The square of inputs, the price of fund β33 (-0.106) was negatively significant and the price of fixed assets β44 </w:t>
      </w:r>
      <w:r w:rsidR="00017972" w:rsidRPr="001F70C3">
        <w:rPr>
          <w:rFonts w:ascii="Times New Roman" w:hAnsi="Times New Roman"/>
          <w:sz w:val="24"/>
          <w:szCs w:val="24"/>
          <w:highlight w:val="yellow"/>
        </w:rPr>
        <w:t xml:space="preserve">(0.623) was </w:t>
      </w:r>
      <w:r w:rsidRPr="001F70C3">
        <w:rPr>
          <w:rFonts w:ascii="Times New Roman" w:hAnsi="Times New Roman"/>
          <w:sz w:val="24"/>
          <w:szCs w:val="24"/>
          <w:highlight w:val="yellow"/>
        </w:rPr>
        <w:t>positively significant.</w:t>
      </w:r>
      <w:r w:rsidRPr="006D74FE">
        <w:rPr>
          <w:rFonts w:ascii="Times New Roman" w:hAnsi="Times New Roman"/>
          <w:sz w:val="24"/>
          <w:szCs w:val="24"/>
        </w:rPr>
        <w:t xml:space="preserve"> </w:t>
      </w:r>
      <w:r w:rsidRPr="00421D85">
        <w:rPr>
          <w:rFonts w:ascii="Times New Roman" w:hAnsi="Times New Roman"/>
          <w:sz w:val="24"/>
          <w:szCs w:val="24"/>
          <w:highlight w:val="cyan"/>
        </w:rPr>
        <w:t>The interaction term of input price and outputs, loan &amp; off-balance sheet items β12 (0.284), loan &amp; price of fixed assets β14 (0.244), loan &amp;</w:t>
      </w:r>
      <w:r w:rsidR="00C81B94" w:rsidRPr="00421D85">
        <w:rPr>
          <w:rFonts w:ascii="Times New Roman" w:hAnsi="Times New Roman"/>
          <w:sz w:val="24"/>
          <w:szCs w:val="24"/>
          <w:highlight w:val="cyan"/>
        </w:rPr>
        <w:t xml:space="preserve"> </w:t>
      </w:r>
      <w:r w:rsidRPr="00421D85">
        <w:rPr>
          <w:rFonts w:ascii="Times New Roman" w:hAnsi="Times New Roman"/>
          <w:sz w:val="24"/>
          <w:szCs w:val="24"/>
          <w:highlight w:val="cyan"/>
        </w:rPr>
        <w:t>price of labor β15 (0.619) wer</w:t>
      </w:r>
      <w:r w:rsidR="006C1774" w:rsidRPr="00421D85">
        <w:rPr>
          <w:rFonts w:ascii="Times New Roman" w:hAnsi="Times New Roman"/>
          <w:sz w:val="24"/>
          <w:szCs w:val="24"/>
          <w:highlight w:val="cyan"/>
        </w:rPr>
        <w:t>e positively significant where o</w:t>
      </w:r>
      <w:r w:rsidRPr="00421D85">
        <w:rPr>
          <w:rFonts w:ascii="Times New Roman" w:hAnsi="Times New Roman"/>
          <w:sz w:val="24"/>
          <w:szCs w:val="24"/>
          <w:highlight w:val="cyan"/>
        </w:rPr>
        <w:t>ff-balance sheet item &amp; price of labor β25 (-</w:t>
      </w:r>
      <w:r w:rsidRPr="00421D85">
        <w:rPr>
          <w:rFonts w:ascii="Times New Roman" w:hAnsi="Times New Roman"/>
          <w:sz w:val="24"/>
          <w:szCs w:val="24"/>
          <w:highlight w:val="cyan"/>
        </w:rPr>
        <w:lastRenderedPageBreak/>
        <w:t>0.753), price of fund &amp; price of labor β35 (-0.152) and price of fixed assets &amp; price of labor β45 (-0.442)</w:t>
      </w:r>
      <w:r w:rsidR="006C1774" w:rsidRPr="00421D85">
        <w:rPr>
          <w:rFonts w:ascii="Times New Roman" w:hAnsi="Times New Roman"/>
          <w:sz w:val="24"/>
          <w:szCs w:val="24"/>
          <w:highlight w:val="cyan"/>
        </w:rPr>
        <w:t xml:space="preserve"> were</w:t>
      </w:r>
      <w:r w:rsidRPr="00421D85">
        <w:rPr>
          <w:rFonts w:ascii="Times New Roman" w:hAnsi="Times New Roman"/>
          <w:sz w:val="24"/>
          <w:szCs w:val="24"/>
          <w:highlight w:val="cyan"/>
        </w:rPr>
        <w:t xml:space="preserve"> found negatively significant for the cost model. In Cobb-Douglas cost frontier model, the input price variable, price of fund was </w:t>
      </w:r>
      <w:r w:rsidR="006C1774" w:rsidRPr="00421D85">
        <w:rPr>
          <w:rFonts w:ascii="Times New Roman" w:hAnsi="Times New Roman"/>
          <w:sz w:val="24"/>
          <w:szCs w:val="24"/>
          <w:highlight w:val="cyan"/>
        </w:rPr>
        <w:t xml:space="preserve">found </w:t>
      </w:r>
      <w:r w:rsidRPr="00421D85">
        <w:rPr>
          <w:rFonts w:ascii="Times New Roman" w:hAnsi="Times New Roman"/>
          <w:sz w:val="24"/>
          <w:szCs w:val="24"/>
          <w:highlight w:val="cyan"/>
        </w:rPr>
        <w:t>negative</w:t>
      </w:r>
      <w:r w:rsidR="006C1774" w:rsidRPr="00421D85">
        <w:rPr>
          <w:rFonts w:ascii="Times New Roman" w:hAnsi="Times New Roman"/>
          <w:sz w:val="24"/>
          <w:szCs w:val="24"/>
          <w:highlight w:val="cyan"/>
        </w:rPr>
        <w:t>ly</w:t>
      </w:r>
      <w:r w:rsidRPr="00421D85">
        <w:rPr>
          <w:rFonts w:ascii="Times New Roman" w:hAnsi="Times New Roman"/>
          <w:sz w:val="24"/>
          <w:szCs w:val="24"/>
          <w:highlight w:val="cyan"/>
        </w:rPr>
        <w:t xml:space="preserve"> significant with</w:t>
      </w:r>
      <w:r w:rsidR="006C1774" w:rsidRPr="00421D85">
        <w:rPr>
          <w:rFonts w:ascii="Times New Roman" w:hAnsi="Times New Roman"/>
          <w:sz w:val="24"/>
          <w:szCs w:val="24"/>
          <w:highlight w:val="cyan"/>
        </w:rPr>
        <w:t xml:space="preserve"> the coefficient of</w:t>
      </w:r>
      <w:r w:rsidRPr="00421D85">
        <w:rPr>
          <w:rFonts w:ascii="Times New Roman" w:hAnsi="Times New Roman"/>
          <w:sz w:val="24"/>
          <w:szCs w:val="24"/>
          <w:highlight w:val="cyan"/>
        </w:rPr>
        <w:t xml:space="preserve"> β3 (-0.149) seems to s</w:t>
      </w:r>
      <w:r w:rsidR="00FA4F9C" w:rsidRPr="00421D85">
        <w:rPr>
          <w:rFonts w:ascii="Times New Roman" w:hAnsi="Times New Roman"/>
          <w:sz w:val="24"/>
          <w:szCs w:val="24"/>
          <w:highlight w:val="cyan"/>
        </w:rPr>
        <w:t>uggest that the price of fund have</w:t>
      </w:r>
      <w:r w:rsidRPr="00421D85">
        <w:rPr>
          <w:rFonts w:ascii="Times New Roman" w:hAnsi="Times New Roman"/>
          <w:sz w:val="24"/>
          <w:szCs w:val="24"/>
          <w:highlight w:val="cyan"/>
        </w:rPr>
        <w:t xml:space="preserve"> impacted negatively to total operating cost.  In Cobb-Douglas profit frontier model, only the price of labor was negatively significant with β5 (-0.153) suggest that</w:t>
      </w:r>
      <w:r w:rsidR="00CF018D" w:rsidRPr="00421D85">
        <w:rPr>
          <w:rFonts w:ascii="Times New Roman" w:hAnsi="Times New Roman"/>
          <w:sz w:val="24"/>
          <w:szCs w:val="24"/>
          <w:highlight w:val="cyan"/>
        </w:rPr>
        <w:t xml:space="preserve"> banks may be overstaffed.</w:t>
      </w:r>
      <w:r w:rsidRPr="006D74FE">
        <w:rPr>
          <w:rFonts w:ascii="Times New Roman" w:hAnsi="Times New Roman"/>
          <w:sz w:val="24"/>
          <w:szCs w:val="24"/>
        </w:rPr>
        <w:t xml:space="preserve"> </w:t>
      </w:r>
      <w:r w:rsidRPr="000B65F7">
        <w:rPr>
          <w:rFonts w:ascii="Times New Roman" w:hAnsi="Times New Roman"/>
          <w:sz w:val="24"/>
          <w:szCs w:val="24"/>
          <w:highlight w:val="yellow"/>
        </w:rPr>
        <w:t xml:space="preserve">In the </w:t>
      </w:r>
      <w:proofErr w:type="spellStart"/>
      <w:r w:rsidRPr="000B65F7">
        <w:rPr>
          <w:rFonts w:ascii="Times New Roman" w:hAnsi="Times New Roman"/>
          <w:sz w:val="24"/>
          <w:szCs w:val="24"/>
          <w:highlight w:val="yellow"/>
        </w:rPr>
        <w:t>Translog</w:t>
      </w:r>
      <w:proofErr w:type="spellEnd"/>
      <w:r w:rsidRPr="000B65F7">
        <w:rPr>
          <w:rFonts w:ascii="Times New Roman" w:hAnsi="Times New Roman"/>
          <w:sz w:val="24"/>
          <w:szCs w:val="24"/>
          <w:highlight w:val="yellow"/>
        </w:rPr>
        <w:t xml:space="preserve"> Stochastic profit frontier model, the variable off-balance sheet items β2 (-1.156) was negatively significant and the inputs, the price of fund β3 (2.295) was positively significant. The square input price of </w:t>
      </w:r>
      <w:proofErr w:type="spellStart"/>
      <w:r w:rsidRPr="000B65F7">
        <w:rPr>
          <w:rFonts w:ascii="Times New Roman" w:hAnsi="Times New Roman"/>
          <w:sz w:val="24"/>
          <w:szCs w:val="24"/>
          <w:highlight w:val="yellow"/>
        </w:rPr>
        <w:t>labour</w:t>
      </w:r>
      <w:proofErr w:type="spellEnd"/>
      <w:r w:rsidRPr="000B65F7">
        <w:rPr>
          <w:rFonts w:ascii="Times New Roman" w:hAnsi="Times New Roman"/>
          <w:sz w:val="24"/>
          <w:szCs w:val="24"/>
          <w:highlight w:val="yellow"/>
        </w:rPr>
        <w:t xml:space="preserve"> β55 (-0.325) shown highly negatively significant and also the mixed product, off-balance sheet items &amp; price of fund β23 (-0.212), off-balance sheet items &amp; price of fixed assets β24 (-0.237) were negatively significant and loan &amp; off-balance sheet items β12 (0.148) and Price of fixed assets &amp; price of labor β45 (0.449) were found positively significant. These results were supported by</w:t>
      </w:r>
      <w:r w:rsidR="00C83E70" w:rsidRPr="000B65F7">
        <w:rPr>
          <w:rFonts w:ascii="Times New Roman" w:hAnsi="Times New Roman"/>
          <w:sz w:val="24"/>
          <w:szCs w:val="24"/>
          <w:highlight w:val="yellow"/>
        </w:rPr>
        <w:t xml:space="preserve"> </w:t>
      </w:r>
      <w:r w:rsidR="00C83E70" w:rsidRPr="000B65F7">
        <w:rPr>
          <w:rFonts w:ascii="Times New Roman" w:hAnsi="Times New Roman"/>
          <w:sz w:val="24"/>
          <w:szCs w:val="24"/>
          <w:highlight w:val="yellow"/>
        </w:rPr>
        <w:fldChar w:fldCharType="begin" w:fldLock="1"/>
      </w:r>
      <w:r w:rsidR="00B77167" w:rsidRPr="000B65F7">
        <w:rPr>
          <w:rFonts w:ascii="Times New Roman" w:hAnsi="Times New Roman"/>
          <w:sz w:val="24"/>
          <w:szCs w:val="24"/>
          <w:highlight w:val="yellow"/>
        </w:rPr>
        <w:instrText>ADDIN CSL_CITATION {"citationItems":[{"id":"ITEM-1","itemData":{"DOI":"10.1080/00036840902984381","ISSN":"00036846","abstract":"This study employs Stochastic Frontier Analysis (SFA) to analyse Malaysian commercial banks during 1996-2002, and particularly focuses on determining the impact of Islamic banking on performance. We derive both net and gross efficiency estimates, thereby demonstrating that differences in operating characteristics explain much of the difference in costs between Malaysian banks. We also decompose productivity change into efficiency, technical, and scale change using a generalized Malmquist productivity index. On average, Malaysian banks experience moderate scale economies and annual productivity change of 2.68%, with the latter driven primarily by Technical Change (TC), which has declined over time. Our gross efficiency estimates suggest that Islamic banking is associated with higher input requirements. However, our productivity estimates indicate that full-fledged Islamic banks have overcome some of these cost disadvantages with rapid TC, although this is not the case for conventional banks operating Islamic windows. Merged banks are found to have higher input usage and lower productivity change, suggesting that bank mergers have not contributed positively to bank performance. Finally, our results suggest that while the East Asian financial crisis had a short-term costreducing effect in 1998, the crisis triggered a long-lasting negative impact by increasing the volume of nonperforming loans. © 2011 Taylor &amp; Francis.","author":[{"dropping-particle":"","family":"Abdul-Majid","given":"Mariani","non-dropping-particle":"","parse-names":false,"suffix":""},{"dropping-particle":"","family":"Saal","given":"David S.","non-dropping-particle":"","parse-names":false,"suffix":""},{"dropping-particle":"","family":"Battisti","given":"Giuliana","non-dropping-particle":"","parse-names":false,"suffix":""}],"container-title":"Applied Economics","id":"ITEM-1","issue":"16","issued":{"date-parts":[["2011","6"]]},"page":"2033-2054","publisher":" Routledge ","title":"The impact of islamic banking on the cost efficiency and productivity change of Malaysian commercial banks","type":"article-journal","volume":"43"},"uris":["http://www.mendeley.com/documents/?uuid=8e89a962-93d6-3f92-a2c6-86c942095153"]},{"id":"ITEM-2","itemData":{"DOI":"10.12816/0028312","ISSN":"20704658","author":[{"dropping-particle":"","family":"Ara","given":"Shamim","non-dropping-particle":"","parse-names":false,"suffix":""}],"container-title":"Journal of Islamic Economics Banking and Finance","id":"ITEM-2","issue":"1","issued":{"date-parts":[["2016"]]},"page":"63-89","publisher":"Al Manhal FZ, LLC","title":"Profit and Cost Efficiencies of Conventional Banking ( CB ) and Islamic Banking ( IB ) Using Stochastic Frontier Approach : A Comparative Study","type":"article-journal","volume":"12"},"uris":["http://www.mendeley.com/documents/?uuid=3ecfab17-a03c-3bb4-ac0c-d4ced71b2aba"]},{"id":"ITEM-3","itemData":{"ISSN":"12045357","abstract":"Are Islamic online banks stable and efficient? This paper addresses this question. Parametric technique, Stochastic Frontier Analysis is used to evaluate and compare the cost and profit efficiency of the Islamic banks in Bangladesh over the period of 2001- 2010. The specification of functional forms of Translog stochastic cost and profit frontier models are developed. Translog stochastic cost and profit frontier models were found preferable than Cobb-Douglas production function. In case of cost model, other earning assets are found negative but significant and price of labor is observed positive and significant. On the other hand, price of fund with the value of (-0.421) is found significant and negative for profit model, suggest that bank can control more personnel expenses than depositor profit expenses. The year-wise average cost inefficiency and profit efficiency were observed 43.9% and 82% respectively. IBBL was recorded as the most profit efficient bank and ICB limited bank was observed as the most cost inefficient bank. IBBL, Al-Arafah and EXIM banks were more stable in terms of cost efficient than other Islamic banks. © Azizul Baten and Shakera Begum, 2014.","author":[{"dropping-particle":"","family":"Baten","given":"Azizul","non-dropping-particle":"","parse-names":false,"suffix":""},{"dropping-particle":"","family":"Begum","given":"Shakera","non-dropping-particle":"","parse-names":false,"suffix":""}],"container-title":"Journal of Internet Banking and Commerce","id":"ITEM-3","issue":"1","issued":{"date-parts":[["2014"]]},"title":"Stochastic frontier model for cost and profit efficiency of islamic online banks","type":"article-journal","volume":"19"},"uris":["http://www.mendeley.com/documents/?uuid=0f31a376-079c-30ed-938f-2d40f1dc9c6d"]},{"id":"ITEM-4","itemData":{"DOI":"10.4172/1204-5357.1000138","ISSN":"12045357","abstract":"This study employs the parametric approach, in particular the Stochastic Frontier Approach, to examine the cost and profit efficiency of National Commercial Banks and Private Banks in Bangladesh using stochastic frontier model. The cost inefficiency and profit efficiency are observed slightly higher for private banks than national commercial banks. The coefficient of advance (0.334) is highly significant at 1% level and the coefficient of off-balance sheet items (0.339) is significant at 5% level. Both results are positive influence to the banks for cost model. The coefficients of Advance, Other earning assets, Off-balance sheet items, Price of fixed assets and Price of labour are recorded highly significant in profit model. The average cost inefficiency and profit efficiency are observed 16.3% and 91% respectively. The lowest cost inefficiency is 5.3% for United Commercial Bank Limited while the highest cost inefficiency is 44.7% for Janata Bank. The lowest profit efficiency is 76.9% for Janata Bank while the highest profit efficiency is 94.9% for Eastern Bank Limited.","author":[{"dropping-particle":"","family":"Baten","given":"M. A.","non-dropping-particle":"","parse-names":false,"suffix":""},{"dropping-particle":"","family":"Kasim","given":"M. M.","non-dropping-particle":"","parse-names":false,"suffix":""},{"dropping-particle":"","family":"Rahman","given":"M.","non-dropping-particle":"","parse-names":false,"suffix":""}],"container-title":"Journal of Internet Banking and Commerce","id":"ITEM-4","issue":"3","issued":{"date-parts":[["2015"]]},"title":"Cost and profit efficiency of online banks: Do national commercial banks perform better than private banks","type":"article-journal","volume":"20"},"uris":["http://www.mendeley.com/documents/?uuid=b473ba9d-9197-34b5-8817-1c5f245faf82"]},{"id":"ITEM-5","itemData":{"abstract":"Banking industry dominates the financial sector of Bangladesh with an approximate share of 74% of the total intermediation. In recent years, this industry is at high risk due to supervision gaps, overcapacity and market distortions. Therefore, measuring the efficiency of the banking industry is critically important to identify poor banks and bring stability by concentrating on their performance. This study employs single stage stochastic frontier analysis (SFA) to measure the cost efficiency in the Bangladeshi banking sector during the 2011-2015 period. Five different stochastic models are used across the 35 sample banks. Evidence suggests that the mean cost efficiency found in the Bangladeshi banking sector is 88.50%. The mean efficiency is lower among the state-owned banks than conventional (private) commercial banks and Islamic Sariah banks. From the analysis, it seems that there is a low technological advancement in the banking sector during 2011-2015. Further, the analysis indicates that non-performing loans have a significant effect in reducing the overall cost efficiency among the banks.","author":[{"dropping-particle":"","family":"Hassan","given":"Md. Hashibul","non-dropping-particle":"","parse-names":false,"suffix":""},{"dropping-particle":"","family":"Hassan","given":"Mahmudul","non-dropping-particle":"","parse-names":false,"suffix":""}],"container-title":"Asian Journal of Empirical Research","id":"ITEM-5","issue":"6","issued":{"date-parts":[["2018"]]},"page":"208-224","publisher":"Asian Economic and Social Society","title":"Cost efficiency of banking sector of Bangladesh: evidence using the stochastic frontier analysis","type":"article-journal","volume":"8"},"uris":["http://www.mendeley.com/documents/?uuid=8c7cc267-8aeb-383b-b2a1-db9ca1a2195c"]},{"id":"ITEM-6","itemData":{"DOI":"10.1016/S0161-8938(02)00174-6","ISSN":"01618938","abstract":"The paper estimates empirically cost efficiency of the Greek banking system for the period 1993-1998. The beginning of the examination period coincides with the acceleration of liberalization and deregulation of the Greek financial system, in view of the country joining the EMU. The study uses a multi-input, multi-output technology and adopts a heteroscedastic frontier model instead of a commonly used homoscedastic one to measure cost efficiency in the banking system. The empirical results show that larger banks are less efficient than smaller ones. Also, it is found that economic performance, bank loans and investments are positive related to the cost efficiency of the Greek commercial banking sector. © 2002 Society for Policy Modeling. Published by Elsevier Science Inc. All rights reserved.","author":[{"dropping-particle":"","family":"Christopoulos","given":"Dimitris K.","non-dropping-particle":"","parse-names":false,"suffix":""},{"dropping-particle":"","family":"Lolos","given":"Sarantis E.G.","non-dropping-particle":"","parse-names":false,"suffix":""},{"dropping-particle":"","family":"Tsionas","given":"Efthymios G.","non-dropping-particle":"","parse-names":false,"suffix":""}],"container-title":"Journal of Policy Modeling","id":"ITEM-6","issue":"9","issued":{"date-parts":[["2002","12","1"]]},"page":"813-829","publisher":"Elsevier","title":"Efficiency of the Greek banking system in view of the EMU: A heteroscedastic stochastic frontier approach","type":"article-journal","volume":"24"},"uris":["http://www.mendeley.com/documents/?uuid=698da37c-8f54-3839-af3a-a782ff68f74e"]},{"id":"ITEM-7","itemData":{"DOI":"10.1080/1406099x.2009.10840462","ISSN":"1406099X","abstract":"This article examines bank cost efficiency for five new EU Member States from Central and Eastern Europe and the three Baltic States for the period 1996 - 2006. The banking sectors in the selected set of countries had undergone a remarkable transformation before they achieved EU membership in 2004. We study cost efficiency differences between countries as well as efficiency improvements fostered by intense legislative and regulatory changes and extensive structural and institutional reforms carried out simultaneously. By employing the SFA approach an improvement in cost efficiency was discovered in the period investigated. Some noticeable differences in average cost efficiency among banking sectors can be detected as well. Empirical results also reveal certain significant associations of cost efficiency with country level macroeconomic characteristics, structure of the banking industry, and individual bank features. Analysis of correlating factors shows that the level of competition in the banking sector plays a more important role for cost efficiency improvements than the ownership structure itself. These results might be of interest to policy makers and regulatory authorities as they may provide help in detecting policy measures to create a business environment which would further enhance the cost efficiency of CEE banks.","author":[{"dropping-particle":"","family":"Košak","given":"Marko","non-dropping-particle":"","parse-names":false,"suffix":""},{"dropping-particle":"","family":"Zajc","given":"Peter","non-dropping-particle":"","parse-names":false,"suffix":""},{"dropping-particle":"","family":"Zorić","given":"Jelena","non-dropping-particle":"","parse-names":false,"suffix":""}],"container-title":"Baltic Journal of Economics","id":"ITEM-7","issue":"2","issued":{"date-parts":[["2009"]]},"page":"67-89","title":"Bank efficiency differences in the new EU member states","type":"article-journal","volume":"9"},"uris":["http://www.mendeley.com/documents/?uuid=2737ee43-178e-3ca0-bd08-3984d22754c7"]},{"id":"ITEM-8","itemData":{"DOI":"10.1007/s11123-015-0451-1","ISSN":"15730441","abstract":"This paper presents a novel approach to measure efficiency and productivity decomposition in the banking systems of emerging economies with a special focus on the role of equity capital. We model the requirement to hold levels of a fixed input, i.e. equity, above the long run equilibrium level or, alternatively, to achieve a target equity-asset ratio. To capture the effect of this under-leveraging, we allow the banking system to operate in an uneconomic region of the technology. Productivity decomposition is developed to include exogenous factors such as policy constraints. We use a panel data set of banks in emerging economies during the financial upheaval period of 2005–2008 to analyse these ideas. Results indicate the importance of the capital constraint in the decomposition of productivity.","author":[{"dropping-particle":"","family":"Duygun","given":"Meryem","non-dropping-particle":"","parse-names":false,"suffix":""},{"dropping-particle":"","family":"Shaban","given":"Mohamed","non-dropping-particle":"","parse-names":false,"suffix":""},{"dropping-particle":"","family":"Sickles","given":"Robin C.","non-dropping-particle":"","parse-names":false,"suffix":""},{"dropping-particle":"","family":"Weyman-Jones","given":"Thomas","non-dropping-particle":"","parse-names":false,"suffix":""}],"container-title":"Journal of Productivity Analysis","id":"ITEM-8","issue":"3","issued":{"date-parts":[["2015","12","1"]]},"page":"237-248","publisher":"Kluwer Academic Publishers","title":"How a regulatory capital requirement affects banks’ productivity: an application to emerging economies","type":"article-journal","volume":"44"},"uris":["http://www.mendeley.com/documents/?uuid=4ea394a3-66ca-3b41-a91f-1f743ab1e551"]}],"mendeley":{"formattedCitation":"(Abdul-Majid, Saal &amp; Battisti 2011; Ara 2016; Baten &amp; Begum 2014; Baten, Kasim &amp; Rahman 2015; Christopoulos, Lolos &amp; Tsionas 2002; Duygun et al. 2015; Hassan &amp; Hassan 2018; Košak, Zajc &amp; Zorić 2009)","plainTextFormattedCitation":"(Abdul-Majid, Saal &amp; Battisti 2011; Ara 2016; Baten &amp; Begum 2014; Baten, Kasim &amp; Rahman 2015; Christopoulos, Lolos &amp; Tsionas 2002; Duygun et al. 2015; Hassan &amp; Hassan 2018; Košak, Zajc &amp; Zorić 2009)","previouslyFormattedCitation":"(Abdul-Majid et al., 2011; Ara, 2016; A. Baten &amp; Begum, 2014; M. A. Baten et al., 2015; Christopoulos et al., 2002; Duygun et al., 2015; Hassan &amp; Hassan, 2018; Košak et al., 2009)"},"properties":{"noteIndex":0},"schema":"https://github.com/citation-style-language/schema/raw/master/csl-citation.json"}</w:instrText>
      </w:r>
      <w:r w:rsidR="00C83E70" w:rsidRPr="000B65F7">
        <w:rPr>
          <w:rFonts w:ascii="Times New Roman" w:hAnsi="Times New Roman"/>
          <w:sz w:val="24"/>
          <w:szCs w:val="24"/>
          <w:highlight w:val="yellow"/>
        </w:rPr>
        <w:fldChar w:fldCharType="separate"/>
      </w:r>
      <w:r w:rsidR="00B77167" w:rsidRPr="000B65F7">
        <w:rPr>
          <w:rFonts w:ascii="Times New Roman" w:hAnsi="Times New Roman"/>
          <w:noProof/>
          <w:sz w:val="24"/>
          <w:szCs w:val="24"/>
          <w:highlight w:val="yellow"/>
        </w:rPr>
        <w:t>(Abdul-Majid, Saal &amp; Battisti 2011; Ara 2016; Baten &amp; Begum 2014; Baten, Kasim &amp; Rahman 2015; Christopoulos, Lolos &amp; Tsionas 2002; Duygun et al. 2015; Hassan &amp; Hassan 2018; Košak, Zajc &amp; Zorić 2009)</w:t>
      </w:r>
      <w:r w:rsidR="00C83E70" w:rsidRPr="000B65F7">
        <w:rPr>
          <w:rFonts w:ascii="Times New Roman" w:hAnsi="Times New Roman"/>
          <w:sz w:val="24"/>
          <w:szCs w:val="24"/>
          <w:highlight w:val="yellow"/>
        </w:rPr>
        <w:fldChar w:fldCharType="end"/>
      </w:r>
      <w:r w:rsidR="000B65F7" w:rsidRPr="000B65F7">
        <w:rPr>
          <w:rFonts w:ascii="Times New Roman" w:hAnsi="Times New Roman"/>
          <w:sz w:val="24"/>
          <w:szCs w:val="24"/>
          <w:highlight w:val="yellow"/>
        </w:rPr>
        <w:t xml:space="preserve"> </w:t>
      </w:r>
      <w:r w:rsidR="000B65F7">
        <w:rPr>
          <w:rFonts w:ascii="Times New Roman" w:hAnsi="Times New Roman"/>
          <w:sz w:val="24"/>
          <w:szCs w:val="24"/>
          <w:highlight w:val="yellow"/>
        </w:rPr>
        <w:t>(</w:t>
      </w:r>
      <w:r w:rsidR="000B65F7" w:rsidRPr="000B65F7">
        <w:rPr>
          <w:rFonts w:ascii="Times New Roman" w:hAnsi="Times New Roman"/>
          <w:sz w:val="24"/>
          <w:szCs w:val="24"/>
        </w:rPr>
        <w:t>https://quizlet.com/24211440/test-1-flash-cards/</w:t>
      </w:r>
      <w:r w:rsidR="000B65F7">
        <w:rPr>
          <w:rFonts w:ascii="Times New Roman" w:hAnsi="Times New Roman"/>
          <w:sz w:val="24"/>
          <w:szCs w:val="24"/>
        </w:rPr>
        <w:t>)</w:t>
      </w:r>
      <w:r w:rsidR="00C83E70" w:rsidRPr="000B65F7">
        <w:rPr>
          <w:rFonts w:ascii="Times New Roman" w:hAnsi="Times New Roman"/>
          <w:sz w:val="24"/>
          <w:szCs w:val="24"/>
          <w:highlight w:val="yellow"/>
        </w:rPr>
        <w:t>.</w:t>
      </w:r>
    </w:p>
    <w:p w14:paraId="139754BB" w14:textId="77777777" w:rsidR="00C83E70" w:rsidRPr="006D74FE" w:rsidRDefault="00C83E70" w:rsidP="00A728A2">
      <w:pPr>
        <w:spacing w:after="0" w:line="240" w:lineRule="auto"/>
        <w:jc w:val="both"/>
        <w:rPr>
          <w:rFonts w:ascii="Times New Roman" w:hAnsi="Times New Roman"/>
          <w:sz w:val="24"/>
          <w:szCs w:val="24"/>
        </w:rPr>
      </w:pPr>
    </w:p>
    <w:p w14:paraId="187D6639" w14:textId="1D93CC34" w:rsidR="008B15C9" w:rsidRPr="006D74FE" w:rsidRDefault="00C025D3" w:rsidP="00A728A2">
      <w:pPr>
        <w:pStyle w:val="ListParagraph"/>
        <w:numPr>
          <w:ilvl w:val="0"/>
          <w:numId w:val="37"/>
        </w:numPr>
        <w:spacing w:line="240" w:lineRule="auto"/>
        <w:rPr>
          <w:rFonts w:ascii="Times New Roman" w:hAnsi="Times New Roman" w:cs="Times New Roman"/>
          <w:i/>
          <w:iCs/>
        </w:rPr>
      </w:pPr>
      <w:r w:rsidRPr="006D74FE">
        <w:rPr>
          <w:rFonts w:ascii="Times New Roman" w:hAnsi="Times New Roman" w:cs="Times New Roman"/>
          <w:i/>
          <w:iCs/>
        </w:rPr>
        <w:t xml:space="preserve">Results of </w:t>
      </w:r>
      <w:r w:rsidR="008B15C9" w:rsidRPr="006D74FE">
        <w:rPr>
          <w:rFonts w:ascii="Times New Roman" w:hAnsi="Times New Roman" w:cs="Times New Roman"/>
          <w:i/>
          <w:iCs/>
        </w:rPr>
        <w:t>Cost and Profit Inefficiency E</w:t>
      </w:r>
      <w:r w:rsidRPr="006D74FE">
        <w:rPr>
          <w:rFonts w:ascii="Times New Roman" w:hAnsi="Times New Roman" w:cs="Times New Roman"/>
          <w:i/>
          <w:iCs/>
        </w:rPr>
        <w:t xml:space="preserve">ffects </w:t>
      </w:r>
      <w:r w:rsidR="008B15C9" w:rsidRPr="006D74FE">
        <w:rPr>
          <w:rFonts w:ascii="Times New Roman" w:hAnsi="Times New Roman" w:cs="Times New Roman"/>
          <w:i/>
          <w:iCs/>
        </w:rPr>
        <w:t xml:space="preserve">for Private Commercial Banks </w:t>
      </w:r>
      <w:r w:rsidRPr="006D74FE">
        <w:rPr>
          <w:rFonts w:ascii="Times New Roman" w:hAnsi="Times New Roman" w:cs="Times New Roman"/>
          <w:i/>
          <w:iCs/>
        </w:rPr>
        <w:t xml:space="preserve">in </w:t>
      </w:r>
      <w:r w:rsidR="008B15C9" w:rsidRPr="006D74FE">
        <w:rPr>
          <w:rFonts w:ascii="Times New Roman" w:hAnsi="Times New Roman" w:cs="Times New Roman"/>
          <w:i/>
          <w:iCs/>
        </w:rPr>
        <w:t xml:space="preserve">Cobb-Douglas </w:t>
      </w:r>
      <w:r w:rsidRPr="006D74FE">
        <w:rPr>
          <w:rFonts w:ascii="Times New Roman" w:hAnsi="Times New Roman" w:cs="Times New Roman"/>
          <w:i/>
          <w:iCs/>
        </w:rPr>
        <w:t xml:space="preserve">and </w:t>
      </w:r>
      <w:proofErr w:type="spellStart"/>
      <w:r w:rsidRPr="006D74FE">
        <w:rPr>
          <w:rFonts w:ascii="Times New Roman" w:hAnsi="Times New Roman" w:cs="Times New Roman"/>
          <w:i/>
          <w:iCs/>
        </w:rPr>
        <w:t>Translog</w:t>
      </w:r>
      <w:proofErr w:type="spellEnd"/>
      <w:r w:rsidRPr="006D74FE">
        <w:rPr>
          <w:rFonts w:ascii="Times New Roman" w:hAnsi="Times New Roman" w:cs="Times New Roman"/>
          <w:i/>
          <w:iCs/>
        </w:rPr>
        <w:t xml:space="preserve"> </w:t>
      </w:r>
      <w:r w:rsidR="008B15C9" w:rsidRPr="006D74FE">
        <w:rPr>
          <w:rFonts w:ascii="Times New Roman" w:hAnsi="Times New Roman" w:cs="Times New Roman"/>
          <w:i/>
          <w:iCs/>
        </w:rPr>
        <w:t>Stochastic Frontier Model</w:t>
      </w:r>
      <w:r w:rsidRPr="006D74FE">
        <w:rPr>
          <w:rFonts w:ascii="Times New Roman" w:hAnsi="Times New Roman" w:cs="Times New Roman"/>
          <w:i/>
          <w:iCs/>
        </w:rPr>
        <w:t>s</w:t>
      </w:r>
    </w:p>
    <w:p w14:paraId="4A0DADC6" w14:textId="77777777" w:rsidR="00DF6E50" w:rsidRPr="006D74FE" w:rsidRDefault="00DF6E50" w:rsidP="00A728A2">
      <w:pPr>
        <w:spacing w:line="240" w:lineRule="auto"/>
        <w:jc w:val="both"/>
        <w:rPr>
          <w:rFonts w:ascii="Times New Roman" w:hAnsi="Times New Roman"/>
          <w:i/>
          <w:iCs/>
          <w:sz w:val="24"/>
          <w:szCs w:val="24"/>
        </w:rPr>
      </w:pPr>
    </w:p>
    <w:p w14:paraId="0CAAB539" w14:textId="388BF062" w:rsidR="009045A0" w:rsidRPr="006D74FE" w:rsidRDefault="008B15C9" w:rsidP="00A728A2">
      <w:pPr>
        <w:spacing w:after="0" w:line="240" w:lineRule="auto"/>
        <w:jc w:val="both"/>
        <w:rPr>
          <w:rFonts w:ascii="Times New Roman" w:hAnsi="Times New Roman"/>
          <w:sz w:val="24"/>
          <w:szCs w:val="24"/>
        </w:rPr>
      </w:pPr>
      <w:r w:rsidRPr="00D562A8">
        <w:rPr>
          <w:rFonts w:ascii="Times New Roman" w:hAnsi="Times New Roman"/>
          <w:sz w:val="24"/>
          <w:szCs w:val="24"/>
          <w:highlight w:val="yellow"/>
        </w:rPr>
        <w:t xml:space="preserve">The cost and profit inefficiency estimates of </w:t>
      </w:r>
      <w:r w:rsidR="00C025D3" w:rsidRPr="00D562A8">
        <w:rPr>
          <w:rFonts w:ascii="Times New Roman" w:hAnsi="Times New Roman"/>
          <w:sz w:val="24"/>
          <w:szCs w:val="24"/>
          <w:highlight w:val="yellow"/>
        </w:rPr>
        <w:t>PCB</w:t>
      </w:r>
      <w:r w:rsidRPr="00D562A8">
        <w:rPr>
          <w:rFonts w:ascii="Times New Roman" w:hAnsi="Times New Roman"/>
          <w:sz w:val="24"/>
          <w:szCs w:val="24"/>
          <w:highlight w:val="yellow"/>
        </w:rPr>
        <w:t xml:space="preserve">s for </w:t>
      </w:r>
      <w:r w:rsidR="005750AE" w:rsidRPr="00D562A8">
        <w:rPr>
          <w:rFonts w:ascii="Times New Roman" w:hAnsi="Times New Roman"/>
          <w:sz w:val="24"/>
          <w:szCs w:val="24"/>
          <w:highlight w:val="yellow"/>
        </w:rPr>
        <w:t xml:space="preserve">both </w:t>
      </w:r>
      <w:r w:rsidRPr="00D562A8">
        <w:rPr>
          <w:rFonts w:ascii="Times New Roman" w:hAnsi="Times New Roman"/>
          <w:sz w:val="24"/>
          <w:szCs w:val="24"/>
          <w:highlight w:val="yellow"/>
        </w:rPr>
        <w:t>the stochastic Cobb-Douglas</w:t>
      </w:r>
      <w:r w:rsidR="00B91C67" w:rsidRPr="00D562A8">
        <w:rPr>
          <w:rFonts w:ascii="Times New Roman" w:hAnsi="Times New Roman"/>
          <w:sz w:val="24"/>
          <w:szCs w:val="24"/>
          <w:highlight w:val="yellow"/>
        </w:rPr>
        <w:t xml:space="preserve"> and </w:t>
      </w:r>
      <w:proofErr w:type="spellStart"/>
      <w:r w:rsidR="00B91C67" w:rsidRPr="00D562A8">
        <w:rPr>
          <w:rFonts w:ascii="Times New Roman" w:hAnsi="Times New Roman"/>
          <w:sz w:val="24"/>
          <w:szCs w:val="24"/>
          <w:highlight w:val="yellow"/>
        </w:rPr>
        <w:t>Translog</w:t>
      </w:r>
      <w:proofErr w:type="spellEnd"/>
      <w:r w:rsidRPr="00D562A8">
        <w:rPr>
          <w:rFonts w:ascii="Times New Roman" w:hAnsi="Times New Roman"/>
          <w:sz w:val="24"/>
          <w:szCs w:val="24"/>
          <w:highlight w:val="yellow"/>
        </w:rPr>
        <w:t xml:space="preserve"> cost and profit fronti</w:t>
      </w:r>
      <w:r w:rsidR="00B91C67" w:rsidRPr="00D562A8">
        <w:rPr>
          <w:rFonts w:ascii="Times New Roman" w:hAnsi="Times New Roman"/>
          <w:sz w:val="24"/>
          <w:szCs w:val="24"/>
          <w:highlight w:val="yellow"/>
        </w:rPr>
        <w:t>er model are given in Table</w:t>
      </w:r>
      <w:r w:rsidR="009812C5" w:rsidRPr="00D562A8">
        <w:rPr>
          <w:rFonts w:ascii="Times New Roman" w:hAnsi="Times New Roman"/>
          <w:sz w:val="24"/>
          <w:szCs w:val="24"/>
          <w:highlight w:val="yellow"/>
        </w:rPr>
        <w:t xml:space="preserve"> </w:t>
      </w:r>
      <w:r w:rsidR="00B91C67" w:rsidRPr="00D562A8">
        <w:rPr>
          <w:rFonts w:ascii="Times New Roman" w:hAnsi="Times New Roman"/>
          <w:sz w:val="24"/>
          <w:szCs w:val="24"/>
          <w:highlight w:val="yellow"/>
        </w:rPr>
        <w:t>2</w:t>
      </w:r>
      <w:r w:rsidR="00265E5E" w:rsidRPr="00D562A8">
        <w:rPr>
          <w:rFonts w:ascii="Times New Roman" w:hAnsi="Times New Roman"/>
          <w:sz w:val="24"/>
          <w:szCs w:val="24"/>
          <w:highlight w:val="yellow"/>
        </w:rPr>
        <w:t>.</w:t>
      </w:r>
      <w:r w:rsidR="00DC1E12" w:rsidRPr="00D562A8">
        <w:rPr>
          <w:rFonts w:ascii="Times New Roman" w:hAnsi="Times New Roman"/>
          <w:sz w:val="24"/>
          <w:szCs w:val="24"/>
          <w:highlight w:val="yellow"/>
        </w:rPr>
        <w:t xml:space="preserve">The </w:t>
      </w:r>
      <w:r w:rsidR="00082824" w:rsidRPr="00D562A8">
        <w:rPr>
          <w:rFonts w:ascii="Times New Roman" w:hAnsi="Times New Roman"/>
          <w:sz w:val="24"/>
          <w:szCs w:val="24"/>
          <w:highlight w:val="yellow"/>
        </w:rPr>
        <w:t>variable of non-interest income was</w:t>
      </w:r>
      <w:r w:rsidR="00DC1E12" w:rsidRPr="00D562A8">
        <w:rPr>
          <w:rFonts w:ascii="Times New Roman" w:hAnsi="Times New Roman"/>
          <w:sz w:val="24"/>
          <w:szCs w:val="24"/>
          <w:highlight w:val="yellow"/>
        </w:rPr>
        <w:t xml:space="preserve"> found negatively significant for both Cobb-Douglas and </w:t>
      </w:r>
      <w:proofErr w:type="spellStart"/>
      <w:r w:rsidR="00DC1E12" w:rsidRPr="00D562A8">
        <w:rPr>
          <w:rFonts w:ascii="Times New Roman" w:hAnsi="Times New Roman"/>
          <w:sz w:val="24"/>
          <w:szCs w:val="24"/>
          <w:highlight w:val="yellow"/>
        </w:rPr>
        <w:t>Translog</w:t>
      </w:r>
      <w:proofErr w:type="spellEnd"/>
      <w:r w:rsidR="00DC1E12" w:rsidRPr="00D562A8">
        <w:rPr>
          <w:rFonts w:ascii="Times New Roman" w:hAnsi="Times New Roman"/>
          <w:sz w:val="24"/>
          <w:szCs w:val="24"/>
          <w:highlight w:val="yellow"/>
        </w:rPr>
        <w:t xml:space="preserve"> cost inefficiency model indicates a negative impact on the bank inefficiency and therefore a positive effect on cost efficiency</w:t>
      </w:r>
      <w:r w:rsidR="00D562A8">
        <w:rPr>
          <w:rFonts w:ascii="Times New Roman" w:hAnsi="Times New Roman"/>
          <w:sz w:val="24"/>
          <w:szCs w:val="24"/>
          <w:highlight w:val="yellow"/>
        </w:rPr>
        <w:t xml:space="preserve"> (</w:t>
      </w:r>
      <w:r w:rsidR="00D562A8" w:rsidRPr="00D562A8">
        <w:rPr>
          <w:rFonts w:ascii="Times New Roman" w:hAnsi="Times New Roman"/>
          <w:sz w:val="24"/>
          <w:szCs w:val="24"/>
        </w:rPr>
        <w:t>https://www.researchgate.net/publication/5018599_Labour_Cost_Efficiency_in_UK_and_Irish_Credit_Institutions</w:t>
      </w:r>
      <w:r w:rsidR="00D562A8">
        <w:rPr>
          <w:rFonts w:ascii="Times New Roman" w:hAnsi="Times New Roman"/>
          <w:sz w:val="24"/>
          <w:szCs w:val="24"/>
        </w:rPr>
        <w:t>)</w:t>
      </w:r>
      <w:r w:rsidR="00DC1E12" w:rsidRPr="00D562A8">
        <w:rPr>
          <w:rFonts w:ascii="Times New Roman" w:hAnsi="Times New Roman"/>
          <w:sz w:val="24"/>
          <w:szCs w:val="24"/>
          <w:highlight w:val="yellow"/>
        </w:rPr>
        <w:t xml:space="preserve">. That means </w:t>
      </w:r>
      <w:r w:rsidR="0043125C" w:rsidRPr="00D562A8">
        <w:rPr>
          <w:rFonts w:ascii="Times New Roman" w:hAnsi="Times New Roman"/>
          <w:sz w:val="24"/>
          <w:szCs w:val="24"/>
          <w:highlight w:val="yellow"/>
        </w:rPr>
        <w:t>the banks we</w:t>
      </w:r>
      <w:r w:rsidR="006B093F" w:rsidRPr="00D562A8">
        <w:rPr>
          <w:rFonts w:ascii="Times New Roman" w:hAnsi="Times New Roman"/>
          <w:sz w:val="24"/>
          <w:szCs w:val="24"/>
          <w:highlight w:val="yellow"/>
        </w:rPr>
        <w:t>re able to reduce the cost by n</w:t>
      </w:r>
      <w:r w:rsidR="00C12432" w:rsidRPr="00D562A8">
        <w:rPr>
          <w:rFonts w:ascii="Times New Roman" w:hAnsi="Times New Roman"/>
          <w:sz w:val="24"/>
          <w:szCs w:val="24"/>
          <w:highlight w:val="yellow"/>
        </w:rPr>
        <w:t>o</w:t>
      </w:r>
      <w:r w:rsidR="006B093F" w:rsidRPr="00D562A8">
        <w:rPr>
          <w:rFonts w:ascii="Times New Roman" w:hAnsi="Times New Roman"/>
          <w:sz w:val="24"/>
          <w:szCs w:val="24"/>
          <w:highlight w:val="yellow"/>
        </w:rPr>
        <w:t>n-</w:t>
      </w:r>
      <w:r w:rsidR="00C12432" w:rsidRPr="00D562A8">
        <w:rPr>
          <w:rFonts w:ascii="Times New Roman" w:hAnsi="Times New Roman"/>
          <w:sz w:val="24"/>
          <w:szCs w:val="24"/>
          <w:highlight w:val="yellow"/>
        </w:rPr>
        <w:t>interest</w:t>
      </w:r>
      <w:r w:rsidR="006B093F" w:rsidRPr="00D562A8">
        <w:rPr>
          <w:rFonts w:ascii="Times New Roman" w:hAnsi="Times New Roman"/>
          <w:sz w:val="24"/>
          <w:szCs w:val="24"/>
          <w:highlight w:val="yellow"/>
        </w:rPr>
        <w:t xml:space="preserve"> income and saving their </w:t>
      </w:r>
      <w:proofErr w:type="spellStart"/>
      <w:proofErr w:type="gramStart"/>
      <w:r w:rsidR="006B093F" w:rsidRPr="00D562A8">
        <w:rPr>
          <w:rFonts w:ascii="Times New Roman" w:hAnsi="Times New Roman"/>
          <w:sz w:val="24"/>
          <w:szCs w:val="24"/>
          <w:highlight w:val="yellow"/>
        </w:rPr>
        <w:t>revenue</w:t>
      </w:r>
      <w:r w:rsidR="00C12432" w:rsidRPr="00D562A8">
        <w:rPr>
          <w:rFonts w:ascii="Times New Roman" w:hAnsi="Times New Roman"/>
          <w:sz w:val="24"/>
          <w:szCs w:val="24"/>
          <w:highlight w:val="yellow"/>
        </w:rPr>
        <w:t>.</w:t>
      </w:r>
      <w:r w:rsidR="00301B08" w:rsidRPr="00D562A8">
        <w:rPr>
          <w:rFonts w:ascii="Times New Roman" w:hAnsi="Times New Roman"/>
          <w:sz w:val="24"/>
          <w:szCs w:val="24"/>
          <w:highlight w:val="yellow"/>
        </w:rPr>
        <w:t>Top</w:t>
      </w:r>
      <w:proofErr w:type="spellEnd"/>
      <w:proofErr w:type="gramEnd"/>
      <w:r w:rsidR="00301B08" w:rsidRPr="00D562A8">
        <w:rPr>
          <w:rFonts w:ascii="Times New Roman" w:hAnsi="Times New Roman"/>
          <w:sz w:val="24"/>
          <w:szCs w:val="24"/>
          <w:highlight w:val="yellow"/>
        </w:rPr>
        <w:t xml:space="preserve"> of Form</w:t>
      </w:r>
      <w:r w:rsidR="00C75CC7" w:rsidRPr="00D562A8">
        <w:rPr>
          <w:rFonts w:ascii="Times New Roman" w:hAnsi="Times New Roman"/>
          <w:sz w:val="24"/>
          <w:szCs w:val="24"/>
          <w:highlight w:val="yellow"/>
        </w:rPr>
        <w:t xml:space="preserve"> A </w:t>
      </w:r>
      <w:r w:rsidR="00582DD2" w:rsidRPr="00D562A8">
        <w:rPr>
          <w:rFonts w:ascii="Times New Roman" w:hAnsi="Times New Roman"/>
          <w:sz w:val="24"/>
          <w:szCs w:val="24"/>
          <w:highlight w:val="yellow"/>
        </w:rPr>
        <w:t xml:space="preserve">negative coefficient of non-performing loan </w:t>
      </w:r>
      <w:r w:rsidR="00292660" w:rsidRPr="00D562A8">
        <w:rPr>
          <w:rFonts w:ascii="Times New Roman" w:hAnsi="Times New Roman"/>
          <w:sz w:val="24"/>
          <w:szCs w:val="24"/>
          <w:highlight w:val="yellow"/>
        </w:rPr>
        <w:t>(</w:t>
      </w:r>
      <w:r w:rsidR="00582DD2" w:rsidRPr="00D562A8">
        <w:rPr>
          <w:rFonts w:ascii="Times New Roman" w:hAnsi="Times New Roman"/>
          <w:sz w:val="24"/>
          <w:szCs w:val="24"/>
          <w:highlight w:val="yellow"/>
        </w:rPr>
        <w:t>δ</w:t>
      </w:r>
      <w:r w:rsidR="00292660" w:rsidRPr="00D562A8">
        <w:rPr>
          <w:rFonts w:ascii="Times New Roman" w:hAnsi="Times New Roman"/>
          <w:sz w:val="24"/>
          <w:szCs w:val="24"/>
          <w:highlight w:val="yellow"/>
        </w:rPr>
        <w:t>2</w:t>
      </w:r>
      <w:r w:rsidR="00582DD2" w:rsidRPr="00D562A8">
        <w:rPr>
          <w:rFonts w:ascii="Times New Roman" w:hAnsi="Times New Roman"/>
          <w:sz w:val="24"/>
          <w:szCs w:val="24"/>
          <w:highlight w:val="yellow"/>
        </w:rPr>
        <w:t xml:space="preserve"> </w:t>
      </w:r>
      <w:r w:rsidR="00292660" w:rsidRPr="00D562A8">
        <w:rPr>
          <w:rFonts w:ascii="Times New Roman" w:hAnsi="Times New Roman"/>
          <w:sz w:val="24"/>
          <w:szCs w:val="24"/>
          <w:highlight w:val="yellow"/>
        </w:rPr>
        <w:t>-0.039, -0.045, -0.572*, -0.467</w:t>
      </w:r>
      <w:r w:rsidR="00582DD2" w:rsidRPr="00D562A8">
        <w:rPr>
          <w:rFonts w:ascii="Times New Roman" w:hAnsi="Times New Roman"/>
          <w:sz w:val="24"/>
          <w:szCs w:val="24"/>
          <w:highlight w:val="yellow"/>
        </w:rPr>
        <w:t>) indicates a negative impact on the bank inefficiency and therefore a positive effect on cost efficiency</w:t>
      </w:r>
      <w:r w:rsidR="00D20B3A" w:rsidRPr="00D562A8">
        <w:rPr>
          <w:rFonts w:ascii="Times New Roman" w:hAnsi="Times New Roman"/>
          <w:sz w:val="24"/>
          <w:szCs w:val="24"/>
          <w:highlight w:val="yellow"/>
        </w:rPr>
        <w:t>.</w:t>
      </w:r>
      <w:r w:rsidR="00C75CC7" w:rsidRPr="00D562A8">
        <w:rPr>
          <w:rFonts w:ascii="Times New Roman" w:hAnsi="Times New Roman"/>
          <w:sz w:val="24"/>
          <w:szCs w:val="24"/>
          <w:highlight w:val="yellow"/>
        </w:rPr>
        <w:t xml:space="preserve"> </w:t>
      </w:r>
      <w:r w:rsidR="00082824" w:rsidRPr="00D562A8">
        <w:rPr>
          <w:rFonts w:ascii="Times New Roman" w:hAnsi="Times New Roman"/>
          <w:sz w:val="24"/>
          <w:szCs w:val="24"/>
          <w:highlight w:val="yellow"/>
        </w:rPr>
        <w:t>We</w:t>
      </w:r>
      <w:r w:rsidR="0043125C" w:rsidRPr="00D562A8">
        <w:rPr>
          <w:rFonts w:ascii="Times New Roman" w:hAnsi="Times New Roman"/>
          <w:sz w:val="24"/>
          <w:szCs w:val="24"/>
          <w:highlight w:val="yellow"/>
        </w:rPr>
        <w:t xml:space="preserve"> fou</w:t>
      </w:r>
      <w:r w:rsidR="00D20B3A" w:rsidRPr="00D562A8">
        <w:rPr>
          <w:rFonts w:ascii="Times New Roman" w:hAnsi="Times New Roman"/>
          <w:sz w:val="24"/>
          <w:szCs w:val="24"/>
          <w:highlight w:val="yellow"/>
        </w:rPr>
        <w:t>nd that there is a consistent view among scholars on the relationship between non-performing loan ratio and banking inefficiency</w:t>
      </w:r>
      <w:r w:rsidR="0033593C">
        <w:rPr>
          <w:rFonts w:ascii="Times New Roman" w:hAnsi="Times New Roman"/>
          <w:sz w:val="24"/>
          <w:szCs w:val="24"/>
          <w:highlight w:val="yellow"/>
        </w:rPr>
        <w:t xml:space="preserve"> (</w:t>
      </w:r>
      <w:r w:rsidR="0033593C" w:rsidRPr="0033593C">
        <w:rPr>
          <w:rFonts w:ascii="Times New Roman" w:hAnsi="Times New Roman"/>
          <w:sz w:val="24"/>
          <w:szCs w:val="24"/>
        </w:rPr>
        <w:t>https://www.cogentoa.com/article/10.1080/23322039.2018.1510719</w:t>
      </w:r>
      <w:r w:rsidR="0033593C">
        <w:rPr>
          <w:rFonts w:ascii="Times New Roman" w:hAnsi="Times New Roman"/>
          <w:sz w:val="24"/>
          <w:szCs w:val="24"/>
        </w:rPr>
        <w:t>)</w:t>
      </w:r>
      <w:r w:rsidR="00D20B3A" w:rsidRPr="00D562A8">
        <w:rPr>
          <w:rFonts w:ascii="Times New Roman" w:hAnsi="Times New Roman"/>
          <w:sz w:val="24"/>
          <w:szCs w:val="24"/>
          <w:highlight w:val="yellow"/>
        </w:rPr>
        <w:t>. All studies applied by</w:t>
      </w:r>
      <w:r w:rsidR="00C83E70" w:rsidRPr="00D562A8">
        <w:rPr>
          <w:rFonts w:ascii="Times New Roman" w:hAnsi="Times New Roman"/>
          <w:sz w:val="24"/>
          <w:szCs w:val="24"/>
          <w:highlight w:val="yellow"/>
        </w:rPr>
        <w:t xml:space="preserve"> </w:t>
      </w:r>
      <w:r w:rsidR="00C83E70" w:rsidRPr="00D562A8">
        <w:rPr>
          <w:rFonts w:ascii="Times New Roman" w:hAnsi="Times New Roman"/>
          <w:sz w:val="24"/>
          <w:szCs w:val="24"/>
          <w:highlight w:val="yellow"/>
        </w:rPr>
        <w:fldChar w:fldCharType="begin" w:fldLock="1"/>
      </w:r>
      <w:r w:rsidR="00B77167" w:rsidRPr="00D562A8">
        <w:rPr>
          <w:rFonts w:ascii="Times New Roman" w:hAnsi="Times New Roman"/>
          <w:sz w:val="24"/>
          <w:szCs w:val="24"/>
          <w:highlight w:val="yellow"/>
        </w:rPr>
        <w:instrText>ADDIN CSL_CITATION {"citationItems":[{"id":"ITEM-1","itemData":{"DOI":"10.1080/1406099x.2009.10840462","ISSN":"1406099X","abstract":"This article examines bank cost efficiency for five new EU Member States from Central and Eastern Europe and the three Baltic States for the period 1996 - 2006. The banking sectors in the selected set of countries had undergone a remarkable transformation before they achieved EU membership in 2004. We study cost efficiency differences between countries as well as efficiency improvements fostered by intense legislative and regulatory changes and extensive structural and institutional reforms carried out simultaneously. By employing the SFA approach an improvement in cost efficiency was discovered in the period investigated. Some noticeable differences in average cost efficiency among banking sectors can be detected as well. Empirical results also reveal certain significant associations of cost efficiency with country level macroeconomic characteristics, structure of the banking industry, and individual bank features. Analysis of correlating factors shows that the level of competition in the banking sector plays a more important role for cost efficiency improvements than the ownership structure itself. These results might be of interest to policy makers and regulatory authorities as they may provide help in detecting policy measures to create a business environment which would further enhance the cost efficiency of CEE banks.","author":[{"dropping-particle":"","family":"Košak","given":"Marko","non-dropping-particle":"","parse-names":false,"suffix":""},{"dropping-particle":"","family":"Zajc","given":"Peter","non-dropping-particle":"","parse-names":false,"suffix":""},{"dropping-particle":"","family":"Zorić","given":"Jelena","non-dropping-particle":"","parse-names":false,"suffix":""}],"container-title":"Baltic Journal of Economics","id":"ITEM-1","issue":"2","issued":{"date-parts":[["2009"]]},"page":"67-89","title":"Bank efficiency differences in the new EU member states","type":"article-journal","volume":"9"},"uris":["http://www.mendeley.com/documents/?uuid=2737ee43-178e-3ca0-bd08-3984d22754c7"]},{"id":"ITEM-2","itemData":{"DOI":"10.1016/j.intfin.2004.02.002","ISSN":"10424431","abstract":"A common cost frontier with country-specific environmental variables was estimated for a panel of 481 banks from 16 Latin American countries. A stochastic frontier model was used to estimate cost inefficiency and scale and scope economies. The results suggest that there is a wide range of inefficiency levels across countries. Very small and very large banks are significantly more inefficient than large banks. Underperforming banks tend to be smaller, to be undercapitalized, to present a poor profit performance, to be more dependent on non-interest income, to be more risky, to have a less stable deposit base and to intermediate less. © 2004 Published by Elsevier B.V.","author":[{"dropping-particle":"","family":"Carvallo","given":"Oscar","non-dropping-particle":"","parse-names":false,"suffix":""},{"dropping-particle":"","family":"Kasman","given":"Adnan","non-dropping-particle":"","parse-names":false,"suffix":""}],"container-title":"Journal of International Financial Markets, Institutions and Money","id":"ITEM-2","issue":"1","issued":{"date-parts":[["2005","1","1"]]},"page":"55-72","publisher":"North-Holland","title":"Cost efficiency in the Latin American and Caribbean banking systems","type":"article-journal","volume":"15"},"uris":["http://www.mendeley.com/documents/?uuid=f6c53213-e2f6-3f01-a322-fee82350a03e"]},{"id":"ITEM-3","itemData":{"DOI":"10.1080/0003684042000175334","ISSN":"00036846","abstract":"This study investigates the main determinants of Italian banks' cost efficiency over the period 1993-1996, by employing a Fourier-flexible stochastic cost frontier in order to measure X-efficiencies and economies of scale. Quality and riskiness of bank outputs are explicitly accounted for in the cost function and their impact on cost efficiency levels is evaluated. The results show that mean X-inefficiencies range between 13 and 15 per cent of total costs and they tend to decrease over time for all bank sizes. Economies of scale appear present and significant, being especially high for popular and credit co-operative banks. Moreover, the inclusion of risk and output quality variables in the cost function seems to reduce the significance of the scale economy estimates. Following Spong et al. (1995) a profitability test is undertaken that allows for the identification of banks that are both cost and profit efficient. The results suggest that the most efficient and profitable institutions are more able to control all aspects of costs, especially labour costs. Finally, the data are pooled to carry out a logistic regression model in order to examine bank- and market-specific factors that influence Italian banks' inefficiency. Confirming Mester (1993, 1996), inefficiencies appear to be inversely correlated with capital strength and positively related to the level of non-performing loans in the balance sheet. The analysis also shows that there is no clear relationship between asset size and bank efficiency. Finally, it is possible to infer that quoted banks seem to be on average more efficient than their non-quoted counterparts.","author":[{"dropping-particle":"","family":"Girardone","given":"Claudia","non-dropping-particle":"","parse-names":false,"suffix":""},{"dropping-particle":"","family":"Molyneux","given":"Philip","non-dropping-particle":"","parse-names":false,"suffix":""},{"dropping-particle":"","family":"Gardener","given":"Edward P.M.","non-dropping-particle":"","parse-names":false,"suffix":""}],"container-title":"Applied Economics","id":"ITEM-3","issue":"3","issued":{"date-parts":[["2004","2","20"]]},"page":"215-227","publisher":"Routledge","title":"Analysing the determinants of bank efficiency: The case of Italian banks","type":"article-journal","volume":"36"},"uris":["http://www.mendeley.com/documents/?uuid=8603a8a4-3845-3781-8672-7f5d6da8dc60"]},{"id":"ITEM-4","itemData":{"DOI":"10.1016/S1566-0141(01)00022-X","ISSN":"15660141","abstract":"This paper evaluates the current development of the Ukrainian banking system. The research was concentrated on the evaluation of cost and profit efficiency and scale and scope economies for 79 from 168 Ukrainian commercial banks in 1998. There is evidence that small banks operate more efficiently in cost terms but are less efficient in profit terms and furthermore, there is a substantial difference in scale economies between small and large banks. Large banks show significant diseconomies of scale while small ones show significant scale economies. This result could suggest that current technology in the financial sector does not allow efficient growth and concentration of the financial sector in Ukraine. © 2001 Elsevier Science B.V.","author":[{"dropping-particle":"","family":"Mertens","given":"Alexander","non-dropping-particle":"","parse-names":false,"suffix":""},{"dropping-particle":"","family":"Urga","given":"Giovanni","non-dropping-particle":"","parse-names":false,"suffix":""}],"container-title":"Emerging Markets Review","id":"ITEM-4","issue":"3","issued":{"date-parts":[["2001"]]},"page":"292-308","title":"Efficiency, scale and scope economies in the Ukrainian banking sector in 1998","type":"article-journal","volume":"2"},"uris":["http://www.mendeley.com/documents/?uuid=8ec0c9da-d25e-3dd9-bc1f-67ac2f84a635"]},{"id":"ITEM-5","itemData":{"DOI":"10.1016/S0378-4266(99)00095-3","ISSN":"03784266","abstract":"This paper investigates the impact of risk and quality factors on banks' cost by using the stochastic cost frontier methodology to evaluate scale and X-inefficiencies, as well as technical change for a sample of Japanese commercial banks between 1993 and 1996. Loan-loss provisions are included in the cost frontier model to control for output quality, with a financial capital and a liquidity ratio included to control risk. Following the approach suggested in Mester (1996) we show that if risk and quality factors are not taken into account optimal bank size tends to be overstated. That is, optimal bank size is considerably smaller when risk and quality factors are taken into account when modelling the cost characteristics of Japanese banks. We also find that the level of financial capital has the biggest influence on the scale efficiency estimates. X-inefficiency estimates, in contrast, appear less sensitive to risk and quality factors. Our results also suggest that scale inefficiencies dominate X-inefficiencies. These are important findings because they contrast with the results of previous studies on Japanese banking. In particular, the results indicate an alternative policy prescription, namely, that the largest banks should shrink to benefit from scale advantages. It also seems that financial capital has the largest influence on optimal bank size. © 2000 Elsevier Science B.V.","author":[{"dropping-particle":"","family":"Altunbas","given":"Yener","non-dropping-particle":"","parse-names":false,"suffix":""},{"dropping-particle":"","family":"Liu","given":"Ming Hau","non-dropping-particle":"","parse-names":false,"suffix":""},{"dropping-particle":"","family":"Molyneux","given":"Philip","non-dropping-particle":"","parse-names":false,"suffix":""},{"dropping-particle":"","family":"Seth","given":"Rama","non-dropping-particle":"","parse-names":false,"suffix":""}],"container-title":"Journal of Banking and Finance","id":"ITEM-5","issue":"10","issued":{"date-parts":[["2000","10","1"]]},"page":"1605-1628","publisher":"Elsevier","title":"Efficiency and risk in Japanese banking","type":"article-journal","volume":"24"},"uris":["http://www.mendeley.com/documents/?uuid=20b9710b-86d5-3002-a107-03d9af7ef1d7"]}],"mendeley":{"formattedCitation":"(Altunbas et al. 2000; Carvallo &amp; Kasman 2005; Girardone, Molyneux &amp; Gardener 2004; Košak, Zajc &amp; Zorić 2009; Mertens &amp; Urga 2001)","plainTextFormattedCitation":"(Altunbas et al. 2000; Carvallo &amp; Kasman 2005; Girardone, Molyneux &amp; Gardener 2004; Košak, Zajc &amp; Zorić 2009; Mertens &amp; Urga 2001)","previouslyFormattedCitation":"(Altunbas et al., 2000; Carvallo &amp; Kasman, 2005; Girardone et al., 2004; Košak et al., 2009; Mertens &amp; Urga, 2001)"},"properties":{"noteIndex":0},"schema":"https://github.com/citation-style-language/schema/raw/master/csl-citation.json"}</w:instrText>
      </w:r>
      <w:r w:rsidR="00C83E70" w:rsidRPr="00D562A8">
        <w:rPr>
          <w:rFonts w:ascii="Times New Roman" w:hAnsi="Times New Roman"/>
          <w:sz w:val="24"/>
          <w:szCs w:val="24"/>
          <w:highlight w:val="yellow"/>
        </w:rPr>
        <w:fldChar w:fldCharType="separate"/>
      </w:r>
      <w:r w:rsidR="00B77167" w:rsidRPr="00D562A8">
        <w:rPr>
          <w:rFonts w:ascii="Times New Roman" w:hAnsi="Times New Roman"/>
          <w:noProof/>
          <w:sz w:val="24"/>
          <w:szCs w:val="24"/>
          <w:highlight w:val="yellow"/>
        </w:rPr>
        <w:t>(Altunbas et al. 2000; Carvallo &amp; Kasman 2005; Girardone, Molyneux &amp; Gardener 2004; Košak, Zajc &amp; Zorić 2009; Mertens &amp; Urga 2001)</w:t>
      </w:r>
      <w:r w:rsidR="00C83E70" w:rsidRPr="00D562A8">
        <w:rPr>
          <w:rFonts w:ascii="Times New Roman" w:hAnsi="Times New Roman"/>
          <w:sz w:val="24"/>
          <w:szCs w:val="24"/>
          <w:highlight w:val="yellow"/>
        </w:rPr>
        <w:fldChar w:fldCharType="end"/>
      </w:r>
      <w:r w:rsidR="00D20B3A" w:rsidRPr="00D562A8">
        <w:rPr>
          <w:rFonts w:ascii="Times New Roman" w:hAnsi="Times New Roman"/>
          <w:sz w:val="24"/>
          <w:szCs w:val="24"/>
          <w:highlight w:val="yellow"/>
        </w:rPr>
        <w:t>, agree th</w:t>
      </w:r>
      <w:r w:rsidR="00017972" w:rsidRPr="00D562A8">
        <w:rPr>
          <w:rFonts w:ascii="Times New Roman" w:hAnsi="Times New Roman"/>
          <w:sz w:val="24"/>
          <w:szCs w:val="24"/>
          <w:highlight w:val="yellow"/>
        </w:rPr>
        <w:t>at non-performing loan ratio had</w:t>
      </w:r>
      <w:r w:rsidR="00D20B3A" w:rsidRPr="00D562A8">
        <w:rPr>
          <w:rFonts w:ascii="Times New Roman" w:hAnsi="Times New Roman"/>
          <w:sz w:val="24"/>
          <w:szCs w:val="24"/>
          <w:highlight w:val="yellow"/>
        </w:rPr>
        <w:t xml:space="preserve"> positive influence on inefficiency</w:t>
      </w:r>
      <w:r w:rsidR="0033593C">
        <w:rPr>
          <w:rFonts w:ascii="Times New Roman" w:hAnsi="Times New Roman"/>
          <w:sz w:val="24"/>
          <w:szCs w:val="24"/>
          <w:highlight w:val="yellow"/>
        </w:rPr>
        <w:t xml:space="preserve"> (</w:t>
      </w:r>
      <w:r w:rsidR="0033593C" w:rsidRPr="0033593C">
        <w:rPr>
          <w:rFonts w:ascii="Times New Roman" w:hAnsi="Times New Roman"/>
          <w:sz w:val="24"/>
          <w:szCs w:val="24"/>
        </w:rPr>
        <w:t>https://www.mdpi.com/2071-1050/12/1/325/htm</w:t>
      </w:r>
      <w:r w:rsidR="0033593C">
        <w:rPr>
          <w:rFonts w:ascii="Times New Roman" w:hAnsi="Times New Roman"/>
          <w:sz w:val="24"/>
          <w:szCs w:val="24"/>
        </w:rPr>
        <w:t>)</w:t>
      </w:r>
      <w:r w:rsidR="00D20B3A" w:rsidRPr="00D562A8">
        <w:rPr>
          <w:rFonts w:ascii="Times New Roman" w:hAnsi="Times New Roman"/>
          <w:sz w:val="24"/>
          <w:szCs w:val="24"/>
          <w:highlight w:val="yellow"/>
        </w:rPr>
        <w:t>.</w:t>
      </w:r>
      <w:r w:rsidR="00FA3445" w:rsidRPr="006D74FE">
        <w:rPr>
          <w:rFonts w:ascii="Times New Roman" w:hAnsi="Times New Roman"/>
          <w:sz w:val="24"/>
          <w:szCs w:val="24"/>
        </w:rPr>
        <w:t xml:space="preserve"> </w:t>
      </w:r>
      <w:r w:rsidR="00FA3445" w:rsidRPr="00C26E5B">
        <w:rPr>
          <w:rFonts w:ascii="Times New Roman" w:hAnsi="Times New Roman"/>
          <w:sz w:val="24"/>
          <w:szCs w:val="24"/>
          <w:highlight w:val="cyan"/>
        </w:rPr>
        <w:t>Return on</w:t>
      </w:r>
      <w:r w:rsidR="0043125C" w:rsidRPr="00C26E5B">
        <w:rPr>
          <w:rFonts w:ascii="Times New Roman" w:hAnsi="Times New Roman"/>
          <w:sz w:val="24"/>
          <w:szCs w:val="24"/>
          <w:highlight w:val="cyan"/>
        </w:rPr>
        <w:t xml:space="preserve"> assets had</w:t>
      </w:r>
      <w:r w:rsidR="00FA3445" w:rsidRPr="00C26E5B">
        <w:rPr>
          <w:rFonts w:ascii="Times New Roman" w:hAnsi="Times New Roman"/>
          <w:sz w:val="24"/>
          <w:szCs w:val="24"/>
          <w:highlight w:val="cyan"/>
        </w:rPr>
        <w:t xml:space="preserve"> the negatively insignificant for the cost model and negatively significant for the profit model implie</w:t>
      </w:r>
      <w:r w:rsidR="00FA4F9C" w:rsidRPr="00C26E5B">
        <w:rPr>
          <w:rFonts w:ascii="Times New Roman" w:hAnsi="Times New Roman"/>
          <w:sz w:val="24"/>
          <w:szCs w:val="24"/>
          <w:highlight w:val="cyan"/>
        </w:rPr>
        <w:t>d</w:t>
      </w:r>
      <w:r w:rsidR="008A1923" w:rsidRPr="00C26E5B">
        <w:rPr>
          <w:rFonts w:ascii="Times New Roman" w:hAnsi="Times New Roman"/>
          <w:sz w:val="24"/>
          <w:szCs w:val="24"/>
          <w:highlight w:val="cyan"/>
        </w:rPr>
        <w:t xml:space="preserve"> that banks gain</w:t>
      </w:r>
      <w:r w:rsidR="0043125C" w:rsidRPr="00C26E5B">
        <w:rPr>
          <w:rFonts w:ascii="Times New Roman" w:hAnsi="Times New Roman"/>
          <w:sz w:val="24"/>
          <w:szCs w:val="24"/>
          <w:highlight w:val="cyan"/>
        </w:rPr>
        <w:t>ed profit but could n</w:t>
      </w:r>
      <w:r w:rsidR="00FA3445" w:rsidRPr="00C26E5B">
        <w:rPr>
          <w:rFonts w:ascii="Times New Roman" w:hAnsi="Times New Roman"/>
          <w:sz w:val="24"/>
          <w:szCs w:val="24"/>
          <w:highlight w:val="cyan"/>
        </w:rPr>
        <w:t xml:space="preserve">ot reduce cost using their total </w:t>
      </w:r>
      <w:r w:rsidR="000408EE" w:rsidRPr="00C26E5B">
        <w:rPr>
          <w:rFonts w:ascii="Times New Roman" w:hAnsi="Times New Roman"/>
          <w:sz w:val="24"/>
          <w:szCs w:val="24"/>
          <w:highlight w:val="cyan"/>
        </w:rPr>
        <w:t>assets with</w:t>
      </w:r>
      <w:r w:rsidR="00FA3445" w:rsidRPr="00C26E5B">
        <w:rPr>
          <w:rFonts w:ascii="Times New Roman" w:hAnsi="Times New Roman"/>
          <w:sz w:val="24"/>
          <w:szCs w:val="24"/>
          <w:highlight w:val="cyan"/>
        </w:rPr>
        <w:t xml:space="preserve"> the coefficient of </w:t>
      </w:r>
      <w:r w:rsidR="008A1923" w:rsidRPr="00C26E5B">
        <w:rPr>
          <w:rFonts w:ascii="Times New Roman" w:hAnsi="Times New Roman"/>
          <w:sz w:val="24"/>
          <w:szCs w:val="24"/>
          <w:highlight w:val="cyan"/>
        </w:rPr>
        <w:t>δ3(-0.344, -0.229, -1.704*, -2.513**)</w:t>
      </w:r>
      <w:r w:rsidR="00DC1E12" w:rsidRPr="00C26E5B">
        <w:rPr>
          <w:rFonts w:ascii="Times New Roman" w:hAnsi="Times New Roman"/>
          <w:sz w:val="24"/>
          <w:szCs w:val="24"/>
          <w:highlight w:val="cyan"/>
        </w:rPr>
        <w:t>.</w:t>
      </w:r>
      <w:r w:rsidR="00AD556C" w:rsidRPr="00C26E5B">
        <w:rPr>
          <w:rFonts w:ascii="Times New Roman" w:hAnsi="Times New Roman"/>
          <w:sz w:val="24"/>
          <w:szCs w:val="24"/>
          <w:highlight w:val="cyan"/>
        </w:rPr>
        <w:t xml:space="preserve"> These</w:t>
      </w:r>
      <w:r w:rsidR="0043125C" w:rsidRPr="00C26E5B">
        <w:rPr>
          <w:rFonts w:ascii="Times New Roman" w:hAnsi="Times New Roman"/>
          <w:sz w:val="24"/>
          <w:szCs w:val="24"/>
          <w:highlight w:val="cyan"/>
        </w:rPr>
        <w:t xml:space="preserve"> findings we</w:t>
      </w:r>
      <w:r w:rsidR="00AD556C" w:rsidRPr="00C26E5B">
        <w:rPr>
          <w:rFonts w:ascii="Times New Roman" w:hAnsi="Times New Roman"/>
          <w:sz w:val="24"/>
          <w:szCs w:val="24"/>
          <w:highlight w:val="cyan"/>
        </w:rPr>
        <w:t xml:space="preserve">re in contrary to the findings of </w:t>
      </w:r>
      <w:r w:rsidR="00181504" w:rsidRPr="00C26E5B">
        <w:rPr>
          <w:rFonts w:ascii="Times New Roman" w:hAnsi="Times New Roman"/>
          <w:sz w:val="24"/>
          <w:szCs w:val="24"/>
          <w:highlight w:val="cyan"/>
        </w:rPr>
        <w:fldChar w:fldCharType="begin" w:fldLock="1"/>
      </w:r>
      <w:r w:rsidR="00B77167" w:rsidRPr="00C26E5B">
        <w:rPr>
          <w:rFonts w:ascii="Times New Roman" w:hAnsi="Times New Roman"/>
          <w:sz w:val="24"/>
          <w:szCs w:val="24"/>
          <w:highlight w:val="cyan"/>
        </w:rPr>
        <w:instrText>ADDIN CSL_CITATION {"citationItems":[{"id":"ITEM-1","itemData":{"DOI":"10.1080/13518470600763687","ISSN":"1351847X","abstract":"This study examines the cost and profit efficiency of banking sectors in twelve transition economies of Central and Eastern Europe (CEE) over the period 1993-2000, using the stochastic frontier approach (SFA) and the distribution-free approach (DFA). The managerial inefficiencies in CEE banking markets were found to be significant, with average cost efficiency level for 12 countries of 72% and 77% by the DFA and the SFA, respectively. The alternative profit efficiency levels are found to be significantly lower relative to cost efficiency. According to the SFA, approximately one-third of banks' profits are lost to inefficiency, and almost one-half according to the DFA. The results of the second-stage regression analyses suggest that higher efficiency levels are associated with large and well-capitalized banks. The degree of competition has a positive influence on cost efficiency and a negative one on profit efficiency, while market concentration is negatively linked to efficiency. Finally, foreign banks are found to be more cost efficient but less profit efficient relative to domestically owned private banks and state-owned banks.","author":[{"dropping-particle":"","family":"Yildirim","given":"H. Semih","non-dropping-particle":"","parse-names":false,"suffix":""},{"dropping-particle":"","family":"Philippatos","given":"George C.","non-dropping-particle":"","parse-names":false,"suffix":""}],"container-title":"European Journal of Finance","id":"ITEM-1","issue":"2","issued":{"date-parts":[["2007","2"]]},"page":"123-143","title":"Efficiency of banks: Recent evidence from the transition economies of Europe, 1993-2000","type":"article-journal","volume":"13"},"uris":["http://www.mendeley.com/documents/?uuid=35f560c5-23db-31f5-b9dc-df4cb8855fd3"]},{"id":"ITEM-2","itemData":{"DOI":"10.2753/EEE0012-8775490603","ISSN":"00128775","abstract":"In this paper we examine the determinants of the efficiency and productivity of the banking systems of seven central and east European countries during a five-year period, from 2004 to 2008. Two approaches are used to examine the efficiency of the banking industry in central and east European countries: stochastic frontier analysis and data envelopment analysis. The empirical results show that the average efficiency of banks in central and east European countries grew in the period analyzed. The improvement may be due to increased competition upon EU accession and the entry of foreign banks, as well as to extensive legislative changes that led banks to become more efficient. Based on the results, we see that the highest level of technical efficiency is recorded for the banking systems of Romania and the Czech Republic, and the lowest is recorded for Slovenia. Looking at the average efficiency scores for each country, we observe significant variation across the banking systems of the central and east European countries. Technical efficiency value estimates with the stochastic frontier analysis method range from 0.6275 in Slovakia to 0.8644 in Romania. To assess the level of productivity growth of the banking industry, a Malmquist productivity index is calculated using linear programming. In the analyzed period, on average, the productivity of banks had increased in 2008 by approximately 24.27 percent from 2004, an increase due especially to technological modification. © 2012 M.E. Sharpe, Inc. All rights reserved.","author":[{"dropping-particle":"","family":"Andries","given":"Alin Marius","non-dropping-particle":"","parse-names":false,"suffix":""}],"container-title":"Eastern European Economics","id":"ITEM-2","issue":"6","issued":{"date-parts":[["2011","11","1"]]},"page":"38-59","publisher":" Routledge ","title":"The determinants of bank efficiency and productivity growth in the central and eastern european banking systems","type":"article-journal","volume":"49"},"uris":["http://www.mendeley.com/documents/?uuid=48d7ec2b-9bc2-36f4-ba26-cf9e12a303ac"]},{"id":"ITEM-3","itemData":{"author":[{"dropping-particle":"","family":"Thangavelu","given":"Shandre Mugan","non-dropping-particle":"","parse-names":false,"suffix":""},{"dropping-particle":"","family":"Findlay","given":"Christopher","non-dropping-particle":"","parse-names":false,"suffix":""}],"id":"ITEM-3","issued":{"date-parts":[["2010"]]},"title":"Bank efficiency, regulation and response to crisis of financial institutions in selected Asian countries","type":"article"},"uris":["http://www.mendeley.com/documents/?uuid=80912932-fb4a-3b74-a121-eaa68685e51c"]}],"mendeley":{"formattedCitation":"(Andries 2011; Thangavelu &amp; Findlay 2010; Yildirim &amp; Philippatos 2007)","plainTextFormattedCitation":"(Andries 2011; Thangavelu &amp; Findlay 2010; Yildirim &amp; Philippatos 2007)","previouslyFormattedCitation":"(Andries, 2011; Thangavelu &amp; Findlay, 2010; Yildirim &amp; Philippatos, 2007)"},"properties":{"noteIndex":0},"schema":"https://github.com/citation-style-language/schema/raw/master/csl-citation.json"}</w:instrText>
      </w:r>
      <w:r w:rsidR="00181504" w:rsidRPr="00C26E5B">
        <w:rPr>
          <w:rFonts w:ascii="Times New Roman" w:hAnsi="Times New Roman"/>
          <w:sz w:val="24"/>
          <w:szCs w:val="24"/>
          <w:highlight w:val="cyan"/>
        </w:rPr>
        <w:fldChar w:fldCharType="separate"/>
      </w:r>
      <w:r w:rsidR="00B77167" w:rsidRPr="00C26E5B">
        <w:rPr>
          <w:rFonts w:ascii="Times New Roman" w:hAnsi="Times New Roman"/>
          <w:noProof/>
          <w:sz w:val="24"/>
          <w:szCs w:val="24"/>
          <w:highlight w:val="cyan"/>
        </w:rPr>
        <w:t>(Andries 2011; Thangavelu &amp; Findlay 2010; Yildirim &amp; Philippatos 2007)</w:t>
      </w:r>
      <w:r w:rsidR="00181504" w:rsidRPr="00C26E5B">
        <w:rPr>
          <w:rFonts w:ascii="Times New Roman" w:hAnsi="Times New Roman"/>
          <w:sz w:val="24"/>
          <w:szCs w:val="24"/>
          <w:highlight w:val="cyan"/>
        </w:rPr>
        <w:fldChar w:fldCharType="end"/>
      </w:r>
      <w:r w:rsidR="00D20B3A" w:rsidRPr="00C26E5B">
        <w:rPr>
          <w:rFonts w:ascii="Times New Roman" w:hAnsi="Times New Roman"/>
          <w:sz w:val="24"/>
          <w:szCs w:val="24"/>
          <w:highlight w:val="cyan"/>
        </w:rPr>
        <w:t xml:space="preserve"> They did not find a significant association between ROA and bank efficiency but support (Anwar; </w:t>
      </w:r>
      <w:r w:rsidR="00AD556C" w:rsidRPr="00C26E5B">
        <w:rPr>
          <w:rFonts w:ascii="Times New Roman" w:hAnsi="Times New Roman"/>
          <w:sz w:val="24"/>
          <w:szCs w:val="24"/>
          <w:highlight w:val="cyan"/>
        </w:rPr>
        <w:t>2018).</w:t>
      </w:r>
      <w:r w:rsidR="00DC1E12" w:rsidRPr="00C26E5B">
        <w:rPr>
          <w:rFonts w:ascii="Times New Roman" w:hAnsi="Times New Roman"/>
          <w:sz w:val="24"/>
          <w:szCs w:val="24"/>
          <w:highlight w:val="cyan"/>
        </w:rPr>
        <w:t xml:space="preserve"> The highly positive coefficient of return on equity δ4 (0.871</w:t>
      </w:r>
      <w:r w:rsidR="006F2A44" w:rsidRPr="00C26E5B">
        <w:rPr>
          <w:rFonts w:ascii="Times New Roman" w:hAnsi="Times New Roman"/>
          <w:sz w:val="24"/>
          <w:szCs w:val="24"/>
          <w:highlight w:val="cyan"/>
        </w:rPr>
        <w:t>*</w:t>
      </w:r>
      <w:r w:rsidR="00730C40" w:rsidRPr="00C26E5B">
        <w:rPr>
          <w:rFonts w:ascii="Times New Roman" w:hAnsi="Times New Roman"/>
          <w:sz w:val="24"/>
          <w:szCs w:val="24"/>
          <w:highlight w:val="cyan"/>
        </w:rPr>
        <w:t>, 0.341</w:t>
      </w:r>
      <w:r w:rsidR="006F2A44" w:rsidRPr="00C26E5B">
        <w:rPr>
          <w:rFonts w:ascii="Times New Roman" w:hAnsi="Times New Roman"/>
          <w:sz w:val="24"/>
          <w:szCs w:val="24"/>
          <w:highlight w:val="cyan"/>
        </w:rPr>
        <w:t>*</w:t>
      </w:r>
      <w:r w:rsidR="00730C40" w:rsidRPr="00C26E5B">
        <w:rPr>
          <w:rFonts w:ascii="Times New Roman" w:hAnsi="Times New Roman"/>
          <w:sz w:val="24"/>
          <w:szCs w:val="24"/>
          <w:highlight w:val="cyan"/>
        </w:rPr>
        <w:t>, 2.38</w:t>
      </w:r>
      <w:r w:rsidR="006F2A44" w:rsidRPr="00C26E5B">
        <w:rPr>
          <w:rFonts w:ascii="Times New Roman" w:hAnsi="Times New Roman"/>
          <w:sz w:val="24"/>
          <w:szCs w:val="24"/>
          <w:highlight w:val="cyan"/>
        </w:rPr>
        <w:t>***</w:t>
      </w:r>
      <w:r w:rsidR="00730C40" w:rsidRPr="00C26E5B">
        <w:rPr>
          <w:rFonts w:ascii="Times New Roman" w:hAnsi="Times New Roman"/>
          <w:sz w:val="24"/>
          <w:szCs w:val="24"/>
          <w:highlight w:val="cyan"/>
        </w:rPr>
        <w:t xml:space="preserve"> &amp; 2.868</w:t>
      </w:r>
      <w:r w:rsidR="006F2A44" w:rsidRPr="00C26E5B">
        <w:rPr>
          <w:rFonts w:ascii="Times New Roman" w:hAnsi="Times New Roman"/>
          <w:sz w:val="24"/>
          <w:szCs w:val="24"/>
          <w:highlight w:val="cyan"/>
        </w:rPr>
        <w:t>***</w:t>
      </w:r>
      <w:r w:rsidR="00DC1E12" w:rsidRPr="00C26E5B">
        <w:rPr>
          <w:rFonts w:ascii="Times New Roman" w:hAnsi="Times New Roman"/>
          <w:sz w:val="24"/>
          <w:szCs w:val="24"/>
          <w:highlight w:val="cyan"/>
        </w:rPr>
        <w:t>)</w:t>
      </w:r>
      <w:r w:rsidR="00730C40" w:rsidRPr="00C26E5B">
        <w:rPr>
          <w:rFonts w:ascii="Times New Roman" w:hAnsi="Times New Roman"/>
          <w:sz w:val="24"/>
          <w:szCs w:val="24"/>
          <w:highlight w:val="cyan"/>
        </w:rPr>
        <w:t xml:space="preserve"> indicate that </w:t>
      </w:r>
      <w:r w:rsidR="00DC1E12" w:rsidRPr="00C26E5B">
        <w:rPr>
          <w:rFonts w:ascii="Times New Roman" w:hAnsi="Times New Roman"/>
          <w:sz w:val="24"/>
          <w:szCs w:val="24"/>
          <w:highlight w:val="cyan"/>
        </w:rPr>
        <w:t>bank</w:t>
      </w:r>
      <w:r w:rsidR="0043125C" w:rsidRPr="00C26E5B">
        <w:rPr>
          <w:rFonts w:ascii="Times New Roman" w:hAnsi="Times New Roman"/>
          <w:sz w:val="24"/>
          <w:szCs w:val="24"/>
          <w:highlight w:val="cyan"/>
        </w:rPr>
        <w:t xml:space="preserve"> could n</w:t>
      </w:r>
      <w:r w:rsidR="00730C40" w:rsidRPr="00C26E5B">
        <w:rPr>
          <w:rFonts w:ascii="Times New Roman" w:hAnsi="Times New Roman"/>
          <w:sz w:val="24"/>
          <w:szCs w:val="24"/>
          <w:highlight w:val="cyan"/>
        </w:rPr>
        <w:t>ot reduce</w:t>
      </w:r>
      <w:r w:rsidR="00DC1E12" w:rsidRPr="00C26E5B">
        <w:rPr>
          <w:rFonts w:ascii="Times New Roman" w:hAnsi="Times New Roman"/>
          <w:sz w:val="24"/>
          <w:szCs w:val="24"/>
          <w:highlight w:val="cyan"/>
        </w:rPr>
        <w:t xml:space="preserve"> cost</w:t>
      </w:r>
      <w:r w:rsidR="00730C40" w:rsidRPr="00C26E5B">
        <w:rPr>
          <w:rFonts w:ascii="Times New Roman" w:hAnsi="Times New Roman"/>
          <w:sz w:val="24"/>
          <w:szCs w:val="24"/>
          <w:highlight w:val="cyan"/>
        </w:rPr>
        <w:t xml:space="preserve"> efficiency</w:t>
      </w:r>
      <w:r w:rsidR="00DC1E12" w:rsidRPr="00C26E5B">
        <w:rPr>
          <w:rFonts w:ascii="Times New Roman" w:hAnsi="Times New Roman"/>
          <w:sz w:val="24"/>
          <w:szCs w:val="24"/>
          <w:highlight w:val="cyan"/>
        </w:rPr>
        <w:t xml:space="preserve"> </w:t>
      </w:r>
      <w:r w:rsidR="00C12432" w:rsidRPr="00C26E5B">
        <w:rPr>
          <w:rFonts w:ascii="Times New Roman" w:hAnsi="Times New Roman"/>
          <w:sz w:val="24"/>
          <w:szCs w:val="24"/>
          <w:highlight w:val="cyan"/>
        </w:rPr>
        <w:t>and</w:t>
      </w:r>
      <w:r w:rsidR="00730C40" w:rsidRPr="00C26E5B">
        <w:rPr>
          <w:rFonts w:ascii="Times New Roman" w:hAnsi="Times New Roman"/>
          <w:sz w:val="24"/>
          <w:szCs w:val="24"/>
          <w:highlight w:val="cyan"/>
        </w:rPr>
        <w:t xml:space="preserve"> increase</w:t>
      </w:r>
      <w:r w:rsidR="00C12432" w:rsidRPr="00C26E5B">
        <w:rPr>
          <w:rFonts w:ascii="Times New Roman" w:hAnsi="Times New Roman"/>
          <w:sz w:val="24"/>
          <w:szCs w:val="24"/>
          <w:highlight w:val="cyan"/>
        </w:rPr>
        <w:t xml:space="preserve"> profit </w:t>
      </w:r>
      <w:r w:rsidR="00DC1E12" w:rsidRPr="00C26E5B">
        <w:rPr>
          <w:rFonts w:ascii="Times New Roman" w:hAnsi="Times New Roman"/>
          <w:sz w:val="24"/>
          <w:szCs w:val="24"/>
          <w:highlight w:val="cyan"/>
        </w:rPr>
        <w:t>efficiency</w:t>
      </w:r>
      <w:r w:rsidR="00C12432" w:rsidRPr="00C26E5B">
        <w:rPr>
          <w:rFonts w:ascii="Times New Roman" w:hAnsi="Times New Roman"/>
          <w:sz w:val="24"/>
          <w:szCs w:val="24"/>
          <w:highlight w:val="cyan"/>
        </w:rPr>
        <w:t xml:space="preserve"> by pr</w:t>
      </w:r>
      <w:r w:rsidR="00730C40" w:rsidRPr="00C26E5B">
        <w:rPr>
          <w:rFonts w:ascii="Times New Roman" w:hAnsi="Times New Roman"/>
          <w:sz w:val="24"/>
          <w:szCs w:val="24"/>
          <w:highlight w:val="cyan"/>
        </w:rPr>
        <w:t>operly implementing the investments</w:t>
      </w:r>
      <w:r w:rsidR="00DC1E12" w:rsidRPr="00C26E5B">
        <w:rPr>
          <w:rFonts w:ascii="Times New Roman" w:hAnsi="Times New Roman"/>
          <w:sz w:val="24"/>
          <w:szCs w:val="24"/>
          <w:highlight w:val="cyan"/>
        </w:rPr>
        <w:t xml:space="preserve">. </w:t>
      </w:r>
      <w:r w:rsidR="007E6DD1" w:rsidRPr="00C26E5B">
        <w:rPr>
          <w:rFonts w:ascii="Times New Roman" w:hAnsi="Times New Roman"/>
          <w:sz w:val="24"/>
          <w:szCs w:val="24"/>
          <w:highlight w:val="cyan"/>
        </w:rPr>
        <w:t xml:space="preserve">Bank capital, which is </w:t>
      </w:r>
      <w:r w:rsidR="0043125C" w:rsidRPr="00C26E5B">
        <w:rPr>
          <w:rFonts w:ascii="Times New Roman" w:hAnsi="Times New Roman"/>
          <w:sz w:val="24"/>
          <w:szCs w:val="24"/>
          <w:highlight w:val="cyan"/>
        </w:rPr>
        <w:t>represented by the CAR, also had</w:t>
      </w:r>
      <w:r w:rsidR="007E6DD1" w:rsidRPr="00C26E5B">
        <w:rPr>
          <w:rFonts w:ascii="Times New Roman" w:hAnsi="Times New Roman"/>
          <w:sz w:val="24"/>
          <w:szCs w:val="24"/>
          <w:highlight w:val="cyan"/>
        </w:rPr>
        <w:t xml:space="preserve"> a positive impact on the cost efficiency of banks, with a positive direction in the model of cost, and it is negatively significant in the profit model assets  with the coefficient of δ5  (0.356, 0.961***, -1.75*, -2.806**).</w:t>
      </w:r>
      <w:r w:rsidR="007E6DD1" w:rsidRPr="006D74FE">
        <w:rPr>
          <w:rFonts w:ascii="Times New Roman" w:hAnsi="Times New Roman"/>
          <w:sz w:val="24"/>
          <w:szCs w:val="24"/>
        </w:rPr>
        <w:t xml:space="preserve"> </w:t>
      </w:r>
      <w:r w:rsidR="007E6DD1" w:rsidRPr="00F26BEC">
        <w:rPr>
          <w:rFonts w:ascii="Times New Roman" w:hAnsi="Times New Roman"/>
          <w:sz w:val="24"/>
          <w:szCs w:val="24"/>
          <w:highlight w:val="yellow"/>
        </w:rPr>
        <w:t>These findings indicate that capital adequacy is crucial for banks to support their management in order to be more profitable. It is worth noting that the high compliance of Bangladesh banks in terms of capital adequacy supply has adversely affected their level of cost efficiency.</w:t>
      </w:r>
      <w:r w:rsidR="00582DD2" w:rsidRPr="00F26BEC">
        <w:rPr>
          <w:rFonts w:ascii="Times New Roman" w:hAnsi="Times New Roman"/>
          <w:sz w:val="24"/>
          <w:szCs w:val="24"/>
          <w:highlight w:val="yellow"/>
        </w:rPr>
        <w:t xml:space="preserve"> </w:t>
      </w:r>
      <w:r w:rsidR="001304F2" w:rsidRPr="00F26BEC">
        <w:rPr>
          <w:rFonts w:ascii="Times New Roman" w:hAnsi="Times New Roman"/>
          <w:sz w:val="24"/>
          <w:szCs w:val="24"/>
          <w:highlight w:val="yellow"/>
        </w:rPr>
        <w:t>S</w:t>
      </w:r>
      <w:r w:rsidR="00582DD2" w:rsidRPr="00F26BEC">
        <w:rPr>
          <w:rFonts w:ascii="Times New Roman" w:hAnsi="Times New Roman"/>
          <w:sz w:val="24"/>
          <w:szCs w:val="24"/>
          <w:highlight w:val="yellow"/>
        </w:rPr>
        <w:t xml:space="preserve">ome studies that match this </w:t>
      </w:r>
      <w:r w:rsidR="00582DD2" w:rsidRPr="00F26BEC">
        <w:rPr>
          <w:rFonts w:ascii="Times New Roman" w:hAnsi="Times New Roman"/>
          <w:sz w:val="24"/>
          <w:szCs w:val="24"/>
          <w:highlight w:val="yellow"/>
        </w:rPr>
        <w:lastRenderedPageBreak/>
        <w:t>finding</w:t>
      </w:r>
      <w:r w:rsidR="00AD556C" w:rsidRPr="00F26BEC">
        <w:rPr>
          <w:rFonts w:ascii="Times New Roman" w:hAnsi="Times New Roman"/>
          <w:sz w:val="24"/>
          <w:szCs w:val="24"/>
          <w:highlight w:val="yellow"/>
        </w:rPr>
        <w:t xml:space="preserve"> </w:t>
      </w:r>
      <w:r w:rsidR="00181504" w:rsidRPr="00F26BEC">
        <w:rPr>
          <w:rFonts w:ascii="Times New Roman" w:hAnsi="Times New Roman"/>
          <w:sz w:val="24"/>
          <w:szCs w:val="24"/>
          <w:highlight w:val="yellow"/>
        </w:rPr>
        <w:fldChar w:fldCharType="begin" w:fldLock="1"/>
      </w:r>
      <w:r w:rsidR="00B77167" w:rsidRPr="00F26BEC">
        <w:rPr>
          <w:rFonts w:ascii="Times New Roman" w:hAnsi="Times New Roman"/>
          <w:sz w:val="24"/>
          <w:szCs w:val="24"/>
          <w:highlight w:val="yellow"/>
        </w:rPr>
        <w:instrText>ADDIN CSL_CITATION {"citationItems":[{"id":"ITEM-1","itemData":{"DOI":"10.2753/EEE0012-8775490603","ISSN":"00128775","abstract":"In this paper we examine the determinants of the efficiency and productivity of the banking systems of seven central and east European countries during a five-year period, from 2004 to 2008. Two approaches are used to examine the efficiency of the banking industry in central and east European countries: stochastic frontier analysis and data envelopment analysis. The empirical results show that the average efficiency of banks in central and east European countries grew in the period analyzed. The improvement may be due to increased competition upon EU accession and the entry of foreign banks, as well as to extensive legislative changes that led banks to become more efficient. Based on the results, we see that the highest level of technical efficiency is recorded for the banking systems of Romania and the Czech Republic, and the lowest is recorded for Slovenia. Looking at the average efficiency scores for each country, we observe significant variation across the banking systems of the central and east European countries. Technical efficiency value estimates with the stochastic frontier analysis method range from 0.6275 in Slovakia to 0.8644 in Romania. To assess the level of productivity growth of the banking industry, a Malmquist productivity index is calculated using linear programming. In the analyzed period, on average, the productivity of banks had increased in 2008 by approximately 24.27 percent from 2004, an increase due especially to technological modification. © 2012 M.E. Sharpe, Inc. All rights reserved.","author":[{"dropping-particle":"","family":"Andries","given":"Alin Marius","non-dropping-particle":"","parse-names":false,"suffix":""}],"container-title":"Eastern European Economics","id":"ITEM-1","issue":"6","issued":{"date-parts":[["2011","11","1"]]},"page":"38-59","publisher":" Routledge ","title":"The determinants of bank efficiency and productivity growth in the central and eastern european banking systems","type":"article-journal","volume":"49"},"uris":["http://www.mendeley.com/documents/?uuid=48d7ec2b-9bc2-36f4-ba26-cf9e12a303ac"]},{"id":"ITEM-2","itemData":{"author":[{"dropping-particle":"","family":"Thangavelu","given":"Shandre Mugan","non-dropping-particle":"","parse-names":false,"suffix":""},{"dropping-particle":"","family":"Findlay","given":"Christopher","non-dropping-particle":"","parse-names":false,"suffix":""}],"id":"ITEM-2","issued":{"date-parts":[["2010"]]},"title":"Bank efficiency, regulation and response to crisis of financial institutions in selected Asian countries","type":"article"},"uris":["http://www.mendeley.com/documents/?uuid=80912932-fb4a-3b74-a121-eaa68685e51c"]},{"id":"ITEM-3","itemData":{"DOI":"10.1080/13518470600763687","ISSN":"1351847X","abstract":"This study examines the cost and profit efficiency of banking sectors in twelve transition economies of Central and Eastern Europe (CEE) over the period 1993-2000, using the stochastic frontier approach (SFA) and the distribution-free approach (DFA). The managerial inefficiencies in CEE banking markets were found to be significant, with average cost efficiency level for 12 countries of 72% and 77% by the DFA and the SFA, respectively. The alternative profit efficiency levels are found to be significantly lower relative to cost efficiency. According to the SFA, approximately one-third of banks' profits are lost to inefficiency, and almost one-half according to the DFA. The results of the second-stage regression analyses suggest that higher efficiency levels are associated with large and well-capitalized banks. The degree of competition has a positive influence on cost efficiency and a negative one on profit efficiency, while market concentration is negatively linked to efficiency. Finally, foreign banks are found to be more cost efficient but less profit efficient relative to domestically owned private banks and state-owned banks.","author":[{"dropping-particle":"","family":"Yildirim","given":"H. Semih","non-dropping-particle":"","parse-names":false,"suffix":""},{"dropping-particle":"","family":"Philippatos","given":"George C.","non-dropping-particle":"","parse-names":false,"suffix":""}],"container-title":"European Journal of Finance","id":"ITEM-3","issue":"2","issued":{"date-parts":[["2007","2"]]},"page":"123-143","title":"Efficiency of banks: Recent evidence from the transition economies of Europe, 1993-2000","type":"article-journal","volume":"13"},"uris":["http://www.mendeley.com/documents/?uuid=35f560c5-23db-31f5-b9dc-df4cb8855fd3"]}],"mendeley":{"formattedCitation":"(Andries 2011; Thangavelu &amp; Findlay 2010; Yildirim &amp; Philippatos 2007)","plainTextFormattedCitation":"(Andries 2011; Thangavelu &amp; Findlay 2010; Yildirim &amp; Philippatos 2007)","previouslyFormattedCitation":"(Andries, 2011; Thangavelu &amp; Findlay, 2010; Yildirim &amp; Philippatos, 2007)"},"properties":{"noteIndex":0},"schema":"https://github.com/citation-style-language/schema/raw/master/csl-citation.json"}</w:instrText>
      </w:r>
      <w:r w:rsidR="00181504" w:rsidRPr="00F26BEC">
        <w:rPr>
          <w:rFonts w:ascii="Times New Roman" w:hAnsi="Times New Roman"/>
          <w:sz w:val="24"/>
          <w:szCs w:val="24"/>
          <w:highlight w:val="yellow"/>
        </w:rPr>
        <w:fldChar w:fldCharType="separate"/>
      </w:r>
      <w:r w:rsidR="00B77167" w:rsidRPr="00F26BEC">
        <w:rPr>
          <w:rFonts w:ascii="Times New Roman" w:hAnsi="Times New Roman"/>
          <w:noProof/>
          <w:sz w:val="24"/>
          <w:szCs w:val="24"/>
          <w:highlight w:val="yellow"/>
        </w:rPr>
        <w:t>(Andries 2011; Thangavelu &amp; Findlay 2010; Yildirim &amp; Philippatos 2007)</w:t>
      </w:r>
      <w:r w:rsidR="00181504" w:rsidRPr="00F26BEC">
        <w:rPr>
          <w:rFonts w:ascii="Times New Roman" w:hAnsi="Times New Roman"/>
          <w:sz w:val="24"/>
          <w:szCs w:val="24"/>
          <w:highlight w:val="yellow"/>
        </w:rPr>
        <w:fldChar w:fldCharType="end"/>
      </w:r>
      <w:r w:rsidR="0043125C" w:rsidRPr="00F26BEC">
        <w:rPr>
          <w:rFonts w:ascii="Times New Roman" w:hAnsi="Times New Roman"/>
          <w:sz w:val="24"/>
          <w:szCs w:val="24"/>
          <w:highlight w:val="yellow"/>
        </w:rPr>
        <w:t>. The Sigma squared wa</w:t>
      </w:r>
      <w:r w:rsidR="006F2A44" w:rsidRPr="00F26BEC">
        <w:rPr>
          <w:rFonts w:ascii="Times New Roman" w:hAnsi="Times New Roman"/>
          <w:sz w:val="24"/>
          <w:szCs w:val="24"/>
          <w:highlight w:val="yellow"/>
        </w:rPr>
        <w:t>s positively si</w:t>
      </w:r>
      <w:r w:rsidR="0043125C" w:rsidRPr="00F26BEC">
        <w:rPr>
          <w:rFonts w:ascii="Times New Roman" w:hAnsi="Times New Roman"/>
          <w:sz w:val="24"/>
          <w:szCs w:val="24"/>
          <w:highlight w:val="yellow"/>
        </w:rPr>
        <w:t>gnificant. The estimated gamma wa</w:t>
      </w:r>
      <w:r w:rsidR="006F2A44" w:rsidRPr="00F26BEC">
        <w:rPr>
          <w:rFonts w:ascii="Times New Roman" w:hAnsi="Times New Roman"/>
          <w:sz w:val="24"/>
          <w:szCs w:val="24"/>
          <w:highlight w:val="yellow"/>
        </w:rPr>
        <w:t xml:space="preserve">s close to unity implies that the strong impact of inefficiency score to bank’s cost </w:t>
      </w:r>
      <w:r w:rsidR="0043125C" w:rsidRPr="00F26BEC">
        <w:rPr>
          <w:rFonts w:ascii="Times New Roman" w:hAnsi="Times New Roman"/>
          <w:sz w:val="24"/>
          <w:szCs w:val="24"/>
          <w:highlight w:val="yellow"/>
        </w:rPr>
        <w:t xml:space="preserve">variance. These results </w:t>
      </w:r>
      <w:r w:rsidR="000408EE" w:rsidRPr="00F26BEC">
        <w:rPr>
          <w:rFonts w:ascii="Times New Roman" w:hAnsi="Times New Roman"/>
          <w:sz w:val="24"/>
          <w:szCs w:val="24"/>
          <w:highlight w:val="yellow"/>
        </w:rPr>
        <w:t>were</w:t>
      </w:r>
      <w:r w:rsidR="006F2A44" w:rsidRPr="00F26BEC">
        <w:rPr>
          <w:rFonts w:ascii="Times New Roman" w:hAnsi="Times New Roman"/>
          <w:sz w:val="24"/>
          <w:szCs w:val="24"/>
          <w:highlight w:val="yellow"/>
        </w:rPr>
        <w:t xml:space="preserve"> supported by </w:t>
      </w:r>
      <w:r w:rsidR="00181504" w:rsidRPr="00F26BEC">
        <w:rPr>
          <w:rFonts w:ascii="Times New Roman" w:hAnsi="Times New Roman"/>
          <w:sz w:val="24"/>
          <w:szCs w:val="24"/>
          <w:highlight w:val="yellow"/>
        </w:rPr>
        <w:fldChar w:fldCharType="begin" w:fldLock="1"/>
      </w:r>
      <w:r w:rsidR="00B77167" w:rsidRPr="00F26BEC">
        <w:rPr>
          <w:rFonts w:ascii="Times New Roman" w:hAnsi="Times New Roman"/>
          <w:sz w:val="24"/>
          <w:szCs w:val="24"/>
          <w:highlight w:val="yellow"/>
        </w:rPr>
        <w:instrText>ADDIN CSL_CITATION {"citationItems":[{"id":"ITEM-1","itemData":{"abstract":"By using stochastic frontier analysis (SFA) approach to measure the cost and profit efficiency for data of 45 Vietnam commercial banks over the years from 2007 to 2012, this paper highlights risk and asset quality factors related to cost and profit inefficiency of the banks. Besides, cost inefficiency seems to be strongly related to bank concentration, mergers, and bank ownership. These results suggested mergers and acquisition can gain potential cost inefficiency and foster banks' competition in the banking system. Based on test of variance analysis, State owned commercial banks (SCOB) is more efficiency than other domestic, commercial banks (JSCB) and foreign banks in terms of profit efficiency, in contrast to cost efficiency, international banks are leading in cost efficiency than other national banks.","author":[{"dropping-particle":"","family":"Thi","given":"Le","non-dropping-particle":"","parse-names":false,"suffix":""},{"dropping-particle":"","family":"Ngan","given":"Thanh","non-dropping-particle":"","parse-names":false,"suffix":""}],"id":"ITEM-1","issued":{"date-parts":[["2014"]]},"title":"Scientific Papers (www.scientificpapers.org) Journal of Knowledge Management, Economics and Information Technology Profit and Cost Efficiency Analysis in Banking Sector: A Case of Stochastic Frontier Approach for Vietnam","type":"report","volume":"IV"},"uris":["http://www.mendeley.com/documents/?uuid=ed67aa52-f6e3-38b3-bc9a-0a5a75d1a954"]}],"mendeley":{"formattedCitation":"(Thi &amp; Ngan 2014)","plainTextFormattedCitation":"(Thi &amp; Ngan 2014)","previouslyFormattedCitation":"(Thi &amp; Ngan, 2014)"},"properties":{"noteIndex":0},"schema":"https://github.com/citation-style-language/schema/raw/master/csl-citation.json"}</w:instrText>
      </w:r>
      <w:r w:rsidR="00181504" w:rsidRPr="00F26BEC">
        <w:rPr>
          <w:rFonts w:ascii="Times New Roman" w:hAnsi="Times New Roman"/>
          <w:sz w:val="24"/>
          <w:szCs w:val="24"/>
          <w:highlight w:val="yellow"/>
        </w:rPr>
        <w:fldChar w:fldCharType="separate"/>
      </w:r>
      <w:r w:rsidR="00B77167" w:rsidRPr="00F26BEC">
        <w:rPr>
          <w:rFonts w:ascii="Times New Roman" w:hAnsi="Times New Roman"/>
          <w:noProof/>
          <w:sz w:val="24"/>
          <w:szCs w:val="24"/>
          <w:highlight w:val="yellow"/>
        </w:rPr>
        <w:t>(Thi &amp; Ngan 2014)</w:t>
      </w:r>
      <w:r w:rsidR="00181504" w:rsidRPr="00F26BEC">
        <w:rPr>
          <w:rFonts w:ascii="Times New Roman" w:hAnsi="Times New Roman"/>
          <w:sz w:val="24"/>
          <w:szCs w:val="24"/>
          <w:highlight w:val="yellow"/>
        </w:rPr>
        <w:fldChar w:fldCharType="end"/>
      </w:r>
      <w:r w:rsidR="00547427" w:rsidRPr="00F26BEC">
        <w:rPr>
          <w:rFonts w:ascii="Times New Roman" w:hAnsi="Times New Roman"/>
          <w:sz w:val="24"/>
          <w:szCs w:val="24"/>
          <w:highlight w:val="yellow"/>
        </w:rPr>
        <w:t>.</w:t>
      </w:r>
    </w:p>
    <w:p w14:paraId="0BF7052E" w14:textId="77777777" w:rsidR="00CA7649" w:rsidRPr="006D74FE" w:rsidRDefault="00CA7649" w:rsidP="00A728A2">
      <w:pPr>
        <w:spacing w:after="0" w:line="240" w:lineRule="auto"/>
        <w:jc w:val="both"/>
        <w:rPr>
          <w:rFonts w:ascii="Times New Roman" w:hAnsi="Times New Roman"/>
          <w:i/>
          <w:iCs/>
          <w:sz w:val="24"/>
          <w:szCs w:val="24"/>
        </w:rPr>
      </w:pPr>
    </w:p>
    <w:p w14:paraId="1E8E7567" w14:textId="17EF6455" w:rsidR="003849F1" w:rsidRPr="006D74FE" w:rsidRDefault="003849F1" w:rsidP="00A728A2">
      <w:pPr>
        <w:pStyle w:val="ListParagraph"/>
        <w:numPr>
          <w:ilvl w:val="0"/>
          <w:numId w:val="38"/>
        </w:numPr>
        <w:spacing w:line="240" w:lineRule="auto"/>
        <w:rPr>
          <w:rFonts w:ascii="Times New Roman" w:hAnsi="Times New Roman" w:cs="Times New Roman"/>
          <w:i/>
          <w:iCs/>
        </w:rPr>
      </w:pPr>
      <w:r w:rsidRPr="006D74FE">
        <w:rPr>
          <w:rFonts w:ascii="Times New Roman" w:hAnsi="Times New Roman" w:cs="Times New Roman"/>
          <w:i/>
          <w:iCs/>
        </w:rPr>
        <w:t>Result of Test of Hypothesis for Stochastic Cost and Profit Frontier Model</w:t>
      </w:r>
    </w:p>
    <w:p w14:paraId="55E8BE82" w14:textId="77777777" w:rsidR="00DF6E50" w:rsidRPr="006D74FE" w:rsidRDefault="00DF6E50" w:rsidP="00A728A2">
      <w:pPr>
        <w:spacing w:line="240" w:lineRule="auto"/>
        <w:jc w:val="both"/>
        <w:rPr>
          <w:rFonts w:ascii="Times New Roman" w:hAnsi="Times New Roman"/>
          <w:i/>
          <w:iCs/>
          <w:sz w:val="24"/>
          <w:szCs w:val="24"/>
        </w:rPr>
      </w:pPr>
    </w:p>
    <w:p w14:paraId="5A3AB307" w14:textId="09490569" w:rsidR="003849F1" w:rsidRPr="000E4D38" w:rsidRDefault="003849F1" w:rsidP="00A728A2">
      <w:pPr>
        <w:spacing w:after="0" w:line="240" w:lineRule="auto"/>
        <w:jc w:val="both"/>
        <w:rPr>
          <w:rFonts w:ascii="Times New Roman" w:hAnsi="Times New Roman"/>
          <w:sz w:val="24"/>
          <w:szCs w:val="24"/>
          <w:highlight w:val="yellow"/>
        </w:rPr>
      </w:pPr>
      <w:r w:rsidRPr="000E4D38">
        <w:rPr>
          <w:rFonts w:ascii="Times New Roman" w:hAnsi="Times New Roman"/>
          <w:sz w:val="24"/>
          <w:szCs w:val="24"/>
          <w:highlight w:val="yellow"/>
        </w:rPr>
        <w:t>Table</w:t>
      </w:r>
      <w:r w:rsidR="009812C5" w:rsidRPr="000E4D38">
        <w:rPr>
          <w:rFonts w:ascii="Times New Roman" w:hAnsi="Times New Roman"/>
          <w:sz w:val="24"/>
          <w:szCs w:val="24"/>
          <w:highlight w:val="yellow"/>
        </w:rPr>
        <w:t xml:space="preserve"> </w:t>
      </w:r>
      <w:r w:rsidR="00C025D3" w:rsidRPr="000E4D38">
        <w:rPr>
          <w:rFonts w:ascii="Times New Roman" w:hAnsi="Times New Roman"/>
          <w:sz w:val="24"/>
          <w:szCs w:val="24"/>
          <w:highlight w:val="yellow"/>
        </w:rPr>
        <w:t>3</w:t>
      </w:r>
      <w:r w:rsidRPr="000E4D38">
        <w:rPr>
          <w:rFonts w:ascii="Times New Roman" w:hAnsi="Times New Roman"/>
          <w:sz w:val="24"/>
          <w:szCs w:val="24"/>
          <w:highlight w:val="yellow"/>
        </w:rPr>
        <w:t xml:space="preserve"> reports the results of hypothesis tests conducted on the cost and profit frontier model</w:t>
      </w:r>
      <w:r w:rsidR="005750AE" w:rsidRPr="000E4D38">
        <w:rPr>
          <w:rFonts w:ascii="Times New Roman" w:hAnsi="Times New Roman"/>
          <w:sz w:val="24"/>
          <w:szCs w:val="24"/>
          <w:highlight w:val="yellow"/>
        </w:rPr>
        <w:t>s</w:t>
      </w:r>
      <w:r w:rsidRPr="000E4D38">
        <w:rPr>
          <w:rFonts w:ascii="Times New Roman" w:hAnsi="Times New Roman"/>
          <w:sz w:val="24"/>
          <w:szCs w:val="24"/>
          <w:highlight w:val="yellow"/>
        </w:rPr>
        <w:t>. The hypothesis tests were obtained using the generalized likelihood-ratio statistic</w:t>
      </w:r>
      <w:r w:rsidR="000E4D38">
        <w:rPr>
          <w:rFonts w:ascii="Times New Roman" w:hAnsi="Times New Roman"/>
          <w:sz w:val="24"/>
          <w:szCs w:val="24"/>
          <w:highlight w:val="yellow"/>
        </w:rPr>
        <w:t xml:space="preserve"> (</w:t>
      </w:r>
      <w:r w:rsidR="000E4D38" w:rsidRPr="000E4D38">
        <w:rPr>
          <w:rFonts w:ascii="Times New Roman" w:hAnsi="Times New Roman"/>
          <w:sz w:val="24"/>
          <w:szCs w:val="24"/>
        </w:rPr>
        <w:t>http://www.icommercecentral.com/open-access/stochastic-frontier-model-for-cost-and-profit-efficiency-ofislamic-online-banks.php?aid=37952</w:t>
      </w:r>
      <w:r w:rsidR="000E4D38">
        <w:rPr>
          <w:rFonts w:ascii="Times New Roman" w:hAnsi="Times New Roman"/>
          <w:sz w:val="24"/>
          <w:szCs w:val="24"/>
        </w:rPr>
        <w:t>)</w:t>
      </w:r>
      <w:r w:rsidRPr="000E4D38">
        <w:rPr>
          <w:rFonts w:ascii="Times New Roman" w:hAnsi="Times New Roman"/>
          <w:sz w:val="24"/>
          <w:szCs w:val="24"/>
          <w:highlight w:val="yellow"/>
        </w:rPr>
        <w:t>.</w:t>
      </w:r>
    </w:p>
    <w:p w14:paraId="18F2FFBE" w14:textId="49B1CE99" w:rsidR="003849F1" w:rsidRPr="006D74FE" w:rsidRDefault="003849F1" w:rsidP="00A728A2">
      <w:pPr>
        <w:spacing w:after="0" w:line="240" w:lineRule="auto"/>
        <w:jc w:val="both"/>
        <w:rPr>
          <w:rFonts w:ascii="Times New Roman" w:hAnsi="Times New Roman"/>
          <w:sz w:val="24"/>
          <w:szCs w:val="24"/>
        </w:rPr>
      </w:pPr>
      <w:r w:rsidRPr="000E4D38">
        <w:rPr>
          <w:rFonts w:ascii="Times New Roman" w:hAnsi="Times New Roman"/>
          <w:sz w:val="24"/>
          <w:szCs w:val="24"/>
          <w:highlight w:val="yellow"/>
        </w:rPr>
        <w:t>The 1st</w:t>
      </w:r>
      <w:r w:rsidR="007A1227" w:rsidRPr="000E4D38">
        <w:rPr>
          <w:rFonts w:ascii="Times New Roman" w:hAnsi="Times New Roman"/>
          <w:sz w:val="24"/>
          <w:szCs w:val="24"/>
          <w:highlight w:val="yellow"/>
        </w:rPr>
        <w:t xml:space="preserve"> </w:t>
      </w:r>
      <w:r w:rsidRPr="000E4D38">
        <w:rPr>
          <w:rFonts w:ascii="Times New Roman" w:hAnsi="Times New Roman"/>
          <w:sz w:val="24"/>
          <w:szCs w:val="24"/>
          <w:highlight w:val="yellow"/>
        </w:rPr>
        <w:t xml:space="preserve">null hypothesis </w:t>
      </w:r>
      <w:r w:rsidR="000408EE" w:rsidRPr="000E4D38">
        <w:rPr>
          <w:rFonts w:ascii="Times New Roman" w:hAnsi="Times New Roman"/>
          <w:sz w:val="24"/>
          <w:szCs w:val="24"/>
          <w:highlight w:val="yellow"/>
        </w:rPr>
        <w:t>is H0: ρ</w:t>
      </w:r>
      <w:r w:rsidR="00017972" w:rsidRPr="000E4D38">
        <w:rPr>
          <w:rFonts w:ascii="Times New Roman" w:hAnsi="Times New Roman"/>
          <w:sz w:val="24"/>
          <w:szCs w:val="24"/>
          <w:highlight w:val="yellow"/>
        </w:rPr>
        <w:t>=0</w:t>
      </w:r>
      <w:r w:rsidRPr="000E4D38">
        <w:rPr>
          <w:rFonts w:ascii="Times New Roman" w:hAnsi="Times New Roman"/>
          <w:sz w:val="24"/>
          <w:szCs w:val="24"/>
          <w:highlight w:val="yellow"/>
        </w:rPr>
        <w:t xml:space="preserve"> which specifies that the Cobb-Douglas stochastic frontier model is more preferable than the </w:t>
      </w:r>
      <w:proofErr w:type="spellStart"/>
      <w:r w:rsidRPr="000E4D38">
        <w:rPr>
          <w:rFonts w:ascii="Times New Roman" w:hAnsi="Times New Roman"/>
          <w:sz w:val="24"/>
          <w:szCs w:val="24"/>
          <w:highlight w:val="yellow"/>
        </w:rPr>
        <w:t>Translog</w:t>
      </w:r>
      <w:proofErr w:type="spellEnd"/>
      <w:r w:rsidRPr="000E4D38">
        <w:rPr>
          <w:rFonts w:ascii="Times New Roman" w:hAnsi="Times New Roman"/>
          <w:sz w:val="24"/>
          <w:szCs w:val="24"/>
          <w:highlight w:val="yellow"/>
        </w:rPr>
        <w:t xml:space="preserve"> </w:t>
      </w:r>
      <w:r w:rsidR="005750AE" w:rsidRPr="000E4D38">
        <w:rPr>
          <w:rFonts w:ascii="Times New Roman" w:hAnsi="Times New Roman"/>
          <w:sz w:val="24"/>
          <w:szCs w:val="24"/>
          <w:highlight w:val="yellow"/>
        </w:rPr>
        <w:t>s</w:t>
      </w:r>
      <w:r w:rsidRPr="000E4D38">
        <w:rPr>
          <w:rFonts w:ascii="Times New Roman" w:hAnsi="Times New Roman"/>
          <w:sz w:val="24"/>
          <w:szCs w:val="24"/>
          <w:highlight w:val="yellow"/>
        </w:rPr>
        <w:t xml:space="preserve">tochastic </w:t>
      </w:r>
      <w:r w:rsidR="005750AE" w:rsidRPr="000E4D38">
        <w:rPr>
          <w:rFonts w:ascii="Times New Roman" w:hAnsi="Times New Roman"/>
          <w:sz w:val="24"/>
          <w:szCs w:val="24"/>
          <w:highlight w:val="yellow"/>
        </w:rPr>
        <w:t>f</w:t>
      </w:r>
      <w:r w:rsidRPr="000E4D38">
        <w:rPr>
          <w:rFonts w:ascii="Times New Roman" w:hAnsi="Times New Roman"/>
          <w:sz w:val="24"/>
          <w:szCs w:val="24"/>
          <w:highlight w:val="yellow"/>
        </w:rPr>
        <w:t xml:space="preserve">rontier </w:t>
      </w:r>
      <w:r w:rsidR="005750AE" w:rsidRPr="000E4D38">
        <w:rPr>
          <w:rFonts w:ascii="Times New Roman" w:hAnsi="Times New Roman"/>
          <w:sz w:val="24"/>
          <w:szCs w:val="24"/>
          <w:highlight w:val="yellow"/>
        </w:rPr>
        <w:t>m</w:t>
      </w:r>
      <w:r w:rsidRPr="000E4D38">
        <w:rPr>
          <w:rFonts w:ascii="Times New Roman" w:hAnsi="Times New Roman"/>
          <w:sz w:val="24"/>
          <w:szCs w:val="24"/>
          <w:highlight w:val="yellow"/>
        </w:rPr>
        <w:t xml:space="preserve">odel for cost and profit efficiency model of </w:t>
      </w:r>
      <w:r w:rsidR="00C025D3" w:rsidRPr="000E4D38">
        <w:rPr>
          <w:rFonts w:ascii="Times New Roman" w:hAnsi="Times New Roman"/>
          <w:sz w:val="24"/>
          <w:szCs w:val="24"/>
          <w:highlight w:val="yellow"/>
        </w:rPr>
        <w:t>PCBs</w:t>
      </w:r>
      <w:r w:rsidRPr="000E4D38">
        <w:rPr>
          <w:rFonts w:ascii="Times New Roman" w:hAnsi="Times New Roman"/>
          <w:sz w:val="24"/>
          <w:szCs w:val="24"/>
          <w:highlight w:val="yellow"/>
        </w:rPr>
        <w:t xml:space="preserve">. </w:t>
      </w:r>
      <w:r w:rsidR="005750AE" w:rsidRPr="000E4D38">
        <w:rPr>
          <w:rFonts w:ascii="Times New Roman" w:hAnsi="Times New Roman"/>
          <w:sz w:val="24"/>
          <w:szCs w:val="24"/>
          <w:highlight w:val="yellow"/>
        </w:rPr>
        <w:t>I</w:t>
      </w:r>
      <w:r w:rsidRPr="000E4D38">
        <w:rPr>
          <w:rFonts w:ascii="Times New Roman" w:hAnsi="Times New Roman"/>
          <w:sz w:val="24"/>
          <w:szCs w:val="24"/>
          <w:highlight w:val="yellow"/>
        </w:rPr>
        <w:t>t was observed that the null hypothesis is rejected in both case</w:t>
      </w:r>
      <w:r w:rsidR="007A1227" w:rsidRPr="000E4D38">
        <w:rPr>
          <w:rFonts w:ascii="Times New Roman" w:hAnsi="Times New Roman"/>
          <w:sz w:val="24"/>
          <w:szCs w:val="24"/>
          <w:highlight w:val="yellow"/>
        </w:rPr>
        <w:t>s</w:t>
      </w:r>
      <w:r w:rsidRPr="000E4D38">
        <w:rPr>
          <w:rFonts w:ascii="Times New Roman" w:hAnsi="Times New Roman"/>
          <w:sz w:val="24"/>
          <w:szCs w:val="24"/>
          <w:highlight w:val="yellow"/>
        </w:rPr>
        <w:t xml:space="preserve"> of cost and profit efficiency model</w:t>
      </w:r>
      <w:r w:rsidR="005750AE" w:rsidRPr="000E4D38">
        <w:rPr>
          <w:rFonts w:ascii="Times New Roman" w:hAnsi="Times New Roman"/>
          <w:sz w:val="24"/>
          <w:szCs w:val="24"/>
          <w:highlight w:val="yellow"/>
        </w:rPr>
        <w:t>s</w:t>
      </w:r>
      <w:r w:rsidRPr="000E4D38">
        <w:rPr>
          <w:rFonts w:ascii="Times New Roman" w:hAnsi="Times New Roman"/>
          <w:sz w:val="24"/>
          <w:szCs w:val="24"/>
          <w:highlight w:val="yellow"/>
        </w:rPr>
        <w:t xml:space="preserve">. </w:t>
      </w:r>
      <w:r w:rsidR="000408EE" w:rsidRPr="000E4D38">
        <w:rPr>
          <w:rFonts w:ascii="Times New Roman" w:hAnsi="Times New Roman"/>
          <w:sz w:val="24"/>
          <w:szCs w:val="24"/>
          <w:highlight w:val="yellow"/>
        </w:rPr>
        <w:t>So,</w:t>
      </w:r>
      <w:r w:rsidR="007A1227" w:rsidRPr="000E4D38">
        <w:rPr>
          <w:rFonts w:ascii="Times New Roman" w:hAnsi="Times New Roman"/>
          <w:sz w:val="24"/>
          <w:szCs w:val="24"/>
          <w:highlight w:val="yellow"/>
        </w:rPr>
        <w:t xml:space="preserve"> the</w:t>
      </w:r>
      <w:r w:rsidRPr="000E4D38">
        <w:rPr>
          <w:rFonts w:ascii="Times New Roman" w:hAnsi="Times New Roman"/>
          <w:sz w:val="24"/>
          <w:szCs w:val="24"/>
          <w:highlight w:val="yellow"/>
        </w:rPr>
        <w:t xml:space="preserve"> </w:t>
      </w:r>
      <w:proofErr w:type="spellStart"/>
      <w:r w:rsidRPr="000E4D38">
        <w:rPr>
          <w:rFonts w:ascii="Times New Roman" w:hAnsi="Times New Roman"/>
          <w:sz w:val="24"/>
          <w:szCs w:val="24"/>
          <w:highlight w:val="yellow"/>
        </w:rPr>
        <w:t>Translog</w:t>
      </w:r>
      <w:proofErr w:type="spellEnd"/>
      <w:r w:rsidRPr="000E4D38">
        <w:rPr>
          <w:rFonts w:ascii="Times New Roman" w:hAnsi="Times New Roman"/>
          <w:sz w:val="24"/>
          <w:szCs w:val="24"/>
          <w:highlight w:val="yellow"/>
        </w:rPr>
        <w:t xml:space="preserve"> model was more preferable than the Cobb-Douglas for </w:t>
      </w:r>
      <w:r w:rsidR="005750AE" w:rsidRPr="000E4D38">
        <w:rPr>
          <w:rFonts w:ascii="Times New Roman" w:hAnsi="Times New Roman"/>
          <w:sz w:val="24"/>
          <w:szCs w:val="24"/>
          <w:highlight w:val="yellow"/>
        </w:rPr>
        <w:t xml:space="preserve">both </w:t>
      </w:r>
      <w:r w:rsidR="007A1227" w:rsidRPr="000E4D38">
        <w:rPr>
          <w:rFonts w:ascii="Times New Roman" w:hAnsi="Times New Roman"/>
          <w:sz w:val="24"/>
          <w:szCs w:val="24"/>
          <w:highlight w:val="yellow"/>
        </w:rPr>
        <w:t>cost and</w:t>
      </w:r>
      <w:r w:rsidRPr="000E4D38">
        <w:rPr>
          <w:rFonts w:ascii="Times New Roman" w:hAnsi="Times New Roman"/>
          <w:sz w:val="24"/>
          <w:szCs w:val="24"/>
          <w:highlight w:val="yellow"/>
        </w:rPr>
        <w:t xml:space="preserve"> profit efficiency model</w:t>
      </w:r>
      <w:r w:rsidR="005750AE" w:rsidRPr="000E4D38">
        <w:rPr>
          <w:rFonts w:ascii="Times New Roman" w:hAnsi="Times New Roman"/>
          <w:sz w:val="24"/>
          <w:szCs w:val="24"/>
          <w:highlight w:val="yellow"/>
        </w:rPr>
        <w:t>s</w:t>
      </w:r>
      <w:r w:rsidRPr="000E4D38">
        <w:rPr>
          <w:rFonts w:ascii="Times New Roman" w:hAnsi="Times New Roman"/>
          <w:sz w:val="24"/>
          <w:szCs w:val="24"/>
          <w:highlight w:val="yellow"/>
        </w:rPr>
        <w:t xml:space="preserve"> of </w:t>
      </w:r>
      <w:r w:rsidR="00C025D3" w:rsidRPr="000E4D38">
        <w:rPr>
          <w:rFonts w:ascii="Times New Roman" w:hAnsi="Times New Roman"/>
          <w:sz w:val="24"/>
          <w:szCs w:val="24"/>
          <w:highlight w:val="yellow"/>
        </w:rPr>
        <w:t>PCBs</w:t>
      </w:r>
      <w:r w:rsidRPr="000E4D38">
        <w:rPr>
          <w:rFonts w:ascii="Times New Roman" w:hAnsi="Times New Roman"/>
          <w:sz w:val="24"/>
          <w:szCs w:val="24"/>
          <w:highlight w:val="yellow"/>
        </w:rPr>
        <w:t>.</w:t>
      </w:r>
      <w:r w:rsidRPr="006D74FE">
        <w:rPr>
          <w:rFonts w:ascii="Times New Roman" w:hAnsi="Times New Roman"/>
          <w:sz w:val="24"/>
          <w:szCs w:val="24"/>
        </w:rPr>
        <w:t xml:space="preserve"> </w:t>
      </w:r>
    </w:p>
    <w:p w14:paraId="3D49DA97" w14:textId="26877E80" w:rsidR="003849F1" w:rsidRPr="000E4D38" w:rsidRDefault="003849F1" w:rsidP="00A728A2">
      <w:pPr>
        <w:spacing w:after="0" w:line="240" w:lineRule="auto"/>
        <w:jc w:val="both"/>
        <w:rPr>
          <w:rFonts w:ascii="Times New Roman" w:hAnsi="Times New Roman"/>
          <w:sz w:val="24"/>
          <w:szCs w:val="24"/>
          <w:highlight w:val="cyan"/>
        </w:rPr>
      </w:pPr>
      <w:r w:rsidRPr="000E4D38">
        <w:rPr>
          <w:rFonts w:ascii="Times New Roman" w:hAnsi="Times New Roman"/>
          <w:sz w:val="24"/>
          <w:szCs w:val="24"/>
          <w:highlight w:val="cyan"/>
        </w:rPr>
        <w:t>The 2nd null hypothesis is</w:t>
      </w:r>
      <w:r w:rsidR="00017972" w:rsidRPr="000E4D38">
        <w:rPr>
          <w:rFonts w:ascii="Times New Roman" w:hAnsi="Times New Roman"/>
          <w:sz w:val="24"/>
          <w:szCs w:val="24"/>
          <w:highlight w:val="cyan"/>
        </w:rPr>
        <w:t xml:space="preserve"> H</w:t>
      </w:r>
      <w:r w:rsidR="000408EE" w:rsidRPr="000E4D38">
        <w:rPr>
          <w:rFonts w:ascii="Times New Roman" w:hAnsi="Times New Roman"/>
          <w:sz w:val="24"/>
          <w:szCs w:val="24"/>
          <w:highlight w:val="cyan"/>
        </w:rPr>
        <w:t>0: γ</w:t>
      </w:r>
      <w:r w:rsidR="00017972" w:rsidRPr="000E4D38">
        <w:rPr>
          <w:rFonts w:ascii="Times New Roman" w:hAnsi="Times New Roman"/>
          <w:sz w:val="24"/>
          <w:szCs w:val="24"/>
          <w:highlight w:val="cyan"/>
        </w:rPr>
        <w:t>=0</w:t>
      </w:r>
      <w:r w:rsidRPr="000E4D38">
        <w:rPr>
          <w:rFonts w:ascii="Times New Roman" w:hAnsi="Times New Roman"/>
          <w:sz w:val="24"/>
          <w:szCs w:val="24"/>
          <w:highlight w:val="cyan"/>
        </w:rPr>
        <w:t xml:space="preserve">, which specify that there is no technical inefficiency effect in the Cost efficiency model. The hypothesis is accepted for </w:t>
      </w:r>
      <w:r w:rsidR="00C025D3" w:rsidRPr="000E4D38">
        <w:rPr>
          <w:rFonts w:ascii="Times New Roman" w:hAnsi="Times New Roman"/>
          <w:sz w:val="24"/>
          <w:szCs w:val="24"/>
          <w:highlight w:val="cyan"/>
        </w:rPr>
        <w:t>the PCBs.</w:t>
      </w:r>
      <w:r w:rsidRPr="000E4D38">
        <w:rPr>
          <w:rFonts w:ascii="Times New Roman" w:hAnsi="Times New Roman"/>
          <w:sz w:val="24"/>
          <w:szCs w:val="24"/>
          <w:highlight w:val="cyan"/>
        </w:rPr>
        <w:t xml:space="preserve"> </w:t>
      </w:r>
      <w:r w:rsidR="000408EE" w:rsidRPr="000E4D38">
        <w:rPr>
          <w:rFonts w:ascii="Times New Roman" w:hAnsi="Times New Roman"/>
          <w:sz w:val="24"/>
          <w:szCs w:val="24"/>
          <w:highlight w:val="cyan"/>
        </w:rPr>
        <w:t>So,</w:t>
      </w:r>
      <w:r w:rsidRPr="000E4D38">
        <w:rPr>
          <w:rFonts w:ascii="Times New Roman" w:hAnsi="Times New Roman"/>
          <w:sz w:val="24"/>
          <w:szCs w:val="24"/>
          <w:highlight w:val="cyan"/>
        </w:rPr>
        <w:t xml:space="preserve"> there is</w:t>
      </w:r>
      <w:r w:rsidR="005750AE" w:rsidRPr="000E4D38">
        <w:rPr>
          <w:rFonts w:ascii="Times New Roman" w:hAnsi="Times New Roman"/>
          <w:sz w:val="24"/>
          <w:szCs w:val="24"/>
          <w:highlight w:val="cyan"/>
        </w:rPr>
        <w:t xml:space="preserve"> no</w:t>
      </w:r>
      <w:r w:rsidRPr="000E4D38">
        <w:rPr>
          <w:rFonts w:ascii="Times New Roman" w:hAnsi="Times New Roman"/>
          <w:sz w:val="24"/>
          <w:szCs w:val="24"/>
          <w:highlight w:val="cyan"/>
        </w:rPr>
        <w:t xml:space="preserve"> technical inefficiency effect in the cost model. In profit model, </w:t>
      </w:r>
      <w:r w:rsidR="00C025D3" w:rsidRPr="000E4D38">
        <w:rPr>
          <w:rFonts w:ascii="Times New Roman" w:hAnsi="Times New Roman"/>
          <w:sz w:val="24"/>
          <w:szCs w:val="24"/>
          <w:highlight w:val="cyan"/>
        </w:rPr>
        <w:t>t</w:t>
      </w:r>
      <w:r w:rsidRPr="000E4D38">
        <w:rPr>
          <w:rFonts w:ascii="Times New Roman" w:hAnsi="Times New Roman"/>
          <w:sz w:val="24"/>
          <w:szCs w:val="24"/>
          <w:highlight w:val="cyan"/>
        </w:rPr>
        <w:t xml:space="preserve">he hypothesis is rejected for </w:t>
      </w:r>
      <w:r w:rsidR="00C025D3" w:rsidRPr="000E4D38">
        <w:rPr>
          <w:rFonts w:ascii="Times New Roman" w:hAnsi="Times New Roman"/>
          <w:sz w:val="24"/>
          <w:szCs w:val="24"/>
          <w:highlight w:val="cyan"/>
        </w:rPr>
        <w:t>PCBs,</w:t>
      </w:r>
      <w:r w:rsidRPr="000E4D38">
        <w:rPr>
          <w:rFonts w:ascii="Times New Roman" w:hAnsi="Times New Roman"/>
          <w:sz w:val="24"/>
          <w:szCs w:val="24"/>
          <w:highlight w:val="cyan"/>
        </w:rPr>
        <w:t xml:space="preserve"> </w:t>
      </w:r>
      <w:r w:rsidR="00017972" w:rsidRPr="000E4D38">
        <w:rPr>
          <w:rFonts w:ascii="Times New Roman" w:hAnsi="Times New Roman"/>
          <w:sz w:val="24"/>
          <w:szCs w:val="24"/>
          <w:highlight w:val="cyan"/>
        </w:rPr>
        <w:t>implied</w:t>
      </w:r>
      <w:r w:rsidR="001E22AA" w:rsidRPr="000E4D38">
        <w:rPr>
          <w:rFonts w:ascii="Times New Roman" w:hAnsi="Times New Roman"/>
          <w:sz w:val="24"/>
          <w:szCs w:val="24"/>
          <w:highlight w:val="cyan"/>
        </w:rPr>
        <w:t xml:space="preserve"> that </w:t>
      </w:r>
      <w:r w:rsidRPr="000E4D38">
        <w:rPr>
          <w:rFonts w:ascii="Times New Roman" w:hAnsi="Times New Roman"/>
          <w:sz w:val="24"/>
          <w:szCs w:val="24"/>
          <w:highlight w:val="cyan"/>
        </w:rPr>
        <w:t xml:space="preserve">there is a technical inefficiency effect in </w:t>
      </w:r>
      <w:r w:rsidR="001E22AA" w:rsidRPr="000E4D38">
        <w:rPr>
          <w:rFonts w:ascii="Times New Roman" w:hAnsi="Times New Roman"/>
          <w:sz w:val="24"/>
          <w:szCs w:val="24"/>
          <w:highlight w:val="cyan"/>
        </w:rPr>
        <w:t>PCBs</w:t>
      </w:r>
      <w:r w:rsidRPr="000E4D38">
        <w:rPr>
          <w:rFonts w:ascii="Times New Roman" w:hAnsi="Times New Roman"/>
          <w:sz w:val="24"/>
          <w:szCs w:val="24"/>
          <w:highlight w:val="cyan"/>
        </w:rPr>
        <w:t xml:space="preserve">. </w:t>
      </w:r>
    </w:p>
    <w:p w14:paraId="5553A008" w14:textId="44C08EA0" w:rsidR="003849F1" w:rsidRPr="006D74FE" w:rsidRDefault="003849F1" w:rsidP="00A728A2">
      <w:pPr>
        <w:spacing w:after="0" w:line="240" w:lineRule="auto"/>
        <w:jc w:val="both"/>
        <w:rPr>
          <w:rFonts w:ascii="Times New Roman" w:hAnsi="Times New Roman"/>
          <w:sz w:val="24"/>
          <w:szCs w:val="24"/>
        </w:rPr>
      </w:pPr>
      <w:r w:rsidRPr="000E4D38">
        <w:rPr>
          <w:rFonts w:ascii="Times New Roman" w:hAnsi="Times New Roman"/>
          <w:sz w:val="24"/>
          <w:szCs w:val="24"/>
          <w:highlight w:val="cyan"/>
        </w:rPr>
        <w:t xml:space="preserve">The 3rd null hypothesis is </w:t>
      </w:r>
      <w:r w:rsidR="00017972" w:rsidRPr="000E4D38">
        <w:rPr>
          <w:rFonts w:ascii="Times New Roman" w:hAnsi="Times New Roman"/>
          <w:sz w:val="24"/>
          <w:szCs w:val="24"/>
          <w:highlight w:val="cyan"/>
        </w:rPr>
        <w:t>H</w:t>
      </w:r>
      <w:r w:rsidR="000408EE" w:rsidRPr="000E4D38">
        <w:rPr>
          <w:rFonts w:ascii="Times New Roman" w:hAnsi="Times New Roman"/>
          <w:sz w:val="24"/>
          <w:szCs w:val="24"/>
          <w:highlight w:val="cyan"/>
        </w:rPr>
        <w:t>0: β</w:t>
      </w:r>
      <w:proofErr w:type="spellStart"/>
      <w:r w:rsidR="00017972" w:rsidRPr="000E4D38">
        <w:rPr>
          <w:rFonts w:ascii="Times New Roman" w:hAnsi="Times New Roman"/>
          <w:sz w:val="24"/>
          <w:szCs w:val="24"/>
          <w:highlight w:val="cyan"/>
        </w:rPr>
        <w:t>ij</w:t>
      </w:r>
      <w:proofErr w:type="spellEnd"/>
      <w:r w:rsidR="00017972" w:rsidRPr="000E4D38">
        <w:rPr>
          <w:rFonts w:ascii="Times New Roman" w:hAnsi="Times New Roman"/>
          <w:sz w:val="24"/>
          <w:szCs w:val="24"/>
          <w:highlight w:val="cyan"/>
        </w:rPr>
        <w:t>=</w:t>
      </w:r>
      <w:r w:rsidR="000408EE" w:rsidRPr="000E4D38">
        <w:rPr>
          <w:rFonts w:ascii="Times New Roman" w:hAnsi="Times New Roman"/>
          <w:sz w:val="24"/>
          <w:szCs w:val="24"/>
          <w:highlight w:val="cyan"/>
        </w:rPr>
        <w:t>0, which</w:t>
      </w:r>
      <w:r w:rsidRPr="000E4D38">
        <w:rPr>
          <w:rFonts w:ascii="Times New Roman" w:hAnsi="Times New Roman"/>
          <w:sz w:val="24"/>
          <w:szCs w:val="24"/>
          <w:highlight w:val="cyan"/>
        </w:rPr>
        <w:t xml:space="preserve"> specifies that there is an interaction effects on </w:t>
      </w:r>
      <w:proofErr w:type="spellStart"/>
      <w:r w:rsidRPr="000E4D38">
        <w:rPr>
          <w:rFonts w:ascii="Times New Roman" w:hAnsi="Times New Roman"/>
          <w:sz w:val="24"/>
          <w:szCs w:val="24"/>
          <w:highlight w:val="cyan"/>
        </w:rPr>
        <w:t>Translog</w:t>
      </w:r>
      <w:proofErr w:type="spellEnd"/>
      <w:r w:rsidRPr="000E4D38">
        <w:rPr>
          <w:rFonts w:ascii="Times New Roman" w:hAnsi="Times New Roman"/>
          <w:sz w:val="24"/>
          <w:szCs w:val="24"/>
          <w:highlight w:val="cyan"/>
        </w:rPr>
        <w:t xml:space="preserve"> Stochastic </w:t>
      </w:r>
      <w:r w:rsidR="005750AE" w:rsidRPr="000E4D38">
        <w:rPr>
          <w:rFonts w:ascii="Times New Roman" w:hAnsi="Times New Roman"/>
          <w:sz w:val="24"/>
          <w:szCs w:val="24"/>
          <w:highlight w:val="cyan"/>
        </w:rPr>
        <w:t>c</w:t>
      </w:r>
      <w:r w:rsidRPr="000E4D38">
        <w:rPr>
          <w:rFonts w:ascii="Times New Roman" w:hAnsi="Times New Roman"/>
          <w:sz w:val="24"/>
          <w:szCs w:val="24"/>
          <w:highlight w:val="cyan"/>
        </w:rPr>
        <w:t xml:space="preserve">ost and profit </w:t>
      </w:r>
      <w:r w:rsidR="001E22AA" w:rsidRPr="000E4D38">
        <w:rPr>
          <w:rFonts w:ascii="Times New Roman" w:hAnsi="Times New Roman"/>
          <w:sz w:val="24"/>
          <w:szCs w:val="24"/>
          <w:highlight w:val="cyan"/>
        </w:rPr>
        <w:t>f</w:t>
      </w:r>
      <w:r w:rsidRPr="000E4D38">
        <w:rPr>
          <w:rFonts w:ascii="Times New Roman" w:hAnsi="Times New Roman"/>
          <w:sz w:val="24"/>
          <w:szCs w:val="24"/>
          <w:highlight w:val="cyan"/>
        </w:rPr>
        <w:t xml:space="preserve">rontier </w:t>
      </w:r>
      <w:r w:rsidR="001E22AA" w:rsidRPr="000E4D38">
        <w:rPr>
          <w:rFonts w:ascii="Times New Roman" w:hAnsi="Times New Roman"/>
          <w:sz w:val="24"/>
          <w:szCs w:val="24"/>
          <w:highlight w:val="cyan"/>
        </w:rPr>
        <w:t>m</w:t>
      </w:r>
      <w:r w:rsidRPr="000E4D38">
        <w:rPr>
          <w:rFonts w:ascii="Times New Roman" w:hAnsi="Times New Roman"/>
          <w:sz w:val="24"/>
          <w:szCs w:val="24"/>
          <w:highlight w:val="cyan"/>
        </w:rPr>
        <w:t xml:space="preserve">odel. </w:t>
      </w:r>
      <w:r w:rsidR="005750AE" w:rsidRPr="000E4D38">
        <w:rPr>
          <w:rFonts w:ascii="Times New Roman" w:hAnsi="Times New Roman"/>
          <w:sz w:val="24"/>
          <w:szCs w:val="24"/>
          <w:highlight w:val="cyan"/>
        </w:rPr>
        <w:t>It</w:t>
      </w:r>
      <w:r w:rsidRPr="000E4D38">
        <w:rPr>
          <w:rFonts w:ascii="Times New Roman" w:hAnsi="Times New Roman"/>
          <w:sz w:val="24"/>
          <w:szCs w:val="24"/>
          <w:highlight w:val="cyan"/>
        </w:rPr>
        <w:t xml:space="preserve"> is observed that the null hypothesis is rejected </w:t>
      </w:r>
      <w:r w:rsidR="003E578F" w:rsidRPr="000E4D38">
        <w:rPr>
          <w:rFonts w:ascii="Times New Roman" w:hAnsi="Times New Roman"/>
          <w:sz w:val="24"/>
          <w:szCs w:val="24"/>
          <w:highlight w:val="cyan"/>
        </w:rPr>
        <w:t>for</w:t>
      </w:r>
      <w:r w:rsidRPr="000E4D38">
        <w:rPr>
          <w:rFonts w:ascii="Times New Roman" w:hAnsi="Times New Roman"/>
          <w:sz w:val="24"/>
          <w:szCs w:val="24"/>
          <w:highlight w:val="cyan"/>
        </w:rPr>
        <w:t xml:space="preserve"> both </w:t>
      </w:r>
      <w:r w:rsidR="001E22AA" w:rsidRPr="000E4D38">
        <w:rPr>
          <w:rFonts w:ascii="Times New Roman" w:hAnsi="Times New Roman"/>
          <w:sz w:val="24"/>
          <w:szCs w:val="24"/>
          <w:highlight w:val="cyan"/>
        </w:rPr>
        <w:t xml:space="preserve">cost and profit efficiency, imply </w:t>
      </w:r>
      <w:r w:rsidRPr="000E4D38">
        <w:rPr>
          <w:rFonts w:ascii="Times New Roman" w:hAnsi="Times New Roman"/>
          <w:sz w:val="24"/>
          <w:szCs w:val="24"/>
          <w:highlight w:val="cyan"/>
        </w:rPr>
        <w:t>that there is an in</w:t>
      </w:r>
      <w:r w:rsidR="007A1227" w:rsidRPr="000E4D38">
        <w:rPr>
          <w:rFonts w:ascii="Times New Roman" w:hAnsi="Times New Roman"/>
          <w:sz w:val="24"/>
          <w:szCs w:val="24"/>
          <w:highlight w:val="cyan"/>
        </w:rPr>
        <w:t>teraction effect</w:t>
      </w:r>
      <w:r w:rsidRPr="000E4D38">
        <w:rPr>
          <w:rFonts w:ascii="Times New Roman" w:hAnsi="Times New Roman"/>
          <w:sz w:val="24"/>
          <w:szCs w:val="24"/>
          <w:highlight w:val="cyan"/>
        </w:rPr>
        <w:t xml:space="preserve"> in </w:t>
      </w:r>
      <w:r w:rsidR="003E578F" w:rsidRPr="000E4D38">
        <w:rPr>
          <w:rFonts w:ascii="Times New Roman" w:hAnsi="Times New Roman"/>
          <w:sz w:val="24"/>
          <w:szCs w:val="24"/>
          <w:highlight w:val="cyan"/>
        </w:rPr>
        <w:t xml:space="preserve">both </w:t>
      </w:r>
      <w:proofErr w:type="spellStart"/>
      <w:r w:rsidR="007A1227" w:rsidRPr="000E4D38">
        <w:rPr>
          <w:rFonts w:ascii="Times New Roman" w:hAnsi="Times New Roman"/>
          <w:sz w:val="24"/>
          <w:szCs w:val="24"/>
          <w:highlight w:val="cyan"/>
        </w:rPr>
        <w:t>Translog</w:t>
      </w:r>
      <w:proofErr w:type="spellEnd"/>
      <w:r w:rsidR="007A1227" w:rsidRPr="000E4D38">
        <w:rPr>
          <w:rFonts w:ascii="Times New Roman" w:hAnsi="Times New Roman"/>
          <w:sz w:val="24"/>
          <w:szCs w:val="24"/>
          <w:highlight w:val="cyan"/>
        </w:rPr>
        <w:t xml:space="preserve"> Stochastic Cost </w:t>
      </w:r>
      <w:r w:rsidRPr="000E4D38">
        <w:rPr>
          <w:rFonts w:ascii="Times New Roman" w:hAnsi="Times New Roman"/>
          <w:sz w:val="24"/>
          <w:szCs w:val="24"/>
          <w:highlight w:val="cyan"/>
        </w:rPr>
        <w:t xml:space="preserve">and profit </w:t>
      </w:r>
      <w:r w:rsidR="001E22AA" w:rsidRPr="000E4D38">
        <w:rPr>
          <w:rFonts w:ascii="Times New Roman" w:hAnsi="Times New Roman"/>
          <w:sz w:val="24"/>
          <w:szCs w:val="24"/>
          <w:highlight w:val="cyan"/>
        </w:rPr>
        <w:t>f</w:t>
      </w:r>
      <w:r w:rsidRPr="000E4D38">
        <w:rPr>
          <w:rFonts w:ascii="Times New Roman" w:hAnsi="Times New Roman"/>
          <w:sz w:val="24"/>
          <w:szCs w:val="24"/>
          <w:highlight w:val="cyan"/>
        </w:rPr>
        <w:t xml:space="preserve">rontier </w:t>
      </w:r>
      <w:r w:rsidR="001E22AA" w:rsidRPr="000E4D38">
        <w:rPr>
          <w:rFonts w:ascii="Times New Roman" w:hAnsi="Times New Roman"/>
          <w:sz w:val="24"/>
          <w:szCs w:val="24"/>
          <w:highlight w:val="cyan"/>
        </w:rPr>
        <w:t>m</w:t>
      </w:r>
      <w:r w:rsidRPr="000E4D38">
        <w:rPr>
          <w:rFonts w:ascii="Times New Roman" w:hAnsi="Times New Roman"/>
          <w:sz w:val="24"/>
          <w:szCs w:val="24"/>
          <w:highlight w:val="cyan"/>
        </w:rPr>
        <w:t>odel</w:t>
      </w:r>
      <w:r w:rsidR="003E578F" w:rsidRPr="000E4D38">
        <w:rPr>
          <w:rFonts w:ascii="Times New Roman" w:hAnsi="Times New Roman"/>
          <w:sz w:val="24"/>
          <w:szCs w:val="24"/>
          <w:highlight w:val="cyan"/>
        </w:rPr>
        <w:t>s</w:t>
      </w:r>
      <w:r w:rsidRPr="000E4D38">
        <w:rPr>
          <w:rFonts w:ascii="Times New Roman" w:hAnsi="Times New Roman"/>
          <w:sz w:val="24"/>
          <w:szCs w:val="24"/>
          <w:highlight w:val="cyan"/>
        </w:rPr>
        <w:t xml:space="preserve"> for the </w:t>
      </w:r>
      <w:r w:rsidR="001E22AA" w:rsidRPr="000E4D38">
        <w:rPr>
          <w:rFonts w:ascii="Times New Roman" w:hAnsi="Times New Roman"/>
          <w:sz w:val="24"/>
          <w:szCs w:val="24"/>
          <w:highlight w:val="cyan"/>
        </w:rPr>
        <w:t>PCBs</w:t>
      </w:r>
      <w:r w:rsidRPr="000E4D38">
        <w:rPr>
          <w:rFonts w:ascii="Times New Roman" w:hAnsi="Times New Roman"/>
          <w:sz w:val="24"/>
          <w:szCs w:val="24"/>
          <w:highlight w:val="cyan"/>
        </w:rPr>
        <w:t xml:space="preserve">. This result was supported by </w:t>
      </w:r>
      <w:r w:rsidR="00181504" w:rsidRPr="000E4D38">
        <w:rPr>
          <w:rFonts w:ascii="Times New Roman" w:hAnsi="Times New Roman"/>
          <w:sz w:val="24"/>
          <w:szCs w:val="24"/>
          <w:highlight w:val="cyan"/>
        </w:rPr>
        <w:fldChar w:fldCharType="begin" w:fldLock="1"/>
      </w:r>
      <w:r w:rsidR="00B77167" w:rsidRPr="000E4D38">
        <w:rPr>
          <w:rFonts w:ascii="Times New Roman" w:hAnsi="Times New Roman"/>
          <w:sz w:val="24"/>
          <w:szCs w:val="24"/>
          <w:highlight w:val="cyan"/>
        </w:rPr>
        <w:instrText>ADDIN CSL_CITATION {"citationItems":[{"id":"ITEM-1","itemData":{"ISSN":"12045357","abstract":"Are Islamic online banks stable and efficient? This paper addresses this question. Parametric technique, Stochastic Frontier Analysis is used to evaluate and compare the cost and profit efficiency of the Islamic banks in Bangladesh over the period of 2001- 2010. The specification of functional forms of Translog stochastic cost and profit frontier models are developed. Translog stochastic cost and profit frontier models were found preferable than Cobb-Douglas production function. In case of cost model, other earning assets are found negative but significant and price of labor is observed positive and significant. On the other hand, price of fund with the value of (-0.421) is found significant and negative for profit model, suggest that bank can control more personnel expenses than depositor profit expenses. The year-wise average cost inefficiency and profit efficiency were observed 43.9% and 82% respectively. IBBL was recorded as the most profit efficient bank and ICB limited bank was observed as the most cost inefficient bank. IBBL, Al-Arafah and EXIM banks were more stable in terms of cost efficient than other Islamic banks. © Azizul Baten and Shakera Begum, 2014.","author":[{"dropping-particle":"","family":"Baten","given":"Azizul","non-dropping-particle":"","parse-names":false,"suffix":""},{"dropping-particle":"","family":"Begum","given":"Shakera","non-dropping-particle":"","parse-names":false,"suffix":""}],"container-title":"Journal of Internet Banking and Commerce","id":"ITEM-1","issue":"1","issued":{"date-parts":[["2014"]]},"title":"Stochastic frontier model for cost and profit efficiency of islamic online banks","type":"article-journal","volume":"19"},"uris":["http://www.mendeley.com/documents/?uuid=0f31a376-079c-30ed-938f-2d40f1dc9c6d"]},{"id":"ITEM-2","itemData":{"abstract":"By using stochastic frontier analysis (SFA) approach to measure the cost and profit efficiency for data of 45 Vietnam commercial banks over the years from 2007 to 2012, this paper highlights risk and asset quality factors related to cost and profit inefficiency of the banks. Besides, cost inefficiency seems to be strongly related to bank concentration, mergers, and bank ownership. These results suggested mergers and acquisition can gain potential cost inefficiency and foster banks' competition in the banking system. Based on test of variance analysis, State owned commercial banks (SCOB) is more efficiency than other domestic, commercial banks (JSCB) and foreign banks in terms of profit efficiency, in contrast to cost efficiency, international banks are leading in cost efficiency than other national banks.","author":[{"dropping-particle":"","family":"Thi","given":"Le","non-dropping-particle":"","parse-names":false,"suffix":""},{"dropping-particle":"","family":"Ngan","given":"Thanh","non-dropping-particle":"","parse-names":false,"suffix":""}],"id":"ITEM-2","issued":{"date-parts":[["2014"]]},"title":"Scientific Papers (www.scientificpapers.org) Journal of Knowledge Management, Economics and Information Technology Profit and Cost Efficiency Analysis in Banking Sector: A Case of Stochastic Frontier Approach for Vietnam","type":"report","volume":"IV"},"uris":["http://www.mendeley.com/documents/?uuid=ed67aa52-f6e3-38b3-bc9a-0a5a75d1a954"]}],"mendeley":{"formattedCitation":"(Baten &amp; Begum 2014; Thi &amp; Ngan 2014)","plainTextFormattedCitation":"(Baten &amp; Begum 2014; Thi &amp; Ngan 2014)","previouslyFormattedCitation":"(A. Baten &amp; Begum, 2014; Thi &amp; Ngan, 2014)"},"properties":{"noteIndex":0},"schema":"https://github.com/citation-style-language/schema/raw/master/csl-citation.json"}</w:instrText>
      </w:r>
      <w:r w:rsidR="00181504" w:rsidRPr="000E4D38">
        <w:rPr>
          <w:rFonts w:ascii="Times New Roman" w:hAnsi="Times New Roman"/>
          <w:sz w:val="24"/>
          <w:szCs w:val="24"/>
          <w:highlight w:val="cyan"/>
        </w:rPr>
        <w:fldChar w:fldCharType="separate"/>
      </w:r>
      <w:r w:rsidR="00B77167" w:rsidRPr="000E4D38">
        <w:rPr>
          <w:rFonts w:ascii="Times New Roman" w:hAnsi="Times New Roman"/>
          <w:noProof/>
          <w:sz w:val="24"/>
          <w:szCs w:val="24"/>
          <w:highlight w:val="cyan"/>
        </w:rPr>
        <w:t>(Baten &amp; Begum 2014; Thi &amp; Ngan 2014)</w:t>
      </w:r>
      <w:r w:rsidR="00181504" w:rsidRPr="000E4D38">
        <w:rPr>
          <w:rFonts w:ascii="Times New Roman" w:hAnsi="Times New Roman"/>
          <w:sz w:val="24"/>
          <w:szCs w:val="24"/>
          <w:highlight w:val="cyan"/>
        </w:rPr>
        <w:fldChar w:fldCharType="end"/>
      </w:r>
      <w:r w:rsidR="003E578F" w:rsidRPr="000E4D38">
        <w:rPr>
          <w:rFonts w:ascii="Times New Roman" w:hAnsi="Times New Roman"/>
          <w:sz w:val="24"/>
          <w:szCs w:val="24"/>
          <w:highlight w:val="cyan"/>
        </w:rPr>
        <w:t>.</w:t>
      </w:r>
    </w:p>
    <w:p w14:paraId="1BF786F1" w14:textId="77777777" w:rsidR="00547427" w:rsidRPr="006D74FE" w:rsidRDefault="00547427" w:rsidP="00A728A2">
      <w:pPr>
        <w:spacing w:after="0" w:line="240" w:lineRule="auto"/>
        <w:jc w:val="both"/>
        <w:rPr>
          <w:rFonts w:ascii="Times New Roman" w:hAnsi="Times New Roman"/>
          <w:sz w:val="24"/>
          <w:szCs w:val="24"/>
        </w:rPr>
      </w:pPr>
    </w:p>
    <w:p w14:paraId="091BA03E" w14:textId="662DC765" w:rsidR="008B15C9" w:rsidRPr="006D74FE" w:rsidRDefault="008B15C9" w:rsidP="00A728A2">
      <w:pPr>
        <w:pStyle w:val="ListParagraph"/>
        <w:numPr>
          <w:ilvl w:val="0"/>
          <w:numId w:val="39"/>
        </w:numPr>
        <w:spacing w:line="240" w:lineRule="auto"/>
        <w:rPr>
          <w:rFonts w:ascii="Times New Roman" w:hAnsi="Times New Roman" w:cs="Times New Roman"/>
          <w:i/>
          <w:iCs/>
        </w:rPr>
      </w:pPr>
      <w:r w:rsidRPr="006D74FE">
        <w:rPr>
          <w:rFonts w:ascii="Times New Roman" w:hAnsi="Times New Roman" w:cs="Times New Roman"/>
          <w:i/>
          <w:iCs/>
        </w:rPr>
        <w:t xml:space="preserve">Year-wise Average Cost and Profit Efficiency </w:t>
      </w:r>
      <w:r w:rsidR="001E22AA" w:rsidRPr="006D74FE">
        <w:rPr>
          <w:rFonts w:ascii="Times New Roman" w:hAnsi="Times New Roman" w:cs="Times New Roman"/>
          <w:i/>
          <w:iCs/>
        </w:rPr>
        <w:t xml:space="preserve">Scores </w:t>
      </w:r>
      <w:r w:rsidRPr="006D74FE">
        <w:rPr>
          <w:rFonts w:ascii="Times New Roman" w:hAnsi="Times New Roman" w:cs="Times New Roman"/>
          <w:i/>
          <w:iCs/>
        </w:rPr>
        <w:t xml:space="preserve">of Stochastic Cobb-Douglas </w:t>
      </w:r>
      <w:r w:rsidR="000408EE" w:rsidRPr="006D74FE">
        <w:rPr>
          <w:rFonts w:ascii="Times New Roman" w:hAnsi="Times New Roman" w:cs="Times New Roman"/>
          <w:i/>
          <w:iCs/>
        </w:rPr>
        <w:t xml:space="preserve">and </w:t>
      </w:r>
      <w:proofErr w:type="spellStart"/>
      <w:r w:rsidR="000408EE" w:rsidRPr="006D74FE">
        <w:rPr>
          <w:rFonts w:ascii="Times New Roman" w:hAnsi="Times New Roman" w:cs="Times New Roman"/>
          <w:i/>
          <w:iCs/>
        </w:rPr>
        <w:t>Translog</w:t>
      </w:r>
      <w:proofErr w:type="spellEnd"/>
      <w:r w:rsidR="00DB7AFC" w:rsidRPr="006D74FE">
        <w:rPr>
          <w:rFonts w:ascii="Times New Roman" w:hAnsi="Times New Roman" w:cs="Times New Roman"/>
          <w:i/>
          <w:iCs/>
        </w:rPr>
        <w:t xml:space="preserve"> </w:t>
      </w:r>
      <w:r w:rsidR="001E22AA" w:rsidRPr="006D74FE">
        <w:rPr>
          <w:rFonts w:ascii="Times New Roman" w:hAnsi="Times New Roman" w:cs="Times New Roman"/>
          <w:i/>
          <w:iCs/>
        </w:rPr>
        <w:t>Frontier Models</w:t>
      </w:r>
    </w:p>
    <w:p w14:paraId="03DF0D85" w14:textId="40FCD8B3" w:rsidR="008B15C9" w:rsidRPr="006D74FE" w:rsidRDefault="008B15C9" w:rsidP="00A728A2">
      <w:pPr>
        <w:spacing w:after="0" w:line="240" w:lineRule="auto"/>
        <w:jc w:val="both"/>
        <w:rPr>
          <w:rFonts w:ascii="Times New Roman" w:hAnsi="Times New Roman"/>
          <w:sz w:val="24"/>
          <w:szCs w:val="24"/>
        </w:rPr>
      </w:pPr>
      <w:r w:rsidRPr="000E4D38">
        <w:rPr>
          <w:rFonts w:ascii="Times New Roman" w:hAnsi="Times New Roman"/>
          <w:sz w:val="24"/>
          <w:szCs w:val="24"/>
          <w:highlight w:val="yellow"/>
        </w:rPr>
        <w:t>The year-wise average cost and profit efficiency scores for</w:t>
      </w:r>
      <w:r w:rsidR="001E22AA" w:rsidRPr="000E4D38">
        <w:rPr>
          <w:rFonts w:ascii="Times New Roman" w:hAnsi="Times New Roman"/>
          <w:sz w:val="24"/>
          <w:szCs w:val="24"/>
          <w:highlight w:val="yellow"/>
        </w:rPr>
        <w:t xml:space="preserve"> PCBs</w:t>
      </w:r>
      <w:r w:rsidRPr="000E4D38">
        <w:rPr>
          <w:rFonts w:ascii="Times New Roman" w:hAnsi="Times New Roman"/>
          <w:sz w:val="24"/>
          <w:szCs w:val="24"/>
          <w:highlight w:val="yellow"/>
        </w:rPr>
        <w:t xml:space="preserve"> are illustrat</w:t>
      </w:r>
      <w:r w:rsidR="00DB7AFC" w:rsidRPr="000E4D38">
        <w:rPr>
          <w:rFonts w:ascii="Times New Roman" w:hAnsi="Times New Roman"/>
          <w:sz w:val="24"/>
          <w:szCs w:val="24"/>
          <w:highlight w:val="yellow"/>
        </w:rPr>
        <w:t>ed in Figure</w:t>
      </w:r>
      <w:r w:rsidR="009812C5" w:rsidRPr="000E4D38">
        <w:rPr>
          <w:rFonts w:ascii="Times New Roman" w:hAnsi="Times New Roman"/>
          <w:sz w:val="24"/>
          <w:szCs w:val="24"/>
          <w:highlight w:val="yellow"/>
        </w:rPr>
        <w:t xml:space="preserve"> </w:t>
      </w:r>
      <w:r w:rsidR="00DB7AFC" w:rsidRPr="000E4D38">
        <w:rPr>
          <w:rFonts w:ascii="Times New Roman" w:hAnsi="Times New Roman"/>
          <w:sz w:val="24"/>
          <w:szCs w:val="24"/>
          <w:highlight w:val="yellow"/>
        </w:rPr>
        <w:t>1</w:t>
      </w:r>
      <w:r w:rsidRPr="000E4D38">
        <w:rPr>
          <w:rFonts w:ascii="Times New Roman" w:hAnsi="Times New Roman"/>
          <w:sz w:val="24"/>
          <w:szCs w:val="24"/>
          <w:highlight w:val="yellow"/>
        </w:rPr>
        <w:t>.</w:t>
      </w:r>
      <w:r w:rsidR="00DB7AFC" w:rsidRPr="000E4D38">
        <w:rPr>
          <w:rFonts w:ascii="Times New Roman" w:hAnsi="Times New Roman"/>
          <w:sz w:val="24"/>
          <w:szCs w:val="24"/>
          <w:highlight w:val="yellow"/>
        </w:rPr>
        <w:t xml:space="preserve"> </w:t>
      </w:r>
      <w:r w:rsidRPr="000E4D38">
        <w:rPr>
          <w:rFonts w:ascii="Times New Roman" w:hAnsi="Times New Roman"/>
          <w:sz w:val="24"/>
          <w:szCs w:val="24"/>
          <w:highlight w:val="yellow"/>
        </w:rPr>
        <w:t>It is observed tha</w:t>
      </w:r>
      <w:r w:rsidR="00DB7AFC" w:rsidRPr="000E4D38">
        <w:rPr>
          <w:rFonts w:ascii="Times New Roman" w:hAnsi="Times New Roman"/>
          <w:sz w:val="24"/>
          <w:szCs w:val="24"/>
          <w:highlight w:val="yellow"/>
        </w:rPr>
        <w:t xml:space="preserve">t </w:t>
      </w:r>
      <w:r w:rsidR="00292660" w:rsidRPr="000E4D38">
        <w:rPr>
          <w:rFonts w:ascii="Times New Roman" w:hAnsi="Times New Roman"/>
          <w:sz w:val="24"/>
          <w:szCs w:val="24"/>
          <w:highlight w:val="yellow"/>
        </w:rPr>
        <w:t>t</w:t>
      </w:r>
      <w:r w:rsidRPr="000E4D38">
        <w:rPr>
          <w:rFonts w:ascii="Times New Roman" w:hAnsi="Times New Roman"/>
          <w:sz w:val="24"/>
          <w:szCs w:val="24"/>
          <w:highlight w:val="yellow"/>
        </w:rPr>
        <w:t>he</w:t>
      </w:r>
      <w:r w:rsidR="001E22AA" w:rsidRPr="000E4D38">
        <w:rPr>
          <w:rFonts w:ascii="Times New Roman" w:hAnsi="Times New Roman"/>
          <w:sz w:val="24"/>
          <w:szCs w:val="24"/>
          <w:highlight w:val="yellow"/>
        </w:rPr>
        <w:t xml:space="preserve"> efficiencies w</w:t>
      </w:r>
      <w:r w:rsidRPr="000E4D38">
        <w:rPr>
          <w:rFonts w:ascii="Times New Roman" w:hAnsi="Times New Roman"/>
          <w:sz w:val="24"/>
          <w:szCs w:val="24"/>
          <w:highlight w:val="yellow"/>
        </w:rPr>
        <w:t xml:space="preserve">ere varied year by year in both cases of cost and profit. </w:t>
      </w:r>
      <w:r w:rsidR="00F1100C" w:rsidRPr="000E4D38">
        <w:rPr>
          <w:rFonts w:ascii="Times New Roman" w:hAnsi="Times New Roman"/>
          <w:sz w:val="24"/>
          <w:szCs w:val="24"/>
          <w:highlight w:val="yellow"/>
        </w:rPr>
        <w:t>In Stochastic</w:t>
      </w:r>
      <w:r w:rsidR="007A1227" w:rsidRPr="000E4D38">
        <w:rPr>
          <w:rFonts w:ascii="Times New Roman" w:hAnsi="Times New Roman"/>
          <w:sz w:val="24"/>
          <w:szCs w:val="24"/>
          <w:highlight w:val="yellow"/>
        </w:rPr>
        <w:t xml:space="preserve"> Cobb-Douglas Cost </w:t>
      </w:r>
      <w:r w:rsidR="003E578F" w:rsidRPr="000E4D38">
        <w:rPr>
          <w:rFonts w:ascii="Times New Roman" w:hAnsi="Times New Roman"/>
          <w:sz w:val="24"/>
          <w:szCs w:val="24"/>
          <w:highlight w:val="yellow"/>
        </w:rPr>
        <w:t>f</w:t>
      </w:r>
      <w:r w:rsidR="007A1227" w:rsidRPr="000E4D38">
        <w:rPr>
          <w:rFonts w:ascii="Times New Roman" w:hAnsi="Times New Roman"/>
          <w:sz w:val="24"/>
          <w:szCs w:val="24"/>
          <w:highlight w:val="yellow"/>
        </w:rPr>
        <w:t xml:space="preserve">rontier </w:t>
      </w:r>
      <w:r w:rsidR="003E578F" w:rsidRPr="000E4D38">
        <w:rPr>
          <w:rFonts w:ascii="Times New Roman" w:hAnsi="Times New Roman"/>
          <w:sz w:val="24"/>
          <w:szCs w:val="24"/>
          <w:highlight w:val="yellow"/>
        </w:rPr>
        <w:t>m</w:t>
      </w:r>
      <w:r w:rsidR="00F1100C" w:rsidRPr="000E4D38">
        <w:rPr>
          <w:rFonts w:ascii="Times New Roman" w:hAnsi="Times New Roman"/>
          <w:sz w:val="24"/>
          <w:szCs w:val="24"/>
          <w:highlight w:val="yellow"/>
        </w:rPr>
        <w:t>odel,</w:t>
      </w:r>
      <w:r w:rsidRPr="000E4D38">
        <w:rPr>
          <w:rFonts w:ascii="Times New Roman" w:hAnsi="Times New Roman"/>
          <w:sz w:val="24"/>
          <w:szCs w:val="24"/>
          <w:highlight w:val="yellow"/>
        </w:rPr>
        <w:t xml:space="preserve"> the cost efficiencies we</w:t>
      </w:r>
      <w:r w:rsidR="00FB0994" w:rsidRPr="000E4D38">
        <w:rPr>
          <w:rFonts w:ascii="Times New Roman" w:hAnsi="Times New Roman"/>
          <w:sz w:val="24"/>
          <w:szCs w:val="24"/>
          <w:highlight w:val="yellow"/>
        </w:rPr>
        <w:t>re around 49.9 %-74.4% from 2008</w:t>
      </w:r>
      <w:r w:rsidR="00292660" w:rsidRPr="000E4D38">
        <w:rPr>
          <w:rFonts w:ascii="Times New Roman" w:hAnsi="Times New Roman"/>
          <w:sz w:val="24"/>
          <w:szCs w:val="24"/>
          <w:highlight w:val="yellow"/>
        </w:rPr>
        <w:t>-2012</w:t>
      </w:r>
      <w:r w:rsidRPr="000E4D38">
        <w:rPr>
          <w:rFonts w:ascii="Times New Roman" w:hAnsi="Times New Roman"/>
          <w:sz w:val="24"/>
          <w:szCs w:val="24"/>
          <w:highlight w:val="yellow"/>
        </w:rPr>
        <w:t>, and it attained the peak percentage amount of 7</w:t>
      </w:r>
      <w:r w:rsidR="00017972" w:rsidRPr="000E4D38">
        <w:rPr>
          <w:rFonts w:ascii="Times New Roman" w:hAnsi="Times New Roman"/>
          <w:sz w:val="24"/>
          <w:szCs w:val="24"/>
          <w:highlight w:val="yellow"/>
        </w:rPr>
        <w:t>4.8% in 2013. After that, it has</w:t>
      </w:r>
      <w:r w:rsidRPr="000E4D38">
        <w:rPr>
          <w:rFonts w:ascii="Times New Roman" w:hAnsi="Times New Roman"/>
          <w:sz w:val="24"/>
          <w:szCs w:val="24"/>
          <w:highlight w:val="yellow"/>
        </w:rPr>
        <w:t xml:space="preserve"> been a little drop of 71.5% in 2015 and 2016. In the last year of the study period, it has b</w:t>
      </w:r>
      <w:r w:rsidR="001E22AA" w:rsidRPr="000E4D38">
        <w:rPr>
          <w:rFonts w:ascii="Times New Roman" w:hAnsi="Times New Roman"/>
          <w:sz w:val="24"/>
          <w:szCs w:val="24"/>
          <w:highlight w:val="yellow"/>
        </w:rPr>
        <w:t>een slightly increased by 73.1%</w:t>
      </w:r>
      <w:r w:rsidRPr="000E4D38">
        <w:rPr>
          <w:rFonts w:ascii="Times New Roman" w:hAnsi="Times New Roman"/>
          <w:sz w:val="24"/>
          <w:szCs w:val="24"/>
          <w:highlight w:val="yellow"/>
        </w:rPr>
        <w:t>.</w:t>
      </w:r>
      <w:r w:rsidR="00F1100C" w:rsidRPr="000E4D38">
        <w:rPr>
          <w:rFonts w:ascii="Times New Roman" w:hAnsi="Times New Roman"/>
          <w:sz w:val="24"/>
          <w:szCs w:val="24"/>
          <w:highlight w:val="yellow"/>
        </w:rPr>
        <w:t xml:space="preserve"> Conversely</w:t>
      </w:r>
      <w:r w:rsidR="007A1227" w:rsidRPr="000E4D38">
        <w:rPr>
          <w:rFonts w:ascii="Times New Roman" w:hAnsi="Times New Roman"/>
          <w:sz w:val="24"/>
          <w:szCs w:val="24"/>
          <w:highlight w:val="yellow"/>
        </w:rPr>
        <w:t>,</w:t>
      </w:r>
      <w:r w:rsidR="00FB0994" w:rsidRPr="000E4D38">
        <w:rPr>
          <w:rFonts w:ascii="Times New Roman" w:hAnsi="Times New Roman"/>
          <w:sz w:val="24"/>
          <w:szCs w:val="24"/>
          <w:highlight w:val="yellow"/>
        </w:rPr>
        <w:t xml:space="preserve"> in Stochastic </w:t>
      </w:r>
      <w:proofErr w:type="spellStart"/>
      <w:r w:rsidR="00FB0994" w:rsidRPr="000E4D38">
        <w:rPr>
          <w:rFonts w:ascii="Times New Roman" w:hAnsi="Times New Roman"/>
          <w:sz w:val="24"/>
          <w:szCs w:val="24"/>
          <w:highlight w:val="yellow"/>
        </w:rPr>
        <w:t>Translog</w:t>
      </w:r>
      <w:proofErr w:type="spellEnd"/>
      <w:r w:rsidR="00FB0994" w:rsidRPr="000E4D38">
        <w:rPr>
          <w:rFonts w:ascii="Times New Roman" w:hAnsi="Times New Roman"/>
          <w:sz w:val="24"/>
          <w:szCs w:val="24"/>
          <w:highlight w:val="yellow"/>
        </w:rPr>
        <w:t xml:space="preserve"> cost Frontier Model</w:t>
      </w:r>
      <w:r w:rsidR="00F1100C" w:rsidRPr="000E4D38">
        <w:rPr>
          <w:rFonts w:ascii="Times New Roman" w:hAnsi="Times New Roman"/>
          <w:sz w:val="24"/>
          <w:szCs w:val="24"/>
          <w:highlight w:val="yellow"/>
        </w:rPr>
        <w:t xml:space="preserve">, the cost efficiencies were </w:t>
      </w:r>
      <w:r w:rsidR="00FB0994" w:rsidRPr="000E4D38">
        <w:rPr>
          <w:rFonts w:ascii="Times New Roman" w:hAnsi="Times New Roman"/>
          <w:sz w:val="24"/>
          <w:szCs w:val="24"/>
          <w:highlight w:val="yellow"/>
        </w:rPr>
        <w:t>around 51.1 % to 72.1% from 2008</w:t>
      </w:r>
      <w:r w:rsidR="00F1100C" w:rsidRPr="000E4D38">
        <w:rPr>
          <w:rFonts w:ascii="Times New Roman" w:hAnsi="Times New Roman"/>
          <w:sz w:val="24"/>
          <w:szCs w:val="24"/>
          <w:highlight w:val="yellow"/>
        </w:rPr>
        <w:t xml:space="preserve">-2013, and then it has been slightly decreased by 71.2 %. </w:t>
      </w:r>
      <w:r w:rsidR="003E578F" w:rsidRPr="000E4D38">
        <w:rPr>
          <w:rFonts w:ascii="Times New Roman" w:hAnsi="Times New Roman"/>
          <w:sz w:val="24"/>
          <w:szCs w:val="24"/>
          <w:highlight w:val="yellow"/>
        </w:rPr>
        <w:t>I</w:t>
      </w:r>
      <w:r w:rsidR="00F1100C" w:rsidRPr="000E4D38">
        <w:rPr>
          <w:rFonts w:ascii="Times New Roman" w:hAnsi="Times New Roman"/>
          <w:sz w:val="24"/>
          <w:szCs w:val="24"/>
          <w:highlight w:val="yellow"/>
        </w:rPr>
        <w:t>t remained steady at 70.1% in 2015 and 2016.</w:t>
      </w:r>
      <w:r w:rsidR="00F1100C" w:rsidRPr="006D74FE">
        <w:rPr>
          <w:rFonts w:ascii="Times New Roman" w:hAnsi="Times New Roman"/>
          <w:sz w:val="24"/>
          <w:szCs w:val="24"/>
        </w:rPr>
        <w:t xml:space="preserve"> </w:t>
      </w:r>
      <w:r w:rsidR="00F1100C" w:rsidRPr="000E4D38">
        <w:rPr>
          <w:rFonts w:ascii="Times New Roman" w:hAnsi="Times New Roman"/>
          <w:sz w:val="24"/>
          <w:szCs w:val="24"/>
          <w:highlight w:val="cyan"/>
        </w:rPr>
        <w:t xml:space="preserve">In the last year of the study period, it was a little drop of 69.8%. On the other hand, in Stochastic Cobb-Douglas </w:t>
      </w:r>
      <w:r w:rsidR="001E22AA" w:rsidRPr="000E4D38">
        <w:rPr>
          <w:rFonts w:ascii="Times New Roman" w:hAnsi="Times New Roman"/>
          <w:sz w:val="24"/>
          <w:szCs w:val="24"/>
          <w:highlight w:val="cyan"/>
        </w:rPr>
        <w:t>p</w:t>
      </w:r>
      <w:r w:rsidR="00F1100C" w:rsidRPr="000E4D38">
        <w:rPr>
          <w:rFonts w:ascii="Times New Roman" w:hAnsi="Times New Roman"/>
          <w:sz w:val="24"/>
          <w:szCs w:val="24"/>
          <w:highlight w:val="cyan"/>
        </w:rPr>
        <w:t xml:space="preserve">rofit </w:t>
      </w:r>
      <w:r w:rsidR="001E22AA" w:rsidRPr="000E4D38">
        <w:rPr>
          <w:rFonts w:ascii="Times New Roman" w:hAnsi="Times New Roman"/>
          <w:sz w:val="24"/>
          <w:szCs w:val="24"/>
          <w:highlight w:val="cyan"/>
        </w:rPr>
        <w:t>f</w:t>
      </w:r>
      <w:r w:rsidR="00F1100C" w:rsidRPr="000E4D38">
        <w:rPr>
          <w:rFonts w:ascii="Times New Roman" w:hAnsi="Times New Roman"/>
          <w:sz w:val="24"/>
          <w:szCs w:val="24"/>
          <w:highlight w:val="cyan"/>
        </w:rPr>
        <w:t xml:space="preserve">rontier </w:t>
      </w:r>
      <w:r w:rsidR="001E22AA" w:rsidRPr="000E4D38">
        <w:rPr>
          <w:rFonts w:ascii="Times New Roman" w:hAnsi="Times New Roman"/>
          <w:sz w:val="24"/>
          <w:szCs w:val="24"/>
          <w:highlight w:val="cyan"/>
        </w:rPr>
        <w:t>m</w:t>
      </w:r>
      <w:r w:rsidR="00F1100C" w:rsidRPr="000E4D38">
        <w:rPr>
          <w:rFonts w:ascii="Times New Roman" w:hAnsi="Times New Roman"/>
          <w:sz w:val="24"/>
          <w:szCs w:val="24"/>
          <w:highlight w:val="cyan"/>
        </w:rPr>
        <w:t>odel</w:t>
      </w:r>
      <w:r w:rsidR="003975A6" w:rsidRPr="000E4D38">
        <w:rPr>
          <w:rFonts w:ascii="Times New Roman" w:hAnsi="Times New Roman"/>
          <w:sz w:val="24"/>
          <w:szCs w:val="24"/>
          <w:highlight w:val="cyan"/>
        </w:rPr>
        <w:t xml:space="preserve">, </w:t>
      </w:r>
      <w:r w:rsidR="00CF322E" w:rsidRPr="000E4D38">
        <w:rPr>
          <w:rFonts w:ascii="Times New Roman" w:hAnsi="Times New Roman"/>
          <w:sz w:val="24"/>
          <w:szCs w:val="24"/>
          <w:highlight w:val="cyan"/>
        </w:rPr>
        <w:t>t</w:t>
      </w:r>
      <w:r w:rsidR="00FB0994" w:rsidRPr="000E4D38">
        <w:rPr>
          <w:rFonts w:ascii="Times New Roman" w:hAnsi="Times New Roman"/>
          <w:sz w:val="24"/>
          <w:szCs w:val="24"/>
          <w:highlight w:val="cyan"/>
        </w:rPr>
        <w:t xml:space="preserve">he profit efficiency of </w:t>
      </w:r>
      <w:r w:rsidR="001E22AA" w:rsidRPr="000E4D38">
        <w:rPr>
          <w:rFonts w:ascii="Times New Roman" w:hAnsi="Times New Roman"/>
          <w:sz w:val="24"/>
          <w:szCs w:val="24"/>
          <w:highlight w:val="cyan"/>
        </w:rPr>
        <w:t>PCBs</w:t>
      </w:r>
      <w:r w:rsidR="000A7D42" w:rsidRPr="000E4D38">
        <w:rPr>
          <w:rFonts w:ascii="Times New Roman" w:hAnsi="Times New Roman"/>
          <w:sz w:val="24"/>
          <w:szCs w:val="24"/>
          <w:highlight w:val="cyan"/>
        </w:rPr>
        <w:t xml:space="preserve"> was recorded 45.5</w:t>
      </w:r>
      <w:r w:rsidR="00FB0994" w:rsidRPr="000E4D38">
        <w:rPr>
          <w:rFonts w:ascii="Times New Roman" w:hAnsi="Times New Roman"/>
          <w:sz w:val="24"/>
          <w:szCs w:val="24"/>
          <w:highlight w:val="cyan"/>
        </w:rPr>
        <w:t xml:space="preserve">% in the year of 2008, and then slightly decreased at 31.7% in the next year. </w:t>
      </w:r>
      <w:r w:rsidR="003E578F" w:rsidRPr="000E4D38">
        <w:rPr>
          <w:rFonts w:ascii="Times New Roman" w:hAnsi="Times New Roman"/>
          <w:sz w:val="24"/>
          <w:szCs w:val="24"/>
          <w:highlight w:val="cyan"/>
        </w:rPr>
        <w:t>I</w:t>
      </w:r>
      <w:r w:rsidR="00FB0994" w:rsidRPr="000E4D38">
        <w:rPr>
          <w:rFonts w:ascii="Times New Roman" w:hAnsi="Times New Roman"/>
          <w:sz w:val="24"/>
          <w:szCs w:val="24"/>
          <w:highlight w:val="cyan"/>
        </w:rPr>
        <w:t>t remained co</w:t>
      </w:r>
      <w:r w:rsidR="00CF322E" w:rsidRPr="000E4D38">
        <w:rPr>
          <w:rFonts w:ascii="Times New Roman" w:hAnsi="Times New Roman"/>
          <w:sz w:val="24"/>
          <w:szCs w:val="24"/>
          <w:highlight w:val="cyan"/>
        </w:rPr>
        <w:t xml:space="preserve">nstant at 47% in 2011 and 2012. </w:t>
      </w:r>
      <w:r w:rsidR="000408EE" w:rsidRPr="000E4D38">
        <w:rPr>
          <w:rFonts w:ascii="Times New Roman" w:hAnsi="Times New Roman"/>
          <w:sz w:val="24"/>
          <w:szCs w:val="24"/>
          <w:highlight w:val="cyan"/>
        </w:rPr>
        <w:t>Again,</w:t>
      </w:r>
      <w:r w:rsidR="00FB0994" w:rsidRPr="000E4D38">
        <w:rPr>
          <w:rFonts w:ascii="Times New Roman" w:hAnsi="Times New Roman"/>
          <w:sz w:val="24"/>
          <w:szCs w:val="24"/>
          <w:highlight w:val="cyan"/>
        </w:rPr>
        <w:t xml:space="preserve"> it declined slowly and after 2014 it was </w:t>
      </w:r>
      <w:r w:rsidR="00CF322E" w:rsidRPr="000E4D38">
        <w:rPr>
          <w:rFonts w:ascii="Times New Roman" w:hAnsi="Times New Roman"/>
          <w:sz w:val="24"/>
          <w:szCs w:val="24"/>
          <w:highlight w:val="cyan"/>
        </w:rPr>
        <w:t xml:space="preserve">gradually increasing and reached </w:t>
      </w:r>
      <w:r w:rsidR="00FB0994" w:rsidRPr="000E4D38">
        <w:rPr>
          <w:rFonts w:ascii="Times New Roman" w:hAnsi="Times New Roman"/>
          <w:sz w:val="24"/>
          <w:szCs w:val="24"/>
          <w:highlight w:val="cyan"/>
        </w:rPr>
        <w:t>the hig</w:t>
      </w:r>
      <w:r w:rsidR="001E22AA" w:rsidRPr="000E4D38">
        <w:rPr>
          <w:rFonts w:ascii="Times New Roman" w:hAnsi="Times New Roman"/>
          <w:sz w:val="24"/>
          <w:szCs w:val="24"/>
          <w:highlight w:val="cyan"/>
        </w:rPr>
        <w:t xml:space="preserve">hest value at 66.7% in the </w:t>
      </w:r>
      <w:r w:rsidR="00FB0994" w:rsidRPr="000E4D38">
        <w:rPr>
          <w:rFonts w:ascii="Times New Roman" w:hAnsi="Times New Roman"/>
          <w:sz w:val="24"/>
          <w:szCs w:val="24"/>
          <w:highlight w:val="cyan"/>
        </w:rPr>
        <w:t>year of 2017. Moreover</w:t>
      </w:r>
      <w:r w:rsidR="007A1227" w:rsidRPr="000E4D38">
        <w:rPr>
          <w:rFonts w:ascii="Times New Roman" w:hAnsi="Times New Roman"/>
          <w:sz w:val="24"/>
          <w:szCs w:val="24"/>
          <w:highlight w:val="cyan"/>
        </w:rPr>
        <w:t>,</w:t>
      </w:r>
      <w:r w:rsidR="00FB0994" w:rsidRPr="000E4D38">
        <w:rPr>
          <w:rFonts w:ascii="Times New Roman" w:hAnsi="Times New Roman"/>
          <w:sz w:val="24"/>
          <w:szCs w:val="24"/>
          <w:highlight w:val="cyan"/>
        </w:rPr>
        <w:t xml:space="preserve"> in Stochastic </w:t>
      </w:r>
      <w:proofErr w:type="spellStart"/>
      <w:r w:rsidR="00FB0994" w:rsidRPr="000E4D38">
        <w:rPr>
          <w:rFonts w:ascii="Times New Roman" w:hAnsi="Times New Roman"/>
          <w:sz w:val="24"/>
          <w:szCs w:val="24"/>
          <w:highlight w:val="cyan"/>
        </w:rPr>
        <w:t>Translog</w:t>
      </w:r>
      <w:proofErr w:type="spellEnd"/>
      <w:r w:rsidR="001E22AA" w:rsidRPr="000E4D38">
        <w:rPr>
          <w:rFonts w:ascii="Times New Roman" w:hAnsi="Times New Roman"/>
          <w:sz w:val="24"/>
          <w:szCs w:val="24"/>
          <w:highlight w:val="cyan"/>
        </w:rPr>
        <w:t xml:space="preserve"> profit f</w:t>
      </w:r>
      <w:r w:rsidR="00FB0994" w:rsidRPr="000E4D38">
        <w:rPr>
          <w:rFonts w:ascii="Times New Roman" w:hAnsi="Times New Roman"/>
          <w:sz w:val="24"/>
          <w:szCs w:val="24"/>
          <w:highlight w:val="cyan"/>
        </w:rPr>
        <w:t xml:space="preserve">rontier </w:t>
      </w:r>
      <w:r w:rsidR="001E22AA" w:rsidRPr="000E4D38">
        <w:rPr>
          <w:rFonts w:ascii="Times New Roman" w:hAnsi="Times New Roman"/>
          <w:sz w:val="24"/>
          <w:szCs w:val="24"/>
          <w:highlight w:val="cyan"/>
        </w:rPr>
        <w:t>m</w:t>
      </w:r>
      <w:r w:rsidR="00FB0994" w:rsidRPr="000E4D38">
        <w:rPr>
          <w:rFonts w:ascii="Times New Roman" w:hAnsi="Times New Roman"/>
          <w:sz w:val="24"/>
          <w:szCs w:val="24"/>
          <w:highlight w:val="cyan"/>
        </w:rPr>
        <w:t>odel</w:t>
      </w:r>
      <w:r w:rsidR="003975A6" w:rsidRPr="000E4D38">
        <w:rPr>
          <w:rFonts w:ascii="Times New Roman" w:hAnsi="Times New Roman"/>
          <w:sz w:val="24"/>
          <w:szCs w:val="24"/>
          <w:highlight w:val="cyan"/>
        </w:rPr>
        <w:t xml:space="preserve">, the </w:t>
      </w:r>
      <w:r w:rsidR="00F1100C" w:rsidRPr="000E4D38">
        <w:rPr>
          <w:rFonts w:ascii="Times New Roman" w:hAnsi="Times New Roman"/>
          <w:sz w:val="24"/>
          <w:szCs w:val="24"/>
          <w:highlight w:val="cyan"/>
        </w:rPr>
        <w:t xml:space="preserve">profit efficiency score of </w:t>
      </w:r>
      <w:r w:rsidR="001E22AA" w:rsidRPr="000E4D38">
        <w:rPr>
          <w:rFonts w:ascii="Times New Roman" w:hAnsi="Times New Roman"/>
          <w:sz w:val="24"/>
          <w:szCs w:val="24"/>
          <w:highlight w:val="cyan"/>
        </w:rPr>
        <w:t xml:space="preserve">PCBs </w:t>
      </w:r>
      <w:r w:rsidR="003975A6" w:rsidRPr="000E4D38">
        <w:rPr>
          <w:rFonts w:ascii="Times New Roman" w:hAnsi="Times New Roman"/>
          <w:sz w:val="24"/>
          <w:szCs w:val="24"/>
          <w:highlight w:val="cyan"/>
        </w:rPr>
        <w:t>were 50%</w:t>
      </w:r>
      <w:r w:rsidR="00FB0994" w:rsidRPr="000E4D38">
        <w:rPr>
          <w:rFonts w:ascii="Times New Roman" w:hAnsi="Times New Roman"/>
          <w:sz w:val="24"/>
          <w:szCs w:val="24"/>
          <w:highlight w:val="cyan"/>
        </w:rPr>
        <w:t xml:space="preserve"> in 2008</w:t>
      </w:r>
      <w:r w:rsidR="003975A6" w:rsidRPr="000E4D38">
        <w:rPr>
          <w:rFonts w:ascii="Times New Roman" w:hAnsi="Times New Roman"/>
          <w:sz w:val="24"/>
          <w:szCs w:val="24"/>
          <w:highlight w:val="cyan"/>
        </w:rPr>
        <w:t xml:space="preserve">, then it decreased moderately at 32.8% in the </w:t>
      </w:r>
      <w:r w:rsidR="001E22AA" w:rsidRPr="000E4D38">
        <w:rPr>
          <w:rFonts w:ascii="Times New Roman" w:hAnsi="Times New Roman"/>
          <w:sz w:val="24"/>
          <w:szCs w:val="24"/>
          <w:highlight w:val="cyan"/>
        </w:rPr>
        <w:t xml:space="preserve">following </w:t>
      </w:r>
      <w:r w:rsidR="003975A6" w:rsidRPr="000E4D38">
        <w:rPr>
          <w:rFonts w:ascii="Times New Roman" w:hAnsi="Times New Roman"/>
          <w:sz w:val="24"/>
          <w:szCs w:val="24"/>
          <w:highlight w:val="cyan"/>
        </w:rPr>
        <w:t xml:space="preserve">year. </w:t>
      </w:r>
      <w:r w:rsidR="003E578F" w:rsidRPr="000E4D38">
        <w:rPr>
          <w:rFonts w:ascii="Times New Roman" w:hAnsi="Times New Roman"/>
          <w:sz w:val="24"/>
          <w:szCs w:val="24"/>
          <w:highlight w:val="cyan"/>
        </w:rPr>
        <w:t>I</w:t>
      </w:r>
      <w:r w:rsidR="003975A6" w:rsidRPr="000E4D38">
        <w:rPr>
          <w:rFonts w:ascii="Times New Roman" w:hAnsi="Times New Roman"/>
          <w:sz w:val="24"/>
          <w:szCs w:val="24"/>
          <w:highlight w:val="cyan"/>
        </w:rPr>
        <w:t xml:space="preserve">t remained 50% in 2011 and 2012. </w:t>
      </w:r>
      <w:r w:rsidR="00181504" w:rsidRPr="000E4D38">
        <w:rPr>
          <w:rFonts w:ascii="Times New Roman" w:hAnsi="Times New Roman"/>
          <w:sz w:val="24"/>
          <w:szCs w:val="24"/>
          <w:highlight w:val="cyan"/>
        </w:rPr>
        <w:t>Again,</w:t>
      </w:r>
      <w:r w:rsidR="003975A6" w:rsidRPr="000E4D38">
        <w:rPr>
          <w:rFonts w:ascii="Times New Roman" w:hAnsi="Times New Roman"/>
          <w:sz w:val="24"/>
          <w:szCs w:val="24"/>
          <w:highlight w:val="cyan"/>
        </w:rPr>
        <w:t xml:space="preserve"> it declined slowly at 40</w:t>
      </w:r>
      <w:r w:rsidR="00231A0F" w:rsidRPr="000E4D38">
        <w:rPr>
          <w:rFonts w:ascii="Times New Roman" w:hAnsi="Times New Roman"/>
          <w:sz w:val="24"/>
          <w:szCs w:val="24"/>
          <w:highlight w:val="cyan"/>
        </w:rPr>
        <w:t>.</w:t>
      </w:r>
      <w:r w:rsidR="003975A6" w:rsidRPr="000E4D38">
        <w:rPr>
          <w:rFonts w:ascii="Times New Roman" w:hAnsi="Times New Roman"/>
          <w:sz w:val="24"/>
          <w:szCs w:val="24"/>
          <w:highlight w:val="cyan"/>
        </w:rPr>
        <w:t>7% and finally, it</w:t>
      </w:r>
      <w:r w:rsidR="00CF322E" w:rsidRPr="000E4D38">
        <w:rPr>
          <w:rFonts w:ascii="Times New Roman" w:hAnsi="Times New Roman"/>
          <w:sz w:val="24"/>
          <w:szCs w:val="24"/>
          <w:highlight w:val="cyan"/>
        </w:rPr>
        <w:t xml:space="preserve"> was an upward trend and reached</w:t>
      </w:r>
      <w:r w:rsidR="003975A6" w:rsidRPr="000E4D38">
        <w:rPr>
          <w:rFonts w:ascii="Times New Roman" w:hAnsi="Times New Roman"/>
          <w:sz w:val="24"/>
          <w:szCs w:val="24"/>
          <w:highlight w:val="cyan"/>
        </w:rPr>
        <w:t xml:space="preserve"> the highest value at 66.7% in the last year of 2017. This result was supported by </w:t>
      </w:r>
      <w:r w:rsidR="00181504" w:rsidRPr="000E4D38">
        <w:rPr>
          <w:rFonts w:ascii="Times New Roman" w:hAnsi="Times New Roman"/>
          <w:sz w:val="24"/>
          <w:szCs w:val="24"/>
          <w:highlight w:val="cyan"/>
        </w:rPr>
        <w:fldChar w:fldCharType="begin" w:fldLock="1"/>
      </w:r>
      <w:r w:rsidR="00B77167" w:rsidRPr="000E4D38">
        <w:rPr>
          <w:rFonts w:ascii="Times New Roman" w:hAnsi="Times New Roman"/>
          <w:sz w:val="24"/>
          <w:szCs w:val="24"/>
          <w:highlight w:val="cyan"/>
        </w:rPr>
        <w:instrText>ADDIN CSL_CITATION {"citationItems":[{"id":"ITEM-1","itemData":{"ISSN":"12045357","abstract":"Are Islamic online banks stable and efficient? This paper addresses this question. Parametric technique, Stochastic Frontier Analysis is used to evaluate and compare the cost and profit efficiency of the Islamic banks in Bangladesh over the period of 2001- 2010. The specification of functional forms of Translog stochastic cost and profit frontier models are developed. Translog stochastic cost and profit frontier models were found preferable than Cobb-Douglas production function. In case of cost model, other earning assets are found negative but significant and price of labor is observed positive and significant. On the other hand, price of fund with the value of (-0.421) is found significant and negative for profit model, suggest that bank can control more personnel expenses than depositor profit expenses. The year-wise average cost inefficiency and profit efficiency were observed 43.9% and 82% respectively. IBBL was recorded as the most profit efficient bank and ICB limited bank was observed as the most cost inefficient bank. IBBL, Al-Arafah and EXIM banks were more stable in terms of cost efficient than other Islamic banks. © Azizul Baten and Shakera Begum, 2014.","author":[{"dropping-particle":"","family":"Baten","given":"Azizul","non-dropping-particle":"","parse-names":false,"suffix":""},{"dropping-particle":"","family":"Begum","given":"Shakera","non-dropping-particle":"","parse-names":false,"suffix":""}],"container-title":"Journal of Internet Banking and Commerce","id":"ITEM-1","issue":"1","issued":{"date-parts":[["2014"]]},"title":"Stochastic frontier model for cost and profit efficiency of islamic online banks","type":"article-journal","volume":"19"},"uris":["http://www.mendeley.com/documents/?uuid=0f31a376-079c-30ed-938f-2d40f1dc9c6d"]},{"id":"ITEM-2","itemData":{"DOI":"10.1080/0003684032000158109","ISSN":"00036846","abstract":"This paper investigates whether there has been an improvement in and convergence of productive efficiency across European banking markets since the creation of the Single Internal Market. Using efficiency measures derived from DEA estimation, the determinants of European bank efficiency are evaluated using the Tobit regression model approach. The established literature on modelling the determinants of bank efficiency is then extended by recognizing the problem of the inherent dependency of DEA efficiency scores when used in regression analysis. To overcome the dependency problem, a bootstrapping technique is applied. Overall, the results suggest that since the EU's Single Market Programme there has been a small improvement in bank efficiency levels, although there is little evidence to suggest that these have converged. The results also suggest that inference on the determinants of bank efficiency drawn from non-bootstrapped regression analysis may be biased and misleading.","author":[{"dropping-particle":"","family":"Casu","given":"Barbara","non-dropping-particle":"","parse-names":false,"suffix":""},{"dropping-particle":"","family":"Molyneux","given":"Philip","non-dropping-particle":"","parse-names":false,"suffix":""}],"container-title":"Applied Economics","id":"ITEM-2","issue":"17","issued":{"date-parts":[["2003","11","20"]]},"page":"1865-1876","publisher":" Taylor &amp; Francis Group ","title":"A comparative study of efficiency in European banking","type":"article-journal","volume":"35"},"uris":["http://www.mendeley.com/documents/?uuid=4efc499a-8cac-3051-bb10-b6b23dca42ae"]},{"id":"ITEM-3","itemData":{"DOI":"10.12816/0028312","ISSN":"20704658","author":[{"dropping-particle":"","family":"Ara","given":"Shamim","non-dropping-particle":"","parse-names":false,"suffix":""}],"container-title":"Journal of Islamic Economics Banking and Finance","id":"ITEM-3","issue":"1","issued":{"date-parts":[["2016"]]},"page":"63-89","publisher":"Al Manhal FZ, LLC","title":"Profit and Cost Efficiencies of Conventional Banking ( CB ) and Islamic Banking ( IB ) Using Stochastic Frontier Approach : A Comparative Study","type":"article-journal","volume":"12"},"uris":["http://www.mendeley.com/documents/?uuid=3ecfab17-a03c-3bb4-ac0c-d4ced71b2aba"]},{"id":"ITEM-4","itemData":{"abstract":"Banking industry dominates the financial sector of Bangladesh with an approximate share of 74% of the total intermediation. In recent years, this industry is at high risk due to supervision gaps, overcapacity and market distortions. Therefore, measuring the efficiency of the banking industry is critically important to identify poor banks and bring stability by concentrating on their performance. This study employs single stage stochastic frontier analysis (SFA) to measure the cost efficiency in the Bangladeshi banking sector during the 2011-2015 period. Five different stochastic models are used across the 35 sample banks. Evidence suggests that the mean cost efficiency found in the Bangladeshi banking sector is 88.50%. The mean efficiency is lower among the state-owned banks than conventional (private) commercial banks and Islamic Sariah banks. From the analysis, it seems that there is a low technological advancement in the banking sector during 2011-2015. Further, the analysis indicates that non-performing loans have a significant effect in reducing the overall cost efficiency among the banks.","author":[{"dropping-particle":"","family":"Hassan","given":"Md. Hashibul","non-dropping-particle":"","parse-names":false,"suffix":""},{"dropping-particle":"","family":"Hassan","given":"Mahmudul","non-dropping-particle":"","parse-names":false,"suffix":""}],"container-title":"Asian Journal of Empirical Research","id":"ITEM-4","issue":"6","issued":{"date-parts":[["2018"]]},"page":"208-224","publisher":"Asian Economic and Social Society","title":"Cost efficiency of banking sector of Bangladesh: evidence using the stochastic frontier analysis","type":"article-journal","volume":"8"},"uris":["http://www.mendeley.com/documents/?uuid=8c7cc267-8aeb-383b-b2a1-db9ca1a2195c"]}],"mendeley":{"formattedCitation":"(Ara 2016; Baten &amp; Begum 2014; Casu &amp; Molyneux 2003; Hassan &amp; Hassan 2018)","plainTextFormattedCitation":"(Ara 2016; Baten &amp; Begum 2014; Casu &amp; Molyneux 2003; Hassan &amp; Hassan 2018)","previouslyFormattedCitation":"(Ara, 2016; A. Baten &amp; Begum, 2014; Casu &amp; Molyneux, 2003; Hassan &amp; Hassan, 2018)"},"properties":{"noteIndex":0},"schema":"https://github.com/citation-style-language/schema/raw/master/csl-citation.json"}</w:instrText>
      </w:r>
      <w:r w:rsidR="00181504" w:rsidRPr="000E4D38">
        <w:rPr>
          <w:rFonts w:ascii="Times New Roman" w:hAnsi="Times New Roman"/>
          <w:sz w:val="24"/>
          <w:szCs w:val="24"/>
          <w:highlight w:val="cyan"/>
        </w:rPr>
        <w:fldChar w:fldCharType="separate"/>
      </w:r>
      <w:r w:rsidR="00B77167" w:rsidRPr="000E4D38">
        <w:rPr>
          <w:rFonts w:ascii="Times New Roman" w:hAnsi="Times New Roman"/>
          <w:noProof/>
          <w:sz w:val="24"/>
          <w:szCs w:val="24"/>
          <w:highlight w:val="cyan"/>
        </w:rPr>
        <w:t>(Ara 2016; Baten &amp; Begum 2014; Casu &amp; Molyneux 2003; Hassan &amp; Hassan 2018)</w:t>
      </w:r>
      <w:r w:rsidR="00181504" w:rsidRPr="000E4D38">
        <w:rPr>
          <w:rFonts w:ascii="Times New Roman" w:hAnsi="Times New Roman"/>
          <w:sz w:val="24"/>
          <w:szCs w:val="24"/>
          <w:highlight w:val="cyan"/>
        </w:rPr>
        <w:fldChar w:fldCharType="end"/>
      </w:r>
      <w:r w:rsidR="003975A6" w:rsidRPr="000E4D38">
        <w:rPr>
          <w:rFonts w:ascii="Times New Roman" w:hAnsi="Times New Roman"/>
          <w:sz w:val="24"/>
          <w:szCs w:val="24"/>
          <w:highlight w:val="cyan"/>
        </w:rPr>
        <w:t xml:space="preserve"> who measured the </w:t>
      </w:r>
      <w:r w:rsidR="001E22AA" w:rsidRPr="000E4D38">
        <w:rPr>
          <w:rFonts w:ascii="Times New Roman" w:hAnsi="Times New Roman"/>
          <w:sz w:val="24"/>
          <w:szCs w:val="24"/>
          <w:highlight w:val="cyan"/>
        </w:rPr>
        <w:t xml:space="preserve">PCBs </w:t>
      </w:r>
      <w:r w:rsidR="003975A6" w:rsidRPr="000E4D38">
        <w:rPr>
          <w:rFonts w:ascii="Times New Roman" w:hAnsi="Times New Roman"/>
          <w:sz w:val="24"/>
          <w:szCs w:val="24"/>
          <w:highlight w:val="cyan"/>
        </w:rPr>
        <w:t xml:space="preserve">were </w:t>
      </w:r>
      <w:r w:rsidR="00A93CA0" w:rsidRPr="000E4D38">
        <w:rPr>
          <w:rFonts w:ascii="Times New Roman" w:hAnsi="Times New Roman"/>
          <w:sz w:val="24"/>
          <w:szCs w:val="24"/>
          <w:highlight w:val="cyan"/>
        </w:rPr>
        <w:t xml:space="preserve">the </w:t>
      </w:r>
      <w:r w:rsidR="003975A6" w:rsidRPr="000E4D38">
        <w:rPr>
          <w:rFonts w:ascii="Times New Roman" w:hAnsi="Times New Roman"/>
          <w:sz w:val="24"/>
          <w:szCs w:val="24"/>
          <w:highlight w:val="cyan"/>
        </w:rPr>
        <w:t>most cost efficient rather than profit efficiency</w:t>
      </w:r>
      <w:r w:rsidR="00260B1A" w:rsidRPr="000E4D38">
        <w:rPr>
          <w:rFonts w:ascii="Times New Roman" w:hAnsi="Times New Roman"/>
          <w:sz w:val="24"/>
          <w:szCs w:val="24"/>
          <w:highlight w:val="cyan"/>
        </w:rPr>
        <w:t>.</w:t>
      </w:r>
    </w:p>
    <w:p w14:paraId="1D63E4FE" w14:textId="77777777" w:rsidR="003E578F" w:rsidRPr="006D74FE" w:rsidRDefault="003E578F" w:rsidP="00A728A2">
      <w:pPr>
        <w:spacing w:after="0" w:line="240" w:lineRule="auto"/>
        <w:jc w:val="both"/>
        <w:rPr>
          <w:rFonts w:ascii="Times New Roman" w:hAnsi="Times New Roman"/>
          <w:sz w:val="24"/>
          <w:szCs w:val="24"/>
        </w:rPr>
      </w:pPr>
    </w:p>
    <w:p w14:paraId="1C54B785" w14:textId="3E8AE6E9" w:rsidR="008B15C9" w:rsidRPr="006D74FE" w:rsidRDefault="008B15C9" w:rsidP="00A728A2">
      <w:pPr>
        <w:pStyle w:val="ListParagraph"/>
        <w:numPr>
          <w:ilvl w:val="0"/>
          <w:numId w:val="40"/>
        </w:numPr>
        <w:spacing w:line="240" w:lineRule="auto"/>
        <w:rPr>
          <w:rFonts w:ascii="Times New Roman" w:hAnsi="Times New Roman" w:cs="Times New Roman"/>
          <w:i/>
          <w:iCs/>
        </w:rPr>
      </w:pPr>
      <w:r w:rsidRPr="006D74FE">
        <w:rPr>
          <w:rFonts w:ascii="Times New Roman" w:hAnsi="Times New Roman" w:cs="Times New Roman"/>
          <w:i/>
          <w:iCs/>
        </w:rPr>
        <w:lastRenderedPageBreak/>
        <w:t xml:space="preserve">Bank-wise Average Cost and Profit Efficiency </w:t>
      </w:r>
      <w:r w:rsidR="003E578F" w:rsidRPr="006D74FE">
        <w:rPr>
          <w:rFonts w:ascii="Times New Roman" w:hAnsi="Times New Roman" w:cs="Times New Roman"/>
          <w:i/>
          <w:iCs/>
        </w:rPr>
        <w:t xml:space="preserve">Scores </w:t>
      </w:r>
      <w:r w:rsidRPr="006D74FE">
        <w:rPr>
          <w:rFonts w:ascii="Times New Roman" w:hAnsi="Times New Roman" w:cs="Times New Roman"/>
          <w:i/>
          <w:iCs/>
        </w:rPr>
        <w:t xml:space="preserve">of </w:t>
      </w:r>
      <w:r w:rsidR="00231A0F" w:rsidRPr="006D74FE">
        <w:rPr>
          <w:rFonts w:ascii="Times New Roman" w:hAnsi="Times New Roman" w:cs="Times New Roman"/>
          <w:i/>
          <w:iCs/>
        </w:rPr>
        <w:t xml:space="preserve">Stochastic </w:t>
      </w:r>
      <w:r w:rsidRPr="006D74FE">
        <w:rPr>
          <w:rFonts w:ascii="Times New Roman" w:hAnsi="Times New Roman" w:cs="Times New Roman"/>
          <w:i/>
          <w:iCs/>
        </w:rPr>
        <w:t>Cobb-Douglas</w:t>
      </w:r>
      <w:r w:rsidR="00231A0F" w:rsidRPr="006D74FE">
        <w:rPr>
          <w:rFonts w:ascii="Times New Roman" w:hAnsi="Times New Roman" w:cs="Times New Roman"/>
          <w:i/>
          <w:iCs/>
        </w:rPr>
        <w:t xml:space="preserve"> and </w:t>
      </w:r>
      <w:proofErr w:type="spellStart"/>
      <w:r w:rsidR="00231A0F" w:rsidRPr="006D74FE">
        <w:rPr>
          <w:rFonts w:ascii="Times New Roman" w:hAnsi="Times New Roman" w:cs="Times New Roman"/>
          <w:i/>
          <w:iCs/>
        </w:rPr>
        <w:t>Translog</w:t>
      </w:r>
      <w:proofErr w:type="spellEnd"/>
      <w:r w:rsidRPr="006D74FE">
        <w:rPr>
          <w:rFonts w:ascii="Times New Roman" w:hAnsi="Times New Roman" w:cs="Times New Roman"/>
          <w:i/>
          <w:iCs/>
        </w:rPr>
        <w:t xml:space="preserve"> </w:t>
      </w:r>
      <w:r w:rsidR="00231A0F" w:rsidRPr="006D74FE">
        <w:rPr>
          <w:rFonts w:ascii="Times New Roman" w:hAnsi="Times New Roman" w:cs="Times New Roman"/>
          <w:i/>
          <w:iCs/>
        </w:rPr>
        <w:t>F</w:t>
      </w:r>
      <w:r w:rsidR="00E73614" w:rsidRPr="006D74FE">
        <w:rPr>
          <w:rFonts w:ascii="Times New Roman" w:hAnsi="Times New Roman" w:cs="Times New Roman"/>
          <w:i/>
          <w:iCs/>
        </w:rPr>
        <w:t>rontier Models</w:t>
      </w:r>
    </w:p>
    <w:p w14:paraId="71C94D29" w14:textId="77777777" w:rsidR="00DF6E50" w:rsidRPr="006D74FE" w:rsidRDefault="00DF6E50" w:rsidP="00A728A2">
      <w:pPr>
        <w:spacing w:line="240" w:lineRule="auto"/>
        <w:jc w:val="both"/>
        <w:rPr>
          <w:rFonts w:ascii="Times New Roman" w:hAnsi="Times New Roman"/>
          <w:i/>
          <w:iCs/>
          <w:sz w:val="24"/>
          <w:szCs w:val="24"/>
        </w:rPr>
      </w:pPr>
    </w:p>
    <w:p w14:paraId="79113B96" w14:textId="2655172C" w:rsidR="008B15C9" w:rsidRPr="006D74FE" w:rsidRDefault="008B15C9" w:rsidP="00A728A2">
      <w:pPr>
        <w:spacing w:after="0" w:line="240" w:lineRule="auto"/>
        <w:jc w:val="both"/>
        <w:rPr>
          <w:rFonts w:ascii="Times New Roman" w:hAnsi="Times New Roman"/>
          <w:sz w:val="24"/>
          <w:szCs w:val="24"/>
        </w:rPr>
      </w:pPr>
      <w:r w:rsidRPr="000E4D38">
        <w:rPr>
          <w:rFonts w:ascii="Times New Roman" w:hAnsi="Times New Roman"/>
          <w:sz w:val="24"/>
          <w:szCs w:val="24"/>
          <w:highlight w:val="yellow"/>
        </w:rPr>
        <w:t>The average cost and profit efficiency scores of individual commercial banks from 200</w:t>
      </w:r>
      <w:r w:rsidR="00231A0F" w:rsidRPr="000E4D38">
        <w:rPr>
          <w:rFonts w:ascii="Times New Roman" w:hAnsi="Times New Roman"/>
          <w:sz w:val="24"/>
          <w:szCs w:val="24"/>
          <w:highlight w:val="yellow"/>
        </w:rPr>
        <w:t>8-2017 are reported in Figure 2</w:t>
      </w:r>
      <w:r w:rsidRPr="000E4D38">
        <w:rPr>
          <w:rFonts w:ascii="Times New Roman" w:hAnsi="Times New Roman"/>
          <w:sz w:val="24"/>
          <w:szCs w:val="24"/>
          <w:highlight w:val="yellow"/>
        </w:rPr>
        <w:t xml:space="preserve">. As presented the result, the </w:t>
      </w:r>
      <w:proofErr w:type="spellStart"/>
      <w:r w:rsidRPr="000E4D38">
        <w:rPr>
          <w:rFonts w:ascii="Times New Roman" w:hAnsi="Times New Roman"/>
          <w:sz w:val="24"/>
          <w:szCs w:val="24"/>
          <w:highlight w:val="yellow"/>
        </w:rPr>
        <w:t>Brac</w:t>
      </w:r>
      <w:proofErr w:type="spellEnd"/>
      <w:r w:rsidRPr="000E4D38">
        <w:rPr>
          <w:rFonts w:ascii="Times New Roman" w:hAnsi="Times New Roman"/>
          <w:sz w:val="24"/>
          <w:szCs w:val="24"/>
          <w:highlight w:val="yellow"/>
        </w:rPr>
        <w:t xml:space="preserve"> bank was the most cost efficient</w:t>
      </w:r>
      <w:r w:rsidR="00231A0F" w:rsidRPr="000E4D38">
        <w:rPr>
          <w:rFonts w:ascii="Times New Roman" w:hAnsi="Times New Roman"/>
          <w:sz w:val="24"/>
          <w:szCs w:val="24"/>
          <w:highlight w:val="yellow"/>
        </w:rPr>
        <w:t xml:space="preserve"> bank with an average </w:t>
      </w:r>
      <w:r w:rsidRPr="000E4D38">
        <w:rPr>
          <w:rFonts w:ascii="Times New Roman" w:hAnsi="Times New Roman"/>
          <w:sz w:val="24"/>
          <w:szCs w:val="24"/>
          <w:highlight w:val="yellow"/>
        </w:rPr>
        <w:t>efficiency score</w:t>
      </w:r>
      <w:r w:rsidR="00231A0F" w:rsidRPr="000E4D38">
        <w:rPr>
          <w:rFonts w:ascii="Times New Roman" w:hAnsi="Times New Roman"/>
          <w:sz w:val="24"/>
          <w:szCs w:val="24"/>
          <w:highlight w:val="yellow"/>
        </w:rPr>
        <w:t xml:space="preserve"> of 89.3%</w:t>
      </w:r>
      <w:r w:rsidR="0043607B" w:rsidRPr="000E4D38">
        <w:rPr>
          <w:rFonts w:ascii="Times New Roman" w:hAnsi="Times New Roman"/>
          <w:sz w:val="24"/>
          <w:szCs w:val="24"/>
          <w:highlight w:val="yellow"/>
        </w:rPr>
        <w:t xml:space="preserve"> and</w:t>
      </w:r>
      <w:r w:rsidR="000A7D42" w:rsidRPr="000E4D38">
        <w:rPr>
          <w:rFonts w:ascii="Times New Roman" w:hAnsi="Times New Roman"/>
          <w:sz w:val="24"/>
          <w:szCs w:val="24"/>
          <w:highlight w:val="yellow"/>
        </w:rPr>
        <w:t xml:space="preserve"> Al-</w:t>
      </w:r>
      <w:proofErr w:type="spellStart"/>
      <w:r w:rsidR="000A7D42" w:rsidRPr="000E4D38">
        <w:rPr>
          <w:rFonts w:ascii="Times New Roman" w:hAnsi="Times New Roman"/>
          <w:sz w:val="24"/>
          <w:szCs w:val="24"/>
          <w:highlight w:val="yellow"/>
        </w:rPr>
        <w:t>arafah</w:t>
      </w:r>
      <w:proofErr w:type="spellEnd"/>
      <w:r w:rsidR="0043607B" w:rsidRPr="000E4D38">
        <w:rPr>
          <w:rFonts w:ascii="Times New Roman" w:hAnsi="Times New Roman"/>
          <w:sz w:val="24"/>
          <w:szCs w:val="24"/>
          <w:highlight w:val="yellow"/>
        </w:rPr>
        <w:t xml:space="preserve"> w</w:t>
      </w:r>
      <w:r w:rsidR="000A7D42" w:rsidRPr="000E4D38">
        <w:rPr>
          <w:rFonts w:ascii="Times New Roman" w:hAnsi="Times New Roman"/>
          <w:sz w:val="24"/>
          <w:szCs w:val="24"/>
          <w:highlight w:val="yellow"/>
        </w:rPr>
        <w:t>as the less cost efficient (37.4</w:t>
      </w:r>
      <w:r w:rsidR="0043607B" w:rsidRPr="000E4D38">
        <w:rPr>
          <w:rFonts w:ascii="Times New Roman" w:hAnsi="Times New Roman"/>
          <w:sz w:val="24"/>
          <w:szCs w:val="24"/>
          <w:highlight w:val="yellow"/>
        </w:rPr>
        <w:t xml:space="preserve">%) </w:t>
      </w:r>
      <w:r w:rsidR="00231A0F" w:rsidRPr="000E4D38">
        <w:rPr>
          <w:rFonts w:ascii="Times New Roman" w:hAnsi="Times New Roman"/>
          <w:sz w:val="24"/>
          <w:szCs w:val="24"/>
          <w:highlight w:val="yellow"/>
        </w:rPr>
        <w:t>among the other banks in Stochastic Cobb-Douglas</w:t>
      </w:r>
      <w:r w:rsidR="003E578F" w:rsidRPr="000E4D38">
        <w:rPr>
          <w:rFonts w:ascii="Times New Roman" w:hAnsi="Times New Roman"/>
          <w:sz w:val="24"/>
          <w:szCs w:val="24"/>
          <w:highlight w:val="yellow"/>
        </w:rPr>
        <w:t xml:space="preserve"> c</w:t>
      </w:r>
      <w:r w:rsidR="00231A0F" w:rsidRPr="000E4D38">
        <w:rPr>
          <w:rFonts w:ascii="Times New Roman" w:hAnsi="Times New Roman"/>
          <w:sz w:val="24"/>
          <w:szCs w:val="24"/>
          <w:highlight w:val="yellow"/>
        </w:rPr>
        <w:t xml:space="preserve">ost </w:t>
      </w:r>
      <w:r w:rsidR="003E578F" w:rsidRPr="000E4D38">
        <w:rPr>
          <w:rFonts w:ascii="Times New Roman" w:hAnsi="Times New Roman"/>
          <w:sz w:val="24"/>
          <w:szCs w:val="24"/>
          <w:highlight w:val="yellow"/>
        </w:rPr>
        <w:t>f</w:t>
      </w:r>
      <w:r w:rsidR="00231A0F" w:rsidRPr="000E4D38">
        <w:rPr>
          <w:rFonts w:ascii="Times New Roman" w:hAnsi="Times New Roman"/>
          <w:sz w:val="24"/>
          <w:szCs w:val="24"/>
          <w:highlight w:val="yellow"/>
        </w:rPr>
        <w:t xml:space="preserve">rontier </w:t>
      </w:r>
      <w:r w:rsidR="003E578F" w:rsidRPr="000E4D38">
        <w:rPr>
          <w:rFonts w:ascii="Times New Roman" w:hAnsi="Times New Roman"/>
          <w:sz w:val="24"/>
          <w:szCs w:val="24"/>
          <w:highlight w:val="yellow"/>
        </w:rPr>
        <w:t>m</w:t>
      </w:r>
      <w:r w:rsidR="00231A0F" w:rsidRPr="000E4D38">
        <w:rPr>
          <w:rFonts w:ascii="Times New Roman" w:hAnsi="Times New Roman"/>
          <w:sz w:val="24"/>
          <w:szCs w:val="24"/>
          <w:highlight w:val="yellow"/>
        </w:rPr>
        <w:t xml:space="preserve">odel </w:t>
      </w:r>
      <w:r w:rsidR="005868A1" w:rsidRPr="000E4D38">
        <w:rPr>
          <w:rFonts w:ascii="Times New Roman" w:hAnsi="Times New Roman"/>
          <w:sz w:val="24"/>
          <w:szCs w:val="24"/>
          <w:highlight w:val="yellow"/>
        </w:rPr>
        <w:t>and</w:t>
      </w:r>
      <w:r w:rsidR="000A7D42" w:rsidRPr="000E4D38">
        <w:rPr>
          <w:rFonts w:ascii="Times New Roman" w:hAnsi="Times New Roman"/>
          <w:sz w:val="24"/>
          <w:szCs w:val="24"/>
          <w:highlight w:val="yellow"/>
        </w:rPr>
        <w:t xml:space="preserve"> social </w:t>
      </w:r>
      <w:proofErr w:type="spellStart"/>
      <w:r w:rsidR="000A7D42" w:rsidRPr="000E4D38">
        <w:rPr>
          <w:rFonts w:ascii="Times New Roman" w:hAnsi="Times New Roman"/>
          <w:sz w:val="24"/>
          <w:szCs w:val="24"/>
          <w:highlight w:val="yellow"/>
        </w:rPr>
        <w:t>islami</w:t>
      </w:r>
      <w:proofErr w:type="spellEnd"/>
      <w:r w:rsidR="000A7D42" w:rsidRPr="000E4D38">
        <w:rPr>
          <w:rFonts w:ascii="Times New Roman" w:hAnsi="Times New Roman"/>
          <w:sz w:val="24"/>
          <w:szCs w:val="24"/>
          <w:highlight w:val="yellow"/>
        </w:rPr>
        <w:t xml:space="preserve"> bank</w:t>
      </w:r>
      <w:r w:rsidR="00231A0F" w:rsidRPr="000E4D38">
        <w:rPr>
          <w:rFonts w:ascii="Times New Roman" w:hAnsi="Times New Roman"/>
          <w:sz w:val="24"/>
          <w:szCs w:val="24"/>
          <w:highlight w:val="yellow"/>
        </w:rPr>
        <w:t xml:space="preserve"> was the most cost-efficient with an </w:t>
      </w:r>
      <w:r w:rsidR="000A7D42" w:rsidRPr="000E4D38">
        <w:rPr>
          <w:rFonts w:ascii="Times New Roman" w:hAnsi="Times New Roman"/>
          <w:sz w:val="24"/>
          <w:szCs w:val="24"/>
          <w:highlight w:val="yellow"/>
        </w:rPr>
        <w:t>average efficiency score of 88</w:t>
      </w:r>
      <w:r w:rsidR="00E73614" w:rsidRPr="000E4D38">
        <w:rPr>
          <w:rFonts w:ascii="Times New Roman" w:hAnsi="Times New Roman"/>
          <w:sz w:val="24"/>
          <w:szCs w:val="24"/>
          <w:highlight w:val="yellow"/>
        </w:rPr>
        <w:t>%</w:t>
      </w:r>
      <w:r w:rsidR="00231A0F" w:rsidRPr="000E4D38">
        <w:rPr>
          <w:rFonts w:ascii="Times New Roman" w:hAnsi="Times New Roman"/>
          <w:sz w:val="24"/>
          <w:szCs w:val="24"/>
          <w:highlight w:val="yellow"/>
        </w:rPr>
        <w:t xml:space="preserve"> </w:t>
      </w:r>
      <w:r w:rsidR="0043607B" w:rsidRPr="000E4D38">
        <w:rPr>
          <w:rFonts w:ascii="Times New Roman" w:hAnsi="Times New Roman"/>
          <w:sz w:val="24"/>
          <w:szCs w:val="24"/>
          <w:highlight w:val="yellow"/>
        </w:rPr>
        <w:t xml:space="preserve">and Exim bank was the less cost efficient (31.1%) bank </w:t>
      </w:r>
      <w:r w:rsidR="00231A0F" w:rsidRPr="000E4D38">
        <w:rPr>
          <w:rFonts w:ascii="Times New Roman" w:hAnsi="Times New Roman"/>
          <w:sz w:val="24"/>
          <w:szCs w:val="24"/>
          <w:highlight w:val="yellow"/>
        </w:rPr>
        <w:t xml:space="preserve">in Stochastic </w:t>
      </w:r>
      <w:proofErr w:type="spellStart"/>
      <w:r w:rsidR="00231A0F" w:rsidRPr="000E4D38">
        <w:rPr>
          <w:rFonts w:ascii="Times New Roman" w:hAnsi="Times New Roman"/>
          <w:sz w:val="24"/>
          <w:szCs w:val="24"/>
          <w:highlight w:val="yellow"/>
        </w:rPr>
        <w:t>Translog</w:t>
      </w:r>
      <w:proofErr w:type="spellEnd"/>
      <w:r w:rsidR="00CF322E" w:rsidRPr="000E4D38">
        <w:rPr>
          <w:rFonts w:ascii="Times New Roman" w:hAnsi="Times New Roman"/>
          <w:sz w:val="24"/>
          <w:szCs w:val="24"/>
          <w:highlight w:val="yellow"/>
        </w:rPr>
        <w:t xml:space="preserve"> </w:t>
      </w:r>
      <w:r w:rsidR="003E578F" w:rsidRPr="000E4D38">
        <w:rPr>
          <w:rFonts w:ascii="Times New Roman" w:hAnsi="Times New Roman"/>
          <w:sz w:val="24"/>
          <w:szCs w:val="24"/>
          <w:highlight w:val="yellow"/>
        </w:rPr>
        <w:t>c</w:t>
      </w:r>
      <w:r w:rsidR="00CF322E" w:rsidRPr="000E4D38">
        <w:rPr>
          <w:rFonts w:ascii="Times New Roman" w:hAnsi="Times New Roman"/>
          <w:sz w:val="24"/>
          <w:szCs w:val="24"/>
          <w:highlight w:val="yellow"/>
        </w:rPr>
        <w:t>ost</w:t>
      </w:r>
      <w:r w:rsidR="003E578F" w:rsidRPr="000E4D38">
        <w:rPr>
          <w:rFonts w:ascii="Times New Roman" w:hAnsi="Times New Roman"/>
          <w:sz w:val="24"/>
          <w:szCs w:val="24"/>
          <w:highlight w:val="yellow"/>
        </w:rPr>
        <w:t xml:space="preserve"> frontier m</w:t>
      </w:r>
      <w:r w:rsidR="00231A0F" w:rsidRPr="000E4D38">
        <w:rPr>
          <w:rFonts w:ascii="Times New Roman" w:hAnsi="Times New Roman"/>
          <w:sz w:val="24"/>
          <w:szCs w:val="24"/>
          <w:highlight w:val="yellow"/>
        </w:rPr>
        <w:t>odel.</w:t>
      </w:r>
      <w:r w:rsidR="0043607B" w:rsidRPr="000E4D38">
        <w:rPr>
          <w:rFonts w:ascii="Times New Roman" w:hAnsi="Times New Roman"/>
          <w:sz w:val="24"/>
          <w:szCs w:val="24"/>
          <w:highlight w:val="yellow"/>
        </w:rPr>
        <w:t xml:space="preserve"> On the other hand, </w:t>
      </w:r>
      <w:r w:rsidR="005868A1" w:rsidRPr="000E4D38">
        <w:rPr>
          <w:rFonts w:ascii="Times New Roman" w:hAnsi="Times New Roman"/>
          <w:sz w:val="24"/>
          <w:szCs w:val="24"/>
          <w:highlight w:val="yellow"/>
        </w:rPr>
        <w:t>IBBL was the most profit efficient with an averag</w:t>
      </w:r>
      <w:r w:rsidR="00CF322E" w:rsidRPr="000E4D38">
        <w:rPr>
          <w:rFonts w:ascii="Times New Roman" w:hAnsi="Times New Roman"/>
          <w:sz w:val="24"/>
          <w:szCs w:val="24"/>
          <w:highlight w:val="yellow"/>
        </w:rPr>
        <w:t>e efficiency score of 73.8% and</w:t>
      </w:r>
      <w:r w:rsidR="005868A1" w:rsidRPr="000E4D38">
        <w:rPr>
          <w:rFonts w:ascii="Times New Roman" w:hAnsi="Times New Roman"/>
          <w:sz w:val="24"/>
          <w:szCs w:val="24"/>
          <w:highlight w:val="yellow"/>
        </w:rPr>
        <w:t xml:space="preserve"> </w:t>
      </w:r>
      <w:r w:rsidR="00506068" w:rsidRPr="000E4D38">
        <w:rPr>
          <w:rFonts w:ascii="Times New Roman" w:hAnsi="Times New Roman"/>
          <w:sz w:val="24"/>
          <w:szCs w:val="24"/>
          <w:highlight w:val="yellow"/>
        </w:rPr>
        <w:t xml:space="preserve">mercantile bank </w:t>
      </w:r>
      <w:r w:rsidR="005868A1" w:rsidRPr="000E4D38">
        <w:rPr>
          <w:rFonts w:ascii="Times New Roman" w:hAnsi="Times New Roman"/>
          <w:sz w:val="24"/>
          <w:szCs w:val="24"/>
          <w:highlight w:val="yellow"/>
        </w:rPr>
        <w:t>w</w:t>
      </w:r>
      <w:r w:rsidR="00506068" w:rsidRPr="000E4D38">
        <w:rPr>
          <w:rFonts w:ascii="Times New Roman" w:hAnsi="Times New Roman"/>
          <w:sz w:val="24"/>
          <w:szCs w:val="24"/>
          <w:highlight w:val="yellow"/>
        </w:rPr>
        <w:t>as the less profit efficient (33.6</w:t>
      </w:r>
      <w:r w:rsidR="005868A1" w:rsidRPr="000E4D38">
        <w:rPr>
          <w:rFonts w:ascii="Times New Roman" w:hAnsi="Times New Roman"/>
          <w:sz w:val="24"/>
          <w:szCs w:val="24"/>
          <w:highlight w:val="yellow"/>
        </w:rPr>
        <w:t xml:space="preserve">%) bank in Stochastic Cobb-Douglas </w:t>
      </w:r>
      <w:r w:rsidR="003E578F" w:rsidRPr="000E4D38">
        <w:rPr>
          <w:rFonts w:ascii="Times New Roman" w:hAnsi="Times New Roman"/>
          <w:sz w:val="24"/>
          <w:szCs w:val="24"/>
          <w:highlight w:val="yellow"/>
        </w:rPr>
        <w:t>p</w:t>
      </w:r>
      <w:r w:rsidR="005868A1" w:rsidRPr="000E4D38">
        <w:rPr>
          <w:rFonts w:ascii="Times New Roman" w:hAnsi="Times New Roman"/>
          <w:sz w:val="24"/>
          <w:szCs w:val="24"/>
          <w:highlight w:val="yellow"/>
        </w:rPr>
        <w:t xml:space="preserve">rofit </w:t>
      </w:r>
      <w:r w:rsidR="003E578F" w:rsidRPr="000E4D38">
        <w:rPr>
          <w:rFonts w:ascii="Times New Roman" w:hAnsi="Times New Roman"/>
          <w:sz w:val="24"/>
          <w:szCs w:val="24"/>
          <w:highlight w:val="yellow"/>
        </w:rPr>
        <w:t>f</w:t>
      </w:r>
      <w:r w:rsidR="005868A1" w:rsidRPr="000E4D38">
        <w:rPr>
          <w:rFonts w:ascii="Times New Roman" w:hAnsi="Times New Roman"/>
          <w:sz w:val="24"/>
          <w:szCs w:val="24"/>
          <w:highlight w:val="yellow"/>
        </w:rPr>
        <w:t xml:space="preserve">rontier </w:t>
      </w:r>
      <w:r w:rsidR="003E578F" w:rsidRPr="000E4D38">
        <w:rPr>
          <w:rFonts w:ascii="Times New Roman" w:hAnsi="Times New Roman"/>
          <w:sz w:val="24"/>
          <w:szCs w:val="24"/>
          <w:highlight w:val="yellow"/>
        </w:rPr>
        <w:t>m</w:t>
      </w:r>
      <w:r w:rsidR="005868A1" w:rsidRPr="000E4D38">
        <w:rPr>
          <w:rFonts w:ascii="Times New Roman" w:hAnsi="Times New Roman"/>
          <w:sz w:val="24"/>
          <w:szCs w:val="24"/>
          <w:highlight w:val="yellow"/>
        </w:rPr>
        <w:t>odel</w:t>
      </w:r>
      <w:r w:rsidR="00CF322E" w:rsidRPr="000E4D38">
        <w:rPr>
          <w:rFonts w:ascii="Times New Roman" w:hAnsi="Times New Roman"/>
          <w:sz w:val="24"/>
          <w:szCs w:val="24"/>
          <w:highlight w:val="yellow"/>
        </w:rPr>
        <w:t xml:space="preserve"> and </w:t>
      </w:r>
      <w:r w:rsidR="005868A1" w:rsidRPr="000E4D38">
        <w:rPr>
          <w:rFonts w:ascii="Times New Roman" w:hAnsi="Times New Roman"/>
          <w:sz w:val="24"/>
          <w:szCs w:val="24"/>
          <w:highlight w:val="yellow"/>
        </w:rPr>
        <w:t xml:space="preserve">the </w:t>
      </w:r>
      <w:r w:rsidR="003E578F" w:rsidRPr="000E4D38">
        <w:rPr>
          <w:rFonts w:ascii="Times New Roman" w:hAnsi="Times New Roman"/>
          <w:sz w:val="24"/>
          <w:szCs w:val="24"/>
          <w:highlight w:val="yellow"/>
        </w:rPr>
        <w:t>Southeast and E</w:t>
      </w:r>
      <w:r w:rsidR="005868A1" w:rsidRPr="000E4D38">
        <w:rPr>
          <w:rFonts w:ascii="Times New Roman" w:hAnsi="Times New Roman"/>
          <w:sz w:val="24"/>
          <w:szCs w:val="24"/>
          <w:highlight w:val="yellow"/>
        </w:rPr>
        <w:t xml:space="preserve">astern banks were the most profit efficient bank with an average efficiency score of 68% and Mercantile was the less profit efficient (33.3%) </w:t>
      </w:r>
      <w:r w:rsidR="00DD7557" w:rsidRPr="000E4D38">
        <w:rPr>
          <w:rFonts w:ascii="Times New Roman" w:hAnsi="Times New Roman"/>
          <w:sz w:val="24"/>
          <w:szCs w:val="24"/>
          <w:highlight w:val="yellow"/>
        </w:rPr>
        <w:t>banks in</w:t>
      </w:r>
      <w:r w:rsidR="005868A1" w:rsidRPr="000E4D38">
        <w:rPr>
          <w:rFonts w:ascii="Times New Roman" w:hAnsi="Times New Roman"/>
          <w:sz w:val="24"/>
          <w:szCs w:val="24"/>
          <w:highlight w:val="yellow"/>
        </w:rPr>
        <w:t xml:space="preserve"> Stochastic </w:t>
      </w:r>
      <w:proofErr w:type="spellStart"/>
      <w:r w:rsidR="005868A1" w:rsidRPr="000E4D38">
        <w:rPr>
          <w:rFonts w:ascii="Times New Roman" w:hAnsi="Times New Roman"/>
          <w:sz w:val="24"/>
          <w:szCs w:val="24"/>
          <w:highlight w:val="yellow"/>
        </w:rPr>
        <w:t>Translog</w:t>
      </w:r>
      <w:proofErr w:type="spellEnd"/>
      <w:r w:rsidR="00E73614" w:rsidRPr="000E4D38">
        <w:rPr>
          <w:rFonts w:ascii="Times New Roman" w:hAnsi="Times New Roman"/>
          <w:sz w:val="24"/>
          <w:szCs w:val="24"/>
          <w:highlight w:val="yellow"/>
        </w:rPr>
        <w:t xml:space="preserve"> p</w:t>
      </w:r>
      <w:r w:rsidR="005868A1" w:rsidRPr="000E4D38">
        <w:rPr>
          <w:rFonts w:ascii="Times New Roman" w:hAnsi="Times New Roman"/>
          <w:sz w:val="24"/>
          <w:szCs w:val="24"/>
          <w:highlight w:val="yellow"/>
        </w:rPr>
        <w:t xml:space="preserve">rofit </w:t>
      </w:r>
      <w:r w:rsidR="00E73614" w:rsidRPr="000E4D38">
        <w:rPr>
          <w:rFonts w:ascii="Times New Roman" w:hAnsi="Times New Roman"/>
          <w:sz w:val="24"/>
          <w:szCs w:val="24"/>
          <w:highlight w:val="yellow"/>
        </w:rPr>
        <w:t>f</w:t>
      </w:r>
      <w:r w:rsidR="005868A1" w:rsidRPr="000E4D38">
        <w:rPr>
          <w:rFonts w:ascii="Times New Roman" w:hAnsi="Times New Roman"/>
          <w:sz w:val="24"/>
          <w:szCs w:val="24"/>
          <w:highlight w:val="yellow"/>
        </w:rPr>
        <w:t xml:space="preserve">rontier </w:t>
      </w:r>
      <w:r w:rsidR="00E73614" w:rsidRPr="000E4D38">
        <w:rPr>
          <w:rFonts w:ascii="Times New Roman" w:hAnsi="Times New Roman"/>
          <w:sz w:val="24"/>
          <w:szCs w:val="24"/>
          <w:highlight w:val="yellow"/>
        </w:rPr>
        <w:t>m</w:t>
      </w:r>
      <w:r w:rsidR="005868A1" w:rsidRPr="000E4D38">
        <w:rPr>
          <w:rFonts w:ascii="Times New Roman" w:hAnsi="Times New Roman"/>
          <w:sz w:val="24"/>
          <w:szCs w:val="24"/>
          <w:highlight w:val="yellow"/>
        </w:rPr>
        <w:t>odel</w:t>
      </w:r>
      <w:r w:rsidR="005C565B" w:rsidRPr="000E4D38">
        <w:rPr>
          <w:rFonts w:ascii="Times New Roman" w:hAnsi="Times New Roman"/>
          <w:sz w:val="24"/>
          <w:szCs w:val="24"/>
          <w:highlight w:val="yellow"/>
        </w:rPr>
        <w:t>.</w:t>
      </w:r>
      <w:r w:rsidR="005C565B" w:rsidRPr="006D74FE">
        <w:rPr>
          <w:rFonts w:ascii="Times New Roman" w:hAnsi="Times New Roman"/>
          <w:sz w:val="24"/>
          <w:szCs w:val="24"/>
        </w:rPr>
        <w:t xml:space="preserve"> </w:t>
      </w:r>
      <w:r w:rsidR="005C565B" w:rsidRPr="000E4D38">
        <w:rPr>
          <w:rFonts w:ascii="Times New Roman" w:hAnsi="Times New Roman"/>
          <w:sz w:val="24"/>
          <w:szCs w:val="24"/>
          <w:highlight w:val="yellow"/>
        </w:rPr>
        <w:t>Furthermore, in Stochastic Cobb-Douglas</w:t>
      </w:r>
      <w:r w:rsidR="00E73614" w:rsidRPr="000E4D38">
        <w:rPr>
          <w:rFonts w:ascii="Times New Roman" w:hAnsi="Times New Roman"/>
          <w:sz w:val="24"/>
          <w:szCs w:val="24"/>
          <w:highlight w:val="yellow"/>
        </w:rPr>
        <w:t xml:space="preserve"> c</w:t>
      </w:r>
      <w:r w:rsidR="005C565B" w:rsidRPr="000E4D38">
        <w:rPr>
          <w:rFonts w:ascii="Times New Roman" w:hAnsi="Times New Roman"/>
          <w:sz w:val="24"/>
          <w:szCs w:val="24"/>
          <w:highlight w:val="yellow"/>
        </w:rPr>
        <w:t xml:space="preserve">ost and </w:t>
      </w:r>
      <w:r w:rsidR="00E73614" w:rsidRPr="000E4D38">
        <w:rPr>
          <w:rFonts w:ascii="Times New Roman" w:hAnsi="Times New Roman"/>
          <w:sz w:val="24"/>
          <w:szCs w:val="24"/>
          <w:highlight w:val="yellow"/>
        </w:rPr>
        <w:t>p</w:t>
      </w:r>
      <w:r w:rsidR="005C565B" w:rsidRPr="000E4D38">
        <w:rPr>
          <w:rFonts w:ascii="Times New Roman" w:hAnsi="Times New Roman"/>
          <w:sz w:val="24"/>
          <w:szCs w:val="24"/>
          <w:highlight w:val="yellow"/>
        </w:rPr>
        <w:t xml:space="preserve">rofit </w:t>
      </w:r>
      <w:r w:rsidR="00E73614" w:rsidRPr="000E4D38">
        <w:rPr>
          <w:rFonts w:ascii="Times New Roman" w:hAnsi="Times New Roman"/>
          <w:sz w:val="24"/>
          <w:szCs w:val="24"/>
          <w:highlight w:val="yellow"/>
        </w:rPr>
        <w:t>f</w:t>
      </w:r>
      <w:r w:rsidR="005C565B" w:rsidRPr="000E4D38">
        <w:rPr>
          <w:rFonts w:ascii="Times New Roman" w:hAnsi="Times New Roman"/>
          <w:sz w:val="24"/>
          <w:szCs w:val="24"/>
          <w:highlight w:val="yellow"/>
        </w:rPr>
        <w:t xml:space="preserve">rontier </w:t>
      </w:r>
      <w:r w:rsidR="00E73614" w:rsidRPr="000E4D38">
        <w:rPr>
          <w:rFonts w:ascii="Times New Roman" w:hAnsi="Times New Roman"/>
          <w:sz w:val="24"/>
          <w:szCs w:val="24"/>
          <w:highlight w:val="yellow"/>
        </w:rPr>
        <w:t>m</w:t>
      </w:r>
      <w:r w:rsidR="005C565B" w:rsidRPr="000E4D38">
        <w:rPr>
          <w:rFonts w:ascii="Times New Roman" w:hAnsi="Times New Roman"/>
          <w:sz w:val="24"/>
          <w:szCs w:val="24"/>
          <w:highlight w:val="yellow"/>
        </w:rPr>
        <w:t xml:space="preserve">odel, </w:t>
      </w:r>
      <w:r w:rsidR="00E73614" w:rsidRPr="000E4D38">
        <w:rPr>
          <w:rFonts w:ascii="Times New Roman" w:hAnsi="Times New Roman"/>
          <w:sz w:val="24"/>
          <w:szCs w:val="24"/>
          <w:highlight w:val="yellow"/>
        </w:rPr>
        <w:t>S</w:t>
      </w:r>
      <w:r w:rsidR="005C565B" w:rsidRPr="000E4D38">
        <w:rPr>
          <w:rFonts w:ascii="Times New Roman" w:hAnsi="Times New Roman"/>
          <w:sz w:val="24"/>
          <w:szCs w:val="24"/>
          <w:highlight w:val="yellow"/>
        </w:rPr>
        <w:t xml:space="preserve">outheast, </w:t>
      </w:r>
      <w:r w:rsidR="00E73614" w:rsidRPr="000E4D38">
        <w:rPr>
          <w:rFonts w:ascii="Times New Roman" w:hAnsi="Times New Roman"/>
          <w:sz w:val="24"/>
          <w:szCs w:val="24"/>
          <w:highlight w:val="yellow"/>
        </w:rPr>
        <w:t>Al-</w:t>
      </w:r>
      <w:proofErr w:type="spellStart"/>
      <w:r w:rsidR="00E73614" w:rsidRPr="000E4D38">
        <w:rPr>
          <w:rFonts w:ascii="Times New Roman" w:hAnsi="Times New Roman"/>
          <w:sz w:val="24"/>
          <w:szCs w:val="24"/>
          <w:highlight w:val="yellow"/>
        </w:rPr>
        <w:t>Arafah</w:t>
      </w:r>
      <w:proofErr w:type="spellEnd"/>
      <w:r w:rsidR="00E73614" w:rsidRPr="000E4D38">
        <w:rPr>
          <w:rFonts w:ascii="Times New Roman" w:hAnsi="Times New Roman"/>
          <w:sz w:val="24"/>
          <w:szCs w:val="24"/>
          <w:highlight w:val="yellow"/>
        </w:rPr>
        <w:t xml:space="preserve">, </w:t>
      </w:r>
      <w:proofErr w:type="spellStart"/>
      <w:r w:rsidR="00E73614" w:rsidRPr="000E4D38">
        <w:rPr>
          <w:rFonts w:ascii="Times New Roman" w:hAnsi="Times New Roman"/>
          <w:sz w:val="24"/>
          <w:szCs w:val="24"/>
          <w:highlight w:val="yellow"/>
        </w:rPr>
        <w:t>B</w:t>
      </w:r>
      <w:r w:rsidR="005C565B" w:rsidRPr="000E4D38">
        <w:rPr>
          <w:rFonts w:ascii="Times New Roman" w:hAnsi="Times New Roman"/>
          <w:sz w:val="24"/>
          <w:szCs w:val="24"/>
          <w:highlight w:val="yellow"/>
        </w:rPr>
        <w:t>rac</w:t>
      </w:r>
      <w:proofErr w:type="spellEnd"/>
      <w:r w:rsidR="005C565B" w:rsidRPr="000E4D38">
        <w:rPr>
          <w:rFonts w:ascii="Times New Roman" w:hAnsi="Times New Roman"/>
          <w:sz w:val="24"/>
          <w:szCs w:val="24"/>
          <w:highlight w:val="yellow"/>
        </w:rPr>
        <w:t xml:space="preserve">, and </w:t>
      </w:r>
      <w:r w:rsidR="00E73614" w:rsidRPr="000E4D38">
        <w:rPr>
          <w:rFonts w:ascii="Times New Roman" w:hAnsi="Times New Roman"/>
          <w:sz w:val="24"/>
          <w:szCs w:val="24"/>
          <w:highlight w:val="yellow"/>
        </w:rPr>
        <w:t>P</w:t>
      </w:r>
      <w:r w:rsidR="005C565B" w:rsidRPr="000E4D38">
        <w:rPr>
          <w:rFonts w:ascii="Times New Roman" w:hAnsi="Times New Roman"/>
          <w:sz w:val="24"/>
          <w:szCs w:val="24"/>
          <w:highlight w:val="yellow"/>
        </w:rPr>
        <w:t xml:space="preserve">rime bank had 60% above profit efficiency scores and </w:t>
      </w:r>
      <w:r w:rsidR="00E73614" w:rsidRPr="000E4D38">
        <w:rPr>
          <w:rFonts w:ascii="Times New Roman" w:hAnsi="Times New Roman"/>
          <w:sz w:val="24"/>
          <w:szCs w:val="24"/>
          <w:highlight w:val="yellow"/>
        </w:rPr>
        <w:t>M</w:t>
      </w:r>
      <w:r w:rsidR="00CF322E" w:rsidRPr="000E4D38">
        <w:rPr>
          <w:rFonts w:ascii="Times New Roman" w:hAnsi="Times New Roman"/>
          <w:sz w:val="24"/>
          <w:szCs w:val="24"/>
          <w:highlight w:val="yellow"/>
        </w:rPr>
        <w:t xml:space="preserve">ercantile, </w:t>
      </w:r>
      <w:r w:rsidR="00E73614" w:rsidRPr="000E4D38">
        <w:rPr>
          <w:rFonts w:ascii="Times New Roman" w:hAnsi="Times New Roman"/>
          <w:sz w:val="24"/>
          <w:szCs w:val="24"/>
          <w:highlight w:val="yellow"/>
        </w:rPr>
        <w:t>O</w:t>
      </w:r>
      <w:r w:rsidR="00CF322E" w:rsidRPr="000E4D38">
        <w:rPr>
          <w:rFonts w:ascii="Times New Roman" w:hAnsi="Times New Roman"/>
          <w:sz w:val="24"/>
          <w:szCs w:val="24"/>
          <w:highlight w:val="yellow"/>
        </w:rPr>
        <w:t>ne Southeast, E</w:t>
      </w:r>
      <w:r w:rsidR="005C565B" w:rsidRPr="000E4D38">
        <w:rPr>
          <w:rFonts w:ascii="Times New Roman" w:hAnsi="Times New Roman"/>
          <w:sz w:val="24"/>
          <w:szCs w:val="24"/>
          <w:highlight w:val="yellow"/>
        </w:rPr>
        <w:t>astern, IBBL had cost efficiency scores more 70%. This result confirms th</w:t>
      </w:r>
      <w:r w:rsidR="00A93CA0" w:rsidRPr="000E4D38">
        <w:rPr>
          <w:rFonts w:ascii="Times New Roman" w:hAnsi="Times New Roman"/>
          <w:sz w:val="24"/>
          <w:szCs w:val="24"/>
          <w:highlight w:val="yellow"/>
        </w:rPr>
        <w:t xml:space="preserve">at </w:t>
      </w:r>
      <w:r w:rsidR="00E73614" w:rsidRPr="000E4D38">
        <w:rPr>
          <w:rFonts w:ascii="Times New Roman" w:hAnsi="Times New Roman"/>
          <w:sz w:val="24"/>
          <w:szCs w:val="24"/>
          <w:highlight w:val="yellow"/>
        </w:rPr>
        <w:t>the</w:t>
      </w:r>
      <w:r w:rsidR="005C565B" w:rsidRPr="000E4D38">
        <w:rPr>
          <w:rFonts w:ascii="Times New Roman" w:hAnsi="Times New Roman"/>
          <w:sz w:val="24"/>
          <w:szCs w:val="24"/>
          <w:highlight w:val="yellow"/>
        </w:rPr>
        <w:t xml:space="preserve"> majority of the </w:t>
      </w:r>
      <w:r w:rsidR="00E73614" w:rsidRPr="000E4D38">
        <w:rPr>
          <w:rFonts w:ascii="Times New Roman" w:hAnsi="Times New Roman"/>
          <w:sz w:val="24"/>
          <w:szCs w:val="24"/>
          <w:highlight w:val="yellow"/>
        </w:rPr>
        <w:t xml:space="preserve">PCBs </w:t>
      </w:r>
      <w:r w:rsidR="005C565B" w:rsidRPr="000E4D38">
        <w:rPr>
          <w:rFonts w:ascii="Times New Roman" w:hAnsi="Times New Roman"/>
          <w:sz w:val="24"/>
          <w:szCs w:val="24"/>
          <w:highlight w:val="yellow"/>
        </w:rPr>
        <w:t xml:space="preserve">are around 40% to 50% regarding profit efficiency and around 60% to 70% in terms of cost efficiency. Conversely, </w:t>
      </w:r>
      <w:r w:rsidR="00984C4C" w:rsidRPr="000E4D38">
        <w:rPr>
          <w:rFonts w:ascii="Times New Roman" w:hAnsi="Times New Roman"/>
          <w:sz w:val="24"/>
          <w:szCs w:val="24"/>
          <w:highlight w:val="yellow"/>
        </w:rPr>
        <w:t xml:space="preserve">in Stochastic </w:t>
      </w:r>
      <w:proofErr w:type="spellStart"/>
      <w:r w:rsidR="00E73614" w:rsidRPr="000E4D38">
        <w:rPr>
          <w:rFonts w:ascii="Times New Roman" w:hAnsi="Times New Roman"/>
          <w:sz w:val="24"/>
          <w:szCs w:val="24"/>
          <w:highlight w:val="yellow"/>
        </w:rPr>
        <w:t>Translog</w:t>
      </w:r>
      <w:proofErr w:type="spellEnd"/>
      <w:r w:rsidR="00E73614" w:rsidRPr="000E4D38">
        <w:rPr>
          <w:rFonts w:ascii="Times New Roman" w:hAnsi="Times New Roman"/>
          <w:sz w:val="24"/>
          <w:szCs w:val="24"/>
          <w:highlight w:val="yellow"/>
        </w:rPr>
        <w:t xml:space="preserve"> c</w:t>
      </w:r>
      <w:r w:rsidR="00984C4C" w:rsidRPr="000E4D38">
        <w:rPr>
          <w:rFonts w:ascii="Times New Roman" w:hAnsi="Times New Roman"/>
          <w:sz w:val="24"/>
          <w:szCs w:val="24"/>
          <w:highlight w:val="yellow"/>
        </w:rPr>
        <w:t xml:space="preserve">ost and </w:t>
      </w:r>
      <w:r w:rsidR="00E73614" w:rsidRPr="000E4D38">
        <w:rPr>
          <w:rFonts w:ascii="Times New Roman" w:hAnsi="Times New Roman"/>
          <w:sz w:val="24"/>
          <w:szCs w:val="24"/>
          <w:highlight w:val="yellow"/>
        </w:rPr>
        <w:t>p</w:t>
      </w:r>
      <w:r w:rsidR="00984C4C" w:rsidRPr="000E4D38">
        <w:rPr>
          <w:rFonts w:ascii="Times New Roman" w:hAnsi="Times New Roman"/>
          <w:sz w:val="24"/>
          <w:szCs w:val="24"/>
          <w:highlight w:val="yellow"/>
        </w:rPr>
        <w:t xml:space="preserve">rofit </w:t>
      </w:r>
      <w:r w:rsidR="00E73614" w:rsidRPr="000E4D38">
        <w:rPr>
          <w:rFonts w:ascii="Times New Roman" w:hAnsi="Times New Roman"/>
          <w:sz w:val="24"/>
          <w:szCs w:val="24"/>
          <w:highlight w:val="yellow"/>
        </w:rPr>
        <w:t>f</w:t>
      </w:r>
      <w:r w:rsidR="00984C4C" w:rsidRPr="000E4D38">
        <w:rPr>
          <w:rFonts w:ascii="Times New Roman" w:hAnsi="Times New Roman"/>
          <w:sz w:val="24"/>
          <w:szCs w:val="24"/>
          <w:highlight w:val="yellow"/>
        </w:rPr>
        <w:t xml:space="preserve">rontier </w:t>
      </w:r>
      <w:r w:rsidR="00E73614" w:rsidRPr="000E4D38">
        <w:rPr>
          <w:rFonts w:ascii="Times New Roman" w:hAnsi="Times New Roman"/>
          <w:sz w:val="24"/>
          <w:szCs w:val="24"/>
          <w:highlight w:val="yellow"/>
        </w:rPr>
        <w:t>m</w:t>
      </w:r>
      <w:r w:rsidR="00984C4C" w:rsidRPr="000E4D38">
        <w:rPr>
          <w:rFonts w:ascii="Times New Roman" w:hAnsi="Times New Roman"/>
          <w:sz w:val="24"/>
          <w:szCs w:val="24"/>
          <w:highlight w:val="yellow"/>
        </w:rPr>
        <w:t>odel</w:t>
      </w:r>
      <w:r w:rsidR="003E578F" w:rsidRPr="000E4D38">
        <w:rPr>
          <w:rFonts w:ascii="Times New Roman" w:hAnsi="Times New Roman"/>
          <w:sz w:val="24"/>
          <w:szCs w:val="24"/>
          <w:highlight w:val="yellow"/>
        </w:rPr>
        <w:t>s</w:t>
      </w:r>
      <w:r w:rsidR="00A93CA0" w:rsidRPr="000E4D38">
        <w:rPr>
          <w:rFonts w:ascii="Times New Roman" w:hAnsi="Times New Roman"/>
          <w:sz w:val="24"/>
          <w:szCs w:val="24"/>
          <w:highlight w:val="yellow"/>
        </w:rPr>
        <w:t>,</w:t>
      </w:r>
      <w:r w:rsidR="005C565B" w:rsidRPr="000E4D38">
        <w:rPr>
          <w:rFonts w:ascii="Times New Roman" w:hAnsi="Times New Roman"/>
          <w:sz w:val="24"/>
          <w:szCs w:val="24"/>
          <w:highlight w:val="yellow"/>
        </w:rPr>
        <w:t xml:space="preserve"> the IBBL and </w:t>
      </w:r>
      <w:r w:rsidR="00E73614" w:rsidRPr="000E4D38">
        <w:rPr>
          <w:rFonts w:ascii="Times New Roman" w:hAnsi="Times New Roman"/>
          <w:sz w:val="24"/>
          <w:szCs w:val="24"/>
          <w:highlight w:val="yellow"/>
        </w:rPr>
        <w:t>P</w:t>
      </w:r>
      <w:r w:rsidR="005C565B" w:rsidRPr="000E4D38">
        <w:rPr>
          <w:rFonts w:ascii="Times New Roman" w:hAnsi="Times New Roman"/>
          <w:sz w:val="24"/>
          <w:szCs w:val="24"/>
          <w:highlight w:val="yellow"/>
        </w:rPr>
        <w:t xml:space="preserve">rime bank had 60% above profit efficiency scores and the </w:t>
      </w:r>
      <w:proofErr w:type="spellStart"/>
      <w:r w:rsidR="005C565B" w:rsidRPr="000E4D38">
        <w:rPr>
          <w:rFonts w:ascii="Times New Roman" w:hAnsi="Times New Roman"/>
          <w:sz w:val="24"/>
          <w:szCs w:val="24"/>
          <w:highlight w:val="yellow"/>
        </w:rPr>
        <w:t>Brac</w:t>
      </w:r>
      <w:proofErr w:type="spellEnd"/>
      <w:r w:rsidR="005C565B" w:rsidRPr="000E4D38">
        <w:rPr>
          <w:rFonts w:ascii="Times New Roman" w:hAnsi="Times New Roman"/>
          <w:sz w:val="24"/>
          <w:szCs w:val="24"/>
          <w:highlight w:val="yellow"/>
        </w:rPr>
        <w:t xml:space="preserve">, </w:t>
      </w:r>
      <w:r w:rsidR="00E73614" w:rsidRPr="000E4D38">
        <w:rPr>
          <w:rFonts w:ascii="Times New Roman" w:hAnsi="Times New Roman"/>
          <w:sz w:val="24"/>
          <w:szCs w:val="24"/>
          <w:highlight w:val="yellow"/>
        </w:rPr>
        <w:t>Mercantile, O</w:t>
      </w:r>
      <w:r w:rsidR="005C565B" w:rsidRPr="000E4D38">
        <w:rPr>
          <w:rFonts w:ascii="Times New Roman" w:hAnsi="Times New Roman"/>
          <w:sz w:val="24"/>
          <w:szCs w:val="24"/>
          <w:highlight w:val="yellow"/>
        </w:rPr>
        <w:t xml:space="preserve">ne, </w:t>
      </w:r>
      <w:r w:rsidR="00E73614" w:rsidRPr="000E4D38">
        <w:rPr>
          <w:rFonts w:ascii="Times New Roman" w:hAnsi="Times New Roman"/>
          <w:sz w:val="24"/>
          <w:szCs w:val="24"/>
          <w:highlight w:val="yellow"/>
        </w:rPr>
        <w:t>P</w:t>
      </w:r>
      <w:r w:rsidR="005C565B" w:rsidRPr="000E4D38">
        <w:rPr>
          <w:rFonts w:ascii="Times New Roman" w:hAnsi="Times New Roman"/>
          <w:sz w:val="24"/>
          <w:szCs w:val="24"/>
          <w:highlight w:val="yellow"/>
        </w:rPr>
        <w:t xml:space="preserve">rime, </w:t>
      </w:r>
      <w:r w:rsidR="00E73614" w:rsidRPr="000E4D38">
        <w:rPr>
          <w:rFonts w:ascii="Times New Roman" w:hAnsi="Times New Roman"/>
          <w:sz w:val="24"/>
          <w:szCs w:val="24"/>
          <w:highlight w:val="yellow"/>
        </w:rPr>
        <w:t>P</w:t>
      </w:r>
      <w:r w:rsidR="005C565B" w:rsidRPr="000E4D38">
        <w:rPr>
          <w:rFonts w:ascii="Times New Roman" w:hAnsi="Times New Roman"/>
          <w:sz w:val="24"/>
          <w:szCs w:val="24"/>
          <w:highlight w:val="yellow"/>
        </w:rPr>
        <w:t xml:space="preserve">remium and Shahjalal banks had cost efficiency scores more </w:t>
      </w:r>
      <w:r w:rsidR="00E73614" w:rsidRPr="000E4D38">
        <w:rPr>
          <w:rFonts w:ascii="Times New Roman" w:hAnsi="Times New Roman"/>
          <w:sz w:val="24"/>
          <w:szCs w:val="24"/>
          <w:highlight w:val="yellow"/>
        </w:rPr>
        <w:t xml:space="preserve">than </w:t>
      </w:r>
      <w:r w:rsidR="005C565B" w:rsidRPr="000E4D38">
        <w:rPr>
          <w:rFonts w:ascii="Times New Roman" w:hAnsi="Times New Roman"/>
          <w:sz w:val="24"/>
          <w:szCs w:val="24"/>
          <w:highlight w:val="yellow"/>
        </w:rPr>
        <w:t xml:space="preserve">70%. This result confirms that the majority of the </w:t>
      </w:r>
      <w:r w:rsidR="00E73614" w:rsidRPr="000E4D38">
        <w:rPr>
          <w:rFonts w:ascii="Times New Roman" w:hAnsi="Times New Roman"/>
          <w:sz w:val="24"/>
          <w:szCs w:val="24"/>
          <w:highlight w:val="yellow"/>
        </w:rPr>
        <w:t xml:space="preserve">PCBs </w:t>
      </w:r>
      <w:r w:rsidR="005C565B" w:rsidRPr="000E4D38">
        <w:rPr>
          <w:rFonts w:ascii="Times New Roman" w:hAnsi="Times New Roman"/>
          <w:sz w:val="24"/>
          <w:szCs w:val="24"/>
          <w:highlight w:val="yellow"/>
        </w:rPr>
        <w:t xml:space="preserve">were around 40% to 50% regarding profit efficiency and around 60% to 70% in terms of cost efficiency. These results were supported by </w:t>
      </w:r>
      <w:r w:rsidR="00181504" w:rsidRPr="000E4D38">
        <w:rPr>
          <w:rFonts w:ascii="Times New Roman" w:hAnsi="Times New Roman"/>
          <w:sz w:val="24"/>
          <w:szCs w:val="24"/>
          <w:highlight w:val="yellow"/>
        </w:rPr>
        <w:fldChar w:fldCharType="begin" w:fldLock="1"/>
      </w:r>
      <w:r w:rsidR="00B77167" w:rsidRPr="000E4D38">
        <w:rPr>
          <w:rFonts w:ascii="Times New Roman" w:hAnsi="Times New Roman"/>
          <w:sz w:val="24"/>
          <w:szCs w:val="24"/>
          <w:highlight w:val="yellow"/>
        </w:rPr>
        <w:instrText>ADDIN CSL_CITATION {"citationItems":[{"id":"ITEM-1","itemData":{"DOI":"10.12816/0028312","ISSN":"20704658","author":[{"dropping-particle":"","family":"Ara","given":"Shamim","non-dropping-particle":"","parse-names":false,"suffix":""}],"container-title":"Journal of Islamic Economics Banking and Finance","id":"ITEM-1","issue":"1","issued":{"date-parts":[["2016"]]},"page":"63-89","publisher":"Al Manhal FZ, LLC","title":"Profit and Cost Efficiencies of Conventional Banking ( CB ) and Islamic Banking ( IB ) Using Stochastic Frontier Approach : A Comparative Study","type":"article-journal","volume":"12"},"uris":["http://www.mendeley.com/documents/?uuid=3ecfab17-a03c-3bb4-ac0c-d4ced71b2aba"]}],"mendeley":{"formattedCitation":"(Ara 2016)","plainTextFormattedCitation":"(Ara 2016)","previouslyFormattedCitation":"(Ara, 2016)"},"properties":{"noteIndex":0},"schema":"https://github.com/citation-style-language/schema/raw/master/csl-citation.json"}</w:instrText>
      </w:r>
      <w:r w:rsidR="00181504" w:rsidRPr="000E4D38">
        <w:rPr>
          <w:rFonts w:ascii="Times New Roman" w:hAnsi="Times New Roman"/>
          <w:sz w:val="24"/>
          <w:szCs w:val="24"/>
          <w:highlight w:val="yellow"/>
        </w:rPr>
        <w:fldChar w:fldCharType="separate"/>
      </w:r>
      <w:r w:rsidR="00B77167" w:rsidRPr="000E4D38">
        <w:rPr>
          <w:rFonts w:ascii="Times New Roman" w:hAnsi="Times New Roman"/>
          <w:noProof/>
          <w:sz w:val="24"/>
          <w:szCs w:val="24"/>
          <w:highlight w:val="yellow"/>
        </w:rPr>
        <w:t>(Ara 2016)</w:t>
      </w:r>
      <w:r w:rsidR="00181504" w:rsidRPr="000E4D38">
        <w:rPr>
          <w:rFonts w:ascii="Times New Roman" w:hAnsi="Times New Roman"/>
          <w:sz w:val="24"/>
          <w:szCs w:val="24"/>
          <w:highlight w:val="yellow"/>
        </w:rPr>
        <w:fldChar w:fldCharType="end"/>
      </w:r>
      <w:r w:rsidR="00181504" w:rsidRPr="000E4D38">
        <w:rPr>
          <w:rFonts w:ascii="Times New Roman" w:hAnsi="Times New Roman"/>
          <w:sz w:val="24"/>
          <w:szCs w:val="24"/>
          <w:highlight w:val="yellow"/>
        </w:rPr>
        <w:t>.</w:t>
      </w:r>
    </w:p>
    <w:p w14:paraId="7342ABF9" w14:textId="77777777" w:rsidR="00332B92" w:rsidRPr="006D74FE" w:rsidRDefault="00332B92" w:rsidP="00A728A2">
      <w:pPr>
        <w:spacing w:after="0" w:line="240" w:lineRule="auto"/>
        <w:jc w:val="both"/>
        <w:rPr>
          <w:rFonts w:ascii="Times New Roman" w:hAnsi="Times New Roman"/>
          <w:sz w:val="24"/>
          <w:szCs w:val="24"/>
        </w:rPr>
      </w:pPr>
    </w:p>
    <w:p w14:paraId="404C1F12" w14:textId="56295DBA" w:rsidR="003E578F" w:rsidRPr="006D74FE" w:rsidRDefault="00D21D1B" w:rsidP="00A728A2">
      <w:pPr>
        <w:pStyle w:val="ListParagraph"/>
        <w:numPr>
          <w:ilvl w:val="0"/>
          <w:numId w:val="42"/>
        </w:numPr>
        <w:spacing w:line="240" w:lineRule="auto"/>
        <w:rPr>
          <w:rFonts w:ascii="Times New Roman" w:hAnsi="Times New Roman" w:cs="Times New Roman"/>
          <w:i/>
          <w:iCs/>
        </w:rPr>
      </w:pPr>
      <w:r w:rsidRPr="006D74FE">
        <w:rPr>
          <w:rFonts w:ascii="Times New Roman" w:hAnsi="Times New Roman" w:cs="Times New Roman"/>
          <w:i/>
          <w:iCs/>
        </w:rPr>
        <w:t xml:space="preserve">Results of </w:t>
      </w:r>
      <w:r w:rsidR="008B15C9" w:rsidRPr="006D74FE">
        <w:rPr>
          <w:rFonts w:ascii="Times New Roman" w:hAnsi="Times New Roman" w:cs="Times New Roman"/>
          <w:i/>
          <w:iCs/>
        </w:rPr>
        <w:t>IT Determinant</w:t>
      </w:r>
      <w:r w:rsidRPr="006D74FE">
        <w:rPr>
          <w:rFonts w:ascii="Times New Roman" w:hAnsi="Times New Roman" w:cs="Times New Roman"/>
          <w:i/>
          <w:iCs/>
        </w:rPr>
        <w:t>s</w:t>
      </w:r>
      <w:r w:rsidR="008B15C9" w:rsidRPr="006D74FE">
        <w:rPr>
          <w:rFonts w:ascii="Times New Roman" w:hAnsi="Times New Roman" w:cs="Times New Roman"/>
          <w:i/>
          <w:iCs/>
        </w:rPr>
        <w:t xml:space="preserve"> </w:t>
      </w:r>
      <w:r w:rsidRPr="006D74FE">
        <w:rPr>
          <w:rFonts w:ascii="Times New Roman" w:hAnsi="Times New Roman" w:cs="Times New Roman"/>
          <w:i/>
          <w:iCs/>
        </w:rPr>
        <w:t>with Cost and P</w:t>
      </w:r>
      <w:r w:rsidR="008B15C9" w:rsidRPr="006D74FE">
        <w:rPr>
          <w:rFonts w:ascii="Times New Roman" w:hAnsi="Times New Roman" w:cs="Times New Roman"/>
          <w:i/>
          <w:iCs/>
        </w:rPr>
        <w:t xml:space="preserve">rofit Efficiency </w:t>
      </w:r>
      <w:r w:rsidR="00C44509" w:rsidRPr="006D74FE">
        <w:rPr>
          <w:rFonts w:ascii="Times New Roman" w:hAnsi="Times New Roman" w:cs="Times New Roman"/>
          <w:i/>
          <w:iCs/>
        </w:rPr>
        <w:t>Estimate</w:t>
      </w:r>
      <w:r w:rsidRPr="006D74FE">
        <w:rPr>
          <w:rFonts w:ascii="Times New Roman" w:hAnsi="Times New Roman" w:cs="Times New Roman"/>
          <w:i/>
          <w:iCs/>
        </w:rPr>
        <w:t>s</w:t>
      </w:r>
      <w:r w:rsidR="00C44509" w:rsidRPr="006D74FE">
        <w:rPr>
          <w:rFonts w:ascii="Times New Roman" w:hAnsi="Times New Roman" w:cs="Times New Roman"/>
          <w:i/>
          <w:iCs/>
        </w:rPr>
        <w:t xml:space="preserve"> using</w:t>
      </w:r>
      <w:r w:rsidR="008B15C9" w:rsidRPr="006D74FE">
        <w:rPr>
          <w:rFonts w:ascii="Times New Roman" w:hAnsi="Times New Roman" w:cs="Times New Roman"/>
          <w:i/>
          <w:iCs/>
        </w:rPr>
        <w:t xml:space="preserve"> Tobit Regression Model</w:t>
      </w:r>
    </w:p>
    <w:p w14:paraId="0BFD9572" w14:textId="77777777" w:rsidR="00DF6E50" w:rsidRPr="006D74FE" w:rsidRDefault="00DF6E50" w:rsidP="00A728A2">
      <w:pPr>
        <w:spacing w:line="240" w:lineRule="auto"/>
        <w:jc w:val="both"/>
        <w:rPr>
          <w:rFonts w:ascii="Times New Roman" w:hAnsi="Times New Roman"/>
          <w:i/>
          <w:iCs/>
          <w:sz w:val="24"/>
          <w:szCs w:val="24"/>
        </w:rPr>
      </w:pPr>
    </w:p>
    <w:p w14:paraId="4350D11A" w14:textId="1B0EDA1A" w:rsidR="00C44509" w:rsidRPr="006D74FE" w:rsidRDefault="008B15C9" w:rsidP="00A728A2">
      <w:pPr>
        <w:spacing w:after="0" w:line="240" w:lineRule="auto"/>
        <w:jc w:val="both"/>
        <w:rPr>
          <w:rFonts w:ascii="Times New Roman" w:hAnsi="Times New Roman"/>
          <w:sz w:val="24"/>
          <w:szCs w:val="24"/>
        </w:rPr>
      </w:pPr>
      <w:r w:rsidRPr="000E4D38">
        <w:rPr>
          <w:rFonts w:ascii="Times New Roman" w:hAnsi="Times New Roman"/>
          <w:sz w:val="24"/>
          <w:szCs w:val="24"/>
          <w:highlight w:val="yellow"/>
        </w:rPr>
        <w:t>Table</w:t>
      </w:r>
      <w:r w:rsidR="009812C5" w:rsidRPr="000E4D38">
        <w:rPr>
          <w:rFonts w:ascii="Times New Roman" w:hAnsi="Times New Roman"/>
          <w:sz w:val="24"/>
          <w:szCs w:val="24"/>
          <w:highlight w:val="yellow"/>
        </w:rPr>
        <w:t xml:space="preserve"> </w:t>
      </w:r>
      <w:r w:rsidR="00D21D1B" w:rsidRPr="000E4D38">
        <w:rPr>
          <w:rFonts w:ascii="Times New Roman" w:hAnsi="Times New Roman"/>
          <w:sz w:val="24"/>
          <w:szCs w:val="24"/>
          <w:highlight w:val="yellow"/>
        </w:rPr>
        <w:t>4</w:t>
      </w:r>
      <w:r w:rsidRPr="000E4D38">
        <w:rPr>
          <w:rFonts w:ascii="Times New Roman" w:hAnsi="Times New Roman"/>
          <w:sz w:val="24"/>
          <w:szCs w:val="24"/>
          <w:highlight w:val="yellow"/>
        </w:rPr>
        <w:t xml:space="preserve"> represents the results of IT determinant</w:t>
      </w:r>
      <w:r w:rsidR="00D21D1B" w:rsidRPr="000E4D38">
        <w:rPr>
          <w:rFonts w:ascii="Times New Roman" w:hAnsi="Times New Roman"/>
          <w:sz w:val="24"/>
          <w:szCs w:val="24"/>
          <w:highlight w:val="yellow"/>
        </w:rPr>
        <w:t>s</w:t>
      </w:r>
      <w:r w:rsidRPr="000E4D38">
        <w:rPr>
          <w:rFonts w:ascii="Times New Roman" w:hAnsi="Times New Roman"/>
          <w:sz w:val="24"/>
          <w:szCs w:val="24"/>
          <w:highlight w:val="yellow"/>
        </w:rPr>
        <w:t xml:space="preserve"> of cost and profit efficiency of Stochastic </w:t>
      </w:r>
      <w:r w:rsidR="00C44509" w:rsidRPr="000E4D38">
        <w:rPr>
          <w:rFonts w:ascii="Times New Roman" w:hAnsi="Times New Roman"/>
          <w:sz w:val="24"/>
          <w:szCs w:val="24"/>
          <w:highlight w:val="yellow"/>
        </w:rPr>
        <w:t xml:space="preserve">Cobb-Douglas and </w:t>
      </w:r>
      <w:proofErr w:type="spellStart"/>
      <w:r w:rsidRPr="000E4D38">
        <w:rPr>
          <w:rFonts w:ascii="Times New Roman" w:hAnsi="Times New Roman"/>
          <w:sz w:val="24"/>
          <w:szCs w:val="24"/>
          <w:highlight w:val="yellow"/>
        </w:rPr>
        <w:t>Translog</w:t>
      </w:r>
      <w:proofErr w:type="spellEnd"/>
      <w:r w:rsidRPr="000E4D38">
        <w:rPr>
          <w:rFonts w:ascii="Times New Roman" w:hAnsi="Times New Roman"/>
          <w:sz w:val="24"/>
          <w:szCs w:val="24"/>
          <w:highlight w:val="yellow"/>
        </w:rPr>
        <w:t xml:space="preserve"> cost and profit frontier model</w:t>
      </w:r>
      <w:r w:rsidR="005F22C1" w:rsidRPr="000E4D38">
        <w:rPr>
          <w:rFonts w:ascii="Times New Roman" w:hAnsi="Times New Roman"/>
          <w:sz w:val="24"/>
          <w:szCs w:val="24"/>
          <w:highlight w:val="yellow"/>
        </w:rPr>
        <w:t>s</w:t>
      </w:r>
      <w:r w:rsidRPr="000E4D38">
        <w:rPr>
          <w:rFonts w:ascii="Times New Roman" w:hAnsi="Times New Roman"/>
          <w:sz w:val="24"/>
          <w:szCs w:val="24"/>
          <w:highlight w:val="yellow"/>
        </w:rPr>
        <w:t xml:space="preserve"> for </w:t>
      </w:r>
      <w:r w:rsidR="00D21D1B" w:rsidRPr="000E4D38">
        <w:rPr>
          <w:rFonts w:ascii="Times New Roman" w:hAnsi="Times New Roman"/>
          <w:sz w:val="24"/>
          <w:szCs w:val="24"/>
          <w:highlight w:val="yellow"/>
        </w:rPr>
        <w:t>PCBs</w:t>
      </w:r>
      <w:r w:rsidRPr="000E4D38">
        <w:rPr>
          <w:rFonts w:ascii="Times New Roman" w:hAnsi="Times New Roman"/>
          <w:sz w:val="24"/>
          <w:szCs w:val="24"/>
          <w:highlight w:val="yellow"/>
        </w:rPr>
        <w:t>.</w:t>
      </w:r>
      <w:r w:rsidR="00C44509" w:rsidRPr="000E4D38">
        <w:rPr>
          <w:rFonts w:ascii="Times New Roman" w:hAnsi="Times New Roman"/>
          <w:sz w:val="24"/>
          <w:szCs w:val="24"/>
          <w:highlight w:val="yellow"/>
        </w:rPr>
        <w:t xml:space="preserve"> As can be seen that the IT income ɸ2 (-0.00018) and credit card expanses ɸ9 (-0.00013) were negatively significant </w:t>
      </w:r>
      <w:r w:rsidR="00017972" w:rsidRPr="000E4D38">
        <w:rPr>
          <w:rFonts w:ascii="Times New Roman" w:hAnsi="Times New Roman"/>
          <w:sz w:val="24"/>
          <w:szCs w:val="24"/>
          <w:highlight w:val="yellow"/>
        </w:rPr>
        <w:t xml:space="preserve"> implied that it could not reduce the banks cost </w:t>
      </w:r>
      <w:r w:rsidR="00AA006A" w:rsidRPr="000E4D38">
        <w:rPr>
          <w:rFonts w:ascii="Times New Roman" w:hAnsi="Times New Roman"/>
          <w:sz w:val="24"/>
          <w:szCs w:val="24"/>
          <w:highlight w:val="yellow"/>
        </w:rPr>
        <w:t xml:space="preserve">and </w:t>
      </w:r>
      <w:r w:rsidR="00C44509" w:rsidRPr="000E4D38">
        <w:rPr>
          <w:rFonts w:ascii="Times New Roman" w:hAnsi="Times New Roman"/>
          <w:sz w:val="24"/>
          <w:szCs w:val="24"/>
          <w:highlight w:val="yellow"/>
        </w:rPr>
        <w:t>the IT personnel expanses ɸ5 (0.00087), ATM Expenses ɸ7 (0.00306) and credit card transaction ɸ8 (</w:t>
      </w:r>
      <w:r w:rsidR="00506068" w:rsidRPr="000E4D38">
        <w:rPr>
          <w:rFonts w:ascii="Times New Roman" w:hAnsi="Times New Roman"/>
          <w:sz w:val="24"/>
          <w:szCs w:val="24"/>
          <w:highlight w:val="yellow"/>
        </w:rPr>
        <w:t>0.00005</w:t>
      </w:r>
      <w:r w:rsidR="00017972" w:rsidRPr="000E4D38">
        <w:rPr>
          <w:rFonts w:ascii="Times New Roman" w:hAnsi="Times New Roman"/>
          <w:sz w:val="24"/>
          <w:szCs w:val="24"/>
          <w:highlight w:val="yellow"/>
        </w:rPr>
        <w:t>) had</w:t>
      </w:r>
      <w:r w:rsidR="003E196E" w:rsidRPr="000E4D38">
        <w:rPr>
          <w:rFonts w:ascii="Times New Roman" w:hAnsi="Times New Roman"/>
          <w:sz w:val="24"/>
          <w:szCs w:val="24"/>
          <w:highlight w:val="yellow"/>
        </w:rPr>
        <w:t xml:space="preserve"> </w:t>
      </w:r>
      <w:r w:rsidR="00C44509" w:rsidRPr="000E4D38">
        <w:rPr>
          <w:rFonts w:ascii="Times New Roman" w:hAnsi="Times New Roman"/>
          <w:sz w:val="24"/>
          <w:szCs w:val="24"/>
          <w:highlight w:val="yellow"/>
        </w:rPr>
        <w:t xml:space="preserve"> positive impact on the cost efficiency </w:t>
      </w:r>
      <w:r w:rsidR="00AA006A" w:rsidRPr="000E4D38">
        <w:rPr>
          <w:rFonts w:ascii="Times New Roman" w:hAnsi="Times New Roman"/>
          <w:sz w:val="24"/>
          <w:szCs w:val="24"/>
          <w:highlight w:val="yellow"/>
        </w:rPr>
        <w:t>of Stochastic Cobb-Douglas</w:t>
      </w:r>
      <w:r w:rsidR="00A93CA0" w:rsidRPr="000E4D38">
        <w:rPr>
          <w:rFonts w:ascii="Times New Roman" w:hAnsi="Times New Roman"/>
          <w:sz w:val="24"/>
          <w:szCs w:val="24"/>
          <w:highlight w:val="yellow"/>
        </w:rPr>
        <w:t xml:space="preserve"> cost frontier model</w:t>
      </w:r>
      <w:r w:rsidR="00017972" w:rsidRPr="000E4D38">
        <w:rPr>
          <w:rFonts w:ascii="Times New Roman" w:hAnsi="Times New Roman"/>
          <w:sz w:val="24"/>
          <w:szCs w:val="24"/>
          <w:highlight w:val="yellow"/>
        </w:rPr>
        <w:t xml:space="preserve"> that means  banks can reduce operating costs by installing more automated teller machines, employing credit card transaction  and increasing</w:t>
      </w:r>
      <w:r w:rsidR="00506068" w:rsidRPr="000E4D38">
        <w:rPr>
          <w:rFonts w:ascii="Times New Roman" w:hAnsi="Times New Roman"/>
          <w:sz w:val="24"/>
          <w:szCs w:val="24"/>
          <w:highlight w:val="yellow"/>
        </w:rPr>
        <w:t xml:space="preserve"> IT person</w:t>
      </w:r>
      <w:r w:rsidR="00A93CA0" w:rsidRPr="000E4D38">
        <w:rPr>
          <w:rFonts w:ascii="Times New Roman" w:hAnsi="Times New Roman"/>
          <w:sz w:val="24"/>
          <w:szCs w:val="24"/>
          <w:highlight w:val="yellow"/>
        </w:rPr>
        <w:t xml:space="preserve"> whereas in</w:t>
      </w:r>
      <w:r w:rsidR="00AA006A" w:rsidRPr="000E4D38">
        <w:rPr>
          <w:rFonts w:ascii="Times New Roman" w:hAnsi="Times New Roman"/>
          <w:sz w:val="24"/>
          <w:szCs w:val="24"/>
          <w:highlight w:val="yellow"/>
        </w:rPr>
        <w:t xml:space="preserve"> </w:t>
      </w:r>
      <w:proofErr w:type="spellStart"/>
      <w:r w:rsidR="00C44509" w:rsidRPr="000E4D38">
        <w:rPr>
          <w:rFonts w:ascii="Times New Roman" w:hAnsi="Times New Roman"/>
          <w:sz w:val="24"/>
          <w:szCs w:val="24"/>
          <w:highlight w:val="yellow"/>
        </w:rPr>
        <w:t>Translog</w:t>
      </w:r>
      <w:proofErr w:type="spellEnd"/>
      <w:r w:rsidR="00C44509" w:rsidRPr="000E4D38">
        <w:rPr>
          <w:rFonts w:ascii="Times New Roman" w:hAnsi="Times New Roman"/>
          <w:sz w:val="24"/>
          <w:szCs w:val="24"/>
          <w:highlight w:val="yellow"/>
        </w:rPr>
        <w:t xml:space="preserve"> cost </w:t>
      </w:r>
      <w:r w:rsidR="005F22C1" w:rsidRPr="000E4D38">
        <w:rPr>
          <w:rFonts w:ascii="Times New Roman" w:hAnsi="Times New Roman"/>
          <w:sz w:val="24"/>
          <w:szCs w:val="24"/>
          <w:highlight w:val="yellow"/>
        </w:rPr>
        <w:t>f</w:t>
      </w:r>
      <w:r w:rsidR="00C44509" w:rsidRPr="000E4D38">
        <w:rPr>
          <w:rFonts w:ascii="Times New Roman" w:hAnsi="Times New Roman"/>
          <w:sz w:val="24"/>
          <w:szCs w:val="24"/>
          <w:highlight w:val="yellow"/>
        </w:rPr>
        <w:t xml:space="preserve">rontier </w:t>
      </w:r>
      <w:r w:rsidR="005F22C1" w:rsidRPr="000E4D38">
        <w:rPr>
          <w:rFonts w:ascii="Times New Roman" w:hAnsi="Times New Roman"/>
          <w:sz w:val="24"/>
          <w:szCs w:val="24"/>
          <w:highlight w:val="yellow"/>
        </w:rPr>
        <w:t>m</w:t>
      </w:r>
      <w:r w:rsidR="00C44509" w:rsidRPr="000E4D38">
        <w:rPr>
          <w:rFonts w:ascii="Times New Roman" w:hAnsi="Times New Roman"/>
          <w:sz w:val="24"/>
          <w:szCs w:val="24"/>
          <w:highlight w:val="yellow"/>
        </w:rPr>
        <w:t>odel</w:t>
      </w:r>
      <w:r w:rsidR="00AA006A" w:rsidRPr="000E4D38">
        <w:rPr>
          <w:rFonts w:ascii="Times New Roman" w:hAnsi="Times New Roman"/>
          <w:sz w:val="24"/>
          <w:szCs w:val="24"/>
          <w:highlight w:val="yellow"/>
        </w:rPr>
        <w:t xml:space="preserve">, </w:t>
      </w:r>
      <w:r w:rsidRPr="000E4D38">
        <w:rPr>
          <w:rFonts w:ascii="Times New Roman" w:hAnsi="Times New Roman"/>
          <w:sz w:val="24"/>
          <w:szCs w:val="24"/>
          <w:highlight w:val="yellow"/>
        </w:rPr>
        <w:t>the IT personnel expenses ɸ5 (0.0006) and credit card transaction ɸ8 (0.000006) were positively significant but IT income ɸ2 (-0.0002) and credit card expenses ɸ9</w:t>
      </w:r>
      <w:r w:rsidR="00017972" w:rsidRPr="000E4D38">
        <w:rPr>
          <w:rFonts w:ascii="Times New Roman" w:hAnsi="Times New Roman"/>
          <w:sz w:val="24"/>
          <w:szCs w:val="24"/>
          <w:highlight w:val="yellow"/>
        </w:rPr>
        <w:t>(-0.0001) we</w:t>
      </w:r>
      <w:r w:rsidRPr="000E4D38">
        <w:rPr>
          <w:rFonts w:ascii="Times New Roman" w:hAnsi="Times New Roman"/>
          <w:sz w:val="24"/>
          <w:szCs w:val="24"/>
          <w:highlight w:val="yellow"/>
        </w:rPr>
        <w:t xml:space="preserve">re negatively significant for the cost efficiency of </w:t>
      </w:r>
      <w:r w:rsidR="005F22C1" w:rsidRPr="000E4D38">
        <w:rPr>
          <w:rFonts w:ascii="Times New Roman" w:hAnsi="Times New Roman"/>
          <w:sz w:val="24"/>
          <w:szCs w:val="24"/>
          <w:highlight w:val="yellow"/>
        </w:rPr>
        <w:t>PCBs</w:t>
      </w:r>
      <w:r w:rsidRPr="000E4D38">
        <w:rPr>
          <w:rFonts w:ascii="Times New Roman" w:hAnsi="Times New Roman"/>
          <w:sz w:val="24"/>
          <w:szCs w:val="24"/>
          <w:highlight w:val="yellow"/>
        </w:rPr>
        <w:t>.</w:t>
      </w:r>
      <w:r w:rsidRPr="006D74FE">
        <w:rPr>
          <w:rFonts w:ascii="Times New Roman" w:hAnsi="Times New Roman"/>
          <w:sz w:val="24"/>
          <w:szCs w:val="24"/>
        </w:rPr>
        <w:t xml:space="preserve"> </w:t>
      </w:r>
      <w:r w:rsidRPr="000E4D38">
        <w:rPr>
          <w:rFonts w:ascii="Times New Roman" w:hAnsi="Times New Roman"/>
          <w:sz w:val="24"/>
          <w:szCs w:val="24"/>
          <w:highlight w:val="cyan"/>
        </w:rPr>
        <w:t xml:space="preserve">On the contrary, </w:t>
      </w:r>
      <w:r w:rsidR="00AA006A" w:rsidRPr="000E4D38">
        <w:rPr>
          <w:rFonts w:ascii="Times New Roman" w:hAnsi="Times New Roman"/>
          <w:sz w:val="24"/>
          <w:szCs w:val="24"/>
          <w:highlight w:val="cyan"/>
        </w:rPr>
        <w:t>in IT determinant profit efficiency of Stochastic Cobb-Douglas profit frontier model</w:t>
      </w:r>
      <w:r w:rsidR="00643D6A" w:rsidRPr="000E4D38">
        <w:rPr>
          <w:rFonts w:ascii="Times New Roman" w:hAnsi="Times New Roman"/>
          <w:sz w:val="24"/>
          <w:szCs w:val="24"/>
          <w:highlight w:val="cyan"/>
        </w:rPr>
        <w:t>,</w:t>
      </w:r>
      <w:r w:rsidR="00AA006A" w:rsidRPr="000E4D38">
        <w:rPr>
          <w:rFonts w:ascii="Times New Roman" w:hAnsi="Times New Roman"/>
          <w:sz w:val="24"/>
          <w:szCs w:val="24"/>
          <w:highlight w:val="cyan"/>
        </w:rPr>
        <w:t xml:space="preserve"> </w:t>
      </w:r>
      <w:r w:rsidR="00643D6A" w:rsidRPr="000E4D38">
        <w:rPr>
          <w:rFonts w:ascii="Times New Roman" w:hAnsi="Times New Roman"/>
          <w:sz w:val="24"/>
          <w:szCs w:val="24"/>
          <w:highlight w:val="cyan"/>
        </w:rPr>
        <w:t>t</w:t>
      </w:r>
      <w:r w:rsidR="00AA006A" w:rsidRPr="000E4D38">
        <w:rPr>
          <w:rFonts w:ascii="Times New Roman" w:hAnsi="Times New Roman"/>
          <w:sz w:val="24"/>
          <w:szCs w:val="24"/>
          <w:highlight w:val="cyan"/>
        </w:rPr>
        <w:t xml:space="preserve">he IT investment ɸ3 (-0.0003), IT income ɸ2(-0.0032), IT personnel ɸ4(-0.004),  and  ATM transaction ɸ6 (-0.0008)  were found negatively significant but the IT personnel expenses ɸ5(0.0018) and  Credit Card Transaction ɸ8 (0.0013) were positively significant </w:t>
      </w:r>
      <w:r w:rsidR="008F1DD9" w:rsidRPr="000E4D38">
        <w:rPr>
          <w:rFonts w:ascii="Times New Roman" w:hAnsi="Times New Roman"/>
          <w:sz w:val="24"/>
          <w:szCs w:val="24"/>
          <w:highlight w:val="cyan"/>
        </w:rPr>
        <w:t xml:space="preserve">of </w:t>
      </w:r>
      <w:r w:rsidR="00643D6A" w:rsidRPr="000E4D38">
        <w:rPr>
          <w:rFonts w:ascii="Times New Roman" w:hAnsi="Times New Roman"/>
          <w:sz w:val="24"/>
          <w:szCs w:val="24"/>
          <w:highlight w:val="cyan"/>
        </w:rPr>
        <w:t>PCBs</w:t>
      </w:r>
      <w:r w:rsidR="00A727A2" w:rsidRPr="000E4D38">
        <w:rPr>
          <w:rFonts w:ascii="Times New Roman" w:hAnsi="Times New Roman"/>
          <w:sz w:val="24"/>
          <w:szCs w:val="24"/>
          <w:highlight w:val="cyan"/>
        </w:rPr>
        <w:t xml:space="preserve">. </w:t>
      </w:r>
      <w:r w:rsidR="00AA006A" w:rsidRPr="000E4D38">
        <w:rPr>
          <w:rFonts w:ascii="Times New Roman" w:hAnsi="Times New Roman"/>
          <w:sz w:val="24"/>
          <w:szCs w:val="24"/>
          <w:highlight w:val="cyan"/>
        </w:rPr>
        <w:t>Besides, i</w:t>
      </w:r>
      <w:r w:rsidRPr="000E4D38">
        <w:rPr>
          <w:rFonts w:ascii="Times New Roman" w:hAnsi="Times New Roman"/>
          <w:sz w:val="24"/>
          <w:szCs w:val="24"/>
          <w:highlight w:val="cyan"/>
        </w:rPr>
        <w:t>n IT determinant</w:t>
      </w:r>
      <w:r w:rsidR="008F1DD9" w:rsidRPr="000E4D38">
        <w:rPr>
          <w:rFonts w:ascii="Times New Roman" w:hAnsi="Times New Roman"/>
          <w:sz w:val="24"/>
          <w:szCs w:val="24"/>
          <w:highlight w:val="cyan"/>
        </w:rPr>
        <w:t xml:space="preserve">s with </w:t>
      </w:r>
      <w:r w:rsidRPr="000E4D38">
        <w:rPr>
          <w:rFonts w:ascii="Times New Roman" w:hAnsi="Times New Roman"/>
          <w:sz w:val="24"/>
          <w:szCs w:val="24"/>
          <w:highlight w:val="cyan"/>
        </w:rPr>
        <w:t xml:space="preserve">profit efficiency of Stochastic </w:t>
      </w:r>
      <w:proofErr w:type="spellStart"/>
      <w:r w:rsidRPr="000E4D38">
        <w:rPr>
          <w:rFonts w:ascii="Times New Roman" w:hAnsi="Times New Roman"/>
          <w:sz w:val="24"/>
          <w:szCs w:val="24"/>
          <w:highlight w:val="cyan"/>
        </w:rPr>
        <w:t>Translog</w:t>
      </w:r>
      <w:proofErr w:type="spellEnd"/>
      <w:r w:rsidRPr="000E4D38">
        <w:rPr>
          <w:rFonts w:ascii="Times New Roman" w:hAnsi="Times New Roman"/>
          <w:sz w:val="24"/>
          <w:szCs w:val="24"/>
          <w:highlight w:val="cyan"/>
        </w:rPr>
        <w:t xml:space="preserve"> profit frontier model, the IT investment ɸ3 (-0.000008), and credit card expenses ɸ9 (-0.000</w:t>
      </w:r>
      <w:r w:rsidR="00A727A2" w:rsidRPr="000E4D38">
        <w:rPr>
          <w:rFonts w:ascii="Times New Roman" w:hAnsi="Times New Roman"/>
          <w:sz w:val="24"/>
          <w:szCs w:val="24"/>
          <w:highlight w:val="cyan"/>
        </w:rPr>
        <w:t>2</w:t>
      </w:r>
      <w:r w:rsidRPr="000E4D38">
        <w:rPr>
          <w:rFonts w:ascii="Times New Roman" w:hAnsi="Times New Roman"/>
          <w:sz w:val="24"/>
          <w:szCs w:val="24"/>
          <w:highlight w:val="cyan"/>
        </w:rPr>
        <w:t>) were f</w:t>
      </w:r>
      <w:r w:rsidR="00014C1F" w:rsidRPr="000E4D38">
        <w:rPr>
          <w:rFonts w:ascii="Times New Roman" w:hAnsi="Times New Roman"/>
          <w:sz w:val="24"/>
          <w:szCs w:val="24"/>
          <w:highlight w:val="cyan"/>
        </w:rPr>
        <w:t>ound</w:t>
      </w:r>
      <w:r w:rsidRPr="000E4D38">
        <w:rPr>
          <w:rFonts w:ascii="Times New Roman" w:hAnsi="Times New Roman"/>
          <w:sz w:val="24"/>
          <w:szCs w:val="24"/>
          <w:highlight w:val="cyan"/>
        </w:rPr>
        <w:t xml:space="preserve"> negatively significant. </w:t>
      </w:r>
      <w:r w:rsidR="00A727A2" w:rsidRPr="000E4D38">
        <w:rPr>
          <w:rFonts w:ascii="Times New Roman" w:hAnsi="Times New Roman"/>
          <w:sz w:val="24"/>
          <w:szCs w:val="24"/>
          <w:highlight w:val="cyan"/>
        </w:rPr>
        <w:t xml:space="preserve">This result </w:t>
      </w:r>
      <w:r w:rsidRPr="000E4D38">
        <w:rPr>
          <w:rFonts w:ascii="Times New Roman" w:hAnsi="Times New Roman"/>
          <w:sz w:val="24"/>
          <w:szCs w:val="24"/>
          <w:highlight w:val="cyan"/>
        </w:rPr>
        <w:t xml:space="preserve">supports the </w:t>
      </w:r>
      <w:r w:rsidR="00643D6A" w:rsidRPr="000E4D38">
        <w:rPr>
          <w:rFonts w:ascii="Times New Roman" w:hAnsi="Times New Roman"/>
          <w:sz w:val="24"/>
          <w:szCs w:val="24"/>
          <w:highlight w:val="cyan"/>
        </w:rPr>
        <w:t xml:space="preserve">study of </w:t>
      </w:r>
      <w:r w:rsidR="00181504" w:rsidRPr="000E4D38">
        <w:rPr>
          <w:rFonts w:ascii="Times New Roman" w:hAnsi="Times New Roman"/>
          <w:sz w:val="24"/>
          <w:szCs w:val="24"/>
          <w:highlight w:val="cyan"/>
        </w:rPr>
        <w:fldChar w:fldCharType="begin" w:fldLock="1"/>
      </w:r>
      <w:r w:rsidR="00B77167" w:rsidRPr="000E4D38">
        <w:rPr>
          <w:rFonts w:ascii="Times New Roman" w:hAnsi="Times New Roman"/>
          <w:sz w:val="24"/>
          <w:szCs w:val="24"/>
          <w:highlight w:val="cyan"/>
        </w:rPr>
        <w:instrText>ADDIN CSL_CITATION {"citationItems":[{"id":"ITEM-1","itemData":{"DOI":"10.19026/rjaset.6.3759","ISSN":"20407467","abstract":"This research study explores the Cost efficiency of Indian Private Sector banks by employing Stochastic Frontier Approach (SFA). This paper empirically evaluated the impact of Information Technology (IT) on the Cost efficiency of the Indian private sector banks .The present study is based on panel data over the period of 2009-2013. For this study, all the 13 old private sector banks and 7 new private sector banks of India are being considered. This study identifies the average cost efficiency of old private sector banks found to be 94.9% and for new private sector banks 82.6% over the entire period of study. The findings of this study suggest that to some extent IT impact the cost efficiency of Indian private sector banks. Some of Old private sector bank cost inefficiency reduced by 28% for the study period by Information Technology (IT) and for New private sector banks cost inefficiency reduced by 11.3% Information Technology (IT). Thus, Information Technology contributes to cost efficiency to both old and new private sector banks. © Maxwell Scientific Organization, 2013.","author":[{"dropping-particle":"","family":"Surulivel","given":"S. T.","non-dropping-particle":"","parse-names":false,"suffix":""},{"dropping-particle":"","family":"Vijayabanu","given":"C.","non-dropping-particle":"","parse-names":false,"suffix":""},{"dropping-particle":"","family":"Amudha","given":"R.","non-dropping-particle":"","parse-names":false,"suffix":""},{"dropping-particle":"","family":"Charumathi","given":"B.","non-dropping-particle":"","parse-names":false,"suffix":""}],"container-title":"Research Journal of Applied Sciences, Engineering and Technology","id":"ITEM-1","issue":"14","issued":{"date-parts":[["2013"]]},"page":"2685-2692","publisher":"Maxwell Science Publications","title":"Impact of Information Technology (IT) investments on the cost efficiency of Indian private sector banks-a Stochastic Frontier Approach (SFA)","type":"article-journal","volume":"6"},"uris":["http://www.mendeley.com/documents/?uuid=ec433b35-7e33-3f10-8a71-374772ce18ec"]},{"id":"ITEM-2","itemData":{"author":[{"dropping-particle":"","family":"Safari","given":"Mojtaba Rees","non-dropping-particle":"","parse-names":false,"suffix":""},{"dropping-particle":"","family":"Yu","given":"Liu Zhen","non-dropping-particle":"","parse-names":false,"suffix":""}],"id":"ITEM-2","issued":{"date-parts":[["2014"]]},"title":"Impact of Information and Communication Technology (ICT) on Efficiency: Evidence from the Iranian Banking Industry","type":"article"},"uris":["http://www.mendeley.com/documents/?uuid=b470109c-122f-3f0d-b8fe-a83a9b4c5cdb"]}],"mendeley":{"formattedCitation":"(Safari &amp; Yu 2014; Surulivel et al. 2013)","plainTextFormattedCitation":"(Safari &amp; Yu 2014; Surulivel et al. 2013)","previouslyFormattedCitation":"(Safari &amp; Yu, 2014; Surulivel et al., 2013)"},"properties":{"noteIndex":0},"schema":"https://github.com/citation-style-language/schema/raw/master/csl-citation.json"}</w:instrText>
      </w:r>
      <w:r w:rsidR="00181504" w:rsidRPr="000E4D38">
        <w:rPr>
          <w:rFonts w:ascii="Times New Roman" w:hAnsi="Times New Roman"/>
          <w:sz w:val="24"/>
          <w:szCs w:val="24"/>
          <w:highlight w:val="cyan"/>
        </w:rPr>
        <w:fldChar w:fldCharType="separate"/>
      </w:r>
      <w:r w:rsidR="00B77167" w:rsidRPr="000E4D38">
        <w:rPr>
          <w:rFonts w:ascii="Times New Roman" w:hAnsi="Times New Roman"/>
          <w:noProof/>
          <w:sz w:val="24"/>
          <w:szCs w:val="24"/>
          <w:highlight w:val="cyan"/>
        </w:rPr>
        <w:t>(Safari &amp; Yu 2014; Surulivel et al. 2013)</w:t>
      </w:r>
      <w:r w:rsidR="00181504" w:rsidRPr="000E4D38">
        <w:rPr>
          <w:rFonts w:ascii="Times New Roman" w:hAnsi="Times New Roman"/>
          <w:sz w:val="24"/>
          <w:szCs w:val="24"/>
          <w:highlight w:val="cyan"/>
        </w:rPr>
        <w:fldChar w:fldCharType="end"/>
      </w:r>
      <w:r w:rsidR="00643D6A" w:rsidRPr="000E4D38">
        <w:rPr>
          <w:rFonts w:ascii="Times New Roman" w:hAnsi="Times New Roman"/>
          <w:sz w:val="24"/>
          <w:szCs w:val="24"/>
          <w:highlight w:val="cyan"/>
        </w:rPr>
        <w:t>.</w:t>
      </w:r>
      <w:r w:rsidR="00260B1A" w:rsidRPr="006D74FE">
        <w:rPr>
          <w:rFonts w:ascii="Times New Roman" w:hAnsi="Times New Roman"/>
          <w:sz w:val="24"/>
          <w:szCs w:val="24"/>
        </w:rPr>
        <w:t xml:space="preserve"> </w:t>
      </w:r>
    </w:p>
    <w:p w14:paraId="5EEC9E82" w14:textId="77777777" w:rsidR="00215A86" w:rsidRPr="006D74FE" w:rsidRDefault="00215A86" w:rsidP="00A728A2">
      <w:pPr>
        <w:spacing w:after="0" w:line="240" w:lineRule="auto"/>
        <w:jc w:val="both"/>
        <w:rPr>
          <w:rFonts w:ascii="Times New Roman" w:hAnsi="Times New Roman"/>
          <w:sz w:val="24"/>
          <w:szCs w:val="24"/>
        </w:rPr>
      </w:pPr>
    </w:p>
    <w:p w14:paraId="2BCCA9E5" w14:textId="74182FBF" w:rsidR="00680817" w:rsidRPr="006D74FE" w:rsidRDefault="00DD7557" w:rsidP="00A728A2">
      <w:pPr>
        <w:pStyle w:val="ListParagraph"/>
        <w:numPr>
          <w:ilvl w:val="0"/>
          <w:numId w:val="29"/>
        </w:numPr>
        <w:spacing w:line="240" w:lineRule="auto"/>
        <w:rPr>
          <w:rFonts w:ascii="Times New Roman" w:hAnsi="Times New Roman" w:cs="Times New Roman"/>
          <w:b/>
          <w:bCs/>
        </w:rPr>
      </w:pPr>
      <w:r w:rsidRPr="006D74FE">
        <w:rPr>
          <w:rFonts w:ascii="Times New Roman" w:hAnsi="Times New Roman" w:cs="Times New Roman"/>
          <w:b/>
          <w:bCs/>
        </w:rPr>
        <w:t>Conclusion</w:t>
      </w:r>
      <w:r w:rsidR="00680817" w:rsidRPr="006D74FE">
        <w:rPr>
          <w:rFonts w:ascii="Times New Roman" w:hAnsi="Times New Roman" w:cs="Times New Roman"/>
          <w:b/>
          <w:bCs/>
        </w:rPr>
        <w:t xml:space="preserve"> </w:t>
      </w:r>
    </w:p>
    <w:p w14:paraId="659E920D" w14:textId="56CCE329" w:rsidR="00014C1F" w:rsidRDefault="00DD7557" w:rsidP="00A728A2">
      <w:pPr>
        <w:spacing w:after="0" w:line="240" w:lineRule="auto"/>
        <w:jc w:val="both"/>
        <w:rPr>
          <w:rFonts w:ascii="Times New Roman" w:hAnsi="Times New Roman"/>
          <w:sz w:val="24"/>
          <w:szCs w:val="24"/>
        </w:rPr>
      </w:pPr>
      <w:r w:rsidRPr="000E4D38">
        <w:rPr>
          <w:rFonts w:ascii="Times New Roman" w:hAnsi="Times New Roman"/>
          <w:sz w:val="24"/>
          <w:szCs w:val="24"/>
          <w:highlight w:val="yellow"/>
        </w:rPr>
        <w:t>T</w:t>
      </w:r>
      <w:r w:rsidR="00546333" w:rsidRPr="000E4D38">
        <w:rPr>
          <w:rFonts w:ascii="Times New Roman" w:hAnsi="Times New Roman"/>
          <w:sz w:val="24"/>
          <w:szCs w:val="24"/>
          <w:highlight w:val="yellow"/>
        </w:rPr>
        <w:t xml:space="preserve">he cost and profit efficiency are examined for the </w:t>
      </w:r>
      <w:r w:rsidR="00C03AF5" w:rsidRPr="000E4D38">
        <w:rPr>
          <w:rFonts w:ascii="Times New Roman" w:hAnsi="Times New Roman"/>
          <w:sz w:val="24"/>
          <w:szCs w:val="24"/>
          <w:highlight w:val="yellow"/>
        </w:rPr>
        <w:t xml:space="preserve">17 </w:t>
      </w:r>
      <w:r w:rsidR="00AE42C0" w:rsidRPr="000E4D38">
        <w:rPr>
          <w:rFonts w:ascii="Times New Roman" w:hAnsi="Times New Roman"/>
          <w:sz w:val="24"/>
          <w:szCs w:val="24"/>
          <w:highlight w:val="yellow"/>
        </w:rPr>
        <w:t xml:space="preserve">PCBs </w:t>
      </w:r>
      <w:r w:rsidR="00546333" w:rsidRPr="000E4D38">
        <w:rPr>
          <w:rFonts w:ascii="Times New Roman" w:hAnsi="Times New Roman"/>
          <w:sz w:val="24"/>
          <w:szCs w:val="24"/>
          <w:highlight w:val="yellow"/>
        </w:rPr>
        <w:t xml:space="preserve">in Bangladesh </w:t>
      </w:r>
      <w:r w:rsidR="00257E39" w:rsidRPr="000E4D38">
        <w:rPr>
          <w:rFonts w:ascii="Times New Roman" w:hAnsi="Times New Roman"/>
          <w:sz w:val="24"/>
          <w:szCs w:val="24"/>
          <w:highlight w:val="yellow"/>
        </w:rPr>
        <w:t xml:space="preserve">using </w:t>
      </w:r>
      <w:r w:rsidR="00546333" w:rsidRPr="000E4D38">
        <w:rPr>
          <w:rFonts w:ascii="Times New Roman" w:hAnsi="Times New Roman"/>
          <w:sz w:val="24"/>
          <w:szCs w:val="24"/>
          <w:highlight w:val="yellow"/>
        </w:rPr>
        <w:t>panel s</w:t>
      </w:r>
      <w:r w:rsidR="00B84966" w:rsidRPr="000E4D38">
        <w:rPr>
          <w:rFonts w:ascii="Times New Roman" w:hAnsi="Times New Roman"/>
          <w:sz w:val="24"/>
          <w:szCs w:val="24"/>
          <w:highlight w:val="yellow"/>
        </w:rPr>
        <w:t>et of data. T</w:t>
      </w:r>
      <w:r w:rsidR="00546333" w:rsidRPr="000E4D38">
        <w:rPr>
          <w:rFonts w:ascii="Times New Roman" w:hAnsi="Times New Roman"/>
          <w:sz w:val="24"/>
          <w:szCs w:val="24"/>
          <w:highlight w:val="yellow"/>
        </w:rPr>
        <w:t xml:space="preserve">he </w:t>
      </w:r>
      <w:r w:rsidR="00B84966" w:rsidRPr="000E4D38">
        <w:rPr>
          <w:rFonts w:ascii="Times New Roman" w:hAnsi="Times New Roman"/>
          <w:sz w:val="24"/>
          <w:szCs w:val="24"/>
          <w:highlight w:val="yellow"/>
        </w:rPr>
        <w:t xml:space="preserve">stochastic </w:t>
      </w:r>
      <w:r w:rsidR="00546333" w:rsidRPr="000E4D38">
        <w:rPr>
          <w:rFonts w:ascii="Times New Roman" w:hAnsi="Times New Roman"/>
          <w:sz w:val="24"/>
          <w:szCs w:val="24"/>
          <w:highlight w:val="yellow"/>
        </w:rPr>
        <w:t xml:space="preserve">Cobb-Douglas and </w:t>
      </w:r>
      <w:proofErr w:type="spellStart"/>
      <w:r w:rsidR="00546333" w:rsidRPr="000E4D38">
        <w:rPr>
          <w:rFonts w:ascii="Times New Roman" w:hAnsi="Times New Roman"/>
          <w:sz w:val="24"/>
          <w:szCs w:val="24"/>
          <w:highlight w:val="yellow"/>
        </w:rPr>
        <w:t>Translog</w:t>
      </w:r>
      <w:proofErr w:type="spellEnd"/>
      <w:r w:rsidR="00546333" w:rsidRPr="000E4D38">
        <w:rPr>
          <w:rFonts w:ascii="Times New Roman" w:hAnsi="Times New Roman"/>
          <w:sz w:val="24"/>
          <w:szCs w:val="24"/>
          <w:highlight w:val="yellow"/>
        </w:rPr>
        <w:t xml:space="preserve"> </w:t>
      </w:r>
      <w:r w:rsidR="00884061" w:rsidRPr="000E4D38">
        <w:rPr>
          <w:rFonts w:ascii="Times New Roman" w:hAnsi="Times New Roman"/>
          <w:sz w:val="24"/>
          <w:szCs w:val="24"/>
          <w:highlight w:val="yellow"/>
        </w:rPr>
        <w:t>frontier model</w:t>
      </w:r>
      <w:r w:rsidR="00B84966" w:rsidRPr="000E4D38">
        <w:rPr>
          <w:rFonts w:ascii="Times New Roman" w:hAnsi="Times New Roman"/>
          <w:sz w:val="24"/>
          <w:szCs w:val="24"/>
          <w:highlight w:val="yellow"/>
        </w:rPr>
        <w:t xml:space="preserve"> </w:t>
      </w:r>
      <w:r w:rsidR="00017972" w:rsidRPr="000E4D38">
        <w:rPr>
          <w:rFonts w:ascii="Times New Roman" w:hAnsi="Times New Roman"/>
          <w:sz w:val="24"/>
          <w:szCs w:val="24"/>
          <w:highlight w:val="yellow"/>
        </w:rPr>
        <w:t>are</w:t>
      </w:r>
      <w:r w:rsidR="00257E39" w:rsidRPr="000E4D38">
        <w:rPr>
          <w:rFonts w:ascii="Times New Roman" w:hAnsi="Times New Roman"/>
          <w:sz w:val="24"/>
          <w:szCs w:val="24"/>
          <w:highlight w:val="yellow"/>
        </w:rPr>
        <w:t xml:space="preserve"> used individually</w:t>
      </w:r>
      <w:r w:rsidR="00546333" w:rsidRPr="000E4D38">
        <w:rPr>
          <w:rFonts w:ascii="Times New Roman" w:hAnsi="Times New Roman"/>
          <w:sz w:val="24"/>
          <w:szCs w:val="24"/>
          <w:highlight w:val="yellow"/>
        </w:rPr>
        <w:t xml:space="preserve"> for </w:t>
      </w:r>
      <w:r w:rsidR="00546333" w:rsidRPr="000E4D38">
        <w:rPr>
          <w:rFonts w:ascii="Times New Roman" w:hAnsi="Times New Roman"/>
          <w:sz w:val="24"/>
          <w:szCs w:val="24"/>
          <w:highlight w:val="yellow"/>
        </w:rPr>
        <w:lastRenderedPageBreak/>
        <w:t xml:space="preserve">estimating cost and profit efficiency. Then the IT components are assessed using a Tobit regression model for </w:t>
      </w:r>
      <w:r w:rsidR="00AE42C0" w:rsidRPr="000E4D38">
        <w:rPr>
          <w:rFonts w:ascii="Times New Roman" w:hAnsi="Times New Roman"/>
          <w:sz w:val="24"/>
          <w:szCs w:val="24"/>
          <w:highlight w:val="yellow"/>
        </w:rPr>
        <w:t xml:space="preserve">both </w:t>
      </w:r>
      <w:r w:rsidR="00546333" w:rsidRPr="000E4D38">
        <w:rPr>
          <w:rFonts w:ascii="Times New Roman" w:hAnsi="Times New Roman"/>
          <w:sz w:val="24"/>
          <w:szCs w:val="24"/>
          <w:highlight w:val="yellow"/>
        </w:rPr>
        <w:t>stochastic Cobb-</w:t>
      </w:r>
      <w:r w:rsidR="00C03AF5" w:rsidRPr="000E4D38">
        <w:rPr>
          <w:rFonts w:ascii="Times New Roman" w:hAnsi="Times New Roman"/>
          <w:sz w:val="24"/>
          <w:szCs w:val="24"/>
          <w:highlight w:val="yellow"/>
        </w:rPr>
        <w:t xml:space="preserve">Douglas and Trans-log </w:t>
      </w:r>
      <w:r w:rsidR="00AE42C0" w:rsidRPr="000E4D38">
        <w:rPr>
          <w:rFonts w:ascii="Times New Roman" w:hAnsi="Times New Roman"/>
          <w:sz w:val="24"/>
          <w:szCs w:val="24"/>
          <w:highlight w:val="yellow"/>
        </w:rPr>
        <w:t>models</w:t>
      </w:r>
      <w:r w:rsidR="000E4D38">
        <w:rPr>
          <w:rFonts w:ascii="Times New Roman" w:hAnsi="Times New Roman"/>
          <w:sz w:val="24"/>
          <w:szCs w:val="24"/>
          <w:highlight w:val="yellow"/>
        </w:rPr>
        <w:t xml:space="preserve"> (</w:t>
      </w:r>
      <w:r w:rsidR="000E4D38" w:rsidRPr="000E4D38">
        <w:rPr>
          <w:rFonts w:ascii="Times New Roman" w:hAnsi="Times New Roman"/>
          <w:sz w:val="24"/>
          <w:szCs w:val="24"/>
        </w:rPr>
        <w:t>https://documents.worldbank.org/curated/en/980771468193748295/text/568910NWP0RPED10Box353743B01PUBLIC1.txt</w:t>
      </w:r>
      <w:r w:rsidR="000E4D38">
        <w:rPr>
          <w:rFonts w:ascii="Times New Roman" w:hAnsi="Times New Roman"/>
          <w:sz w:val="24"/>
          <w:szCs w:val="24"/>
        </w:rPr>
        <w:t>)</w:t>
      </w:r>
      <w:r w:rsidR="00AE42C0" w:rsidRPr="000E4D38">
        <w:rPr>
          <w:rFonts w:ascii="Times New Roman" w:hAnsi="Times New Roman"/>
          <w:sz w:val="24"/>
          <w:szCs w:val="24"/>
          <w:highlight w:val="yellow"/>
        </w:rPr>
        <w:t xml:space="preserve">. </w:t>
      </w:r>
      <w:r w:rsidR="00546333" w:rsidRPr="000E4D38">
        <w:rPr>
          <w:rFonts w:ascii="Times New Roman" w:hAnsi="Times New Roman"/>
          <w:sz w:val="24"/>
          <w:szCs w:val="24"/>
          <w:highlight w:val="yellow"/>
        </w:rPr>
        <w:t xml:space="preserve">In the </w:t>
      </w:r>
      <w:r w:rsidR="00B84966" w:rsidRPr="000E4D38">
        <w:rPr>
          <w:rFonts w:ascii="Times New Roman" w:hAnsi="Times New Roman"/>
          <w:sz w:val="24"/>
          <w:szCs w:val="24"/>
          <w:highlight w:val="yellow"/>
        </w:rPr>
        <w:t>Cobb-Douglas stochastic frontier analysis</w:t>
      </w:r>
      <w:r w:rsidR="00546333" w:rsidRPr="000E4D38">
        <w:rPr>
          <w:rFonts w:ascii="Times New Roman" w:hAnsi="Times New Roman"/>
          <w:sz w:val="24"/>
          <w:szCs w:val="24"/>
          <w:highlight w:val="yellow"/>
        </w:rPr>
        <w:t xml:space="preserve">, the average cost efficiency score was 65.8% and the average profit efficiency score was 50.5%. In the </w:t>
      </w:r>
      <w:r w:rsidR="00B55E03" w:rsidRPr="000E4D38">
        <w:rPr>
          <w:rFonts w:ascii="Times New Roman" w:hAnsi="Times New Roman"/>
          <w:sz w:val="24"/>
          <w:szCs w:val="24"/>
          <w:highlight w:val="yellow"/>
        </w:rPr>
        <w:t>PCBs</w:t>
      </w:r>
      <w:r w:rsidR="00546333" w:rsidRPr="000E4D38">
        <w:rPr>
          <w:rFonts w:ascii="Times New Roman" w:hAnsi="Times New Roman"/>
          <w:sz w:val="24"/>
          <w:szCs w:val="24"/>
          <w:highlight w:val="yellow"/>
        </w:rPr>
        <w:t>, IBBL was the most profit efficient with an average efficiency score of 73.8</w:t>
      </w:r>
      <w:r w:rsidR="000408EE" w:rsidRPr="000E4D38">
        <w:rPr>
          <w:rFonts w:ascii="Times New Roman" w:hAnsi="Times New Roman"/>
          <w:sz w:val="24"/>
          <w:szCs w:val="24"/>
          <w:highlight w:val="yellow"/>
        </w:rPr>
        <w:t>% and</w:t>
      </w:r>
      <w:r w:rsidR="00546333" w:rsidRPr="000E4D38">
        <w:rPr>
          <w:rFonts w:ascii="Times New Roman" w:hAnsi="Times New Roman"/>
          <w:sz w:val="24"/>
          <w:szCs w:val="24"/>
          <w:highlight w:val="yellow"/>
        </w:rPr>
        <w:t xml:space="preserve"> the </w:t>
      </w:r>
      <w:proofErr w:type="spellStart"/>
      <w:r w:rsidR="00546333" w:rsidRPr="000E4D38">
        <w:rPr>
          <w:rFonts w:ascii="Times New Roman" w:hAnsi="Times New Roman"/>
          <w:sz w:val="24"/>
          <w:szCs w:val="24"/>
          <w:highlight w:val="yellow"/>
        </w:rPr>
        <w:t>Brac</w:t>
      </w:r>
      <w:proofErr w:type="spellEnd"/>
      <w:r w:rsidR="00546333" w:rsidRPr="000E4D38">
        <w:rPr>
          <w:rFonts w:ascii="Times New Roman" w:hAnsi="Times New Roman"/>
          <w:sz w:val="24"/>
          <w:szCs w:val="24"/>
          <w:highlight w:val="yellow"/>
        </w:rPr>
        <w:t xml:space="preserve"> bank was the most </w:t>
      </w:r>
      <w:r w:rsidR="000408EE" w:rsidRPr="000E4D38">
        <w:rPr>
          <w:rFonts w:ascii="Times New Roman" w:hAnsi="Times New Roman"/>
          <w:sz w:val="24"/>
          <w:szCs w:val="24"/>
          <w:highlight w:val="yellow"/>
        </w:rPr>
        <w:t>cost-efficient</w:t>
      </w:r>
      <w:r w:rsidR="00546333" w:rsidRPr="000E4D38">
        <w:rPr>
          <w:rFonts w:ascii="Times New Roman" w:hAnsi="Times New Roman"/>
          <w:sz w:val="24"/>
          <w:szCs w:val="24"/>
          <w:highlight w:val="yellow"/>
        </w:rPr>
        <w:t xml:space="preserve"> bank with an average</w:t>
      </w:r>
      <w:r w:rsidR="00AE42C0" w:rsidRPr="000E4D38">
        <w:rPr>
          <w:rFonts w:ascii="Times New Roman" w:hAnsi="Times New Roman"/>
          <w:sz w:val="24"/>
          <w:szCs w:val="24"/>
          <w:highlight w:val="yellow"/>
        </w:rPr>
        <w:t xml:space="preserve"> efficiency score of 89.3%, Al-</w:t>
      </w:r>
      <w:proofErr w:type="spellStart"/>
      <w:r w:rsidR="00AE42C0" w:rsidRPr="000E4D38">
        <w:rPr>
          <w:rFonts w:ascii="Times New Roman" w:hAnsi="Times New Roman"/>
          <w:sz w:val="24"/>
          <w:szCs w:val="24"/>
          <w:highlight w:val="yellow"/>
        </w:rPr>
        <w:t>A</w:t>
      </w:r>
      <w:r w:rsidR="00546333" w:rsidRPr="000E4D38">
        <w:rPr>
          <w:rFonts w:ascii="Times New Roman" w:hAnsi="Times New Roman"/>
          <w:sz w:val="24"/>
          <w:szCs w:val="24"/>
          <w:highlight w:val="yellow"/>
        </w:rPr>
        <w:t>rafah</w:t>
      </w:r>
      <w:proofErr w:type="spellEnd"/>
      <w:r w:rsidR="00546333" w:rsidRPr="000E4D38">
        <w:rPr>
          <w:rFonts w:ascii="Times New Roman" w:hAnsi="Times New Roman"/>
          <w:sz w:val="24"/>
          <w:szCs w:val="24"/>
          <w:highlight w:val="yellow"/>
        </w:rPr>
        <w:t xml:space="preserve"> was the less cost efficient (37.4%) a</w:t>
      </w:r>
      <w:r w:rsidR="00AE42C0" w:rsidRPr="000E4D38">
        <w:rPr>
          <w:rFonts w:ascii="Times New Roman" w:hAnsi="Times New Roman"/>
          <w:sz w:val="24"/>
          <w:szCs w:val="24"/>
          <w:highlight w:val="yellow"/>
        </w:rPr>
        <w:t>nd M</w:t>
      </w:r>
      <w:r w:rsidR="00546333" w:rsidRPr="000E4D38">
        <w:rPr>
          <w:rFonts w:ascii="Times New Roman" w:hAnsi="Times New Roman"/>
          <w:sz w:val="24"/>
          <w:szCs w:val="24"/>
          <w:highlight w:val="yellow"/>
        </w:rPr>
        <w:t>ercantile bank was the less profit efficient (33.6%) respectively.</w:t>
      </w:r>
      <w:r w:rsidR="00546333" w:rsidRPr="006D74FE">
        <w:rPr>
          <w:rFonts w:ascii="Times New Roman" w:hAnsi="Times New Roman"/>
          <w:sz w:val="24"/>
          <w:szCs w:val="24"/>
        </w:rPr>
        <w:t xml:space="preserve"> </w:t>
      </w:r>
      <w:r w:rsidR="00B84966" w:rsidRPr="000D1BD6">
        <w:rPr>
          <w:rFonts w:ascii="Times New Roman" w:hAnsi="Times New Roman"/>
          <w:sz w:val="24"/>
          <w:szCs w:val="24"/>
          <w:highlight w:val="cyan"/>
        </w:rPr>
        <w:t xml:space="preserve">In the </w:t>
      </w:r>
      <w:proofErr w:type="spellStart"/>
      <w:r w:rsidR="00B84966" w:rsidRPr="000D1BD6">
        <w:rPr>
          <w:rFonts w:ascii="Times New Roman" w:hAnsi="Times New Roman"/>
          <w:sz w:val="24"/>
          <w:szCs w:val="24"/>
          <w:highlight w:val="cyan"/>
        </w:rPr>
        <w:t>Translog</w:t>
      </w:r>
      <w:proofErr w:type="spellEnd"/>
      <w:r w:rsidR="00B84966" w:rsidRPr="000D1BD6">
        <w:rPr>
          <w:rFonts w:ascii="Times New Roman" w:hAnsi="Times New Roman"/>
          <w:sz w:val="24"/>
          <w:szCs w:val="24"/>
          <w:highlight w:val="cyan"/>
        </w:rPr>
        <w:t xml:space="preserve"> stochastic frontier analysis, </w:t>
      </w:r>
      <w:r w:rsidR="00546333" w:rsidRPr="000D1BD6">
        <w:rPr>
          <w:rFonts w:ascii="Times New Roman" w:hAnsi="Times New Roman"/>
          <w:sz w:val="24"/>
          <w:szCs w:val="24"/>
          <w:highlight w:val="cyan"/>
        </w:rPr>
        <w:t>the average cost efficiency score was 66.3% and the average pro</w:t>
      </w:r>
      <w:r w:rsidR="00E43679" w:rsidRPr="000D1BD6">
        <w:rPr>
          <w:rFonts w:ascii="Times New Roman" w:hAnsi="Times New Roman"/>
          <w:sz w:val="24"/>
          <w:szCs w:val="24"/>
          <w:highlight w:val="cyan"/>
        </w:rPr>
        <w:t>fit efficiency score was 53.9%.</w:t>
      </w:r>
      <w:r w:rsidR="00B84966" w:rsidRPr="000D1BD6">
        <w:rPr>
          <w:rFonts w:ascii="Times New Roman" w:hAnsi="Times New Roman"/>
          <w:sz w:val="24"/>
          <w:szCs w:val="24"/>
          <w:highlight w:val="cyan"/>
        </w:rPr>
        <w:t xml:space="preserve"> </w:t>
      </w:r>
      <w:r w:rsidR="00546333" w:rsidRPr="000D1BD6">
        <w:rPr>
          <w:rFonts w:ascii="Times New Roman" w:hAnsi="Times New Roman"/>
          <w:sz w:val="24"/>
          <w:szCs w:val="24"/>
          <w:highlight w:val="cyan"/>
        </w:rPr>
        <w:t xml:space="preserve">Social </w:t>
      </w:r>
      <w:proofErr w:type="spellStart"/>
      <w:r w:rsidR="00546333" w:rsidRPr="000D1BD6">
        <w:rPr>
          <w:rFonts w:ascii="Times New Roman" w:hAnsi="Times New Roman"/>
          <w:sz w:val="24"/>
          <w:szCs w:val="24"/>
          <w:highlight w:val="cyan"/>
        </w:rPr>
        <w:t>Islami</w:t>
      </w:r>
      <w:proofErr w:type="spellEnd"/>
      <w:r w:rsidR="00546333" w:rsidRPr="000D1BD6">
        <w:rPr>
          <w:rFonts w:ascii="Times New Roman" w:hAnsi="Times New Roman"/>
          <w:sz w:val="24"/>
          <w:szCs w:val="24"/>
          <w:highlight w:val="cyan"/>
        </w:rPr>
        <w:t xml:space="preserve"> bank was the most cost-efficient with an average efficiency score of 88% and the </w:t>
      </w:r>
      <w:r w:rsidR="00AE42C0" w:rsidRPr="000D1BD6">
        <w:rPr>
          <w:rFonts w:ascii="Times New Roman" w:hAnsi="Times New Roman"/>
          <w:sz w:val="24"/>
          <w:szCs w:val="24"/>
          <w:highlight w:val="cyan"/>
        </w:rPr>
        <w:t>S</w:t>
      </w:r>
      <w:r w:rsidR="00546333" w:rsidRPr="000D1BD6">
        <w:rPr>
          <w:rFonts w:ascii="Times New Roman" w:hAnsi="Times New Roman"/>
          <w:sz w:val="24"/>
          <w:szCs w:val="24"/>
          <w:highlight w:val="cyan"/>
        </w:rPr>
        <w:t xml:space="preserve">outheast and </w:t>
      </w:r>
      <w:r w:rsidR="00AE42C0" w:rsidRPr="000D1BD6">
        <w:rPr>
          <w:rFonts w:ascii="Times New Roman" w:hAnsi="Times New Roman"/>
          <w:sz w:val="24"/>
          <w:szCs w:val="24"/>
          <w:highlight w:val="cyan"/>
        </w:rPr>
        <w:t>E</w:t>
      </w:r>
      <w:r w:rsidR="00546333" w:rsidRPr="000D1BD6">
        <w:rPr>
          <w:rFonts w:ascii="Times New Roman" w:hAnsi="Times New Roman"/>
          <w:sz w:val="24"/>
          <w:szCs w:val="24"/>
          <w:highlight w:val="cyan"/>
        </w:rPr>
        <w:t xml:space="preserve">astern banks were the most profit efficient bank with an average efficiency score of 68%. Exim bank was the less cost efficient (31.1%) and </w:t>
      </w:r>
      <w:r w:rsidR="00AE42C0" w:rsidRPr="000D1BD6">
        <w:rPr>
          <w:rFonts w:ascii="Times New Roman" w:hAnsi="Times New Roman"/>
          <w:sz w:val="24"/>
          <w:szCs w:val="24"/>
          <w:highlight w:val="cyan"/>
        </w:rPr>
        <w:t>M</w:t>
      </w:r>
      <w:r w:rsidR="00014C1F" w:rsidRPr="000D1BD6">
        <w:rPr>
          <w:rFonts w:ascii="Times New Roman" w:hAnsi="Times New Roman"/>
          <w:sz w:val="24"/>
          <w:szCs w:val="24"/>
          <w:highlight w:val="cyan"/>
        </w:rPr>
        <w:t>ercantile</w:t>
      </w:r>
      <w:r w:rsidR="00546333" w:rsidRPr="000D1BD6">
        <w:rPr>
          <w:rFonts w:ascii="Times New Roman" w:hAnsi="Times New Roman"/>
          <w:sz w:val="24"/>
          <w:szCs w:val="24"/>
          <w:highlight w:val="cyan"/>
        </w:rPr>
        <w:t xml:space="preserve"> bank was the less profit efficient (33.3%) respectively.</w:t>
      </w:r>
      <w:r w:rsidR="00E43679" w:rsidRPr="000D1BD6">
        <w:rPr>
          <w:rFonts w:ascii="Times New Roman" w:hAnsi="Times New Roman"/>
          <w:sz w:val="24"/>
          <w:szCs w:val="24"/>
          <w:highlight w:val="cyan"/>
        </w:rPr>
        <w:t xml:space="preserve"> </w:t>
      </w:r>
      <w:proofErr w:type="spellStart"/>
      <w:r w:rsidR="00AE42C0" w:rsidRPr="000D1BD6">
        <w:rPr>
          <w:rFonts w:ascii="Times New Roman" w:hAnsi="Times New Roman"/>
          <w:sz w:val="24"/>
          <w:szCs w:val="24"/>
          <w:highlight w:val="cyan"/>
        </w:rPr>
        <w:t>Translog</w:t>
      </w:r>
      <w:proofErr w:type="spellEnd"/>
      <w:r w:rsidR="00AE42C0" w:rsidRPr="000D1BD6">
        <w:rPr>
          <w:rFonts w:ascii="Times New Roman" w:hAnsi="Times New Roman"/>
          <w:sz w:val="24"/>
          <w:szCs w:val="24"/>
          <w:highlight w:val="cyan"/>
        </w:rPr>
        <w:t xml:space="preserve"> Stochastic f</w:t>
      </w:r>
      <w:r w:rsidR="00546333" w:rsidRPr="000D1BD6">
        <w:rPr>
          <w:rFonts w:ascii="Times New Roman" w:hAnsi="Times New Roman"/>
          <w:sz w:val="24"/>
          <w:szCs w:val="24"/>
          <w:highlight w:val="cyan"/>
        </w:rPr>
        <w:t>rontier model was more preferable than the Co</w:t>
      </w:r>
      <w:r w:rsidR="00014C1F" w:rsidRPr="000D1BD6">
        <w:rPr>
          <w:rFonts w:ascii="Times New Roman" w:hAnsi="Times New Roman"/>
          <w:sz w:val="24"/>
          <w:szCs w:val="24"/>
          <w:highlight w:val="cyan"/>
        </w:rPr>
        <w:t xml:space="preserve">bb-Douglas Stochastic </w:t>
      </w:r>
      <w:r w:rsidR="00AE42C0" w:rsidRPr="000D1BD6">
        <w:rPr>
          <w:rFonts w:ascii="Times New Roman" w:hAnsi="Times New Roman"/>
          <w:sz w:val="24"/>
          <w:szCs w:val="24"/>
          <w:highlight w:val="cyan"/>
        </w:rPr>
        <w:t>f</w:t>
      </w:r>
      <w:r w:rsidR="00014C1F" w:rsidRPr="000D1BD6">
        <w:rPr>
          <w:rFonts w:ascii="Times New Roman" w:hAnsi="Times New Roman"/>
          <w:sz w:val="24"/>
          <w:szCs w:val="24"/>
          <w:highlight w:val="cyan"/>
        </w:rPr>
        <w:t xml:space="preserve">rontier </w:t>
      </w:r>
      <w:r w:rsidR="00AE42C0" w:rsidRPr="000D1BD6">
        <w:rPr>
          <w:rFonts w:ascii="Times New Roman" w:hAnsi="Times New Roman"/>
          <w:sz w:val="24"/>
          <w:szCs w:val="24"/>
          <w:highlight w:val="cyan"/>
        </w:rPr>
        <w:t>m</w:t>
      </w:r>
      <w:r w:rsidR="00546333" w:rsidRPr="000D1BD6">
        <w:rPr>
          <w:rFonts w:ascii="Times New Roman" w:hAnsi="Times New Roman"/>
          <w:sz w:val="24"/>
          <w:szCs w:val="24"/>
          <w:highlight w:val="cyan"/>
        </w:rPr>
        <w:t>odel.</w:t>
      </w:r>
      <w:r w:rsidR="00014C1F" w:rsidRPr="000D1BD6">
        <w:rPr>
          <w:rFonts w:ascii="Times New Roman" w:hAnsi="Times New Roman"/>
          <w:sz w:val="24"/>
          <w:szCs w:val="24"/>
          <w:highlight w:val="cyan"/>
        </w:rPr>
        <w:t xml:space="preserve"> </w:t>
      </w:r>
      <w:r w:rsidR="00546333" w:rsidRPr="000D1BD6">
        <w:rPr>
          <w:rFonts w:ascii="Times New Roman" w:hAnsi="Times New Roman"/>
          <w:sz w:val="24"/>
          <w:szCs w:val="24"/>
          <w:highlight w:val="cyan"/>
        </w:rPr>
        <w:t xml:space="preserve">The ICT factors had a positive impact on the </w:t>
      </w:r>
      <w:r w:rsidR="00186BD7" w:rsidRPr="000D1BD6">
        <w:rPr>
          <w:rFonts w:ascii="Times New Roman" w:hAnsi="Times New Roman"/>
          <w:sz w:val="24"/>
          <w:szCs w:val="24"/>
          <w:highlight w:val="cyan"/>
        </w:rPr>
        <w:t xml:space="preserve">PCBs. </w:t>
      </w:r>
      <w:r w:rsidR="00546333" w:rsidRPr="000D1BD6">
        <w:rPr>
          <w:rFonts w:ascii="Times New Roman" w:hAnsi="Times New Roman"/>
          <w:sz w:val="24"/>
          <w:szCs w:val="24"/>
          <w:highlight w:val="cyan"/>
        </w:rPr>
        <w:t>In IT determinant</w:t>
      </w:r>
      <w:r w:rsidR="00186BD7" w:rsidRPr="000D1BD6">
        <w:rPr>
          <w:rFonts w:ascii="Times New Roman" w:hAnsi="Times New Roman"/>
          <w:sz w:val="24"/>
          <w:szCs w:val="24"/>
          <w:highlight w:val="cyan"/>
        </w:rPr>
        <w:t>s</w:t>
      </w:r>
      <w:r w:rsidR="00546333" w:rsidRPr="000D1BD6">
        <w:rPr>
          <w:rFonts w:ascii="Times New Roman" w:hAnsi="Times New Roman"/>
          <w:sz w:val="24"/>
          <w:szCs w:val="24"/>
          <w:highlight w:val="cyan"/>
        </w:rPr>
        <w:t xml:space="preserve"> </w:t>
      </w:r>
      <w:r w:rsidR="00186BD7" w:rsidRPr="000D1BD6">
        <w:rPr>
          <w:rFonts w:ascii="Times New Roman" w:hAnsi="Times New Roman"/>
          <w:sz w:val="24"/>
          <w:szCs w:val="24"/>
          <w:highlight w:val="cyan"/>
        </w:rPr>
        <w:t xml:space="preserve">with </w:t>
      </w:r>
      <w:r w:rsidR="00546333" w:rsidRPr="000D1BD6">
        <w:rPr>
          <w:rFonts w:ascii="Times New Roman" w:hAnsi="Times New Roman"/>
          <w:sz w:val="24"/>
          <w:szCs w:val="24"/>
          <w:highlight w:val="cyan"/>
        </w:rPr>
        <w:t xml:space="preserve">cost and profit efficiency of Stochastic </w:t>
      </w:r>
      <w:proofErr w:type="spellStart"/>
      <w:r w:rsidR="00546333" w:rsidRPr="000D1BD6">
        <w:rPr>
          <w:rFonts w:ascii="Times New Roman" w:hAnsi="Times New Roman"/>
          <w:sz w:val="24"/>
          <w:szCs w:val="24"/>
          <w:highlight w:val="cyan"/>
        </w:rPr>
        <w:t>Translog</w:t>
      </w:r>
      <w:proofErr w:type="spellEnd"/>
      <w:r w:rsidR="00546333" w:rsidRPr="000D1BD6">
        <w:rPr>
          <w:rFonts w:ascii="Times New Roman" w:hAnsi="Times New Roman"/>
          <w:sz w:val="24"/>
          <w:szCs w:val="24"/>
          <w:highlight w:val="cyan"/>
        </w:rPr>
        <w:t xml:space="preserve"> frontier model</w:t>
      </w:r>
      <w:r w:rsidRPr="000D1BD6">
        <w:rPr>
          <w:rFonts w:ascii="Times New Roman" w:hAnsi="Times New Roman"/>
          <w:sz w:val="24"/>
          <w:szCs w:val="24"/>
          <w:highlight w:val="cyan"/>
        </w:rPr>
        <w:t>, the</w:t>
      </w:r>
      <w:r w:rsidR="00546333" w:rsidRPr="000D1BD6">
        <w:rPr>
          <w:rFonts w:ascii="Times New Roman" w:hAnsi="Times New Roman"/>
          <w:sz w:val="24"/>
          <w:szCs w:val="24"/>
          <w:highlight w:val="cyan"/>
        </w:rPr>
        <w:t xml:space="preserve"> IT personnel expenses ɸ5 (0.0006) and credit card transaction ɸ8 (0.000006) were positively significant but IT income ɸ2(-0.0002) and credit card expenses ɸ9</w:t>
      </w:r>
      <w:r w:rsidR="00017972" w:rsidRPr="000D1BD6">
        <w:rPr>
          <w:rFonts w:ascii="Times New Roman" w:hAnsi="Times New Roman"/>
          <w:sz w:val="24"/>
          <w:szCs w:val="24"/>
          <w:highlight w:val="cyan"/>
        </w:rPr>
        <w:t>(-0.0001) we</w:t>
      </w:r>
      <w:r w:rsidR="00546333" w:rsidRPr="000D1BD6">
        <w:rPr>
          <w:rFonts w:ascii="Times New Roman" w:hAnsi="Times New Roman"/>
          <w:sz w:val="24"/>
          <w:szCs w:val="24"/>
          <w:highlight w:val="cyan"/>
        </w:rPr>
        <w:t xml:space="preserve">re negatively significant for the cost efficiency of </w:t>
      </w:r>
      <w:r w:rsidR="00186BD7" w:rsidRPr="000D1BD6">
        <w:rPr>
          <w:rFonts w:ascii="Times New Roman" w:hAnsi="Times New Roman"/>
          <w:sz w:val="24"/>
          <w:szCs w:val="24"/>
          <w:highlight w:val="cyan"/>
        </w:rPr>
        <w:t>PCBs</w:t>
      </w:r>
      <w:r w:rsidR="00EF241A" w:rsidRPr="000D1BD6">
        <w:rPr>
          <w:rFonts w:ascii="Times New Roman" w:hAnsi="Times New Roman"/>
          <w:sz w:val="24"/>
          <w:szCs w:val="24"/>
          <w:highlight w:val="cyan"/>
        </w:rPr>
        <w:t xml:space="preserve"> o</w:t>
      </w:r>
      <w:r w:rsidR="00A93CA0" w:rsidRPr="000D1BD6">
        <w:rPr>
          <w:rFonts w:ascii="Times New Roman" w:hAnsi="Times New Roman"/>
          <w:sz w:val="24"/>
          <w:szCs w:val="24"/>
          <w:highlight w:val="cyan"/>
        </w:rPr>
        <w:t>n the</w:t>
      </w:r>
      <w:r w:rsidR="00EF241A" w:rsidRPr="000D1BD6">
        <w:rPr>
          <w:rFonts w:ascii="Times New Roman" w:hAnsi="Times New Roman"/>
          <w:sz w:val="24"/>
          <w:szCs w:val="24"/>
          <w:highlight w:val="cyan"/>
        </w:rPr>
        <w:t xml:space="preserve"> other hand</w:t>
      </w:r>
      <w:r w:rsidR="00A93CA0" w:rsidRPr="000D1BD6">
        <w:rPr>
          <w:rFonts w:ascii="Times New Roman" w:hAnsi="Times New Roman"/>
          <w:sz w:val="24"/>
          <w:szCs w:val="24"/>
          <w:highlight w:val="cyan"/>
        </w:rPr>
        <w:t xml:space="preserve">, </w:t>
      </w:r>
      <w:r w:rsidR="00546333" w:rsidRPr="000D1BD6">
        <w:rPr>
          <w:rFonts w:ascii="Times New Roman" w:hAnsi="Times New Roman"/>
          <w:sz w:val="24"/>
          <w:szCs w:val="24"/>
          <w:highlight w:val="cyan"/>
        </w:rPr>
        <w:t>the IT investment ɸ3 (-0.000008)</w:t>
      </w:r>
      <w:r w:rsidRPr="000D1BD6">
        <w:rPr>
          <w:rFonts w:ascii="Times New Roman" w:hAnsi="Times New Roman"/>
          <w:sz w:val="24"/>
          <w:szCs w:val="24"/>
          <w:highlight w:val="cyan"/>
        </w:rPr>
        <w:t>, and</w:t>
      </w:r>
      <w:r w:rsidR="00546333" w:rsidRPr="000D1BD6">
        <w:rPr>
          <w:rFonts w:ascii="Times New Roman" w:hAnsi="Times New Roman"/>
          <w:sz w:val="24"/>
          <w:szCs w:val="24"/>
          <w:highlight w:val="cyan"/>
        </w:rPr>
        <w:t xml:space="preserve"> credit card </w:t>
      </w:r>
      <w:r w:rsidRPr="000D1BD6">
        <w:rPr>
          <w:rFonts w:ascii="Times New Roman" w:hAnsi="Times New Roman"/>
          <w:sz w:val="24"/>
          <w:szCs w:val="24"/>
          <w:highlight w:val="cyan"/>
        </w:rPr>
        <w:t>expenses ɸ</w:t>
      </w:r>
      <w:r w:rsidR="00BB7689" w:rsidRPr="000D1BD6">
        <w:rPr>
          <w:rFonts w:ascii="Times New Roman" w:hAnsi="Times New Roman"/>
          <w:sz w:val="24"/>
          <w:szCs w:val="24"/>
          <w:highlight w:val="cyan"/>
        </w:rPr>
        <w:t>9</w:t>
      </w:r>
      <w:r w:rsidR="00546333" w:rsidRPr="000D1BD6">
        <w:rPr>
          <w:rFonts w:ascii="Times New Roman" w:hAnsi="Times New Roman"/>
          <w:sz w:val="24"/>
          <w:szCs w:val="24"/>
          <w:highlight w:val="cyan"/>
        </w:rPr>
        <w:t xml:space="preserve"> (-0.0000007</w:t>
      </w:r>
      <w:r w:rsidR="00017972" w:rsidRPr="000D1BD6">
        <w:rPr>
          <w:rFonts w:ascii="Times New Roman" w:hAnsi="Times New Roman"/>
          <w:sz w:val="24"/>
          <w:szCs w:val="24"/>
          <w:highlight w:val="cyan"/>
        </w:rPr>
        <w:t>) we</w:t>
      </w:r>
      <w:r w:rsidRPr="000D1BD6">
        <w:rPr>
          <w:rFonts w:ascii="Times New Roman" w:hAnsi="Times New Roman"/>
          <w:sz w:val="24"/>
          <w:szCs w:val="24"/>
          <w:highlight w:val="cyan"/>
        </w:rPr>
        <w:t>re</w:t>
      </w:r>
      <w:r w:rsidR="00546333" w:rsidRPr="000D1BD6">
        <w:rPr>
          <w:rFonts w:ascii="Times New Roman" w:hAnsi="Times New Roman"/>
          <w:sz w:val="24"/>
          <w:szCs w:val="24"/>
          <w:highlight w:val="cyan"/>
        </w:rPr>
        <w:t xml:space="preserve"> found negatively significant for the profit efficiency of Stochastic </w:t>
      </w:r>
      <w:proofErr w:type="spellStart"/>
      <w:r w:rsidR="00546333" w:rsidRPr="000D1BD6">
        <w:rPr>
          <w:rFonts w:ascii="Times New Roman" w:hAnsi="Times New Roman"/>
          <w:sz w:val="24"/>
          <w:szCs w:val="24"/>
          <w:highlight w:val="cyan"/>
        </w:rPr>
        <w:t>T</w:t>
      </w:r>
      <w:r w:rsidR="00E43679" w:rsidRPr="000D1BD6">
        <w:rPr>
          <w:rFonts w:ascii="Times New Roman" w:hAnsi="Times New Roman"/>
          <w:sz w:val="24"/>
          <w:szCs w:val="24"/>
          <w:highlight w:val="cyan"/>
        </w:rPr>
        <w:t>ranslog</w:t>
      </w:r>
      <w:proofErr w:type="spellEnd"/>
      <w:r w:rsidR="00E43679" w:rsidRPr="000D1BD6">
        <w:rPr>
          <w:rFonts w:ascii="Times New Roman" w:hAnsi="Times New Roman"/>
          <w:sz w:val="24"/>
          <w:szCs w:val="24"/>
          <w:highlight w:val="cyan"/>
        </w:rPr>
        <w:t xml:space="preserve"> profit frontier model</w:t>
      </w:r>
      <w:r w:rsidR="000D1BD6">
        <w:rPr>
          <w:rFonts w:ascii="Times New Roman" w:hAnsi="Times New Roman"/>
          <w:sz w:val="24"/>
          <w:szCs w:val="24"/>
          <w:highlight w:val="cyan"/>
        </w:rPr>
        <w:t xml:space="preserve"> (</w:t>
      </w:r>
      <w:r w:rsidR="000D1BD6" w:rsidRPr="000D1BD6">
        <w:rPr>
          <w:rFonts w:ascii="Times New Roman" w:hAnsi="Times New Roman"/>
          <w:sz w:val="24"/>
          <w:szCs w:val="24"/>
        </w:rPr>
        <w:t>https://www.insightsonindia.com/wp-content/uploads/2020/06/GS3_final.pdf</w:t>
      </w:r>
      <w:r w:rsidR="000D1BD6">
        <w:rPr>
          <w:rFonts w:ascii="Times New Roman" w:hAnsi="Times New Roman"/>
          <w:sz w:val="24"/>
          <w:szCs w:val="24"/>
        </w:rPr>
        <w:t>)</w:t>
      </w:r>
      <w:r w:rsidR="00E43679" w:rsidRPr="000D1BD6">
        <w:rPr>
          <w:rFonts w:ascii="Times New Roman" w:hAnsi="Times New Roman"/>
          <w:sz w:val="24"/>
          <w:szCs w:val="24"/>
          <w:highlight w:val="cyan"/>
        </w:rPr>
        <w:t>.</w:t>
      </w:r>
      <w:r w:rsidR="00E43679" w:rsidRPr="006D74FE">
        <w:rPr>
          <w:rFonts w:ascii="Times New Roman" w:hAnsi="Times New Roman"/>
          <w:sz w:val="24"/>
          <w:szCs w:val="24"/>
        </w:rPr>
        <w:t xml:space="preserve"> </w:t>
      </w:r>
      <w:r w:rsidR="00546333" w:rsidRPr="000D1BD6">
        <w:rPr>
          <w:rFonts w:ascii="Times New Roman" w:hAnsi="Times New Roman"/>
          <w:sz w:val="24"/>
          <w:szCs w:val="24"/>
          <w:highlight w:val="yellow"/>
        </w:rPr>
        <w:t xml:space="preserve">The IT income ɸ2 (-0.00018) and credit card expanses ɸ9 </w:t>
      </w:r>
      <w:r w:rsidR="00000D5F" w:rsidRPr="000D1BD6">
        <w:rPr>
          <w:rFonts w:ascii="Times New Roman" w:hAnsi="Times New Roman"/>
          <w:sz w:val="24"/>
          <w:szCs w:val="24"/>
          <w:highlight w:val="yellow"/>
        </w:rPr>
        <w:t>(-0.0001</w:t>
      </w:r>
      <w:r w:rsidR="00B84966" w:rsidRPr="000D1BD6">
        <w:rPr>
          <w:rFonts w:ascii="Times New Roman" w:hAnsi="Times New Roman"/>
          <w:sz w:val="24"/>
          <w:szCs w:val="24"/>
          <w:highlight w:val="yellow"/>
        </w:rPr>
        <w:t>)</w:t>
      </w:r>
      <w:r w:rsidR="0085164A" w:rsidRPr="000D1BD6">
        <w:rPr>
          <w:rFonts w:ascii="Times New Roman" w:hAnsi="Times New Roman"/>
          <w:sz w:val="24"/>
          <w:szCs w:val="24"/>
          <w:highlight w:val="yellow"/>
        </w:rPr>
        <w:t xml:space="preserve"> </w:t>
      </w:r>
      <w:r w:rsidR="00017972" w:rsidRPr="000D1BD6">
        <w:rPr>
          <w:rFonts w:ascii="Times New Roman" w:hAnsi="Times New Roman"/>
          <w:sz w:val="24"/>
          <w:szCs w:val="24"/>
          <w:highlight w:val="yellow"/>
        </w:rPr>
        <w:t>were</w:t>
      </w:r>
      <w:r w:rsidR="00546333" w:rsidRPr="000D1BD6">
        <w:rPr>
          <w:rFonts w:ascii="Times New Roman" w:hAnsi="Times New Roman"/>
          <w:sz w:val="24"/>
          <w:szCs w:val="24"/>
          <w:highlight w:val="yellow"/>
        </w:rPr>
        <w:t xml:space="preserve"> negatively significant for the cost efficiency </w:t>
      </w:r>
      <w:r w:rsidRPr="000D1BD6">
        <w:rPr>
          <w:rFonts w:ascii="Times New Roman" w:hAnsi="Times New Roman"/>
          <w:sz w:val="24"/>
          <w:szCs w:val="24"/>
          <w:highlight w:val="yellow"/>
        </w:rPr>
        <w:t>of the</w:t>
      </w:r>
      <w:r w:rsidR="00546333" w:rsidRPr="000D1BD6">
        <w:rPr>
          <w:rFonts w:ascii="Times New Roman" w:hAnsi="Times New Roman"/>
          <w:sz w:val="24"/>
          <w:szCs w:val="24"/>
          <w:highlight w:val="yellow"/>
        </w:rPr>
        <w:t xml:space="preserve"> Stochastic Cobb-Douglas cost frontier model. In IT determinant</w:t>
      </w:r>
      <w:r w:rsidR="00186BD7" w:rsidRPr="000D1BD6">
        <w:rPr>
          <w:rFonts w:ascii="Times New Roman" w:hAnsi="Times New Roman"/>
          <w:sz w:val="24"/>
          <w:szCs w:val="24"/>
          <w:highlight w:val="yellow"/>
        </w:rPr>
        <w:t xml:space="preserve">s with </w:t>
      </w:r>
      <w:r w:rsidR="00546333" w:rsidRPr="000D1BD6">
        <w:rPr>
          <w:rFonts w:ascii="Times New Roman" w:hAnsi="Times New Roman"/>
          <w:sz w:val="24"/>
          <w:szCs w:val="24"/>
          <w:highlight w:val="yellow"/>
        </w:rPr>
        <w:t>profit efficiency of Stochastic Cobb-Douglas profit frontier model, the IT investment ɸ3 (-0.0003), IT income ɸ2 (-0.0032), IT personnel ɸ4</w:t>
      </w:r>
      <w:r w:rsidR="00EF241A" w:rsidRPr="000D1BD6">
        <w:rPr>
          <w:rFonts w:ascii="Times New Roman" w:hAnsi="Times New Roman"/>
          <w:sz w:val="24"/>
          <w:szCs w:val="24"/>
          <w:highlight w:val="yellow"/>
        </w:rPr>
        <w:t xml:space="preserve"> </w:t>
      </w:r>
      <w:r w:rsidR="00546333" w:rsidRPr="000D1BD6">
        <w:rPr>
          <w:rFonts w:ascii="Times New Roman" w:hAnsi="Times New Roman"/>
          <w:sz w:val="24"/>
          <w:szCs w:val="24"/>
          <w:highlight w:val="yellow"/>
        </w:rPr>
        <w:t>(-0.00</w:t>
      </w:r>
      <w:r w:rsidR="00000D5F" w:rsidRPr="000D1BD6">
        <w:rPr>
          <w:rFonts w:ascii="Times New Roman" w:hAnsi="Times New Roman"/>
          <w:sz w:val="24"/>
          <w:szCs w:val="24"/>
          <w:highlight w:val="yellow"/>
        </w:rPr>
        <w:t xml:space="preserve">4), </w:t>
      </w:r>
      <w:r w:rsidR="00546333" w:rsidRPr="000D1BD6">
        <w:rPr>
          <w:rFonts w:ascii="Times New Roman" w:hAnsi="Times New Roman"/>
          <w:sz w:val="24"/>
          <w:szCs w:val="24"/>
          <w:highlight w:val="yellow"/>
        </w:rPr>
        <w:t xml:space="preserve">and  ATM transaction ɸ6 </w:t>
      </w:r>
      <w:r w:rsidR="00017972" w:rsidRPr="000D1BD6">
        <w:rPr>
          <w:rFonts w:ascii="Times New Roman" w:hAnsi="Times New Roman"/>
          <w:sz w:val="24"/>
          <w:szCs w:val="24"/>
          <w:highlight w:val="yellow"/>
        </w:rPr>
        <w:t>(-0.0008) we</w:t>
      </w:r>
      <w:r w:rsidR="00546333" w:rsidRPr="000D1BD6">
        <w:rPr>
          <w:rFonts w:ascii="Times New Roman" w:hAnsi="Times New Roman"/>
          <w:sz w:val="24"/>
          <w:szCs w:val="24"/>
          <w:highlight w:val="yellow"/>
        </w:rPr>
        <w:t xml:space="preserve">re </w:t>
      </w:r>
      <w:r w:rsidR="00EF241A" w:rsidRPr="000D1BD6">
        <w:rPr>
          <w:rFonts w:ascii="Times New Roman" w:hAnsi="Times New Roman"/>
          <w:sz w:val="24"/>
          <w:szCs w:val="24"/>
          <w:highlight w:val="yellow"/>
        </w:rPr>
        <w:t xml:space="preserve">found </w:t>
      </w:r>
      <w:r w:rsidR="00546333" w:rsidRPr="000D1BD6">
        <w:rPr>
          <w:rFonts w:ascii="Times New Roman" w:hAnsi="Times New Roman"/>
          <w:sz w:val="24"/>
          <w:szCs w:val="24"/>
          <w:highlight w:val="yellow"/>
        </w:rPr>
        <w:t>negatively significant for the profit efficiency but the IT personnel expenses ɸ5(0.0018) and Credit Card Transaction ɸ8</w:t>
      </w:r>
      <w:r w:rsidR="00017972" w:rsidRPr="000D1BD6">
        <w:rPr>
          <w:rFonts w:ascii="Times New Roman" w:hAnsi="Times New Roman"/>
          <w:sz w:val="24"/>
          <w:szCs w:val="24"/>
          <w:highlight w:val="yellow"/>
        </w:rPr>
        <w:t xml:space="preserve"> (0.0013) wer</w:t>
      </w:r>
      <w:r w:rsidR="00546333" w:rsidRPr="000D1BD6">
        <w:rPr>
          <w:rFonts w:ascii="Times New Roman" w:hAnsi="Times New Roman"/>
          <w:sz w:val="24"/>
          <w:szCs w:val="24"/>
          <w:highlight w:val="yellow"/>
        </w:rPr>
        <w:t>e positively significant.</w:t>
      </w:r>
      <w:r w:rsidR="00A93CA0" w:rsidRPr="000D1BD6">
        <w:rPr>
          <w:rFonts w:ascii="Times New Roman" w:hAnsi="Times New Roman"/>
          <w:sz w:val="24"/>
          <w:szCs w:val="24"/>
          <w:highlight w:val="yellow"/>
        </w:rPr>
        <w:t xml:space="preserve"> </w:t>
      </w:r>
      <w:r w:rsidR="00017972" w:rsidRPr="000D1BD6">
        <w:rPr>
          <w:rFonts w:ascii="Times New Roman" w:hAnsi="Times New Roman"/>
          <w:sz w:val="24"/>
          <w:szCs w:val="24"/>
          <w:highlight w:val="yellow"/>
        </w:rPr>
        <w:t xml:space="preserve">Although, there are limited ICT factors are used in </w:t>
      </w:r>
      <w:r w:rsidR="000408EE" w:rsidRPr="000D1BD6">
        <w:rPr>
          <w:rFonts w:ascii="Times New Roman" w:hAnsi="Times New Roman"/>
          <w:sz w:val="24"/>
          <w:szCs w:val="24"/>
          <w:highlight w:val="yellow"/>
        </w:rPr>
        <w:t>this study</w:t>
      </w:r>
      <w:r w:rsidR="00017972" w:rsidRPr="000D1BD6">
        <w:rPr>
          <w:rFonts w:ascii="Times New Roman" w:hAnsi="Times New Roman"/>
          <w:sz w:val="24"/>
          <w:szCs w:val="24"/>
          <w:highlight w:val="yellow"/>
        </w:rPr>
        <w:t xml:space="preserve"> because banks are unwilling to disclose data bothering on these issues for competitive reasons, but this study is different from other studies because </w:t>
      </w:r>
      <w:r w:rsidR="000408EE" w:rsidRPr="000D1BD6">
        <w:rPr>
          <w:rFonts w:ascii="Times New Roman" w:hAnsi="Times New Roman"/>
          <w:sz w:val="24"/>
          <w:szCs w:val="24"/>
          <w:highlight w:val="yellow"/>
        </w:rPr>
        <w:t>of measuring</w:t>
      </w:r>
      <w:r w:rsidR="00017972" w:rsidRPr="000D1BD6">
        <w:rPr>
          <w:rFonts w:ascii="Times New Roman" w:hAnsi="Times New Roman"/>
          <w:sz w:val="24"/>
          <w:szCs w:val="24"/>
          <w:highlight w:val="yellow"/>
        </w:rPr>
        <w:t xml:space="preserve"> the </w:t>
      </w:r>
      <w:r w:rsidR="00546333" w:rsidRPr="000D1BD6">
        <w:rPr>
          <w:rFonts w:ascii="Times New Roman" w:hAnsi="Times New Roman"/>
          <w:sz w:val="24"/>
          <w:szCs w:val="24"/>
          <w:highlight w:val="yellow"/>
        </w:rPr>
        <w:t xml:space="preserve">impact of ICT component on cost and profit efficiency of Bangladesh banking industry using Tobit </w:t>
      </w:r>
      <w:r w:rsidR="00186BD7" w:rsidRPr="000D1BD6">
        <w:rPr>
          <w:rFonts w:ascii="Times New Roman" w:hAnsi="Times New Roman"/>
          <w:sz w:val="24"/>
          <w:szCs w:val="24"/>
          <w:highlight w:val="yellow"/>
        </w:rPr>
        <w:t>r</w:t>
      </w:r>
      <w:r w:rsidR="00546333" w:rsidRPr="000D1BD6">
        <w:rPr>
          <w:rFonts w:ascii="Times New Roman" w:hAnsi="Times New Roman"/>
          <w:sz w:val="24"/>
          <w:szCs w:val="24"/>
          <w:highlight w:val="yellow"/>
        </w:rPr>
        <w:t xml:space="preserve">egression </w:t>
      </w:r>
      <w:r w:rsidR="00186BD7" w:rsidRPr="000D1BD6">
        <w:rPr>
          <w:rFonts w:ascii="Times New Roman" w:hAnsi="Times New Roman"/>
          <w:sz w:val="24"/>
          <w:szCs w:val="24"/>
          <w:highlight w:val="yellow"/>
        </w:rPr>
        <w:t>m</w:t>
      </w:r>
      <w:r w:rsidR="00546333" w:rsidRPr="000D1BD6">
        <w:rPr>
          <w:rFonts w:ascii="Times New Roman" w:hAnsi="Times New Roman"/>
          <w:sz w:val="24"/>
          <w:szCs w:val="24"/>
          <w:highlight w:val="yellow"/>
        </w:rPr>
        <w:t xml:space="preserve">odel. </w:t>
      </w:r>
      <w:r w:rsidR="00186BD7" w:rsidRPr="000D1BD6">
        <w:rPr>
          <w:rFonts w:ascii="Times New Roman" w:hAnsi="Times New Roman"/>
          <w:sz w:val="24"/>
          <w:szCs w:val="24"/>
          <w:highlight w:val="yellow"/>
        </w:rPr>
        <w:t>T</w:t>
      </w:r>
      <w:r w:rsidR="00546333" w:rsidRPr="000D1BD6">
        <w:rPr>
          <w:rFonts w:ascii="Times New Roman" w:hAnsi="Times New Roman"/>
          <w:sz w:val="24"/>
          <w:szCs w:val="24"/>
          <w:highlight w:val="yellow"/>
        </w:rPr>
        <w:t xml:space="preserve">he </w:t>
      </w:r>
      <w:r w:rsidR="00186BD7" w:rsidRPr="000D1BD6">
        <w:rPr>
          <w:rFonts w:ascii="Times New Roman" w:hAnsi="Times New Roman"/>
          <w:sz w:val="24"/>
          <w:szCs w:val="24"/>
          <w:highlight w:val="yellow"/>
        </w:rPr>
        <w:t xml:space="preserve">PCBs </w:t>
      </w:r>
      <w:r w:rsidR="00546333" w:rsidRPr="000D1BD6">
        <w:rPr>
          <w:rFonts w:ascii="Times New Roman" w:hAnsi="Times New Roman"/>
          <w:sz w:val="24"/>
          <w:szCs w:val="24"/>
          <w:highlight w:val="yellow"/>
        </w:rPr>
        <w:t xml:space="preserve">system has to be internally efficient and technologically advanced. The information obtained from efficiency studies can be used to help government, regulators, and investors to remove the hindrance of progress in </w:t>
      </w:r>
      <w:r w:rsidR="00B55E03" w:rsidRPr="000D1BD6">
        <w:rPr>
          <w:rFonts w:ascii="Times New Roman" w:hAnsi="Times New Roman"/>
          <w:sz w:val="24"/>
          <w:szCs w:val="24"/>
          <w:highlight w:val="yellow"/>
        </w:rPr>
        <w:t>Bangladesh</w:t>
      </w:r>
      <w:r w:rsidR="00546333" w:rsidRPr="000D1BD6">
        <w:rPr>
          <w:rFonts w:ascii="Times New Roman" w:hAnsi="Times New Roman"/>
          <w:sz w:val="24"/>
          <w:szCs w:val="24"/>
          <w:highlight w:val="yellow"/>
        </w:rPr>
        <w:t xml:space="preserve"> economy.</w:t>
      </w:r>
      <w:r w:rsidR="00014C1F" w:rsidRPr="006D74FE">
        <w:rPr>
          <w:rFonts w:ascii="Times New Roman" w:hAnsi="Times New Roman"/>
          <w:sz w:val="24"/>
          <w:szCs w:val="24"/>
        </w:rPr>
        <w:t xml:space="preserve"> </w:t>
      </w:r>
    </w:p>
    <w:p w14:paraId="460BFE49" w14:textId="55271FB8" w:rsidR="00272AD3" w:rsidRDefault="00272AD3" w:rsidP="00A728A2">
      <w:pPr>
        <w:spacing w:after="0" w:line="240" w:lineRule="auto"/>
        <w:jc w:val="both"/>
        <w:rPr>
          <w:rFonts w:ascii="Times New Roman" w:hAnsi="Times New Roman"/>
          <w:sz w:val="24"/>
          <w:szCs w:val="24"/>
        </w:rPr>
      </w:pPr>
    </w:p>
    <w:p w14:paraId="69BE6230" w14:textId="77777777" w:rsidR="00272AD3" w:rsidRDefault="00272AD3" w:rsidP="00A728A2">
      <w:pPr>
        <w:spacing w:after="0" w:line="240" w:lineRule="auto"/>
        <w:jc w:val="both"/>
        <w:rPr>
          <w:rFonts w:ascii="Times New Roman" w:hAnsi="Times New Roman"/>
          <w:sz w:val="24"/>
          <w:szCs w:val="24"/>
        </w:rPr>
      </w:pPr>
    </w:p>
    <w:p w14:paraId="28B6A2B0" w14:textId="77777777" w:rsidR="00272AD3" w:rsidRPr="00272AD3" w:rsidRDefault="00272AD3" w:rsidP="00A728A2">
      <w:pPr>
        <w:spacing w:after="0" w:line="240" w:lineRule="auto"/>
        <w:jc w:val="both"/>
        <w:rPr>
          <w:rFonts w:ascii="Times New Roman" w:hAnsi="Times New Roman"/>
          <w:b/>
          <w:bCs/>
          <w:sz w:val="24"/>
          <w:szCs w:val="24"/>
        </w:rPr>
      </w:pPr>
      <w:r w:rsidRPr="00272AD3">
        <w:rPr>
          <w:rFonts w:ascii="Times New Roman" w:hAnsi="Times New Roman"/>
          <w:b/>
          <w:bCs/>
          <w:sz w:val="24"/>
          <w:szCs w:val="24"/>
        </w:rPr>
        <w:t>Acknowledgements</w:t>
      </w:r>
    </w:p>
    <w:p w14:paraId="7C5CB822" w14:textId="77777777" w:rsidR="00272AD3" w:rsidRDefault="00272AD3" w:rsidP="00A728A2">
      <w:pPr>
        <w:spacing w:after="0" w:line="240" w:lineRule="auto"/>
        <w:jc w:val="both"/>
        <w:rPr>
          <w:rFonts w:ascii="Times New Roman" w:hAnsi="Times New Roman"/>
          <w:sz w:val="24"/>
          <w:szCs w:val="24"/>
        </w:rPr>
      </w:pPr>
    </w:p>
    <w:p w14:paraId="58F8B095" w14:textId="5E8583B1" w:rsidR="00272AD3" w:rsidRPr="006D74FE" w:rsidRDefault="00272AD3" w:rsidP="00A728A2">
      <w:pPr>
        <w:spacing w:after="0" w:line="240" w:lineRule="auto"/>
        <w:jc w:val="both"/>
        <w:rPr>
          <w:rFonts w:ascii="Times New Roman" w:hAnsi="Times New Roman"/>
          <w:sz w:val="24"/>
          <w:szCs w:val="24"/>
        </w:rPr>
      </w:pPr>
      <w:r w:rsidRPr="00272AD3">
        <w:rPr>
          <w:rFonts w:ascii="Times New Roman" w:hAnsi="Times New Roman"/>
          <w:sz w:val="24"/>
          <w:szCs w:val="24"/>
        </w:rPr>
        <w:t>We published already one research article on stochastic frontier models in efficiency and productivity analysis with important application to Islamic Banking Industries in the Journal of Internet Banking and Commerce. Then we would like to extend this research together with other banking industries, productivity, technical efficiency measurements and determining the important ICT factors using a stochastic frontier production function model. The previous study has helped us to enhance and clarify our work</w:t>
      </w:r>
      <w:r>
        <w:rPr>
          <w:rFonts w:ascii="Times New Roman" w:hAnsi="Times New Roman"/>
          <w:sz w:val="24"/>
          <w:szCs w:val="24"/>
        </w:rPr>
        <w:t>.</w:t>
      </w:r>
    </w:p>
    <w:p w14:paraId="4132EB85" w14:textId="77777777" w:rsidR="00FC2B57" w:rsidRPr="006D74FE" w:rsidRDefault="00FC2B57" w:rsidP="00A728A2">
      <w:pPr>
        <w:spacing w:line="240" w:lineRule="auto"/>
        <w:jc w:val="both"/>
        <w:rPr>
          <w:rFonts w:ascii="Times New Roman" w:hAnsi="Times New Roman"/>
          <w:sz w:val="24"/>
          <w:szCs w:val="24"/>
        </w:rPr>
      </w:pPr>
      <w:r w:rsidRPr="006D74FE">
        <w:rPr>
          <w:rFonts w:ascii="Times New Roman" w:hAnsi="Times New Roman"/>
          <w:sz w:val="24"/>
          <w:szCs w:val="24"/>
        </w:rPr>
        <w:br w:type="page"/>
      </w:r>
    </w:p>
    <w:p w14:paraId="5AB1D444" w14:textId="31FFE64D" w:rsidR="00704512" w:rsidRPr="006D74FE" w:rsidRDefault="00014C1F" w:rsidP="00A728A2">
      <w:pPr>
        <w:spacing w:line="240" w:lineRule="auto"/>
        <w:jc w:val="both"/>
        <w:rPr>
          <w:rFonts w:ascii="Times New Roman" w:hAnsi="Times New Roman"/>
          <w:sz w:val="24"/>
          <w:szCs w:val="24"/>
        </w:rPr>
      </w:pPr>
      <w:r w:rsidRPr="006D74FE">
        <w:rPr>
          <w:rFonts w:ascii="Times New Roman" w:hAnsi="Times New Roman"/>
          <w:b/>
          <w:bCs/>
          <w:sz w:val="24"/>
          <w:szCs w:val="24"/>
        </w:rPr>
        <w:lastRenderedPageBreak/>
        <w:t>R</w:t>
      </w:r>
      <w:r w:rsidR="00E65939" w:rsidRPr="006D74FE">
        <w:rPr>
          <w:rFonts w:ascii="Times New Roman" w:hAnsi="Times New Roman"/>
          <w:b/>
          <w:bCs/>
          <w:sz w:val="24"/>
          <w:szCs w:val="24"/>
        </w:rPr>
        <w:t>eferences</w:t>
      </w:r>
    </w:p>
    <w:p w14:paraId="23755F04" w14:textId="782EE5DA" w:rsidR="00B77167" w:rsidRPr="00B77167" w:rsidRDefault="00272AD3" w:rsidP="00A728A2">
      <w:pPr>
        <w:widowControl w:val="0"/>
        <w:autoSpaceDE w:val="0"/>
        <w:autoSpaceDN w:val="0"/>
        <w:adjustRightInd w:val="0"/>
        <w:spacing w:line="240" w:lineRule="auto"/>
        <w:ind w:left="480" w:hanging="480"/>
        <w:jc w:val="both"/>
        <w:rPr>
          <w:rFonts w:ascii="Times New Roman" w:hAnsi="Times New Roman"/>
          <w:noProof/>
          <w:sz w:val="24"/>
          <w:szCs w:val="24"/>
        </w:rPr>
      </w:pPr>
      <w:r>
        <w:rPr>
          <w:rFonts w:ascii="Times New Roman" w:hAnsi="Times New Roman"/>
          <w:sz w:val="24"/>
          <w:szCs w:val="24"/>
        </w:rPr>
        <w:fldChar w:fldCharType="begin" w:fldLock="1"/>
      </w:r>
      <w:r>
        <w:rPr>
          <w:rFonts w:ascii="Times New Roman" w:hAnsi="Times New Roman"/>
          <w:sz w:val="24"/>
          <w:szCs w:val="24"/>
        </w:rPr>
        <w:instrText xml:space="preserve">ADDIN Mendeley Bibliography CSL_BIBLIOGRAPHY </w:instrText>
      </w:r>
      <w:r>
        <w:rPr>
          <w:rFonts w:ascii="Times New Roman" w:hAnsi="Times New Roman"/>
          <w:sz w:val="24"/>
          <w:szCs w:val="24"/>
        </w:rPr>
        <w:fldChar w:fldCharType="separate"/>
      </w:r>
      <w:r w:rsidR="00B77167" w:rsidRPr="00B77167">
        <w:rPr>
          <w:rFonts w:ascii="Times New Roman" w:hAnsi="Times New Roman"/>
          <w:noProof/>
          <w:sz w:val="24"/>
          <w:szCs w:val="24"/>
        </w:rPr>
        <w:t xml:space="preserve">Abdul-Majid, M, Saal, DS &amp; Battisti, G 2011, ‘The impact of islamic banking on the cost efficiency and productivity change of Malaysian commercial banks’., </w:t>
      </w:r>
      <w:r w:rsidR="00B77167" w:rsidRPr="00B77167">
        <w:rPr>
          <w:rFonts w:ascii="Times New Roman" w:hAnsi="Times New Roman"/>
          <w:i/>
          <w:iCs/>
          <w:noProof/>
          <w:sz w:val="24"/>
          <w:szCs w:val="24"/>
        </w:rPr>
        <w:t>Applied Economics</w:t>
      </w:r>
      <w:r w:rsidR="00B77167" w:rsidRPr="00B77167">
        <w:rPr>
          <w:rFonts w:ascii="Times New Roman" w:hAnsi="Times New Roman"/>
          <w:noProof/>
          <w:sz w:val="24"/>
          <w:szCs w:val="24"/>
        </w:rPr>
        <w:t>, vol. 43, no. 16, pp.2033–2054.</w:t>
      </w:r>
    </w:p>
    <w:p w14:paraId="68CAE01C"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Altunbas, Y, Liu, MH, Molyneux, P &amp; Seth, R 2000, ‘Efficiency and risk in Japanese banking’., </w:t>
      </w:r>
      <w:r w:rsidRPr="00B77167">
        <w:rPr>
          <w:rFonts w:ascii="Times New Roman" w:hAnsi="Times New Roman"/>
          <w:i/>
          <w:iCs/>
          <w:noProof/>
          <w:sz w:val="24"/>
          <w:szCs w:val="24"/>
        </w:rPr>
        <w:t>Journal of Banking and Finance</w:t>
      </w:r>
      <w:r w:rsidRPr="00B77167">
        <w:rPr>
          <w:rFonts w:ascii="Times New Roman" w:hAnsi="Times New Roman"/>
          <w:noProof/>
          <w:sz w:val="24"/>
          <w:szCs w:val="24"/>
        </w:rPr>
        <w:t>, vol. 24, no. 10, pp.1605–1628.</w:t>
      </w:r>
    </w:p>
    <w:p w14:paraId="4A049333"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Andries, AM 2011, ‘The determinants of bank efficiency and productivity growth in the central and eastern european banking systems’., </w:t>
      </w:r>
      <w:r w:rsidRPr="00B77167">
        <w:rPr>
          <w:rFonts w:ascii="Times New Roman" w:hAnsi="Times New Roman"/>
          <w:i/>
          <w:iCs/>
          <w:noProof/>
          <w:sz w:val="24"/>
          <w:szCs w:val="24"/>
        </w:rPr>
        <w:t>Eastern European Economics</w:t>
      </w:r>
      <w:r w:rsidRPr="00B77167">
        <w:rPr>
          <w:rFonts w:ascii="Times New Roman" w:hAnsi="Times New Roman"/>
          <w:noProof/>
          <w:sz w:val="24"/>
          <w:szCs w:val="24"/>
        </w:rPr>
        <w:t>, vol. 49, no. 6, pp.38–59.</w:t>
      </w:r>
    </w:p>
    <w:p w14:paraId="2C8FDD20"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Ara, S 2016, ‘Profit and Cost Efficiencies of Conventional Banking ( CB ) and Islamic Banking ( IB ) Using Stochastic Frontier Approach : A Comparative Study’., </w:t>
      </w:r>
      <w:r w:rsidRPr="00B77167">
        <w:rPr>
          <w:rFonts w:ascii="Times New Roman" w:hAnsi="Times New Roman"/>
          <w:i/>
          <w:iCs/>
          <w:noProof/>
          <w:sz w:val="24"/>
          <w:szCs w:val="24"/>
        </w:rPr>
        <w:t>Journal of Islamic Economics Banking and Finance</w:t>
      </w:r>
      <w:r w:rsidRPr="00B77167">
        <w:rPr>
          <w:rFonts w:ascii="Times New Roman" w:hAnsi="Times New Roman"/>
          <w:noProof/>
          <w:sz w:val="24"/>
          <w:szCs w:val="24"/>
        </w:rPr>
        <w:t>, vol. 12, no. 1, pp.63–89.</w:t>
      </w:r>
    </w:p>
    <w:p w14:paraId="2622E70C"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ARIFF, M &amp; CAN, L 2008, ‘Cost and profit efficiency of Chinese banks: A non-parametric analysis’., </w:t>
      </w:r>
      <w:r w:rsidRPr="00B77167">
        <w:rPr>
          <w:rFonts w:ascii="Times New Roman" w:hAnsi="Times New Roman"/>
          <w:i/>
          <w:iCs/>
          <w:noProof/>
          <w:sz w:val="24"/>
          <w:szCs w:val="24"/>
        </w:rPr>
        <w:t>China Economic Review</w:t>
      </w:r>
      <w:r w:rsidRPr="00B77167">
        <w:rPr>
          <w:rFonts w:ascii="Times New Roman" w:hAnsi="Times New Roman"/>
          <w:noProof/>
          <w:sz w:val="24"/>
          <w:szCs w:val="24"/>
        </w:rPr>
        <w:t>, vol. 19, no. 2, pp.260–273.</w:t>
      </w:r>
    </w:p>
    <w:p w14:paraId="240689B5"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Baten, A &amp; Begum, S 2014, ‘Stochastic frontier model for cost and profit efficiency of islamic online banks’., </w:t>
      </w:r>
      <w:r w:rsidRPr="00B77167">
        <w:rPr>
          <w:rFonts w:ascii="Times New Roman" w:hAnsi="Times New Roman"/>
          <w:i/>
          <w:iCs/>
          <w:noProof/>
          <w:sz w:val="24"/>
          <w:szCs w:val="24"/>
        </w:rPr>
        <w:t>Journal of Internet Banking and Commerce</w:t>
      </w:r>
      <w:r w:rsidRPr="00B77167">
        <w:rPr>
          <w:rFonts w:ascii="Times New Roman" w:hAnsi="Times New Roman"/>
          <w:noProof/>
          <w:sz w:val="24"/>
          <w:szCs w:val="24"/>
        </w:rPr>
        <w:t>, vol. 19, no. 1 Available from:  http://www.icommercecentral.com/open-access/stochastic-frontier-model-for-cost-and-profit-efficiency-ofislamic-online-banks.php?aid=37952. [16 April 2020].</w:t>
      </w:r>
    </w:p>
    <w:p w14:paraId="29DDB022"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Baten, MA, Kasim, MM &amp; Rahman, M 2015, ‘Cost and profit efficiency of online banks: Do national commercial banks perform better than private banks’., </w:t>
      </w:r>
      <w:r w:rsidRPr="00B77167">
        <w:rPr>
          <w:rFonts w:ascii="Times New Roman" w:hAnsi="Times New Roman"/>
          <w:i/>
          <w:iCs/>
          <w:noProof/>
          <w:sz w:val="24"/>
          <w:szCs w:val="24"/>
        </w:rPr>
        <w:t>Journal of Internet Banking and Commerce</w:t>
      </w:r>
      <w:r w:rsidRPr="00B77167">
        <w:rPr>
          <w:rFonts w:ascii="Times New Roman" w:hAnsi="Times New Roman"/>
          <w:noProof/>
          <w:sz w:val="24"/>
          <w:szCs w:val="24"/>
        </w:rPr>
        <w:t>, vol. 20, no. 3 Available from:  http://www.icommercecentral.com/open-access/cost-and-profit-efficiency-of-online-banks-do-national-commercial-banks-perform-better-than-private-banks.php?aid=64359. [16 April 2020].</w:t>
      </w:r>
    </w:p>
    <w:p w14:paraId="38BAD7DA"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Battese, GE &amp; Coelli, TJ 1995, ‘A model for technical inefficiency effects in a stochastic frontier production function for panel data’., </w:t>
      </w:r>
      <w:r w:rsidRPr="00B77167">
        <w:rPr>
          <w:rFonts w:ascii="Times New Roman" w:hAnsi="Times New Roman"/>
          <w:i/>
          <w:iCs/>
          <w:noProof/>
          <w:sz w:val="24"/>
          <w:szCs w:val="24"/>
        </w:rPr>
        <w:t>Empirical Economics</w:t>
      </w:r>
      <w:r w:rsidRPr="00B77167">
        <w:rPr>
          <w:rFonts w:ascii="Times New Roman" w:hAnsi="Times New Roman"/>
          <w:noProof/>
          <w:sz w:val="24"/>
          <w:szCs w:val="24"/>
        </w:rPr>
        <w:t>, vol. 20, no. 2, pp.325–332.</w:t>
      </w:r>
    </w:p>
    <w:p w14:paraId="72F79551"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Beccalli, E 2007, ‘Does IT investment improve bank performance? Evidence from Europe’., </w:t>
      </w:r>
      <w:r w:rsidRPr="00B77167">
        <w:rPr>
          <w:rFonts w:ascii="Times New Roman" w:hAnsi="Times New Roman"/>
          <w:i/>
          <w:iCs/>
          <w:noProof/>
          <w:sz w:val="24"/>
          <w:szCs w:val="24"/>
        </w:rPr>
        <w:t>Journal of Banking and Finance</w:t>
      </w:r>
      <w:r w:rsidRPr="00B77167">
        <w:rPr>
          <w:rFonts w:ascii="Times New Roman" w:hAnsi="Times New Roman"/>
          <w:noProof/>
          <w:sz w:val="24"/>
          <w:szCs w:val="24"/>
        </w:rPr>
        <w:t>, vol. 31, no. 7, pp.2205–2230.</w:t>
      </w:r>
    </w:p>
    <w:p w14:paraId="1F283D70"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Carvallo, O &amp; Kasman, A 2005, ‘Cost efficiency in the Latin American and Caribbean banking systems’., </w:t>
      </w:r>
      <w:r w:rsidRPr="00B77167">
        <w:rPr>
          <w:rFonts w:ascii="Times New Roman" w:hAnsi="Times New Roman"/>
          <w:i/>
          <w:iCs/>
          <w:noProof/>
          <w:sz w:val="24"/>
          <w:szCs w:val="24"/>
        </w:rPr>
        <w:t>Journal of International Financial Markets, Institutions and Money</w:t>
      </w:r>
      <w:r w:rsidRPr="00B77167">
        <w:rPr>
          <w:rFonts w:ascii="Times New Roman" w:hAnsi="Times New Roman"/>
          <w:noProof/>
          <w:sz w:val="24"/>
          <w:szCs w:val="24"/>
        </w:rPr>
        <w:t>, vol. 15, no. 1, pp.55–72.</w:t>
      </w:r>
    </w:p>
    <w:p w14:paraId="65C9B2A6"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Casu, B &amp; Molyneux, P 2003, ‘A comparative study of efficiency in European banking’., </w:t>
      </w:r>
      <w:r w:rsidRPr="00B77167">
        <w:rPr>
          <w:rFonts w:ascii="Times New Roman" w:hAnsi="Times New Roman"/>
          <w:i/>
          <w:iCs/>
          <w:noProof/>
          <w:sz w:val="24"/>
          <w:szCs w:val="24"/>
        </w:rPr>
        <w:t>Applied Economics</w:t>
      </w:r>
      <w:r w:rsidRPr="00B77167">
        <w:rPr>
          <w:rFonts w:ascii="Times New Roman" w:hAnsi="Times New Roman"/>
          <w:noProof/>
          <w:sz w:val="24"/>
          <w:szCs w:val="24"/>
        </w:rPr>
        <w:t>, vol. 35, no. 17, pp.1865–1876.</w:t>
      </w:r>
    </w:p>
    <w:p w14:paraId="05D776A8"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Christopoulos, DK, Lolos, SEG &amp; Tsionas, EG 2002, ‘Efficiency of the Greek banking system in view of the EMU: A heteroscedastic stochastic frontier approach’., </w:t>
      </w:r>
      <w:r w:rsidRPr="00B77167">
        <w:rPr>
          <w:rFonts w:ascii="Times New Roman" w:hAnsi="Times New Roman"/>
          <w:i/>
          <w:iCs/>
          <w:noProof/>
          <w:sz w:val="24"/>
          <w:szCs w:val="24"/>
        </w:rPr>
        <w:t>Journal of Policy Modeling</w:t>
      </w:r>
      <w:r w:rsidRPr="00B77167">
        <w:rPr>
          <w:rFonts w:ascii="Times New Roman" w:hAnsi="Times New Roman"/>
          <w:noProof/>
          <w:sz w:val="24"/>
          <w:szCs w:val="24"/>
        </w:rPr>
        <w:t>, vol. 24, no. 9, pp.813–829.</w:t>
      </w:r>
    </w:p>
    <w:p w14:paraId="35EFB12C"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Christopoulos, DK &amp; Tsionas, EG 2001, ‘Banking Economic Efficiency In The Deregulation Period: Results From Heteroscedastic Stochastic Frontier Models’., </w:t>
      </w:r>
      <w:r w:rsidRPr="00B77167">
        <w:rPr>
          <w:rFonts w:ascii="Times New Roman" w:hAnsi="Times New Roman"/>
          <w:i/>
          <w:iCs/>
          <w:noProof/>
          <w:sz w:val="24"/>
          <w:szCs w:val="24"/>
        </w:rPr>
        <w:t>The Manchester School</w:t>
      </w:r>
      <w:r w:rsidRPr="00B77167">
        <w:rPr>
          <w:rFonts w:ascii="Times New Roman" w:hAnsi="Times New Roman"/>
          <w:noProof/>
          <w:sz w:val="24"/>
          <w:szCs w:val="24"/>
        </w:rPr>
        <w:t>, vol. 69, no. 6, pp.656–676. Available from:  http://doi.wiley.com/10.1111/1467-</w:t>
      </w:r>
      <w:r w:rsidRPr="00B77167">
        <w:rPr>
          <w:rFonts w:ascii="Times New Roman" w:hAnsi="Times New Roman"/>
          <w:noProof/>
          <w:sz w:val="24"/>
          <w:szCs w:val="24"/>
        </w:rPr>
        <w:lastRenderedPageBreak/>
        <w:t>9957.00276. [16 April 2020].</w:t>
      </w:r>
    </w:p>
    <w:p w14:paraId="476CA9EB"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Duygun, M, Shaban, M, Sickles, RC &amp; Weyman-Jones, T 2015, ‘How a regulatory capital requirement affects banks’ productivity: an application to emerging economies’., </w:t>
      </w:r>
      <w:r w:rsidRPr="00B77167">
        <w:rPr>
          <w:rFonts w:ascii="Times New Roman" w:hAnsi="Times New Roman"/>
          <w:i/>
          <w:iCs/>
          <w:noProof/>
          <w:sz w:val="24"/>
          <w:szCs w:val="24"/>
        </w:rPr>
        <w:t>Journal of Productivity Analysis</w:t>
      </w:r>
      <w:r w:rsidRPr="00B77167">
        <w:rPr>
          <w:rFonts w:ascii="Times New Roman" w:hAnsi="Times New Roman"/>
          <w:noProof/>
          <w:sz w:val="24"/>
          <w:szCs w:val="24"/>
        </w:rPr>
        <w:t>, vol. 44, no. 3, pp.237–248.</w:t>
      </w:r>
    </w:p>
    <w:p w14:paraId="2EBF7A68"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Fries, S &amp; Taci, A 2005, ‘Cost efficiency of banks in transition: Evidence from 289 banks in 15 post-communist countries’., </w:t>
      </w:r>
      <w:r w:rsidRPr="00B77167">
        <w:rPr>
          <w:rFonts w:ascii="Times New Roman" w:hAnsi="Times New Roman"/>
          <w:i/>
          <w:iCs/>
          <w:noProof/>
          <w:sz w:val="24"/>
          <w:szCs w:val="24"/>
        </w:rPr>
        <w:t>Journal of Banking and Finance</w:t>
      </w:r>
      <w:r w:rsidRPr="00B77167">
        <w:rPr>
          <w:rFonts w:ascii="Times New Roman" w:hAnsi="Times New Roman"/>
          <w:noProof/>
          <w:sz w:val="24"/>
          <w:szCs w:val="24"/>
        </w:rPr>
        <w:t>, vol. 29, no. 1 SPEC. ISS., pp.55–81.</w:t>
      </w:r>
    </w:p>
    <w:p w14:paraId="02C7C00D"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Girardone, C, Molyneux, P &amp; Gardener, EPM 2004, ‘Analysing the determinants of bank efficiency: The case of Italian banks’., </w:t>
      </w:r>
      <w:r w:rsidRPr="00B77167">
        <w:rPr>
          <w:rFonts w:ascii="Times New Roman" w:hAnsi="Times New Roman"/>
          <w:i/>
          <w:iCs/>
          <w:noProof/>
          <w:sz w:val="24"/>
          <w:szCs w:val="24"/>
        </w:rPr>
        <w:t>Applied Economics</w:t>
      </w:r>
      <w:r w:rsidRPr="00B77167">
        <w:rPr>
          <w:rFonts w:ascii="Times New Roman" w:hAnsi="Times New Roman"/>
          <w:noProof/>
          <w:sz w:val="24"/>
          <w:szCs w:val="24"/>
        </w:rPr>
        <w:t>, vol. 36, no. 3, pp.215–227.</w:t>
      </w:r>
    </w:p>
    <w:p w14:paraId="441F6526"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Hassan, MH &amp; Hassan, M 2018, ‘Cost efficiency of banking sector of Bangladesh: evidence using the stochastic frontier analysis’., </w:t>
      </w:r>
      <w:r w:rsidRPr="00B77167">
        <w:rPr>
          <w:rFonts w:ascii="Times New Roman" w:hAnsi="Times New Roman"/>
          <w:i/>
          <w:iCs/>
          <w:noProof/>
          <w:sz w:val="24"/>
          <w:szCs w:val="24"/>
        </w:rPr>
        <w:t>Asian Journal of Empirical Research</w:t>
      </w:r>
      <w:r w:rsidRPr="00B77167">
        <w:rPr>
          <w:rFonts w:ascii="Times New Roman" w:hAnsi="Times New Roman"/>
          <w:noProof/>
          <w:sz w:val="24"/>
          <w:szCs w:val="24"/>
        </w:rPr>
        <w:t>, vol. 8, no. 6, pp.208–224.</w:t>
      </w:r>
    </w:p>
    <w:p w14:paraId="03784604"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Kodde, DA, Palm, FC, Kodde, DA &amp; Palm, F 1986, ‘Wald Criteria for Jointly Testing Equality and Inequality Restriction s’., </w:t>
      </w:r>
      <w:r w:rsidRPr="00B77167">
        <w:rPr>
          <w:rFonts w:ascii="Times New Roman" w:hAnsi="Times New Roman"/>
          <w:i/>
          <w:iCs/>
          <w:noProof/>
          <w:sz w:val="24"/>
          <w:szCs w:val="24"/>
        </w:rPr>
        <w:t>Econometrica</w:t>
      </w:r>
      <w:r w:rsidRPr="00B77167">
        <w:rPr>
          <w:rFonts w:ascii="Times New Roman" w:hAnsi="Times New Roman"/>
          <w:noProof/>
          <w:sz w:val="24"/>
          <w:szCs w:val="24"/>
        </w:rPr>
        <w:t>, vol. 54, no. 5, pp.1243–48.</w:t>
      </w:r>
    </w:p>
    <w:p w14:paraId="3822BE74"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Košak, M, Zajc, P &amp; Zorić, J 2009, ‘Bank efficiency differences in the new EU member states’., </w:t>
      </w:r>
      <w:r w:rsidRPr="00B77167">
        <w:rPr>
          <w:rFonts w:ascii="Times New Roman" w:hAnsi="Times New Roman"/>
          <w:i/>
          <w:iCs/>
          <w:noProof/>
          <w:sz w:val="24"/>
          <w:szCs w:val="24"/>
        </w:rPr>
        <w:t>Baltic Journal of Economics</w:t>
      </w:r>
      <w:r w:rsidRPr="00B77167">
        <w:rPr>
          <w:rFonts w:ascii="Times New Roman" w:hAnsi="Times New Roman"/>
          <w:noProof/>
          <w:sz w:val="24"/>
          <w:szCs w:val="24"/>
        </w:rPr>
        <w:t>, vol. 9, no. 2, pp.67–89.</w:t>
      </w:r>
    </w:p>
    <w:p w14:paraId="27F1280E"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Lee, B &amp; Menon, NM 2000, ‘Information technology value through different normative lenses’., </w:t>
      </w:r>
      <w:r w:rsidRPr="00B77167">
        <w:rPr>
          <w:rFonts w:ascii="Times New Roman" w:hAnsi="Times New Roman"/>
          <w:i/>
          <w:iCs/>
          <w:noProof/>
          <w:sz w:val="24"/>
          <w:szCs w:val="24"/>
        </w:rPr>
        <w:t>Journal of Management Information Systems</w:t>
      </w:r>
      <w:r w:rsidRPr="00B77167">
        <w:rPr>
          <w:rFonts w:ascii="Times New Roman" w:hAnsi="Times New Roman"/>
          <w:noProof/>
          <w:sz w:val="24"/>
          <w:szCs w:val="24"/>
        </w:rPr>
        <w:t>, vol. 16, no. 4, pp.99–119.</w:t>
      </w:r>
    </w:p>
    <w:p w14:paraId="699A789A"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Mertens, A &amp; Urga, G 2001, ‘Efficiency, scale and scope economies in the Ukrainian banking sector in 1998’., </w:t>
      </w:r>
      <w:r w:rsidRPr="00B77167">
        <w:rPr>
          <w:rFonts w:ascii="Times New Roman" w:hAnsi="Times New Roman"/>
          <w:i/>
          <w:iCs/>
          <w:noProof/>
          <w:sz w:val="24"/>
          <w:szCs w:val="24"/>
        </w:rPr>
        <w:t>Emerging Markets Review</w:t>
      </w:r>
      <w:r w:rsidRPr="00B77167">
        <w:rPr>
          <w:rFonts w:ascii="Times New Roman" w:hAnsi="Times New Roman"/>
          <w:noProof/>
          <w:sz w:val="24"/>
          <w:szCs w:val="24"/>
        </w:rPr>
        <w:t>, vol. 2, no. 3, pp.292–308.</w:t>
      </w:r>
    </w:p>
    <w:p w14:paraId="66118BC7"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Romdhane, S Ben 2013, ‘Impact of Information Technology on The Performance of Tunisian Banks: A Stochastic Frontier Analysis with Panel Data’., </w:t>
      </w:r>
      <w:r w:rsidRPr="00B77167">
        <w:rPr>
          <w:rFonts w:ascii="Times New Roman" w:hAnsi="Times New Roman"/>
          <w:i/>
          <w:iCs/>
          <w:noProof/>
          <w:sz w:val="24"/>
          <w:szCs w:val="24"/>
        </w:rPr>
        <w:t>Asian Academy of Management Journal of Accounting and Finance (AAMJAF)</w:t>
      </w:r>
      <w:r w:rsidRPr="00B77167">
        <w:rPr>
          <w:rFonts w:ascii="Times New Roman" w:hAnsi="Times New Roman"/>
          <w:noProof/>
          <w:sz w:val="24"/>
          <w:szCs w:val="24"/>
        </w:rPr>
        <w:t>, vol. 9, no. 2, pp.95–125.</w:t>
      </w:r>
    </w:p>
    <w:p w14:paraId="4A2C3758"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Sadekin, M &amp; Shaikh, M 2015, </w:t>
      </w:r>
      <w:r w:rsidRPr="00B77167">
        <w:rPr>
          <w:rFonts w:ascii="Times New Roman" w:hAnsi="Times New Roman"/>
          <w:i/>
          <w:iCs/>
          <w:noProof/>
          <w:sz w:val="24"/>
          <w:szCs w:val="24"/>
        </w:rPr>
        <w:t>Current Status of E-Banking Practices in Bangladesh</w:t>
      </w:r>
      <w:r w:rsidRPr="00B77167">
        <w:rPr>
          <w:rFonts w:ascii="Times New Roman" w:hAnsi="Times New Roman"/>
          <w:noProof/>
          <w:sz w:val="24"/>
          <w:szCs w:val="24"/>
        </w:rPr>
        <w:t>.</w:t>
      </w:r>
    </w:p>
    <w:p w14:paraId="1D5413F2"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Safari, MR &amp; Yu, LZ 2014, </w:t>
      </w:r>
      <w:r w:rsidRPr="00B77167">
        <w:rPr>
          <w:rFonts w:ascii="Times New Roman" w:hAnsi="Times New Roman"/>
          <w:i/>
          <w:iCs/>
          <w:noProof/>
          <w:sz w:val="24"/>
          <w:szCs w:val="24"/>
        </w:rPr>
        <w:t>Impact of Information and Communication Technology (ICT) on Efficiency: Evidence from the Iranian Banking Industry</w:t>
      </w:r>
      <w:r w:rsidRPr="00B77167">
        <w:rPr>
          <w:rFonts w:ascii="Times New Roman" w:hAnsi="Times New Roman"/>
          <w:noProof/>
          <w:sz w:val="24"/>
          <w:szCs w:val="24"/>
        </w:rPr>
        <w:t>.</w:t>
      </w:r>
    </w:p>
    <w:p w14:paraId="3D8DF0BF"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Shen, Z, Liao, H &amp; Weyman-Jones, T 2009, ‘Cost efficiency analysis in banking industries of ten Asian countries and regions’., </w:t>
      </w:r>
      <w:r w:rsidRPr="00B77167">
        <w:rPr>
          <w:rFonts w:ascii="Times New Roman" w:hAnsi="Times New Roman"/>
          <w:i/>
          <w:iCs/>
          <w:noProof/>
          <w:sz w:val="24"/>
          <w:szCs w:val="24"/>
        </w:rPr>
        <w:t>Journal of Chinese Economic and Business Studies</w:t>
      </w:r>
      <w:r w:rsidRPr="00B77167">
        <w:rPr>
          <w:rFonts w:ascii="Times New Roman" w:hAnsi="Times New Roman"/>
          <w:noProof/>
          <w:sz w:val="24"/>
          <w:szCs w:val="24"/>
        </w:rPr>
        <w:t>, vol. 7, no. 2, pp.199–218.</w:t>
      </w:r>
    </w:p>
    <w:p w14:paraId="0959B452"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Surulivel, ST, Vijayabanu, C, Amudha, R &amp; Charumathi, B 2013, ‘Impact of Information Technology (IT) investments on the cost efficiency of Indian private sector banks-a Stochastic Frontier Approach (SFA)’., </w:t>
      </w:r>
      <w:r w:rsidRPr="00B77167">
        <w:rPr>
          <w:rFonts w:ascii="Times New Roman" w:hAnsi="Times New Roman"/>
          <w:i/>
          <w:iCs/>
          <w:noProof/>
          <w:sz w:val="24"/>
          <w:szCs w:val="24"/>
        </w:rPr>
        <w:t>Research Journal of Applied Sciences, Engineering and Technology</w:t>
      </w:r>
      <w:r w:rsidRPr="00B77167">
        <w:rPr>
          <w:rFonts w:ascii="Times New Roman" w:hAnsi="Times New Roman"/>
          <w:noProof/>
          <w:sz w:val="24"/>
          <w:szCs w:val="24"/>
        </w:rPr>
        <w:t>, vol. 6, no. 14, pp.2685–2692.</w:t>
      </w:r>
    </w:p>
    <w:p w14:paraId="5167549A"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Thangavelu, SM &amp; Findlay, C 2010, </w:t>
      </w:r>
      <w:r w:rsidRPr="00B77167">
        <w:rPr>
          <w:rFonts w:ascii="Times New Roman" w:hAnsi="Times New Roman"/>
          <w:i/>
          <w:iCs/>
          <w:noProof/>
          <w:sz w:val="24"/>
          <w:szCs w:val="24"/>
        </w:rPr>
        <w:t>Bank efficiency, regulation and response to crisis of financial institutions in selected Asian countries</w:t>
      </w:r>
      <w:r w:rsidRPr="00B77167">
        <w:rPr>
          <w:rFonts w:ascii="Times New Roman" w:hAnsi="Times New Roman"/>
          <w:noProof/>
          <w:sz w:val="24"/>
          <w:szCs w:val="24"/>
        </w:rPr>
        <w:t>.</w:t>
      </w:r>
    </w:p>
    <w:p w14:paraId="0425753C"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szCs w:val="24"/>
        </w:rPr>
      </w:pPr>
      <w:r w:rsidRPr="00B77167">
        <w:rPr>
          <w:rFonts w:ascii="Times New Roman" w:hAnsi="Times New Roman"/>
          <w:noProof/>
          <w:sz w:val="24"/>
          <w:szCs w:val="24"/>
        </w:rPr>
        <w:t xml:space="preserve">Thi, L &amp; Ngan, T 2014, </w:t>
      </w:r>
      <w:r w:rsidRPr="00B77167">
        <w:rPr>
          <w:rFonts w:ascii="Times New Roman" w:hAnsi="Times New Roman"/>
          <w:i/>
          <w:iCs/>
          <w:noProof/>
          <w:sz w:val="24"/>
          <w:szCs w:val="24"/>
        </w:rPr>
        <w:t>Scientific Papers (www.scientificpapers.org) Journal of Knowledge Management, Economics and Information Technology Profit and Cost Efficiency Analysis in Banking Sector: A Case of Stochastic Frontier Approach for Vietnam</w:t>
      </w:r>
      <w:r w:rsidRPr="00B77167">
        <w:rPr>
          <w:rFonts w:ascii="Times New Roman" w:hAnsi="Times New Roman"/>
          <w:noProof/>
          <w:sz w:val="24"/>
          <w:szCs w:val="24"/>
        </w:rPr>
        <w:t>. Available from:  www.scientificpapers.org. [16 April 2020].</w:t>
      </w:r>
    </w:p>
    <w:p w14:paraId="2C0F37BE" w14:textId="77777777" w:rsidR="00B77167" w:rsidRPr="00B77167" w:rsidRDefault="00B77167" w:rsidP="00A728A2">
      <w:pPr>
        <w:widowControl w:val="0"/>
        <w:autoSpaceDE w:val="0"/>
        <w:autoSpaceDN w:val="0"/>
        <w:adjustRightInd w:val="0"/>
        <w:spacing w:line="240" w:lineRule="auto"/>
        <w:ind w:left="480" w:hanging="480"/>
        <w:jc w:val="both"/>
        <w:rPr>
          <w:rFonts w:ascii="Times New Roman" w:hAnsi="Times New Roman"/>
          <w:noProof/>
          <w:sz w:val="24"/>
        </w:rPr>
      </w:pPr>
      <w:r w:rsidRPr="00B77167">
        <w:rPr>
          <w:rFonts w:ascii="Times New Roman" w:hAnsi="Times New Roman"/>
          <w:noProof/>
          <w:sz w:val="24"/>
          <w:szCs w:val="24"/>
        </w:rPr>
        <w:lastRenderedPageBreak/>
        <w:t xml:space="preserve">Yildirim, HS &amp; Philippatos, GC 2007, ‘Efficiency of banks: Recent evidence from the transition economies of Europe, 1993-2000’., </w:t>
      </w:r>
      <w:r w:rsidRPr="00B77167">
        <w:rPr>
          <w:rFonts w:ascii="Times New Roman" w:hAnsi="Times New Roman"/>
          <w:i/>
          <w:iCs/>
          <w:noProof/>
          <w:sz w:val="24"/>
          <w:szCs w:val="24"/>
        </w:rPr>
        <w:t>European Journal of Finance</w:t>
      </w:r>
      <w:r w:rsidRPr="00B77167">
        <w:rPr>
          <w:rFonts w:ascii="Times New Roman" w:hAnsi="Times New Roman"/>
          <w:noProof/>
          <w:sz w:val="24"/>
          <w:szCs w:val="24"/>
        </w:rPr>
        <w:t>, vol. 13, no. 2, pp.123–143.</w:t>
      </w:r>
    </w:p>
    <w:p w14:paraId="627C23A1" w14:textId="2941F5DA" w:rsidR="00E4633A" w:rsidRPr="006D74FE" w:rsidRDefault="00272AD3" w:rsidP="00A728A2">
      <w:pPr>
        <w:jc w:val="both"/>
        <w:rPr>
          <w:rFonts w:ascii="Times New Roman" w:hAnsi="Times New Roman"/>
          <w:sz w:val="24"/>
          <w:szCs w:val="24"/>
        </w:rPr>
      </w:pPr>
      <w:r>
        <w:rPr>
          <w:rFonts w:ascii="Times New Roman" w:hAnsi="Times New Roman"/>
          <w:sz w:val="24"/>
          <w:szCs w:val="24"/>
        </w:rPr>
        <w:fldChar w:fldCharType="end"/>
      </w:r>
      <w:r w:rsidR="00E4633A" w:rsidRPr="006D74FE">
        <w:rPr>
          <w:rFonts w:ascii="Times New Roman" w:hAnsi="Times New Roman"/>
          <w:sz w:val="24"/>
          <w:szCs w:val="24"/>
        </w:rPr>
        <w:br w:type="page"/>
      </w:r>
    </w:p>
    <w:p w14:paraId="18A5BE39" w14:textId="77777777" w:rsidR="00E4633A" w:rsidRPr="006D74FE" w:rsidRDefault="00E4633A" w:rsidP="00A728A2">
      <w:pPr>
        <w:jc w:val="both"/>
        <w:rPr>
          <w:rFonts w:ascii="Times New Roman" w:hAnsi="Times New Roman"/>
          <w:b/>
          <w:bCs/>
          <w:sz w:val="24"/>
          <w:szCs w:val="24"/>
        </w:rPr>
      </w:pPr>
      <w:r w:rsidRPr="006D74FE">
        <w:rPr>
          <w:rFonts w:ascii="Times New Roman" w:hAnsi="Times New Roman"/>
          <w:b/>
          <w:bCs/>
          <w:sz w:val="24"/>
          <w:szCs w:val="24"/>
        </w:rPr>
        <w:lastRenderedPageBreak/>
        <w:t>Notes</w:t>
      </w:r>
    </w:p>
    <w:p w14:paraId="64876EBB" w14:textId="77777777" w:rsidR="00E4633A" w:rsidRPr="006D74FE" w:rsidRDefault="00E4633A" w:rsidP="00A728A2">
      <w:pPr>
        <w:ind w:left="720" w:hanging="720"/>
        <w:jc w:val="both"/>
        <w:rPr>
          <w:rFonts w:ascii="Times New Roman" w:hAnsi="Times New Roman"/>
          <w:sz w:val="24"/>
          <w:szCs w:val="24"/>
        </w:rPr>
      </w:pPr>
      <w:r w:rsidRPr="006D74FE">
        <w:rPr>
          <w:rFonts w:ascii="Times New Roman" w:hAnsi="Times New Roman"/>
          <w:sz w:val="24"/>
          <w:szCs w:val="24"/>
        </w:rPr>
        <w:t>1</w:t>
      </w:r>
      <w:r w:rsidRPr="006D74FE">
        <w:rPr>
          <w:rFonts w:ascii="Times New Roman" w:hAnsi="Times New Roman"/>
          <w:sz w:val="24"/>
          <w:szCs w:val="24"/>
        </w:rPr>
        <w:tab/>
        <w:t xml:space="preserve">According to the BIBM report, PCBs are large in terms of shares in assets and number of branches; they could cover around 99.5 per cent of their branches in present under computerization. </w:t>
      </w:r>
    </w:p>
    <w:p w14:paraId="100973A1" w14:textId="25F11F68" w:rsidR="00E4633A" w:rsidRPr="006D74FE" w:rsidRDefault="00E4633A" w:rsidP="00A728A2">
      <w:pPr>
        <w:ind w:left="720" w:hanging="720"/>
        <w:jc w:val="both"/>
        <w:rPr>
          <w:rFonts w:ascii="Times New Roman" w:hAnsi="Times New Roman"/>
          <w:sz w:val="24"/>
          <w:szCs w:val="24"/>
        </w:rPr>
      </w:pPr>
      <w:r w:rsidRPr="006D74FE">
        <w:rPr>
          <w:rFonts w:ascii="Times New Roman" w:hAnsi="Times New Roman"/>
          <w:sz w:val="24"/>
          <w:szCs w:val="24"/>
        </w:rPr>
        <w:t>2</w:t>
      </w:r>
      <w:r w:rsidRPr="006D74FE">
        <w:rPr>
          <w:rFonts w:ascii="Times New Roman" w:hAnsi="Times New Roman"/>
          <w:sz w:val="24"/>
          <w:szCs w:val="24"/>
        </w:rPr>
        <w:tab/>
        <w:t xml:space="preserve">Koop (2008) specifies that the TOBIT model is a regression model that has the dependent variable which is censored at zero. In revealing the ICT factors affecting cost and profit efficiency levels of Bangladesh banks, this study uses TOBIT regression considering the efficiency scores have the features of censored value between 0 and 1. </w:t>
      </w:r>
    </w:p>
    <w:p w14:paraId="69295401" w14:textId="36E6C5A0" w:rsidR="006D74FE" w:rsidRDefault="00E4633A" w:rsidP="00A728A2">
      <w:pPr>
        <w:ind w:left="720" w:hanging="720"/>
        <w:jc w:val="both"/>
        <w:rPr>
          <w:rFonts w:ascii="Times New Roman" w:hAnsi="Times New Roman"/>
          <w:sz w:val="24"/>
          <w:szCs w:val="24"/>
        </w:rPr>
      </w:pPr>
      <w:r w:rsidRPr="006D74FE">
        <w:rPr>
          <w:rFonts w:ascii="Times New Roman" w:hAnsi="Times New Roman"/>
          <w:sz w:val="24"/>
          <w:szCs w:val="24"/>
        </w:rPr>
        <w:t>3</w:t>
      </w:r>
      <w:r w:rsidRPr="006D74FE">
        <w:rPr>
          <w:rFonts w:ascii="Times New Roman" w:hAnsi="Times New Roman"/>
          <w:sz w:val="24"/>
          <w:szCs w:val="24"/>
        </w:rPr>
        <w:tab/>
        <w:t>Specifically the study undertakes to investigate the use and development of some classes of ICT applications because most of the banks are unwilling to disclose data bothering</w:t>
      </w:r>
      <w:r w:rsidR="006D74FE" w:rsidRPr="006D74FE">
        <w:rPr>
          <w:rFonts w:ascii="Times New Roman" w:hAnsi="Times New Roman"/>
          <w:sz w:val="24"/>
          <w:szCs w:val="24"/>
        </w:rPr>
        <w:t xml:space="preserve"> </w:t>
      </w:r>
      <w:r w:rsidRPr="006D74FE">
        <w:rPr>
          <w:rFonts w:ascii="Times New Roman" w:hAnsi="Times New Roman"/>
          <w:sz w:val="24"/>
          <w:szCs w:val="24"/>
        </w:rPr>
        <w:t>on these issues for competitive reasons. So, data obtained from published reports and banks officials are expected to serve as the basis for this analysis.</w:t>
      </w:r>
    </w:p>
    <w:p w14:paraId="4E3860D8" w14:textId="77777777" w:rsidR="006D74FE" w:rsidRDefault="006D74FE" w:rsidP="00A728A2">
      <w:pPr>
        <w:jc w:val="both"/>
        <w:rPr>
          <w:rFonts w:ascii="Times New Roman" w:hAnsi="Times New Roman"/>
          <w:sz w:val="24"/>
          <w:szCs w:val="24"/>
        </w:rPr>
      </w:pPr>
      <w:r>
        <w:rPr>
          <w:rFonts w:ascii="Times New Roman" w:hAnsi="Times New Roman"/>
          <w:sz w:val="24"/>
          <w:szCs w:val="24"/>
        </w:rPr>
        <w:br w:type="page"/>
      </w:r>
    </w:p>
    <w:p w14:paraId="6C869895" w14:textId="2BAB6408" w:rsidR="00FC2B57" w:rsidRPr="006D74FE" w:rsidRDefault="00C97896" w:rsidP="00A728A2">
      <w:pPr>
        <w:ind w:left="720" w:hanging="720"/>
        <w:jc w:val="both"/>
        <w:rPr>
          <w:rFonts w:ascii="Times New Roman" w:hAnsi="Times New Roman"/>
          <w:b/>
          <w:bCs/>
          <w:sz w:val="24"/>
          <w:szCs w:val="24"/>
        </w:rPr>
      </w:pPr>
      <w:r w:rsidRPr="006D74FE">
        <w:rPr>
          <w:rFonts w:ascii="Times New Roman" w:hAnsi="Times New Roman"/>
          <w:b/>
          <w:bCs/>
          <w:sz w:val="24"/>
          <w:szCs w:val="24"/>
        </w:rPr>
        <w:lastRenderedPageBreak/>
        <w:t>Tables and figures</w:t>
      </w:r>
    </w:p>
    <w:p w14:paraId="70F110AE" w14:textId="7E458EEA" w:rsidR="00BC3A22" w:rsidRDefault="00BC3A22" w:rsidP="00A728A2">
      <w:pPr>
        <w:spacing w:after="0" w:line="240" w:lineRule="auto"/>
        <w:jc w:val="both"/>
        <w:rPr>
          <w:rFonts w:ascii="Times New Roman" w:hAnsi="Times New Roman"/>
          <w:b/>
          <w:bCs/>
          <w:sz w:val="24"/>
          <w:szCs w:val="24"/>
        </w:rPr>
      </w:pPr>
      <w:r w:rsidRPr="006D74FE">
        <w:rPr>
          <w:rFonts w:ascii="Times New Roman" w:hAnsi="Times New Roman"/>
          <w:b/>
          <w:bCs/>
          <w:sz w:val="24"/>
          <w:szCs w:val="24"/>
        </w:rPr>
        <w:t xml:space="preserve">Table 1 </w:t>
      </w:r>
      <w:r w:rsidRPr="009305F6">
        <w:rPr>
          <w:rFonts w:ascii="Times New Roman" w:hAnsi="Times New Roman"/>
          <w:sz w:val="24"/>
          <w:szCs w:val="24"/>
        </w:rPr>
        <w:t xml:space="preserve">Results of both Cost and Profit Efficiencies with Cobb-Douglas and </w:t>
      </w:r>
      <w:proofErr w:type="spellStart"/>
      <w:r w:rsidRPr="009305F6">
        <w:rPr>
          <w:rFonts w:ascii="Times New Roman" w:hAnsi="Times New Roman"/>
          <w:sz w:val="24"/>
          <w:szCs w:val="24"/>
        </w:rPr>
        <w:t>Translog</w:t>
      </w:r>
      <w:proofErr w:type="spellEnd"/>
      <w:r w:rsidRPr="009305F6">
        <w:rPr>
          <w:rFonts w:ascii="Times New Roman" w:hAnsi="Times New Roman"/>
          <w:sz w:val="24"/>
          <w:szCs w:val="24"/>
        </w:rPr>
        <w:t xml:space="preserve"> Stochastic Frontier Models</w:t>
      </w:r>
      <w:r w:rsidRPr="006D74FE">
        <w:rPr>
          <w:rFonts w:ascii="Times New Roman" w:hAnsi="Times New Roman"/>
          <w:b/>
          <w:bCs/>
          <w:sz w:val="24"/>
          <w:szCs w:val="24"/>
        </w:rPr>
        <w:t xml:space="preserve"> </w:t>
      </w:r>
    </w:p>
    <w:p w14:paraId="4D889706" w14:textId="77777777" w:rsidR="009305F6" w:rsidRPr="006D74FE" w:rsidRDefault="009305F6" w:rsidP="00A728A2">
      <w:pPr>
        <w:spacing w:after="0" w:line="240" w:lineRule="auto"/>
        <w:jc w:val="both"/>
        <w:rPr>
          <w:rFonts w:ascii="Times New Roman" w:hAnsi="Times New Roman"/>
          <w:b/>
          <w:bCs/>
          <w:sz w:val="24"/>
          <w:szCs w:val="24"/>
        </w:rPr>
      </w:pPr>
    </w:p>
    <w:tbl>
      <w:tblPr>
        <w:tblStyle w:val="PlainTable2"/>
        <w:tblW w:w="5000" w:type="pct"/>
        <w:tblBorders>
          <w:top w:val="none" w:sz="0" w:space="0" w:color="auto"/>
          <w:bottom w:val="none" w:sz="0" w:space="0" w:color="auto"/>
        </w:tblBorders>
        <w:tblLook w:val="04A0" w:firstRow="1" w:lastRow="0" w:firstColumn="1" w:lastColumn="0" w:noHBand="0" w:noVBand="1"/>
      </w:tblPr>
      <w:tblGrid>
        <w:gridCol w:w="1818"/>
        <w:gridCol w:w="1484"/>
        <w:gridCol w:w="1575"/>
        <w:gridCol w:w="20"/>
        <w:gridCol w:w="1381"/>
        <w:gridCol w:w="1490"/>
        <w:gridCol w:w="1475"/>
      </w:tblGrid>
      <w:tr w:rsidR="00E009A5" w:rsidRPr="006D74FE" w14:paraId="3D280A80" w14:textId="77777777" w:rsidTr="00FC50F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786" w:type="pct"/>
            <w:gridSpan w:val="2"/>
            <w:tcBorders>
              <w:top w:val="single" w:sz="4" w:space="0" w:color="auto"/>
              <w:bottom w:val="none" w:sz="0" w:space="0" w:color="auto"/>
            </w:tcBorders>
            <w:vAlign w:val="center"/>
          </w:tcPr>
          <w:p w14:paraId="690C323A" w14:textId="77777777" w:rsidR="00E009A5" w:rsidRPr="006D74FE" w:rsidRDefault="00E009A5" w:rsidP="00A728A2">
            <w:pPr>
              <w:jc w:val="center"/>
              <w:rPr>
                <w:rFonts w:ascii="Times New Roman" w:hAnsi="Times New Roman"/>
                <w:sz w:val="24"/>
                <w:szCs w:val="24"/>
              </w:rPr>
            </w:pPr>
          </w:p>
        </w:tc>
        <w:tc>
          <w:tcPr>
            <w:tcW w:w="1610" w:type="pct"/>
            <w:gridSpan w:val="3"/>
            <w:tcBorders>
              <w:top w:val="single" w:sz="4" w:space="0" w:color="auto"/>
              <w:bottom w:val="single" w:sz="4" w:space="0" w:color="auto"/>
            </w:tcBorders>
            <w:vAlign w:val="center"/>
          </w:tcPr>
          <w:p w14:paraId="6FED69F1" w14:textId="5380CC9E" w:rsidR="00E009A5" w:rsidRPr="00D97F21" w:rsidRDefault="00E009A5" w:rsidP="00A728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D97F21">
              <w:rPr>
                <w:rFonts w:ascii="Times New Roman" w:hAnsi="Times New Roman"/>
                <w:b w:val="0"/>
                <w:bCs w:val="0"/>
                <w:sz w:val="24"/>
                <w:szCs w:val="24"/>
              </w:rPr>
              <w:t>Coefficient of Cost</w:t>
            </w:r>
          </w:p>
        </w:tc>
        <w:tc>
          <w:tcPr>
            <w:tcW w:w="1604" w:type="pct"/>
            <w:gridSpan w:val="2"/>
            <w:tcBorders>
              <w:top w:val="single" w:sz="4" w:space="0" w:color="auto"/>
              <w:bottom w:val="single" w:sz="4" w:space="0" w:color="auto"/>
            </w:tcBorders>
            <w:vAlign w:val="center"/>
          </w:tcPr>
          <w:p w14:paraId="41CEFF61" w14:textId="5C1ACF51" w:rsidR="00E009A5" w:rsidRPr="00D97F21" w:rsidRDefault="00E009A5" w:rsidP="00A728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D97F21">
              <w:rPr>
                <w:rFonts w:ascii="Times New Roman" w:hAnsi="Times New Roman"/>
                <w:b w:val="0"/>
                <w:bCs w:val="0"/>
                <w:sz w:val="24"/>
                <w:szCs w:val="24"/>
              </w:rPr>
              <w:t>Coefficient of Profit</w:t>
            </w:r>
          </w:p>
        </w:tc>
      </w:tr>
      <w:tr w:rsidR="00A728A2" w:rsidRPr="006D74FE" w14:paraId="42FC555E" w14:textId="77777777" w:rsidTr="00FC50F0">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983" w:type="pct"/>
            <w:tcBorders>
              <w:top w:val="none" w:sz="0" w:space="0" w:color="auto"/>
              <w:bottom w:val="single" w:sz="4" w:space="0" w:color="auto"/>
            </w:tcBorders>
            <w:vAlign w:val="center"/>
          </w:tcPr>
          <w:p w14:paraId="0F1E3FE3" w14:textId="1B5DF3CA" w:rsidR="00A728A2" w:rsidRPr="00D97F21" w:rsidRDefault="00A728A2" w:rsidP="00A728A2">
            <w:pPr>
              <w:jc w:val="center"/>
              <w:rPr>
                <w:rFonts w:ascii="Times New Roman" w:hAnsi="Times New Roman"/>
                <w:b w:val="0"/>
                <w:bCs w:val="0"/>
                <w:sz w:val="24"/>
                <w:szCs w:val="24"/>
              </w:rPr>
            </w:pPr>
            <w:r w:rsidRPr="00D97F21">
              <w:rPr>
                <w:rFonts w:ascii="Times New Roman" w:hAnsi="Times New Roman"/>
                <w:b w:val="0"/>
                <w:bCs w:val="0"/>
                <w:sz w:val="24"/>
                <w:szCs w:val="24"/>
              </w:rPr>
              <w:t>Variable</w:t>
            </w:r>
          </w:p>
        </w:tc>
        <w:tc>
          <w:tcPr>
            <w:tcW w:w="803" w:type="pct"/>
            <w:tcBorders>
              <w:top w:val="none" w:sz="0" w:space="0" w:color="auto"/>
              <w:bottom w:val="single" w:sz="4" w:space="0" w:color="auto"/>
            </w:tcBorders>
            <w:vAlign w:val="center"/>
          </w:tcPr>
          <w:p w14:paraId="35C52CAC" w14:textId="1B4CB548" w:rsidR="00A728A2" w:rsidRPr="00D97F21" w:rsidRDefault="00A728A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97F21">
              <w:rPr>
                <w:rFonts w:ascii="Times New Roman" w:hAnsi="Times New Roman"/>
                <w:sz w:val="24"/>
                <w:szCs w:val="24"/>
              </w:rPr>
              <w:t>Parameter</w:t>
            </w:r>
          </w:p>
        </w:tc>
        <w:tc>
          <w:tcPr>
            <w:tcW w:w="863" w:type="pct"/>
            <w:gridSpan w:val="2"/>
            <w:tcBorders>
              <w:top w:val="single" w:sz="4" w:space="0" w:color="auto"/>
              <w:bottom w:val="single" w:sz="4" w:space="0" w:color="auto"/>
            </w:tcBorders>
            <w:vAlign w:val="center"/>
          </w:tcPr>
          <w:p w14:paraId="59927E23" w14:textId="7A51F8DD" w:rsidR="00A728A2" w:rsidRPr="006D74FE" w:rsidRDefault="00A728A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Cobb-Douglas</w:t>
            </w:r>
          </w:p>
        </w:tc>
        <w:tc>
          <w:tcPr>
            <w:tcW w:w="747" w:type="pct"/>
            <w:tcBorders>
              <w:top w:val="single" w:sz="4" w:space="0" w:color="auto"/>
              <w:bottom w:val="single" w:sz="4" w:space="0" w:color="auto"/>
            </w:tcBorders>
            <w:vAlign w:val="center"/>
          </w:tcPr>
          <w:p w14:paraId="63FDD902" w14:textId="77777777" w:rsidR="00A728A2" w:rsidRPr="006D74FE" w:rsidRDefault="00A728A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sidRPr="006D74FE">
              <w:rPr>
                <w:rFonts w:ascii="Times New Roman" w:hAnsi="Times New Roman"/>
                <w:sz w:val="24"/>
                <w:szCs w:val="24"/>
              </w:rPr>
              <w:t>Translog</w:t>
            </w:r>
            <w:proofErr w:type="spellEnd"/>
          </w:p>
        </w:tc>
        <w:tc>
          <w:tcPr>
            <w:tcW w:w="806" w:type="pct"/>
            <w:tcBorders>
              <w:top w:val="single" w:sz="4" w:space="0" w:color="auto"/>
              <w:bottom w:val="single" w:sz="4" w:space="0" w:color="auto"/>
            </w:tcBorders>
            <w:vAlign w:val="center"/>
          </w:tcPr>
          <w:p w14:paraId="1C7B08D5" w14:textId="09250CDF" w:rsidR="00A728A2" w:rsidRPr="006D74FE" w:rsidRDefault="00A728A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Cobb-Douglas</w:t>
            </w:r>
          </w:p>
        </w:tc>
        <w:tc>
          <w:tcPr>
            <w:tcW w:w="798" w:type="pct"/>
            <w:tcBorders>
              <w:top w:val="single" w:sz="4" w:space="0" w:color="auto"/>
              <w:bottom w:val="single" w:sz="4" w:space="0" w:color="auto"/>
            </w:tcBorders>
            <w:vAlign w:val="center"/>
          </w:tcPr>
          <w:p w14:paraId="370E8475" w14:textId="77777777" w:rsidR="00A728A2" w:rsidRPr="006D74FE" w:rsidRDefault="00A728A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sidRPr="006D74FE">
              <w:rPr>
                <w:rFonts w:ascii="Times New Roman" w:hAnsi="Times New Roman"/>
                <w:sz w:val="24"/>
                <w:szCs w:val="24"/>
              </w:rPr>
              <w:t>Translog</w:t>
            </w:r>
            <w:proofErr w:type="spellEnd"/>
          </w:p>
        </w:tc>
      </w:tr>
      <w:tr w:rsidR="00BC3A22" w:rsidRPr="006D74FE" w14:paraId="0B967566" w14:textId="77777777" w:rsidTr="00FC50F0">
        <w:trPr>
          <w:trHeight w:val="233"/>
        </w:trPr>
        <w:tc>
          <w:tcPr>
            <w:cnfStyle w:val="001000000000" w:firstRow="0" w:lastRow="0" w:firstColumn="1" w:lastColumn="0" w:oddVBand="0" w:evenVBand="0" w:oddHBand="0" w:evenHBand="0" w:firstRowFirstColumn="0" w:firstRowLastColumn="0" w:lastRowFirstColumn="0" w:lastRowLastColumn="0"/>
            <w:tcW w:w="983" w:type="pct"/>
            <w:tcBorders>
              <w:top w:val="single" w:sz="4" w:space="0" w:color="auto"/>
            </w:tcBorders>
            <w:vAlign w:val="center"/>
            <w:hideMark/>
          </w:tcPr>
          <w:p w14:paraId="784934D4"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Constant</w:t>
            </w:r>
          </w:p>
        </w:tc>
        <w:tc>
          <w:tcPr>
            <w:tcW w:w="803" w:type="pct"/>
            <w:tcBorders>
              <w:top w:val="single" w:sz="4" w:space="0" w:color="auto"/>
            </w:tcBorders>
            <w:vAlign w:val="center"/>
            <w:hideMark/>
          </w:tcPr>
          <w:p w14:paraId="2B7CA2A0"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0</w:t>
            </w:r>
          </w:p>
        </w:tc>
        <w:tc>
          <w:tcPr>
            <w:tcW w:w="852" w:type="pct"/>
            <w:tcBorders>
              <w:top w:val="single" w:sz="4" w:space="0" w:color="auto"/>
            </w:tcBorders>
            <w:vAlign w:val="center"/>
          </w:tcPr>
          <w:p w14:paraId="6777A678"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2.66***</w:t>
            </w:r>
          </w:p>
        </w:tc>
        <w:tc>
          <w:tcPr>
            <w:tcW w:w="758" w:type="pct"/>
            <w:gridSpan w:val="2"/>
            <w:tcBorders>
              <w:top w:val="single" w:sz="4" w:space="0" w:color="auto"/>
            </w:tcBorders>
            <w:vAlign w:val="center"/>
            <w:hideMark/>
          </w:tcPr>
          <w:p w14:paraId="743A3B55"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15.18*</w:t>
            </w:r>
          </w:p>
        </w:tc>
        <w:tc>
          <w:tcPr>
            <w:tcW w:w="806" w:type="pct"/>
            <w:tcBorders>
              <w:top w:val="single" w:sz="4" w:space="0" w:color="auto"/>
            </w:tcBorders>
            <w:vAlign w:val="center"/>
          </w:tcPr>
          <w:p w14:paraId="790321BD"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5.21***</w:t>
            </w:r>
          </w:p>
        </w:tc>
        <w:tc>
          <w:tcPr>
            <w:tcW w:w="798" w:type="pct"/>
            <w:tcBorders>
              <w:top w:val="single" w:sz="4" w:space="0" w:color="auto"/>
            </w:tcBorders>
            <w:vAlign w:val="center"/>
            <w:hideMark/>
          </w:tcPr>
          <w:p w14:paraId="0832453A"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18.42***</w:t>
            </w:r>
          </w:p>
        </w:tc>
      </w:tr>
      <w:tr w:rsidR="00BC3A22" w:rsidRPr="006D74FE" w14:paraId="576EAC1E" w14:textId="77777777" w:rsidTr="00FC50F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3" w:type="pct"/>
            <w:tcBorders>
              <w:top w:val="none" w:sz="0" w:space="0" w:color="auto"/>
              <w:bottom w:val="none" w:sz="0" w:space="0" w:color="auto"/>
            </w:tcBorders>
            <w:vAlign w:val="center"/>
            <w:hideMark/>
          </w:tcPr>
          <w:p w14:paraId="26228DCB"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LOA</w:t>
            </w:r>
          </w:p>
        </w:tc>
        <w:tc>
          <w:tcPr>
            <w:tcW w:w="803" w:type="pct"/>
            <w:tcBorders>
              <w:top w:val="none" w:sz="0" w:space="0" w:color="auto"/>
              <w:bottom w:val="none" w:sz="0" w:space="0" w:color="auto"/>
            </w:tcBorders>
            <w:vAlign w:val="center"/>
            <w:hideMark/>
          </w:tcPr>
          <w:p w14:paraId="16A66004"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1</w:t>
            </w:r>
          </w:p>
        </w:tc>
        <w:tc>
          <w:tcPr>
            <w:tcW w:w="852" w:type="pct"/>
            <w:tcBorders>
              <w:top w:val="none" w:sz="0" w:space="0" w:color="auto"/>
              <w:bottom w:val="none" w:sz="0" w:space="0" w:color="auto"/>
            </w:tcBorders>
            <w:vAlign w:val="center"/>
          </w:tcPr>
          <w:p w14:paraId="07BE46EF"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0.554***</w:t>
            </w:r>
          </w:p>
        </w:tc>
        <w:tc>
          <w:tcPr>
            <w:tcW w:w="758" w:type="pct"/>
            <w:gridSpan w:val="2"/>
            <w:tcBorders>
              <w:top w:val="none" w:sz="0" w:space="0" w:color="auto"/>
              <w:bottom w:val="none" w:sz="0" w:space="0" w:color="auto"/>
            </w:tcBorders>
            <w:vAlign w:val="center"/>
            <w:hideMark/>
          </w:tcPr>
          <w:p w14:paraId="29B3EB42"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0.666</w:t>
            </w:r>
          </w:p>
        </w:tc>
        <w:tc>
          <w:tcPr>
            <w:tcW w:w="806" w:type="pct"/>
            <w:tcBorders>
              <w:top w:val="none" w:sz="0" w:space="0" w:color="auto"/>
              <w:bottom w:val="none" w:sz="0" w:space="0" w:color="auto"/>
            </w:tcBorders>
            <w:vAlign w:val="center"/>
          </w:tcPr>
          <w:p w14:paraId="765511CC"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-0.008</w:t>
            </w:r>
          </w:p>
        </w:tc>
        <w:tc>
          <w:tcPr>
            <w:tcW w:w="798" w:type="pct"/>
            <w:tcBorders>
              <w:top w:val="none" w:sz="0" w:space="0" w:color="auto"/>
              <w:bottom w:val="none" w:sz="0" w:space="0" w:color="auto"/>
            </w:tcBorders>
            <w:vAlign w:val="center"/>
            <w:hideMark/>
          </w:tcPr>
          <w:p w14:paraId="3898C29C"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-1.03</w:t>
            </w:r>
          </w:p>
        </w:tc>
      </w:tr>
      <w:tr w:rsidR="00BC3A22" w:rsidRPr="006D74FE" w14:paraId="18D03A10" w14:textId="77777777" w:rsidTr="00FC50F0">
        <w:trPr>
          <w:trHeight w:val="269"/>
        </w:trPr>
        <w:tc>
          <w:tcPr>
            <w:cnfStyle w:val="001000000000" w:firstRow="0" w:lastRow="0" w:firstColumn="1" w:lastColumn="0" w:oddVBand="0" w:evenVBand="0" w:oddHBand="0" w:evenHBand="0" w:firstRowFirstColumn="0" w:firstRowLastColumn="0" w:lastRowFirstColumn="0" w:lastRowLastColumn="0"/>
            <w:tcW w:w="983" w:type="pct"/>
            <w:vAlign w:val="center"/>
            <w:hideMark/>
          </w:tcPr>
          <w:p w14:paraId="4BCDE5BF"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OBS</w:t>
            </w:r>
          </w:p>
        </w:tc>
        <w:tc>
          <w:tcPr>
            <w:tcW w:w="803" w:type="pct"/>
            <w:vAlign w:val="center"/>
            <w:hideMark/>
          </w:tcPr>
          <w:p w14:paraId="34F3AAFA"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2</w:t>
            </w:r>
          </w:p>
        </w:tc>
        <w:tc>
          <w:tcPr>
            <w:tcW w:w="852" w:type="pct"/>
            <w:vAlign w:val="center"/>
          </w:tcPr>
          <w:p w14:paraId="02F30374"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-0.042</w:t>
            </w:r>
          </w:p>
        </w:tc>
        <w:tc>
          <w:tcPr>
            <w:tcW w:w="758" w:type="pct"/>
            <w:gridSpan w:val="2"/>
            <w:vAlign w:val="center"/>
            <w:hideMark/>
          </w:tcPr>
          <w:p w14:paraId="3FD82952"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-2.767**</w:t>
            </w:r>
          </w:p>
        </w:tc>
        <w:tc>
          <w:tcPr>
            <w:tcW w:w="806" w:type="pct"/>
            <w:vAlign w:val="center"/>
          </w:tcPr>
          <w:p w14:paraId="62B600C3"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-0.004</w:t>
            </w:r>
          </w:p>
        </w:tc>
        <w:tc>
          <w:tcPr>
            <w:tcW w:w="798" w:type="pct"/>
            <w:vAlign w:val="center"/>
            <w:hideMark/>
          </w:tcPr>
          <w:p w14:paraId="7B481EBD"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-1.156**</w:t>
            </w:r>
          </w:p>
        </w:tc>
      </w:tr>
      <w:tr w:rsidR="00BC3A22" w:rsidRPr="006D74FE" w14:paraId="24209976" w14:textId="77777777" w:rsidTr="00FC50F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83" w:type="pct"/>
            <w:tcBorders>
              <w:top w:val="none" w:sz="0" w:space="0" w:color="auto"/>
              <w:bottom w:val="none" w:sz="0" w:space="0" w:color="auto"/>
            </w:tcBorders>
            <w:vAlign w:val="center"/>
            <w:hideMark/>
          </w:tcPr>
          <w:p w14:paraId="075045F7"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POF</w:t>
            </w:r>
          </w:p>
        </w:tc>
        <w:tc>
          <w:tcPr>
            <w:tcW w:w="803" w:type="pct"/>
            <w:tcBorders>
              <w:top w:val="none" w:sz="0" w:space="0" w:color="auto"/>
              <w:bottom w:val="none" w:sz="0" w:space="0" w:color="auto"/>
            </w:tcBorders>
            <w:vAlign w:val="center"/>
            <w:hideMark/>
          </w:tcPr>
          <w:p w14:paraId="2D98D984"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3</w:t>
            </w:r>
          </w:p>
        </w:tc>
        <w:tc>
          <w:tcPr>
            <w:tcW w:w="852" w:type="pct"/>
            <w:tcBorders>
              <w:top w:val="none" w:sz="0" w:space="0" w:color="auto"/>
              <w:bottom w:val="none" w:sz="0" w:space="0" w:color="auto"/>
            </w:tcBorders>
            <w:vAlign w:val="center"/>
          </w:tcPr>
          <w:p w14:paraId="5BDD6D0D"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-0.149***</w:t>
            </w:r>
          </w:p>
        </w:tc>
        <w:tc>
          <w:tcPr>
            <w:tcW w:w="758" w:type="pct"/>
            <w:gridSpan w:val="2"/>
            <w:tcBorders>
              <w:top w:val="none" w:sz="0" w:space="0" w:color="auto"/>
              <w:bottom w:val="none" w:sz="0" w:space="0" w:color="auto"/>
            </w:tcBorders>
            <w:vAlign w:val="center"/>
            <w:hideMark/>
          </w:tcPr>
          <w:p w14:paraId="58AD6C3B"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0.299</w:t>
            </w:r>
          </w:p>
        </w:tc>
        <w:tc>
          <w:tcPr>
            <w:tcW w:w="806" w:type="pct"/>
            <w:tcBorders>
              <w:top w:val="none" w:sz="0" w:space="0" w:color="auto"/>
              <w:bottom w:val="none" w:sz="0" w:space="0" w:color="auto"/>
            </w:tcBorders>
            <w:vAlign w:val="center"/>
          </w:tcPr>
          <w:p w14:paraId="101DEB7A"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-0.021</w:t>
            </w:r>
          </w:p>
        </w:tc>
        <w:tc>
          <w:tcPr>
            <w:tcW w:w="798" w:type="pct"/>
            <w:tcBorders>
              <w:top w:val="none" w:sz="0" w:space="0" w:color="auto"/>
              <w:bottom w:val="none" w:sz="0" w:space="0" w:color="auto"/>
            </w:tcBorders>
            <w:vAlign w:val="center"/>
            <w:hideMark/>
          </w:tcPr>
          <w:p w14:paraId="66DF6B34"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2.295*</w:t>
            </w:r>
          </w:p>
        </w:tc>
      </w:tr>
      <w:tr w:rsidR="00BC3A22" w:rsidRPr="006D74FE" w14:paraId="31839472" w14:textId="77777777" w:rsidTr="00FC50F0">
        <w:trPr>
          <w:trHeight w:val="260"/>
        </w:trPr>
        <w:tc>
          <w:tcPr>
            <w:cnfStyle w:val="001000000000" w:firstRow="0" w:lastRow="0" w:firstColumn="1" w:lastColumn="0" w:oddVBand="0" w:evenVBand="0" w:oddHBand="0" w:evenHBand="0" w:firstRowFirstColumn="0" w:firstRowLastColumn="0" w:lastRowFirstColumn="0" w:lastRowLastColumn="0"/>
            <w:tcW w:w="983" w:type="pct"/>
            <w:vAlign w:val="center"/>
            <w:hideMark/>
          </w:tcPr>
          <w:p w14:paraId="11AC091B"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POFA</w:t>
            </w:r>
          </w:p>
        </w:tc>
        <w:tc>
          <w:tcPr>
            <w:tcW w:w="803" w:type="pct"/>
            <w:vAlign w:val="center"/>
            <w:hideMark/>
          </w:tcPr>
          <w:p w14:paraId="0FE5FDFE"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4</w:t>
            </w:r>
          </w:p>
        </w:tc>
        <w:tc>
          <w:tcPr>
            <w:tcW w:w="852" w:type="pct"/>
            <w:vAlign w:val="center"/>
          </w:tcPr>
          <w:p w14:paraId="054DC10F"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0.09*</w:t>
            </w:r>
          </w:p>
        </w:tc>
        <w:tc>
          <w:tcPr>
            <w:tcW w:w="758" w:type="pct"/>
            <w:gridSpan w:val="2"/>
            <w:vAlign w:val="center"/>
            <w:hideMark/>
          </w:tcPr>
          <w:p w14:paraId="12F41061"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-1.368</w:t>
            </w:r>
          </w:p>
        </w:tc>
        <w:tc>
          <w:tcPr>
            <w:tcW w:w="806" w:type="pct"/>
            <w:vAlign w:val="center"/>
          </w:tcPr>
          <w:p w14:paraId="382507FF"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0.043</w:t>
            </w:r>
          </w:p>
        </w:tc>
        <w:tc>
          <w:tcPr>
            <w:tcW w:w="798" w:type="pct"/>
            <w:vAlign w:val="center"/>
            <w:hideMark/>
          </w:tcPr>
          <w:p w14:paraId="7FB0824C"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1.301</w:t>
            </w:r>
          </w:p>
        </w:tc>
      </w:tr>
      <w:tr w:rsidR="00BC3A22" w:rsidRPr="006D74FE" w14:paraId="0EF44043" w14:textId="77777777" w:rsidTr="00FC50F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983" w:type="pct"/>
            <w:tcBorders>
              <w:top w:val="none" w:sz="0" w:space="0" w:color="auto"/>
              <w:bottom w:val="none" w:sz="0" w:space="0" w:color="auto"/>
            </w:tcBorders>
            <w:vAlign w:val="center"/>
            <w:hideMark/>
          </w:tcPr>
          <w:p w14:paraId="1FE2B68D"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POL</w:t>
            </w:r>
          </w:p>
        </w:tc>
        <w:tc>
          <w:tcPr>
            <w:tcW w:w="803" w:type="pct"/>
            <w:tcBorders>
              <w:top w:val="none" w:sz="0" w:space="0" w:color="auto"/>
              <w:bottom w:val="none" w:sz="0" w:space="0" w:color="auto"/>
            </w:tcBorders>
            <w:vAlign w:val="center"/>
            <w:hideMark/>
          </w:tcPr>
          <w:p w14:paraId="57821098"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5</w:t>
            </w:r>
          </w:p>
        </w:tc>
        <w:tc>
          <w:tcPr>
            <w:tcW w:w="852" w:type="pct"/>
            <w:tcBorders>
              <w:top w:val="none" w:sz="0" w:space="0" w:color="auto"/>
              <w:bottom w:val="none" w:sz="0" w:space="0" w:color="auto"/>
            </w:tcBorders>
            <w:vAlign w:val="center"/>
          </w:tcPr>
          <w:p w14:paraId="33C37B19"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-0.063</w:t>
            </w:r>
          </w:p>
        </w:tc>
        <w:tc>
          <w:tcPr>
            <w:tcW w:w="758" w:type="pct"/>
            <w:gridSpan w:val="2"/>
            <w:tcBorders>
              <w:top w:val="none" w:sz="0" w:space="0" w:color="auto"/>
              <w:bottom w:val="none" w:sz="0" w:space="0" w:color="auto"/>
            </w:tcBorders>
            <w:vAlign w:val="center"/>
            <w:hideMark/>
          </w:tcPr>
          <w:p w14:paraId="6D564CCA"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-0.489</w:t>
            </w:r>
          </w:p>
        </w:tc>
        <w:tc>
          <w:tcPr>
            <w:tcW w:w="806" w:type="pct"/>
            <w:tcBorders>
              <w:top w:val="none" w:sz="0" w:space="0" w:color="auto"/>
              <w:bottom w:val="none" w:sz="0" w:space="0" w:color="auto"/>
            </w:tcBorders>
            <w:vAlign w:val="center"/>
          </w:tcPr>
          <w:p w14:paraId="22CCD201"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-0.153*</w:t>
            </w:r>
          </w:p>
        </w:tc>
        <w:tc>
          <w:tcPr>
            <w:tcW w:w="798" w:type="pct"/>
            <w:tcBorders>
              <w:top w:val="none" w:sz="0" w:space="0" w:color="auto"/>
              <w:bottom w:val="none" w:sz="0" w:space="0" w:color="auto"/>
            </w:tcBorders>
            <w:vAlign w:val="center"/>
            <w:hideMark/>
          </w:tcPr>
          <w:p w14:paraId="26A12424"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-0.908</w:t>
            </w:r>
          </w:p>
        </w:tc>
      </w:tr>
      <w:tr w:rsidR="00BC3A22" w:rsidRPr="006D74FE" w14:paraId="0FD24DD5" w14:textId="77777777" w:rsidTr="00FC50F0">
        <w:trPr>
          <w:trHeight w:val="278"/>
        </w:trPr>
        <w:tc>
          <w:tcPr>
            <w:cnfStyle w:val="001000000000" w:firstRow="0" w:lastRow="0" w:firstColumn="1" w:lastColumn="0" w:oddVBand="0" w:evenVBand="0" w:oddHBand="0" w:evenHBand="0" w:firstRowFirstColumn="0" w:firstRowLastColumn="0" w:lastRowFirstColumn="0" w:lastRowLastColumn="0"/>
            <w:tcW w:w="983" w:type="pct"/>
            <w:vAlign w:val="center"/>
            <w:hideMark/>
          </w:tcPr>
          <w:p w14:paraId="4B52133F"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(LOA)2</w:t>
            </w:r>
          </w:p>
        </w:tc>
        <w:tc>
          <w:tcPr>
            <w:tcW w:w="803" w:type="pct"/>
            <w:vAlign w:val="center"/>
            <w:hideMark/>
          </w:tcPr>
          <w:p w14:paraId="26B9279D"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11</w:t>
            </w:r>
          </w:p>
        </w:tc>
        <w:tc>
          <w:tcPr>
            <w:tcW w:w="852" w:type="pct"/>
            <w:vAlign w:val="center"/>
          </w:tcPr>
          <w:p w14:paraId="28316FB4"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58" w:type="pct"/>
            <w:gridSpan w:val="2"/>
            <w:vAlign w:val="center"/>
            <w:hideMark/>
          </w:tcPr>
          <w:p w14:paraId="0B9712AD"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-0.230</w:t>
            </w:r>
          </w:p>
        </w:tc>
        <w:tc>
          <w:tcPr>
            <w:tcW w:w="806" w:type="pct"/>
            <w:vAlign w:val="center"/>
          </w:tcPr>
          <w:p w14:paraId="3DB438DC"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98" w:type="pct"/>
            <w:vAlign w:val="center"/>
            <w:hideMark/>
          </w:tcPr>
          <w:p w14:paraId="45F62ABC"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-0.152</w:t>
            </w:r>
          </w:p>
        </w:tc>
      </w:tr>
      <w:tr w:rsidR="00BC3A22" w:rsidRPr="006D74FE" w14:paraId="0154E785" w14:textId="77777777" w:rsidTr="00FC50F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83" w:type="pct"/>
            <w:tcBorders>
              <w:top w:val="none" w:sz="0" w:space="0" w:color="auto"/>
              <w:bottom w:val="none" w:sz="0" w:space="0" w:color="auto"/>
            </w:tcBorders>
            <w:vAlign w:val="center"/>
            <w:hideMark/>
          </w:tcPr>
          <w:p w14:paraId="1200AE90"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LOA * OBS</w:t>
            </w:r>
          </w:p>
        </w:tc>
        <w:tc>
          <w:tcPr>
            <w:tcW w:w="803" w:type="pct"/>
            <w:tcBorders>
              <w:top w:val="none" w:sz="0" w:space="0" w:color="auto"/>
              <w:bottom w:val="none" w:sz="0" w:space="0" w:color="auto"/>
            </w:tcBorders>
            <w:vAlign w:val="center"/>
            <w:hideMark/>
          </w:tcPr>
          <w:p w14:paraId="3F35770C"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12</w:t>
            </w:r>
          </w:p>
        </w:tc>
        <w:tc>
          <w:tcPr>
            <w:tcW w:w="852" w:type="pct"/>
            <w:tcBorders>
              <w:top w:val="none" w:sz="0" w:space="0" w:color="auto"/>
              <w:bottom w:val="none" w:sz="0" w:space="0" w:color="auto"/>
            </w:tcBorders>
            <w:vAlign w:val="center"/>
          </w:tcPr>
          <w:p w14:paraId="0124CBB3"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758" w:type="pct"/>
            <w:gridSpan w:val="2"/>
            <w:tcBorders>
              <w:top w:val="none" w:sz="0" w:space="0" w:color="auto"/>
              <w:bottom w:val="none" w:sz="0" w:space="0" w:color="auto"/>
            </w:tcBorders>
            <w:vAlign w:val="center"/>
            <w:hideMark/>
          </w:tcPr>
          <w:p w14:paraId="7BA73850"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0.284*</w:t>
            </w:r>
          </w:p>
        </w:tc>
        <w:tc>
          <w:tcPr>
            <w:tcW w:w="806" w:type="pct"/>
            <w:tcBorders>
              <w:top w:val="none" w:sz="0" w:space="0" w:color="auto"/>
              <w:bottom w:val="none" w:sz="0" w:space="0" w:color="auto"/>
            </w:tcBorders>
            <w:vAlign w:val="center"/>
          </w:tcPr>
          <w:p w14:paraId="59284E4C"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798" w:type="pct"/>
            <w:tcBorders>
              <w:top w:val="none" w:sz="0" w:space="0" w:color="auto"/>
              <w:bottom w:val="none" w:sz="0" w:space="0" w:color="auto"/>
            </w:tcBorders>
            <w:vAlign w:val="center"/>
            <w:hideMark/>
          </w:tcPr>
          <w:p w14:paraId="7A509AF0"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0.148*</w:t>
            </w:r>
          </w:p>
        </w:tc>
      </w:tr>
      <w:tr w:rsidR="00BC3A22" w:rsidRPr="006D74FE" w14:paraId="3CA62E16" w14:textId="77777777" w:rsidTr="00FC50F0">
        <w:trPr>
          <w:trHeight w:val="197"/>
        </w:trPr>
        <w:tc>
          <w:tcPr>
            <w:cnfStyle w:val="001000000000" w:firstRow="0" w:lastRow="0" w:firstColumn="1" w:lastColumn="0" w:oddVBand="0" w:evenVBand="0" w:oddHBand="0" w:evenHBand="0" w:firstRowFirstColumn="0" w:firstRowLastColumn="0" w:lastRowFirstColumn="0" w:lastRowLastColumn="0"/>
            <w:tcW w:w="983" w:type="pct"/>
            <w:vAlign w:val="center"/>
            <w:hideMark/>
          </w:tcPr>
          <w:p w14:paraId="31429662"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LOA * POF</w:t>
            </w:r>
          </w:p>
        </w:tc>
        <w:tc>
          <w:tcPr>
            <w:tcW w:w="803" w:type="pct"/>
            <w:vAlign w:val="center"/>
            <w:hideMark/>
          </w:tcPr>
          <w:p w14:paraId="629008DD"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13</w:t>
            </w:r>
          </w:p>
        </w:tc>
        <w:tc>
          <w:tcPr>
            <w:tcW w:w="852" w:type="pct"/>
            <w:vAlign w:val="center"/>
          </w:tcPr>
          <w:p w14:paraId="4AB0F4C4"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58" w:type="pct"/>
            <w:gridSpan w:val="2"/>
            <w:vAlign w:val="center"/>
            <w:hideMark/>
          </w:tcPr>
          <w:p w14:paraId="01AAE9B6"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-0.092</w:t>
            </w:r>
          </w:p>
        </w:tc>
        <w:tc>
          <w:tcPr>
            <w:tcW w:w="806" w:type="pct"/>
            <w:vAlign w:val="center"/>
          </w:tcPr>
          <w:p w14:paraId="14D48AD1"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98" w:type="pct"/>
            <w:vAlign w:val="center"/>
            <w:hideMark/>
          </w:tcPr>
          <w:p w14:paraId="38DE2109"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0.019</w:t>
            </w:r>
          </w:p>
        </w:tc>
      </w:tr>
      <w:tr w:rsidR="00BC3A22" w:rsidRPr="006D74FE" w14:paraId="2D5920BF" w14:textId="77777777" w:rsidTr="00FC50F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83" w:type="pct"/>
            <w:tcBorders>
              <w:top w:val="none" w:sz="0" w:space="0" w:color="auto"/>
              <w:bottom w:val="none" w:sz="0" w:space="0" w:color="auto"/>
            </w:tcBorders>
            <w:vAlign w:val="center"/>
            <w:hideMark/>
          </w:tcPr>
          <w:p w14:paraId="4E42D756"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LOA * POFA</w:t>
            </w:r>
          </w:p>
        </w:tc>
        <w:tc>
          <w:tcPr>
            <w:tcW w:w="803" w:type="pct"/>
            <w:tcBorders>
              <w:top w:val="none" w:sz="0" w:space="0" w:color="auto"/>
              <w:bottom w:val="none" w:sz="0" w:space="0" w:color="auto"/>
            </w:tcBorders>
            <w:vAlign w:val="center"/>
            <w:hideMark/>
          </w:tcPr>
          <w:p w14:paraId="754BD3CF"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14</w:t>
            </w:r>
          </w:p>
        </w:tc>
        <w:tc>
          <w:tcPr>
            <w:tcW w:w="852" w:type="pct"/>
            <w:tcBorders>
              <w:top w:val="none" w:sz="0" w:space="0" w:color="auto"/>
              <w:bottom w:val="none" w:sz="0" w:space="0" w:color="auto"/>
            </w:tcBorders>
            <w:vAlign w:val="center"/>
          </w:tcPr>
          <w:p w14:paraId="790996AB"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758" w:type="pct"/>
            <w:gridSpan w:val="2"/>
            <w:tcBorders>
              <w:top w:val="none" w:sz="0" w:space="0" w:color="auto"/>
              <w:bottom w:val="none" w:sz="0" w:space="0" w:color="auto"/>
            </w:tcBorders>
            <w:vAlign w:val="center"/>
            <w:hideMark/>
          </w:tcPr>
          <w:p w14:paraId="7FE622AA"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0.244*</w:t>
            </w:r>
          </w:p>
        </w:tc>
        <w:tc>
          <w:tcPr>
            <w:tcW w:w="806" w:type="pct"/>
            <w:tcBorders>
              <w:top w:val="none" w:sz="0" w:space="0" w:color="auto"/>
              <w:bottom w:val="none" w:sz="0" w:space="0" w:color="auto"/>
            </w:tcBorders>
            <w:vAlign w:val="center"/>
          </w:tcPr>
          <w:p w14:paraId="3ACCE066"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798" w:type="pct"/>
            <w:tcBorders>
              <w:top w:val="none" w:sz="0" w:space="0" w:color="auto"/>
              <w:bottom w:val="none" w:sz="0" w:space="0" w:color="auto"/>
            </w:tcBorders>
            <w:vAlign w:val="center"/>
            <w:hideMark/>
          </w:tcPr>
          <w:p w14:paraId="60C980A5"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-0.006</w:t>
            </w:r>
          </w:p>
        </w:tc>
      </w:tr>
      <w:tr w:rsidR="00BC3A22" w:rsidRPr="006D74FE" w14:paraId="34F16083" w14:textId="77777777" w:rsidTr="00FC50F0">
        <w:trPr>
          <w:trHeight w:val="170"/>
        </w:trPr>
        <w:tc>
          <w:tcPr>
            <w:cnfStyle w:val="001000000000" w:firstRow="0" w:lastRow="0" w:firstColumn="1" w:lastColumn="0" w:oddVBand="0" w:evenVBand="0" w:oddHBand="0" w:evenHBand="0" w:firstRowFirstColumn="0" w:firstRowLastColumn="0" w:lastRowFirstColumn="0" w:lastRowLastColumn="0"/>
            <w:tcW w:w="983" w:type="pct"/>
            <w:vAlign w:val="center"/>
            <w:hideMark/>
          </w:tcPr>
          <w:p w14:paraId="4F49FAF4"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Loan *POL</w:t>
            </w:r>
          </w:p>
        </w:tc>
        <w:tc>
          <w:tcPr>
            <w:tcW w:w="803" w:type="pct"/>
            <w:vAlign w:val="center"/>
            <w:hideMark/>
          </w:tcPr>
          <w:p w14:paraId="642D4BFD"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15</w:t>
            </w:r>
          </w:p>
        </w:tc>
        <w:tc>
          <w:tcPr>
            <w:tcW w:w="852" w:type="pct"/>
            <w:vAlign w:val="center"/>
          </w:tcPr>
          <w:p w14:paraId="38C91196"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58" w:type="pct"/>
            <w:gridSpan w:val="2"/>
            <w:vAlign w:val="center"/>
            <w:hideMark/>
          </w:tcPr>
          <w:p w14:paraId="14B477D1"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0.619***</w:t>
            </w:r>
          </w:p>
        </w:tc>
        <w:tc>
          <w:tcPr>
            <w:tcW w:w="806" w:type="pct"/>
            <w:vAlign w:val="center"/>
          </w:tcPr>
          <w:p w14:paraId="6A655BF9"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98" w:type="pct"/>
            <w:vAlign w:val="center"/>
            <w:hideMark/>
          </w:tcPr>
          <w:p w14:paraId="4D86517F"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0.057</w:t>
            </w:r>
          </w:p>
        </w:tc>
      </w:tr>
      <w:tr w:rsidR="00BC3A22" w:rsidRPr="006D74FE" w14:paraId="4C6EDDFF" w14:textId="77777777" w:rsidTr="00FC50F0">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983" w:type="pct"/>
            <w:tcBorders>
              <w:top w:val="none" w:sz="0" w:space="0" w:color="auto"/>
              <w:bottom w:val="none" w:sz="0" w:space="0" w:color="auto"/>
            </w:tcBorders>
            <w:vAlign w:val="center"/>
            <w:hideMark/>
          </w:tcPr>
          <w:p w14:paraId="2B10403B"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(OBS)2</w:t>
            </w:r>
          </w:p>
        </w:tc>
        <w:tc>
          <w:tcPr>
            <w:tcW w:w="803" w:type="pct"/>
            <w:tcBorders>
              <w:top w:val="none" w:sz="0" w:space="0" w:color="auto"/>
              <w:bottom w:val="none" w:sz="0" w:space="0" w:color="auto"/>
            </w:tcBorders>
            <w:vAlign w:val="center"/>
            <w:hideMark/>
          </w:tcPr>
          <w:p w14:paraId="297CEB94"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22</w:t>
            </w:r>
          </w:p>
        </w:tc>
        <w:tc>
          <w:tcPr>
            <w:tcW w:w="852" w:type="pct"/>
            <w:tcBorders>
              <w:top w:val="none" w:sz="0" w:space="0" w:color="auto"/>
              <w:bottom w:val="none" w:sz="0" w:space="0" w:color="auto"/>
            </w:tcBorders>
            <w:vAlign w:val="center"/>
          </w:tcPr>
          <w:p w14:paraId="386665EE"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758" w:type="pct"/>
            <w:gridSpan w:val="2"/>
            <w:tcBorders>
              <w:top w:val="none" w:sz="0" w:space="0" w:color="auto"/>
              <w:bottom w:val="none" w:sz="0" w:space="0" w:color="auto"/>
            </w:tcBorders>
            <w:vAlign w:val="center"/>
            <w:hideMark/>
          </w:tcPr>
          <w:p w14:paraId="4B613B25"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-0.060</w:t>
            </w:r>
          </w:p>
        </w:tc>
        <w:tc>
          <w:tcPr>
            <w:tcW w:w="806" w:type="pct"/>
            <w:tcBorders>
              <w:top w:val="none" w:sz="0" w:space="0" w:color="auto"/>
              <w:bottom w:val="none" w:sz="0" w:space="0" w:color="auto"/>
            </w:tcBorders>
            <w:vAlign w:val="center"/>
          </w:tcPr>
          <w:p w14:paraId="6C26D28E"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798" w:type="pct"/>
            <w:tcBorders>
              <w:top w:val="none" w:sz="0" w:space="0" w:color="auto"/>
              <w:bottom w:val="none" w:sz="0" w:space="0" w:color="auto"/>
            </w:tcBorders>
            <w:vAlign w:val="center"/>
            <w:hideMark/>
          </w:tcPr>
          <w:p w14:paraId="286882CE"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-0.050</w:t>
            </w:r>
          </w:p>
        </w:tc>
      </w:tr>
      <w:tr w:rsidR="00BC3A22" w:rsidRPr="006D74FE" w14:paraId="7A8709D1" w14:textId="77777777" w:rsidTr="00FC50F0">
        <w:trPr>
          <w:trHeight w:val="170"/>
        </w:trPr>
        <w:tc>
          <w:tcPr>
            <w:cnfStyle w:val="001000000000" w:firstRow="0" w:lastRow="0" w:firstColumn="1" w:lastColumn="0" w:oddVBand="0" w:evenVBand="0" w:oddHBand="0" w:evenHBand="0" w:firstRowFirstColumn="0" w:firstRowLastColumn="0" w:lastRowFirstColumn="0" w:lastRowLastColumn="0"/>
            <w:tcW w:w="983" w:type="pct"/>
            <w:vAlign w:val="center"/>
            <w:hideMark/>
          </w:tcPr>
          <w:p w14:paraId="54474C36"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OBS * POF</w:t>
            </w:r>
          </w:p>
        </w:tc>
        <w:tc>
          <w:tcPr>
            <w:tcW w:w="803" w:type="pct"/>
            <w:vAlign w:val="center"/>
            <w:hideMark/>
          </w:tcPr>
          <w:p w14:paraId="4E43A5E2"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23</w:t>
            </w:r>
          </w:p>
        </w:tc>
        <w:tc>
          <w:tcPr>
            <w:tcW w:w="852" w:type="pct"/>
            <w:vAlign w:val="center"/>
          </w:tcPr>
          <w:p w14:paraId="143FA905"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58" w:type="pct"/>
            <w:gridSpan w:val="2"/>
            <w:vAlign w:val="center"/>
            <w:hideMark/>
          </w:tcPr>
          <w:p w14:paraId="6943D717"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0.037</w:t>
            </w:r>
          </w:p>
        </w:tc>
        <w:tc>
          <w:tcPr>
            <w:tcW w:w="806" w:type="pct"/>
            <w:vAlign w:val="center"/>
          </w:tcPr>
          <w:p w14:paraId="6A9F88FC"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98" w:type="pct"/>
            <w:vAlign w:val="center"/>
            <w:hideMark/>
          </w:tcPr>
          <w:p w14:paraId="05572084"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-0.212*</w:t>
            </w:r>
          </w:p>
        </w:tc>
      </w:tr>
      <w:tr w:rsidR="00BC3A22" w:rsidRPr="006D74FE" w14:paraId="4E7EE568" w14:textId="77777777" w:rsidTr="00FC50F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83" w:type="pct"/>
            <w:tcBorders>
              <w:top w:val="none" w:sz="0" w:space="0" w:color="auto"/>
              <w:bottom w:val="none" w:sz="0" w:space="0" w:color="auto"/>
            </w:tcBorders>
            <w:vAlign w:val="center"/>
            <w:hideMark/>
          </w:tcPr>
          <w:p w14:paraId="29909B07"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OBS *POFA</w:t>
            </w:r>
          </w:p>
        </w:tc>
        <w:tc>
          <w:tcPr>
            <w:tcW w:w="803" w:type="pct"/>
            <w:tcBorders>
              <w:top w:val="none" w:sz="0" w:space="0" w:color="auto"/>
              <w:bottom w:val="none" w:sz="0" w:space="0" w:color="auto"/>
            </w:tcBorders>
            <w:vAlign w:val="center"/>
            <w:hideMark/>
          </w:tcPr>
          <w:p w14:paraId="2B981803"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24</w:t>
            </w:r>
          </w:p>
        </w:tc>
        <w:tc>
          <w:tcPr>
            <w:tcW w:w="852" w:type="pct"/>
            <w:tcBorders>
              <w:top w:val="none" w:sz="0" w:space="0" w:color="auto"/>
              <w:bottom w:val="none" w:sz="0" w:space="0" w:color="auto"/>
            </w:tcBorders>
            <w:vAlign w:val="center"/>
          </w:tcPr>
          <w:p w14:paraId="04DDF4F9"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758" w:type="pct"/>
            <w:gridSpan w:val="2"/>
            <w:tcBorders>
              <w:top w:val="none" w:sz="0" w:space="0" w:color="auto"/>
              <w:bottom w:val="none" w:sz="0" w:space="0" w:color="auto"/>
            </w:tcBorders>
            <w:vAlign w:val="center"/>
            <w:hideMark/>
          </w:tcPr>
          <w:p w14:paraId="520BABAE"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-0.021</w:t>
            </w:r>
          </w:p>
        </w:tc>
        <w:tc>
          <w:tcPr>
            <w:tcW w:w="806" w:type="pct"/>
            <w:tcBorders>
              <w:top w:val="none" w:sz="0" w:space="0" w:color="auto"/>
              <w:bottom w:val="none" w:sz="0" w:space="0" w:color="auto"/>
            </w:tcBorders>
            <w:vAlign w:val="center"/>
          </w:tcPr>
          <w:p w14:paraId="24C60708"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798" w:type="pct"/>
            <w:tcBorders>
              <w:top w:val="none" w:sz="0" w:space="0" w:color="auto"/>
              <w:bottom w:val="none" w:sz="0" w:space="0" w:color="auto"/>
            </w:tcBorders>
            <w:vAlign w:val="center"/>
            <w:hideMark/>
          </w:tcPr>
          <w:p w14:paraId="5C08890F"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-0.237*</w:t>
            </w:r>
          </w:p>
        </w:tc>
      </w:tr>
      <w:tr w:rsidR="00BC3A22" w:rsidRPr="006D74FE" w14:paraId="4AC26B2C" w14:textId="77777777" w:rsidTr="00FC50F0">
        <w:trPr>
          <w:trHeight w:val="170"/>
        </w:trPr>
        <w:tc>
          <w:tcPr>
            <w:cnfStyle w:val="001000000000" w:firstRow="0" w:lastRow="0" w:firstColumn="1" w:lastColumn="0" w:oddVBand="0" w:evenVBand="0" w:oddHBand="0" w:evenHBand="0" w:firstRowFirstColumn="0" w:firstRowLastColumn="0" w:lastRowFirstColumn="0" w:lastRowLastColumn="0"/>
            <w:tcW w:w="983" w:type="pct"/>
            <w:vAlign w:val="center"/>
            <w:hideMark/>
          </w:tcPr>
          <w:p w14:paraId="7533A244"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OBS*POL</w:t>
            </w:r>
          </w:p>
        </w:tc>
        <w:tc>
          <w:tcPr>
            <w:tcW w:w="803" w:type="pct"/>
            <w:vAlign w:val="center"/>
            <w:hideMark/>
          </w:tcPr>
          <w:p w14:paraId="58E50296"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25</w:t>
            </w:r>
          </w:p>
        </w:tc>
        <w:tc>
          <w:tcPr>
            <w:tcW w:w="852" w:type="pct"/>
            <w:vAlign w:val="center"/>
          </w:tcPr>
          <w:p w14:paraId="64A1264E"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58" w:type="pct"/>
            <w:gridSpan w:val="2"/>
            <w:vAlign w:val="center"/>
            <w:hideMark/>
          </w:tcPr>
          <w:p w14:paraId="15477B2B"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-0.753***</w:t>
            </w:r>
          </w:p>
        </w:tc>
        <w:tc>
          <w:tcPr>
            <w:tcW w:w="806" w:type="pct"/>
            <w:vAlign w:val="center"/>
          </w:tcPr>
          <w:p w14:paraId="724CEB9F"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98" w:type="pct"/>
            <w:vAlign w:val="center"/>
            <w:hideMark/>
          </w:tcPr>
          <w:p w14:paraId="0BF82C26"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0.177</w:t>
            </w:r>
          </w:p>
        </w:tc>
      </w:tr>
      <w:tr w:rsidR="00BC3A22" w:rsidRPr="006D74FE" w14:paraId="57FC8A29" w14:textId="77777777" w:rsidTr="00FC50F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83" w:type="pct"/>
            <w:tcBorders>
              <w:top w:val="none" w:sz="0" w:space="0" w:color="auto"/>
              <w:bottom w:val="none" w:sz="0" w:space="0" w:color="auto"/>
            </w:tcBorders>
            <w:vAlign w:val="center"/>
            <w:hideMark/>
          </w:tcPr>
          <w:p w14:paraId="1F9647C2"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(POF)2</w:t>
            </w:r>
          </w:p>
        </w:tc>
        <w:tc>
          <w:tcPr>
            <w:tcW w:w="803" w:type="pct"/>
            <w:tcBorders>
              <w:top w:val="none" w:sz="0" w:space="0" w:color="auto"/>
              <w:bottom w:val="none" w:sz="0" w:space="0" w:color="auto"/>
            </w:tcBorders>
            <w:vAlign w:val="center"/>
            <w:hideMark/>
          </w:tcPr>
          <w:p w14:paraId="634BAFF9"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33</w:t>
            </w:r>
          </w:p>
        </w:tc>
        <w:tc>
          <w:tcPr>
            <w:tcW w:w="852" w:type="pct"/>
            <w:tcBorders>
              <w:top w:val="none" w:sz="0" w:space="0" w:color="auto"/>
              <w:bottom w:val="none" w:sz="0" w:space="0" w:color="auto"/>
            </w:tcBorders>
            <w:vAlign w:val="center"/>
          </w:tcPr>
          <w:p w14:paraId="69AABCC5"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758" w:type="pct"/>
            <w:gridSpan w:val="2"/>
            <w:tcBorders>
              <w:top w:val="none" w:sz="0" w:space="0" w:color="auto"/>
              <w:bottom w:val="none" w:sz="0" w:space="0" w:color="auto"/>
            </w:tcBorders>
            <w:vAlign w:val="center"/>
            <w:hideMark/>
          </w:tcPr>
          <w:p w14:paraId="5618BF2F"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-0.106*</w:t>
            </w:r>
          </w:p>
        </w:tc>
        <w:tc>
          <w:tcPr>
            <w:tcW w:w="806" w:type="pct"/>
            <w:tcBorders>
              <w:top w:val="none" w:sz="0" w:space="0" w:color="auto"/>
              <w:bottom w:val="none" w:sz="0" w:space="0" w:color="auto"/>
            </w:tcBorders>
            <w:vAlign w:val="center"/>
          </w:tcPr>
          <w:p w14:paraId="0E6B6450"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798" w:type="pct"/>
            <w:tcBorders>
              <w:top w:val="none" w:sz="0" w:space="0" w:color="auto"/>
              <w:bottom w:val="none" w:sz="0" w:space="0" w:color="auto"/>
            </w:tcBorders>
            <w:vAlign w:val="center"/>
            <w:hideMark/>
          </w:tcPr>
          <w:p w14:paraId="48F41CAA"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0.124</w:t>
            </w:r>
          </w:p>
        </w:tc>
      </w:tr>
      <w:tr w:rsidR="00BC3A22" w:rsidRPr="006D74FE" w14:paraId="22291A1E" w14:textId="77777777" w:rsidTr="00FC50F0">
        <w:trPr>
          <w:trHeight w:val="170"/>
        </w:trPr>
        <w:tc>
          <w:tcPr>
            <w:cnfStyle w:val="001000000000" w:firstRow="0" w:lastRow="0" w:firstColumn="1" w:lastColumn="0" w:oddVBand="0" w:evenVBand="0" w:oddHBand="0" w:evenHBand="0" w:firstRowFirstColumn="0" w:firstRowLastColumn="0" w:lastRowFirstColumn="0" w:lastRowLastColumn="0"/>
            <w:tcW w:w="983" w:type="pct"/>
            <w:vAlign w:val="center"/>
            <w:hideMark/>
          </w:tcPr>
          <w:p w14:paraId="0E4D3006"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POF * POFA</w:t>
            </w:r>
          </w:p>
        </w:tc>
        <w:tc>
          <w:tcPr>
            <w:tcW w:w="803" w:type="pct"/>
            <w:vAlign w:val="center"/>
            <w:hideMark/>
          </w:tcPr>
          <w:p w14:paraId="42380396"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34</w:t>
            </w:r>
          </w:p>
        </w:tc>
        <w:tc>
          <w:tcPr>
            <w:tcW w:w="852" w:type="pct"/>
            <w:vAlign w:val="center"/>
          </w:tcPr>
          <w:p w14:paraId="79EE6E2D"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58" w:type="pct"/>
            <w:gridSpan w:val="2"/>
            <w:vAlign w:val="center"/>
            <w:hideMark/>
          </w:tcPr>
          <w:p w14:paraId="4B05A8A3"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-0.049</w:t>
            </w:r>
          </w:p>
        </w:tc>
        <w:tc>
          <w:tcPr>
            <w:tcW w:w="806" w:type="pct"/>
            <w:vAlign w:val="center"/>
          </w:tcPr>
          <w:p w14:paraId="33234B75"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98" w:type="pct"/>
            <w:vAlign w:val="center"/>
            <w:hideMark/>
          </w:tcPr>
          <w:p w14:paraId="6C12A3F7"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-0.115</w:t>
            </w:r>
          </w:p>
        </w:tc>
      </w:tr>
      <w:tr w:rsidR="00BC3A22" w:rsidRPr="006D74FE" w14:paraId="2D44A7D9" w14:textId="77777777" w:rsidTr="00FC50F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983" w:type="pct"/>
            <w:tcBorders>
              <w:top w:val="none" w:sz="0" w:space="0" w:color="auto"/>
              <w:bottom w:val="none" w:sz="0" w:space="0" w:color="auto"/>
            </w:tcBorders>
            <w:vAlign w:val="center"/>
            <w:hideMark/>
          </w:tcPr>
          <w:p w14:paraId="1DDBAD38"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POF *POL</w:t>
            </w:r>
          </w:p>
        </w:tc>
        <w:tc>
          <w:tcPr>
            <w:tcW w:w="803" w:type="pct"/>
            <w:tcBorders>
              <w:top w:val="none" w:sz="0" w:space="0" w:color="auto"/>
              <w:bottom w:val="none" w:sz="0" w:space="0" w:color="auto"/>
            </w:tcBorders>
            <w:vAlign w:val="center"/>
            <w:hideMark/>
          </w:tcPr>
          <w:p w14:paraId="0F90F94A"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35</w:t>
            </w:r>
          </w:p>
        </w:tc>
        <w:tc>
          <w:tcPr>
            <w:tcW w:w="852" w:type="pct"/>
            <w:tcBorders>
              <w:top w:val="none" w:sz="0" w:space="0" w:color="auto"/>
              <w:bottom w:val="none" w:sz="0" w:space="0" w:color="auto"/>
            </w:tcBorders>
            <w:vAlign w:val="center"/>
          </w:tcPr>
          <w:p w14:paraId="47B84B59"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758" w:type="pct"/>
            <w:gridSpan w:val="2"/>
            <w:tcBorders>
              <w:top w:val="none" w:sz="0" w:space="0" w:color="auto"/>
              <w:bottom w:val="none" w:sz="0" w:space="0" w:color="auto"/>
            </w:tcBorders>
            <w:vAlign w:val="center"/>
            <w:hideMark/>
          </w:tcPr>
          <w:p w14:paraId="042F6968"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-0.152*</w:t>
            </w:r>
          </w:p>
        </w:tc>
        <w:tc>
          <w:tcPr>
            <w:tcW w:w="806" w:type="pct"/>
            <w:tcBorders>
              <w:top w:val="none" w:sz="0" w:space="0" w:color="auto"/>
              <w:bottom w:val="none" w:sz="0" w:space="0" w:color="auto"/>
            </w:tcBorders>
            <w:vAlign w:val="center"/>
          </w:tcPr>
          <w:p w14:paraId="29EB669E"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798" w:type="pct"/>
            <w:tcBorders>
              <w:top w:val="none" w:sz="0" w:space="0" w:color="auto"/>
              <w:bottom w:val="none" w:sz="0" w:space="0" w:color="auto"/>
            </w:tcBorders>
            <w:vAlign w:val="center"/>
            <w:hideMark/>
          </w:tcPr>
          <w:p w14:paraId="46CC78D7"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0.183</w:t>
            </w:r>
          </w:p>
        </w:tc>
      </w:tr>
      <w:tr w:rsidR="00BC3A22" w:rsidRPr="006D74FE" w14:paraId="34934C4D" w14:textId="77777777" w:rsidTr="00FC50F0">
        <w:trPr>
          <w:trHeight w:val="170"/>
        </w:trPr>
        <w:tc>
          <w:tcPr>
            <w:cnfStyle w:val="001000000000" w:firstRow="0" w:lastRow="0" w:firstColumn="1" w:lastColumn="0" w:oddVBand="0" w:evenVBand="0" w:oddHBand="0" w:evenHBand="0" w:firstRowFirstColumn="0" w:firstRowLastColumn="0" w:lastRowFirstColumn="0" w:lastRowLastColumn="0"/>
            <w:tcW w:w="983" w:type="pct"/>
            <w:vAlign w:val="center"/>
            <w:hideMark/>
          </w:tcPr>
          <w:p w14:paraId="3DE7FE35"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(POFA)2</w:t>
            </w:r>
          </w:p>
        </w:tc>
        <w:tc>
          <w:tcPr>
            <w:tcW w:w="803" w:type="pct"/>
            <w:vAlign w:val="center"/>
            <w:hideMark/>
          </w:tcPr>
          <w:p w14:paraId="081010F2"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44</w:t>
            </w:r>
          </w:p>
        </w:tc>
        <w:tc>
          <w:tcPr>
            <w:tcW w:w="852" w:type="pct"/>
            <w:vAlign w:val="center"/>
          </w:tcPr>
          <w:p w14:paraId="6B66D7A6"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58" w:type="pct"/>
            <w:gridSpan w:val="2"/>
            <w:vAlign w:val="center"/>
            <w:hideMark/>
          </w:tcPr>
          <w:p w14:paraId="636BDCEF"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0.623***</w:t>
            </w:r>
          </w:p>
        </w:tc>
        <w:tc>
          <w:tcPr>
            <w:tcW w:w="806" w:type="pct"/>
            <w:vAlign w:val="center"/>
          </w:tcPr>
          <w:p w14:paraId="3C07B0BD"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98" w:type="pct"/>
            <w:vAlign w:val="center"/>
            <w:hideMark/>
          </w:tcPr>
          <w:p w14:paraId="0E141C6D"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-0.503</w:t>
            </w:r>
          </w:p>
        </w:tc>
      </w:tr>
      <w:tr w:rsidR="00BC3A22" w:rsidRPr="006D74FE" w14:paraId="7F263503" w14:textId="77777777" w:rsidTr="00FC50F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983" w:type="pct"/>
            <w:tcBorders>
              <w:top w:val="none" w:sz="0" w:space="0" w:color="auto"/>
              <w:bottom w:val="none" w:sz="0" w:space="0" w:color="auto"/>
            </w:tcBorders>
            <w:vAlign w:val="center"/>
            <w:hideMark/>
          </w:tcPr>
          <w:p w14:paraId="11E3037C"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POFA *POL</w:t>
            </w:r>
          </w:p>
        </w:tc>
        <w:tc>
          <w:tcPr>
            <w:tcW w:w="803" w:type="pct"/>
            <w:tcBorders>
              <w:top w:val="none" w:sz="0" w:space="0" w:color="auto"/>
              <w:bottom w:val="none" w:sz="0" w:space="0" w:color="auto"/>
            </w:tcBorders>
            <w:vAlign w:val="center"/>
            <w:hideMark/>
          </w:tcPr>
          <w:p w14:paraId="4D0979E6"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45</w:t>
            </w:r>
          </w:p>
        </w:tc>
        <w:tc>
          <w:tcPr>
            <w:tcW w:w="852" w:type="pct"/>
            <w:tcBorders>
              <w:top w:val="none" w:sz="0" w:space="0" w:color="auto"/>
              <w:bottom w:val="none" w:sz="0" w:space="0" w:color="auto"/>
            </w:tcBorders>
            <w:vAlign w:val="center"/>
          </w:tcPr>
          <w:p w14:paraId="7F963BD3"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758" w:type="pct"/>
            <w:gridSpan w:val="2"/>
            <w:tcBorders>
              <w:top w:val="none" w:sz="0" w:space="0" w:color="auto"/>
              <w:bottom w:val="none" w:sz="0" w:space="0" w:color="auto"/>
            </w:tcBorders>
            <w:vAlign w:val="center"/>
            <w:hideMark/>
          </w:tcPr>
          <w:p w14:paraId="41821499"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-0.442***</w:t>
            </w:r>
          </w:p>
        </w:tc>
        <w:tc>
          <w:tcPr>
            <w:tcW w:w="806" w:type="pct"/>
            <w:tcBorders>
              <w:top w:val="none" w:sz="0" w:space="0" w:color="auto"/>
              <w:bottom w:val="none" w:sz="0" w:space="0" w:color="auto"/>
            </w:tcBorders>
            <w:vAlign w:val="center"/>
          </w:tcPr>
          <w:p w14:paraId="365D10AB"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798" w:type="pct"/>
            <w:tcBorders>
              <w:top w:val="none" w:sz="0" w:space="0" w:color="auto"/>
              <w:bottom w:val="none" w:sz="0" w:space="0" w:color="auto"/>
            </w:tcBorders>
            <w:vAlign w:val="center"/>
            <w:hideMark/>
          </w:tcPr>
          <w:p w14:paraId="2B5536DB" w14:textId="77777777" w:rsidR="00BC3A22" w:rsidRPr="006D74FE" w:rsidRDefault="00BC3A22" w:rsidP="00A728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0.449**</w:t>
            </w:r>
          </w:p>
        </w:tc>
      </w:tr>
      <w:tr w:rsidR="00BC3A22" w:rsidRPr="006D74FE" w14:paraId="7A398B05" w14:textId="77777777" w:rsidTr="00FC50F0">
        <w:trPr>
          <w:trHeight w:val="170"/>
        </w:trPr>
        <w:tc>
          <w:tcPr>
            <w:cnfStyle w:val="001000000000" w:firstRow="0" w:lastRow="0" w:firstColumn="1" w:lastColumn="0" w:oddVBand="0" w:evenVBand="0" w:oddHBand="0" w:evenHBand="0" w:firstRowFirstColumn="0" w:firstRowLastColumn="0" w:lastRowFirstColumn="0" w:lastRowLastColumn="0"/>
            <w:tcW w:w="983" w:type="pct"/>
            <w:tcBorders>
              <w:bottom w:val="single" w:sz="4" w:space="0" w:color="auto"/>
            </w:tcBorders>
            <w:vAlign w:val="center"/>
            <w:hideMark/>
          </w:tcPr>
          <w:p w14:paraId="77CCC2E6" w14:textId="77777777" w:rsidR="00BC3A22" w:rsidRPr="00463919" w:rsidRDefault="00BC3A22" w:rsidP="00A728A2">
            <w:pPr>
              <w:jc w:val="center"/>
              <w:rPr>
                <w:rFonts w:ascii="Times New Roman" w:hAnsi="Times New Roman"/>
                <w:b w:val="0"/>
                <w:bCs w:val="0"/>
                <w:sz w:val="24"/>
                <w:szCs w:val="24"/>
              </w:rPr>
            </w:pPr>
            <w:r w:rsidRPr="00463919">
              <w:rPr>
                <w:rFonts w:ascii="Times New Roman" w:hAnsi="Times New Roman"/>
                <w:b w:val="0"/>
                <w:bCs w:val="0"/>
                <w:sz w:val="24"/>
                <w:szCs w:val="24"/>
              </w:rPr>
              <w:t>(POL)2</w:t>
            </w:r>
          </w:p>
        </w:tc>
        <w:tc>
          <w:tcPr>
            <w:tcW w:w="803" w:type="pct"/>
            <w:tcBorders>
              <w:bottom w:val="single" w:sz="4" w:space="0" w:color="auto"/>
            </w:tcBorders>
            <w:vAlign w:val="center"/>
            <w:hideMark/>
          </w:tcPr>
          <w:p w14:paraId="055DF9DA"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β</w:t>
            </w:r>
            <w:r w:rsidRPr="00422A37">
              <w:rPr>
                <w:rFonts w:ascii="Times New Roman" w:hAnsi="Times New Roman"/>
                <w:sz w:val="24"/>
                <w:szCs w:val="24"/>
                <w:vertAlign w:val="subscript"/>
              </w:rPr>
              <w:t>55</w:t>
            </w:r>
          </w:p>
        </w:tc>
        <w:tc>
          <w:tcPr>
            <w:tcW w:w="852" w:type="pct"/>
            <w:tcBorders>
              <w:bottom w:val="single" w:sz="4" w:space="0" w:color="auto"/>
            </w:tcBorders>
            <w:vAlign w:val="center"/>
          </w:tcPr>
          <w:p w14:paraId="0146E343"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58" w:type="pct"/>
            <w:gridSpan w:val="2"/>
            <w:tcBorders>
              <w:bottom w:val="single" w:sz="4" w:space="0" w:color="auto"/>
            </w:tcBorders>
            <w:vAlign w:val="center"/>
            <w:hideMark/>
          </w:tcPr>
          <w:p w14:paraId="17892442"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-0.076</w:t>
            </w:r>
          </w:p>
        </w:tc>
        <w:tc>
          <w:tcPr>
            <w:tcW w:w="806" w:type="pct"/>
            <w:tcBorders>
              <w:bottom w:val="single" w:sz="4" w:space="0" w:color="auto"/>
            </w:tcBorders>
            <w:vAlign w:val="center"/>
          </w:tcPr>
          <w:p w14:paraId="0340C42F"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798" w:type="pct"/>
            <w:tcBorders>
              <w:bottom w:val="single" w:sz="4" w:space="0" w:color="auto"/>
            </w:tcBorders>
            <w:vAlign w:val="center"/>
            <w:hideMark/>
          </w:tcPr>
          <w:p w14:paraId="66B2F3A2" w14:textId="77777777" w:rsidR="00BC3A22" w:rsidRPr="006D74FE" w:rsidRDefault="00BC3A22" w:rsidP="00A728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D74FE">
              <w:rPr>
                <w:rFonts w:ascii="Times New Roman" w:hAnsi="Times New Roman"/>
                <w:sz w:val="24"/>
                <w:szCs w:val="24"/>
              </w:rPr>
              <w:t>-0.325***</w:t>
            </w:r>
          </w:p>
        </w:tc>
      </w:tr>
    </w:tbl>
    <w:p w14:paraId="0C972CF7" w14:textId="77777777" w:rsidR="00BC3A22" w:rsidRPr="006D74FE" w:rsidRDefault="00BC3A22" w:rsidP="00A728A2">
      <w:pPr>
        <w:spacing w:after="0" w:line="240" w:lineRule="auto"/>
        <w:jc w:val="both"/>
        <w:rPr>
          <w:rFonts w:ascii="Times New Roman" w:hAnsi="Times New Roman"/>
          <w:sz w:val="24"/>
          <w:szCs w:val="24"/>
        </w:rPr>
      </w:pPr>
    </w:p>
    <w:p w14:paraId="31514B97" w14:textId="0C16B04D" w:rsidR="00547427" w:rsidRDefault="00547427" w:rsidP="00A728A2">
      <w:pPr>
        <w:spacing w:after="0" w:line="240" w:lineRule="auto"/>
        <w:jc w:val="both"/>
        <w:rPr>
          <w:rFonts w:ascii="Times New Roman" w:hAnsi="Times New Roman"/>
          <w:sz w:val="24"/>
          <w:szCs w:val="24"/>
        </w:rPr>
      </w:pPr>
      <w:r w:rsidRPr="006D74FE">
        <w:rPr>
          <w:rFonts w:ascii="Times New Roman" w:hAnsi="Times New Roman"/>
          <w:b/>
          <w:bCs/>
          <w:sz w:val="24"/>
          <w:szCs w:val="24"/>
        </w:rPr>
        <w:t>Table</w:t>
      </w:r>
      <w:r w:rsidR="009305F6">
        <w:rPr>
          <w:rFonts w:ascii="Times New Roman" w:hAnsi="Times New Roman"/>
          <w:b/>
          <w:bCs/>
          <w:sz w:val="24"/>
          <w:szCs w:val="24"/>
        </w:rPr>
        <w:t xml:space="preserve"> </w:t>
      </w:r>
      <w:r w:rsidRPr="006D74FE">
        <w:rPr>
          <w:rFonts w:ascii="Times New Roman" w:hAnsi="Times New Roman"/>
          <w:b/>
          <w:bCs/>
          <w:sz w:val="24"/>
          <w:szCs w:val="24"/>
        </w:rPr>
        <w:t xml:space="preserve">2 </w:t>
      </w:r>
      <w:r w:rsidRPr="009305F6">
        <w:rPr>
          <w:rFonts w:ascii="Times New Roman" w:hAnsi="Times New Roman"/>
          <w:sz w:val="24"/>
          <w:szCs w:val="24"/>
        </w:rPr>
        <w:t>Cost and Profit Inefficiency Estimates for Private Commercial Banks of Cobb-Douglas Stochastic Frontier Model</w:t>
      </w:r>
    </w:p>
    <w:p w14:paraId="5D763BC2" w14:textId="77777777" w:rsidR="009305F6" w:rsidRPr="006D74FE" w:rsidRDefault="009305F6" w:rsidP="00A728A2">
      <w:pPr>
        <w:spacing w:after="0" w:line="240" w:lineRule="auto"/>
        <w:jc w:val="both"/>
        <w:rPr>
          <w:rFonts w:ascii="Times New Roman" w:hAnsi="Times New Roman"/>
          <w:b/>
          <w:bCs/>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1435"/>
        <w:gridCol w:w="1540"/>
        <w:gridCol w:w="1446"/>
        <w:gridCol w:w="1325"/>
        <w:gridCol w:w="1847"/>
      </w:tblGrid>
      <w:tr w:rsidR="00463919" w:rsidRPr="006D74FE" w14:paraId="3A797344" w14:textId="77777777" w:rsidTr="000D265B">
        <w:trPr>
          <w:trHeight w:val="525"/>
          <w:jc w:val="center"/>
        </w:trPr>
        <w:tc>
          <w:tcPr>
            <w:tcW w:w="1669" w:type="pct"/>
            <w:gridSpan w:val="2"/>
            <w:tcBorders>
              <w:top w:val="single" w:sz="4" w:space="0" w:color="auto"/>
            </w:tcBorders>
            <w:vAlign w:val="center"/>
          </w:tcPr>
          <w:p w14:paraId="78DAD4F3" w14:textId="77777777" w:rsidR="00463919" w:rsidRPr="006D74FE" w:rsidRDefault="00463919" w:rsidP="000D265B">
            <w:pPr>
              <w:jc w:val="center"/>
              <w:rPr>
                <w:rFonts w:ascii="Times New Roman" w:hAnsi="Times New Roman"/>
                <w:sz w:val="24"/>
                <w:szCs w:val="24"/>
              </w:rPr>
            </w:pPr>
          </w:p>
        </w:tc>
        <w:tc>
          <w:tcPr>
            <w:tcW w:w="1615" w:type="pct"/>
            <w:gridSpan w:val="2"/>
            <w:tcBorders>
              <w:top w:val="single" w:sz="4" w:space="0" w:color="auto"/>
              <w:bottom w:val="single" w:sz="4" w:space="0" w:color="auto"/>
            </w:tcBorders>
            <w:vAlign w:val="center"/>
          </w:tcPr>
          <w:p w14:paraId="6C6041AD" w14:textId="292A04BB"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Coefficient of cost</w:t>
            </w:r>
          </w:p>
        </w:tc>
        <w:tc>
          <w:tcPr>
            <w:tcW w:w="1716" w:type="pct"/>
            <w:gridSpan w:val="2"/>
            <w:tcBorders>
              <w:top w:val="single" w:sz="4" w:space="0" w:color="auto"/>
              <w:bottom w:val="single" w:sz="4" w:space="0" w:color="auto"/>
            </w:tcBorders>
            <w:vAlign w:val="center"/>
          </w:tcPr>
          <w:p w14:paraId="65CE6805" w14:textId="4FCE1FD5"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Coefficient of Profit</w:t>
            </w:r>
          </w:p>
        </w:tc>
      </w:tr>
      <w:tr w:rsidR="00463919" w:rsidRPr="006D74FE" w14:paraId="62D862EA" w14:textId="77777777" w:rsidTr="000D265B">
        <w:trPr>
          <w:trHeight w:val="525"/>
          <w:jc w:val="center"/>
        </w:trPr>
        <w:tc>
          <w:tcPr>
            <w:tcW w:w="893" w:type="pct"/>
            <w:tcBorders>
              <w:bottom w:val="single" w:sz="4" w:space="0" w:color="auto"/>
            </w:tcBorders>
            <w:vAlign w:val="center"/>
          </w:tcPr>
          <w:p w14:paraId="16CDB29E" w14:textId="7C700C88" w:rsidR="00463919" w:rsidRPr="006D74FE" w:rsidRDefault="002D1052" w:rsidP="000D265B">
            <w:pPr>
              <w:jc w:val="center"/>
              <w:rPr>
                <w:rFonts w:ascii="Times New Roman" w:hAnsi="Times New Roman"/>
                <w:sz w:val="24"/>
                <w:szCs w:val="24"/>
              </w:rPr>
            </w:pPr>
            <w:r w:rsidRPr="006D74FE">
              <w:rPr>
                <w:rFonts w:ascii="Times New Roman" w:hAnsi="Times New Roman"/>
                <w:sz w:val="24"/>
                <w:szCs w:val="24"/>
              </w:rPr>
              <w:t>Variable</w:t>
            </w:r>
          </w:p>
        </w:tc>
        <w:tc>
          <w:tcPr>
            <w:tcW w:w="776" w:type="pct"/>
            <w:tcBorders>
              <w:bottom w:val="single" w:sz="4" w:space="0" w:color="auto"/>
            </w:tcBorders>
            <w:vAlign w:val="center"/>
          </w:tcPr>
          <w:p w14:paraId="4876BCB5" w14:textId="6B0D9A98" w:rsidR="00463919" w:rsidRPr="006D74FE" w:rsidRDefault="002D1052" w:rsidP="000D265B">
            <w:pPr>
              <w:jc w:val="center"/>
              <w:rPr>
                <w:rFonts w:ascii="Times New Roman" w:hAnsi="Times New Roman"/>
                <w:sz w:val="24"/>
                <w:szCs w:val="24"/>
              </w:rPr>
            </w:pPr>
            <w:r w:rsidRPr="006D74FE">
              <w:rPr>
                <w:rFonts w:ascii="Times New Roman" w:hAnsi="Times New Roman"/>
                <w:sz w:val="24"/>
                <w:szCs w:val="24"/>
              </w:rPr>
              <w:t>Parameter</w:t>
            </w:r>
          </w:p>
        </w:tc>
        <w:tc>
          <w:tcPr>
            <w:tcW w:w="833" w:type="pct"/>
            <w:tcBorders>
              <w:top w:val="single" w:sz="4" w:space="0" w:color="auto"/>
              <w:bottom w:val="single" w:sz="4" w:space="0" w:color="auto"/>
            </w:tcBorders>
            <w:vAlign w:val="center"/>
          </w:tcPr>
          <w:p w14:paraId="6C4A0F8E" w14:textId="7C0AE16B"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Cobb-Douglas</w:t>
            </w:r>
          </w:p>
        </w:tc>
        <w:tc>
          <w:tcPr>
            <w:tcW w:w="782" w:type="pct"/>
            <w:tcBorders>
              <w:top w:val="single" w:sz="4" w:space="0" w:color="auto"/>
              <w:bottom w:val="single" w:sz="4" w:space="0" w:color="auto"/>
            </w:tcBorders>
            <w:vAlign w:val="center"/>
          </w:tcPr>
          <w:p w14:paraId="7043ACF6" w14:textId="77777777" w:rsidR="00463919" w:rsidRPr="006D74FE" w:rsidRDefault="00463919" w:rsidP="000D265B">
            <w:pPr>
              <w:jc w:val="center"/>
              <w:rPr>
                <w:rFonts w:ascii="Times New Roman" w:hAnsi="Times New Roman"/>
                <w:sz w:val="24"/>
                <w:szCs w:val="24"/>
              </w:rPr>
            </w:pPr>
            <w:proofErr w:type="spellStart"/>
            <w:r w:rsidRPr="006D74FE">
              <w:rPr>
                <w:rFonts w:ascii="Times New Roman" w:hAnsi="Times New Roman"/>
                <w:sz w:val="24"/>
                <w:szCs w:val="24"/>
              </w:rPr>
              <w:t>Translog</w:t>
            </w:r>
            <w:proofErr w:type="spellEnd"/>
          </w:p>
        </w:tc>
        <w:tc>
          <w:tcPr>
            <w:tcW w:w="717" w:type="pct"/>
            <w:tcBorders>
              <w:top w:val="single" w:sz="4" w:space="0" w:color="auto"/>
              <w:bottom w:val="single" w:sz="4" w:space="0" w:color="auto"/>
            </w:tcBorders>
            <w:vAlign w:val="center"/>
          </w:tcPr>
          <w:p w14:paraId="6F4F5106"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Cobb-Douglas</w:t>
            </w:r>
          </w:p>
        </w:tc>
        <w:tc>
          <w:tcPr>
            <w:tcW w:w="999" w:type="pct"/>
            <w:tcBorders>
              <w:top w:val="single" w:sz="4" w:space="0" w:color="auto"/>
              <w:bottom w:val="single" w:sz="4" w:space="0" w:color="auto"/>
            </w:tcBorders>
            <w:vAlign w:val="center"/>
          </w:tcPr>
          <w:p w14:paraId="50E45687" w14:textId="77777777" w:rsidR="00463919" w:rsidRPr="006D74FE" w:rsidRDefault="00463919" w:rsidP="000D265B">
            <w:pPr>
              <w:jc w:val="center"/>
              <w:rPr>
                <w:rFonts w:ascii="Times New Roman" w:hAnsi="Times New Roman"/>
                <w:sz w:val="24"/>
                <w:szCs w:val="24"/>
              </w:rPr>
            </w:pPr>
            <w:proofErr w:type="spellStart"/>
            <w:r w:rsidRPr="006D74FE">
              <w:rPr>
                <w:rFonts w:ascii="Times New Roman" w:hAnsi="Times New Roman"/>
                <w:sz w:val="24"/>
                <w:szCs w:val="24"/>
              </w:rPr>
              <w:t>Translog</w:t>
            </w:r>
            <w:proofErr w:type="spellEnd"/>
          </w:p>
        </w:tc>
      </w:tr>
      <w:tr w:rsidR="00463919" w:rsidRPr="006D74FE" w14:paraId="5C4D8A8E" w14:textId="77777777" w:rsidTr="000D265B">
        <w:trPr>
          <w:trHeight w:val="222"/>
          <w:jc w:val="center"/>
        </w:trPr>
        <w:tc>
          <w:tcPr>
            <w:tcW w:w="893" w:type="pct"/>
            <w:tcBorders>
              <w:top w:val="single" w:sz="4" w:space="0" w:color="auto"/>
            </w:tcBorders>
            <w:vAlign w:val="center"/>
            <w:hideMark/>
          </w:tcPr>
          <w:p w14:paraId="2110413E"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NII</w:t>
            </w:r>
          </w:p>
        </w:tc>
        <w:tc>
          <w:tcPr>
            <w:tcW w:w="776" w:type="pct"/>
            <w:tcBorders>
              <w:top w:val="single" w:sz="4" w:space="0" w:color="auto"/>
            </w:tcBorders>
            <w:vAlign w:val="center"/>
            <w:hideMark/>
          </w:tcPr>
          <w:p w14:paraId="07A3AF62"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δ</w:t>
            </w:r>
            <w:r w:rsidRPr="00422A37">
              <w:rPr>
                <w:rFonts w:ascii="Times New Roman" w:hAnsi="Times New Roman"/>
                <w:sz w:val="24"/>
                <w:szCs w:val="24"/>
                <w:vertAlign w:val="subscript"/>
              </w:rPr>
              <w:t>1</w:t>
            </w:r>
          </w:p>
        </w:tc>
        <w:tc>
          <w:tcPr>
            <w:tcW w:w="833" w:type="pct"/>
            <w:tcBorders>
              <w:top w:val="single" w:sz="4" w:space="0" w:color="auto"/>
            </w:tcBorders>
            <w:vAlign w:val="center"/>
            <w:hideMark/>
          </w:tcPr>
          <w:p w14:paraId="2D8BFD7F"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-0.32***</w:t>
            </w:r>
          </w:p>
        </w:tc>
        <w:tc>
          <w:tcPr>
            <w:tcW w:w="782" w:type="pct"/>
            <w:tcBorders>
              <w:top w:val="single" w:sz="4" w:space="0" w:color="auto"/>
            </w:tcBorders>
            <w:vAlign w:val="center"/>
            <w:hideMark/>
          </w:tcPr>
          <w:p w14:paraId="6E88C222"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-0.305***</w:t>
            </w:r>
          </w:p>
        </w:tc>
        <w:tc>
          <w:tcPr>
            <w:tcW w:w="717" w:type="pct"/>
            <w:tcBorders>
              <w:top w:val="single" w:sz="4" w:space="0" w:color="auto"/>
            </w:tcBorders>
            <w:vAlign w:val="center"/>
            <w:hideMark/>
          </w:tcPr>
          <w:p w14:paraId="0F8C79C2"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-0.244</w:t>
            </w:r>
          </w:p>
        </w:tc>
        <w:tc>
          <w:tcPr>
            <w:tcW w:w="999" w:type="pct"/>
            <w:tcBorders>
              <w:top w:val="single" w:sz="4" w:space="0" w:color="auto"/>
            </w:tcBorders>
            <w:vAlign w:val="center"/>
            <w:hideMark/>
          </w:tcPr>
          <w:p w14:paraId="1B27AE11"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0.058</w:t>
            </w:r>
          </w:p>
        </w:tc>
      </w:tr>
      <w:tr w:rsidR="00463919" w:rsidRPr="006D74FE" w14:paraId="342ED2A7" w14:textId="77777777" w:rsidTr="000D265B">
        <w:trPr>
          <w:trHeight w:val="263"/>
          <w:jc w:val="center"/>
        </w:trPr>
        <w:tc>
          <w:tcPr>
            <w:tcW w:w="893" w:type="pct"/>
            <w:vAlign w:val="center"/>
            <w:hideMark/>
          </w:tcPr>
          <w:p w14:paraId="25C95543"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NPL</w:t>
            </w:r>
          </w:p>
        </w:tc>
        <w:tc>
          <w:tcPr>
            <w:tcW w:w="776" w:type="pct"/>
            <w:vAlign w:val="center"/>
            <w:hideMark/>
          </w:tcPr>
          <w:p w14:paraId="37D89F7E"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δ</w:t>
            </w:r>
            <w:r w:rsidRPr="00422A37">
              <w:rPr>
                <w:rFonts w:ascii="Times New Roman" w:hAnsi="Times New Roman"/>
                <w:sz w:val="24"/>
                <w:szCs w:val="24"/>
                <w:vertAlign w:val="subscript"/>
              </w:rPr>
              <w:t>2</w:t>
            </w:r>
          </w:p>
        </w:tc>
        <w:tc>
          <w:tcPr>
            <w:tcW w:w="833" w:type="pct"/>
            <w:vAlign w:val="center"/>
            <w:hideMark/>
          </w:tcPr>
          <w:p w14:paraId="0C6B6870"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-0.039</w:t>
            </w:r>
          </w:p>
        </w:tc>
        <w:tc>
          <w:tcPr>
            <w:tcW w:w="782" w:type="pct"/>
            <w:vAlign w:val="center"/>
            <w:hideMark/>
          </w:tcPr>
          <w:p w14:paraId="0F9244FE"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-0.045</w:t>
            </w:r>
          </w:p>
        </w:tc>
        <w:tc>
          <w:tcPr>
            <w:tcW w:w="717" w:type="pct"/>
            <w:vAlign w:val="center"/>
            <w:hideMark/>
          </w:tcPr>
          <w:p w14:paraId="796D6F81"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-0.572*</w:t>
            </w:r>
          </w:p>
        </w:tc>
        <w:tc>
          <w:tcPr>
            <w:tcW w:w="999" w:type="pct"/>
            <w:vAlign w:val="center"/>
            <w:hideMark/>
          </w:tcPr>
          <w:p w14:paraId="765BA0A5"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-0.467</w:t>
            </w:r>
          </w:p>
        </w:tc>
      </w:tr>
      <w:tr w:rsidR="00463919" w:rsidRPr="006D74FE" w14:paraId="3412DF89" w14:textId="77777777" w:rsidTr="000D265B">
        <w:trPr>
          <w:trHeight w:val="245"/>
          <w:jc w:val="center"/>
        </w:trPr>
        <w:tc>
          <w:tcPr>
            <w:tcW w:w="893" w:type="pct"/>
            <w:vAlign w:val="center"/>
            <w:hideMark/>
          </w:tcPr>
          <w:p w14:paraId="03541C20"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ROA</w:t>
            </w:r>
          </w:p>
        </w:tc>
        <w:tc>
          <w:tcPr>
            <w:tcW w:w="776" w:type="pct"/>
            <w:vAlign w:val="center"/>
            <w:hideMark/>
          </w:tcPr>
          <w:p w14:paraId="4CC7A7BA"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δ</w:t>
            </w:r>
            <w:r w:rsidRPr="00422A37">
              <w:rPr>
                <w:rFonts w:ascii="Times New Roman" w:hAnsi="Times New Roman"/>
                <w:sz w:val="24"/>
                <w:szCs w:val="24"/>
                <w:vertAlign w:val="subscript"/>
              </w:rPr>
              <w:t>3</w:t>
            </w:r>
          </w:p>
        </w:tc>
        <w:tc>
          <w:tcPr>
            <w:tcW w:w="833" w:type="pct"/>
            <w:vAlign w:val="center"/>
            <w:hideMark/>
          </w:tcPr>
          <w:p w14:paraId="227A7BF1"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-0.344</w:t>
            </w:r>
          </w:p>
        </w:tc>
        <w:tc>
          <w:tcPr>
            <w:tcW w:w="782" w:type="pct"/>
            <w:vAlign w:val="center"/>
            <w:hideMark/>
          </w:tcPr>
          <w:p w14:paraId="4FF19036"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-0.229</w:t>
            </w:r>
          </w:p>
        </w:tc>
        <w:tc>
          <w:tcPr>
            <w:tcW w:w="717" w:type="pct"/>
            <w:vAlign w:val="center"/>
            <w:hideMark/>
          </w:tcPr>
          <w:p w14:paraId="01364249"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-1.704*</w:t>
            </w:r>
          </w:p>
        </w:tc>
        <w:tc>
          <w:tcPr>
            <w:tcW w:w="999" w:type="pct"/>
            <w:vAlign w:val="center"/>
            <w:hideMark/>
          </w:tcPr>
          <w:p w14:paraId="199995C1"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-2.513**</w:t>
            </w:r>
          </w:p>
        </w:tc>
      </w:tr>
      <w:tr w:rsidR="00463919" w:rsidRPr="006D74FE" w14:paraId="4553580F" w14:textId="77777777" w:rsidTr="000D265B">
        <w:trPr>
          <w:trHeight w:val="226"/>
          <w:jc w:val="center"/>
        </w:trPr>
        <w:tc>
          <w:tcPr>
            <w:tcW w:w="893" w:type="pct"/>
            <w:vAlign w:val="center"/>
            <w:hideMark/>
          </w:tcPr>
          <w:p w14:paraId="5316689E"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ROE</w:t>
            </w:r>
          </w:p>
        </w:tc>
        <w:tc>
          <w:tcPr>
            <w:tcW w:w="776" w:type="pct"/>
            <w:vAlign w:val="center"/>
            <w:hideMark/>
          </w:tcPr>
          <w:p w14:paraId="1DB84F6D"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δ</w:t>
            </w:r>
            <w:r w:rsidRPr="00422A37">
              <w:rPr>
                <w:rFonts w:ascii="Times New Roman" w:hAnsi="Times New Roman"/>
                <w:sz w:val="24"/>
                <w:szCs w:val="24"/>
                <w:vertAlign w:val="subscript"/>
              </w:rPr>
              <w:t>4</w:t>
            </w:r>
          </w:p>
        </w:tc>
        <w:tc>
          <w:tcPr>
            <w:tcW w:w="833" w:type="pct"/>
            <w:vAlign w:val="center"/>
            <w:hideMark/>
          </w:tcPr>
          <w:p w14:paraId="42CBD879"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0.871**</w:t>
            </w:r>
          </w:p>
        </w:tc>
        <w:tc>
          <w:tcPr>
            <w:tcW w:w="782" w:type="pct"/>
            <w:vAlign w:val="center"/>
            <w:hideMark/>
          </w:tcPr>
          <w:p w14:paraId="213C6590"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0.341*</w:t>
            </w:r>
          </w:p>
        </w:tc>
        <w:tc>
          <w:tcPr>
            <w:tcW w:w="717" w:type="pct"/>
            <w:vAlign w:val="center"/>
            <w:hideMark/>
          </w:tcPr>
          <w:p w14:paraId="2511035B"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2.38***</w:t>
            </w:r>
          </w:p>
        </w:tc>
        <w:tc>
          <w:tcPr>
            <w:tcW w:w="999" w:type="pct"/>
            <w:vAlign w:val="center"/>
            <w:hideMark/>
          </w:tcPr>
          <w:p w14:paraId="18BA7CD3"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2.868***</w:t>
            </w:r>
          </w:p>
        </w:tc>
      </w:tr>
      <w:tr w:rsidR="00463919" w:rsidRPr="006D74FE" w14:paraId="5D5D5E57" w14:textId="77777777" w:rsidTr="000D265B">
        <w:trPr>
          <w:trHeight w:val="216"/>
          <w:jc w:val="center"/>
        </w:trPr>
        <w:tc>
          <w:tcPr>
            <w:tcW w:w="893" w:type="pct"/>
            <w:vAlign w:val="center"/>
            <w:hideMark/>
          </w:tcPr>
          <w:p w14:paraId="29661423"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CAR</w:t>
            </w:r>
          </w:p>
        </w:tc>
        <w:tc>
          <w:tcPr>
            <w:tcW w:w="776" w:type="pct"/>
            <w:vAlign w:val="center"/>
            <w:hideMark/>
          </w:tcPr>
          <w:p w14:paraId="4C1F50A4"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δ</w:t>
            </w:r>
            <w:r w:rsidRPr="00422A37">
              <w:rPr>
                <w:rFonts w:ascii="Times New Roman" w:hAnsi="Times New Roman"/>
                <w:sz w:val="24"/>
                <w:szCs w:val="24"/>
                <w:vertAlign w:val="subscript"/>
              </w:rPr>
              <w:t>5</w:t>
            </w:r>
          </w:p>
        </w:tc>
        <w:tc>
          <w:tcPr>
            <w:tcW w:w="833" w:type="pct"/>
            <w:vAlign w:val="center"/>
            <w:hideMark/>
          </w:tcPr>
          <w:p w14:paraId="686579D2"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0.356</w:t>
            </w:r>
          </w:p>
        </w:tc>
        <w:tc>
          <w:tcPr>
            <w:tcW w:w="782" w:type="pct"/>
            <w:vAlign w:val="center"/>
            <w:hideMark/>
          </w:tcPr>
          <w:p w14:paraId="17FF49C1"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0.961***</w:t>
            </w:r>
          </w:p>
        </w:tc>
        <w:tc>
          <w:tcPr>
            <w:tcW w:w="717" w:type="pct"/>
            <w:vAlign w:val="center"/>
            <w:hideMark/>
          </w:tcPr>
          <w:p w14:paraId="37BD2A22"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-1.75*</w:t>
            </w:r>
          </w:p>
        </w:tc>
        <w:tc>
          <w:tcPr>
            <w:tcW w:w="999" w:type="pct"/>
            <w:vAlign w:val="center"/>
            <w:hideMark/>
          </w:tcPr>
          <w:p w14:paraId="6F063CF4"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-2.806**</w:t>
            </w:r>
          </w:p>
        </w:tc>
      </w:tr>
      <w:tr w:rsidR="00463919" w:rsidRPr="006D74FE" w14:paraId="2E8DB5E4" w14:textId="77777777" w:rsidTr="000D265B">
        <w:trPr>
          <w:trHeight w:val="198"/>
          <w:jc w:val="center"/>
        </w:trPr>
        <w:tc>
          <w:tcPr>
            <w:tcW w:w="893" w:type="pct"/>
            <w:vAlign w:val="center"/>
            <w:hideMark/>
          </w:tcPr>
          <w:p w14:paraId="61F919A1"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 xml:space="preserve">Sigma </w:t>
            </w:r>
            <w:proofErr w:type="spellStart"/>
            <w:r w:rsidRPr="006D74FE">
              <w:rPr>
                <w:rFonts w:ascii="Times New Roman" w:hAnsi="Times New Roman"/>
                <w:sz w:val="24"/>
                <w:szCs w:val="24"/>
              </w:rPr>
              <w:t>Sq</w:t>
            </w:r>
            <w:proofErr w:type="spellEnd"/>
          </w:p>
        </w:tc>
        <w:tc>
          <w:tcPr>
            <w:tcW w:w="776" w:type="pct"/>
            <w:vAlign w:val="center"/>
            <w:hideMark/>
          </w:tcPr>
          <w:p w14:paraId="2C591027"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б</w:t>
            </w:r>
            <w:r w:rsidRPr="00422A37">
              <w:rPr>
                <w:rFonts w:ascii="Times New Roman" w:hAnsi="Times New Roman"/>
                <w:sz w:val="24"/>
                <w:szCs w:val="24"/>
                <w:vertAlign w:val="superscript"/>
              </w:rPr>
              <w:t>2</w:t>
            </w:r>
          </w:p>
        </w:tc>
        <w:tc>
          <w:tcPr>
            <w:tcW w:w="833" w:type="pct"/>
            <w:vAlign w:val="center"/>
            <w:hideMark/>
          </w:tcPr>
          <w:p w14:paraId="6FCD79C3"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0.26***</w:t>
            </w:r>
          </w:p>
        </w:tc>
        <w:tc>
          <w:tcPr>
            <w:tcW w:w="782" w:type="pct"/>
            <w:vAlign w:val="center"/>
            <w:hideMark/>
          </w:tcPr>
          <w:p w14:paraId="38C526A0"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0.121***</w:t>
            </w:r>
          </w:p>
        </w:tc>
        <w:tc>
          <w:tcPr>
            <w:tcW w:w="717" w:type="pct"/>
            <w:vAlign w:val="center"/>
            <w:hideMark/>
          </w:tcPr>
          <w:p w14:paraId="7E679A78"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3.41***</w:t>
            </w:r>
          </w:p>
        </w:tc>
        <w:tc>
          <w:tcPr>
            <w:tcW w:w="999" w:type="pct"/>
            <w:vAlign w:val="center"/>
            <w:hideMark/>
          </w:tcPr>
          <w:p w14:paraId="679DDF55"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2.704***</w:t>
            </w:r>
          </w:p>
        </w:tc>
      </w:tr>
      <w:tr w:rsidR="00463919" w:rsidRPr="006D74FE" w14:paraId="71038CA9" w14:textId="77777777" w:rsidTr="000D265B">
        <w:trPr>
          <w:trHeight w:val="272"/>
          <w:jc w:val="center"/>
        </w:trPr>
        <w:tc>
          <w:tcPr>
            <w:tcW w:w="893" w:type="pct"/>
            <w:tcBorders>
              <w:bottom w:val="single" w:sz="4" w:space="0" w:color="auto"/>
            </w:tcBorders>
            <w:vAlign w:val="center"/>
            <w:hideMark/>
          </w:tcPr>
          <w:p w14:paraId="0D87C8E4"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Gamma</w:t>
            </w:r>
          </w:p>
        </w:tc>
        <w:tc>
          <w:tcPr>
            <w:tcW w:w="776" w:type="pct"/>
            <w:tcBorders>
              <w:bottom w:val="single" w:sz="4" w:space="0" w:color="auto"/>
            </w:tcBorders>
            <w:vAlign w:val="center"/>
            <w:hideMark/>
          </w:tcPr>
          <w:p w14:paraId="2D329D3C"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γ</w:t>
            </w:r>
          </w:p>
        </w:tc>
        <w:tc>
          <w:tcPr>
            <w:tcW w:w="833" w:type="pct"/>
            <w:tcBorders>
              <w:bottom w:val="single" w:sz="4" w:space="0" w:color="auto"/>
            </w:tcBorders>
            <w:vAlign w:val="center"/>
            <w:hideMark/>
          </w:tcPr>
          <w:p w14:paraId="09C6C870"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0.862***</w:t>
            </w:r>
          </w:p>
        </w:tc>
        <w:tc>
          <w:tcPr>
            <w:tcW w:w="782" w:type="pct"/>
            <w:tcBorders>
              <w:bottom w:val="single" w:sz="4" w:space="0" w:color="auto"/>
            </w:tcBorders>
            <w:vAlign w:val="center"/>
            <w:hideMark/>
          </w:tcPr>
          <w:p w14:paraId="2A0428A9"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0.669***</w:t>
            </w:r>
          </w:p>
        </w:tc>
        <w:tc>
          <w:tcPr>
            <w:tcW w:w="717" w:type="pct"/>
            <w:tcBorders>
              <w:bottom w:val="single" w:sz="4" w:space="0" w:color="auto"/>
            </w:tcBorders>
            <w:vAlign w:val="center"/>
            <w:hideMark/>
          </w:tcPr>
          <w:p w14:paraId="7C98A92B"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1.00*</w:t>
            </w:r>
          </w:p>
        </w:tc>
        <w:tc>
          <w:tcPr>
            <w:tcW w:w="999" w:type="pct"/>
            <w:tcBorders>
              <w:bottom w:val="single" w:sz="4" w:space="0" w:color="auto"/>
            </w:tcBorders>
            <w:vAlign w:val="center"/>
            <w:hideMark/>
          </w:tcPr>
          <w:p w14:paraId="079EC54B" w14:textId="77777777" w:rsidR="00463919" w:rsidRPr="006D74FE" w:rsidRDefault="00463919" w:rsidP="000D265B">
            <w:pPr>
              <w:jc w:val="center"/>
              <w:rPr>
                <w:rFonts w:ascii="Times New Roman" w:hAnsi="Times New Roman"/>
                <w:sz w:val="24"/>
                <w:szCs w:val="24"/>
              </w:rPr>
            </w:pPr>
            <w:r w:rsidRPr="006D74FE">
              <w:rPr>
                <w:rFonts w:ascii="Times New Roman" w:hAnsi="Times New Roman"/>
                <w:sz w:val="24"/>
                <w:szCs w:val="24"/>
              </w:rPr>
              <w:t>0.999***</w:t>
            </w:r>
          </w:p>
        </w:tc>
      </w:tr>
    </w:tbl>
    <w:p w14:paraId="30381500" w14:textId="4CB6CD93" w:rsidR="009305F6" w:rsidRDefault="009305F6" w:rsidP="00A728A2">
      <w:pPr>
        <w:spacing w:after="0" w:line="240" w:lineRule="auto"/>
        <w:jc w:val="both"/>
        <w:rPr>
          <w:rFonts w:ascii="Times New Roman" w:hAnsi="Times New Roman"/>
          <w:sz w:val="24"/>
          <w:szCs w:val="24"/>
        </w:rPr>
      </w:pPr>
    </w:p>
    <w:p w14:paraId="1BF95E11" w14:textId="77777777" w:rsidR="009305F6" w:rsidRDefault="009305F6" w:rsidP="00A728A2">
      <w:pPr>
        <w:jc w:val="both"/>
        <w:rPr>
          <w:rFonts w:ascii="Times New Roman" w:hAnsi="Times New Roman"/>
          <w:sz w:val="24"/>
          <w:szCs w:val="24"/>
        </w:rPr>
      </w:pPr>
      <w:r>
        <w:rPr>
          <w:rFonts w:ascii="Times New Roman" w:hAnsi="Times New Roman"/>
          <w:sz w:val="24"/>
          <w:szCs w:val="24"/>
        </w:rPr>
        <w:br w:type="page"/>
      </w:r>
    </w:p>
    <w:p w14:paraId="5F4015F7" w14:textId="489A6799" w:rsidR="004432EC" w:rsidRDefault="004432EC" w:rsidP="00A728A2">
      <w:pPr>
        <w:spacing w:after="0" w:line="240" w:lineRule="auto"/>
        <w:jc w:val="both"/>
        <w:rPr>
          <w:rFonts w:ascii="Times New Roman" w:hAnsi="Times New Roman"/>
          <w:sz w:val="24"/>
          <w:szCs w:val="24"/>
        </w:rPr>
      </w:pPr>
      <w:r w:rsidRPr="006D74FE">
        <w:rPr>
          <w:rFonts w:ascii="Times New Roman" w:hAnsi="Times New Roman"/>
          <w:b/>
          <w:bCs/>
          <w:sz w:val="24"/>
          <w:szCs w:val="24"/>
        </w:rPr>
        <w:lastRenderedPageBreak/>
        <w:t xml:space="preserve">Table 3 </w:t>
      </w:r>
      <w:r w:rsidRPr="009305F6">
        <w:rPr>
          <w:rFonts w:ascii="Times New Roman" w:hAnsi="Times New Roman"/>
          <w:sz w:val="24"/>
          <w:szCs w:val="24"/>
        </w:rPr>
        <w:t>Results of Likelihood-Ratio Test of Stochastic Cost and Profit Frontier Models for Private Commercial Banks</w:t>
      </w:r>
    </w:p>
    <w:p w14:paraId="668545FA" w14:textId="77777777" w:rsidR="009305F6" w:rsidRPr="006D74FE" w:rsidRDefault="009305F6" w:rsidP="00A728A2">
      <w:pPr>
        <w:spacing w:after="0" w:line="240" w:lineRule="auto"/>
        <w:jc w:val="both"/>
        <w:rPr>
          <w:rFonts w:ascii="Times New Roman" w:hAnsi="Times New Roman"/>
          <w:b/>
          <w:bCs/>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1981"/>
        <w:gridCol w:w="1484"/>
        <w:gridCol w:w="1313"/>
        <w:gridCol w:w="1492"/>
        <w:gridCol w:w="1534"/>
      </w:tblGrid>
      <w:tr w:rsidR="004432EC" w:rsidRPr="006D74FE" w14:paraId="2ED00284" w14:textId="77777777" w:rsidTr="00D471D1">
        <w:trPr>
          <w:trHeight w:val="719"/>
          <w:jc w:val="center"/>
        </w:trPr>
        <w:tc>
          <w:tcPr>
            <w:tcW w:w="778" w:type="pct"/>
            <w:tcBorders>
              <w:top w:val="single" w:sz="4" w:space="0" w:color="auto"/>
              <w:bottom w:val="single" w:sz="4" w:space="0" w:color="auto"/>
            </w:tcBorders>
            <w:vAlign w:val="center"/>
            <w:hideMark/>
          </w:tcPr>
          <w:p w14:paraId="38979C9E"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Model</w:t>
            </w:r>
          </w:p>
        </w:tc>
        <w:tc>
          <w:tcPr>
            <w:tcW w:w="1071" w:type="pct"/>
            <w:tcBorders>
              <w:top w:val="single" w:sz="4" w:space="0" w:color="auto"/>
              <w:bottom w:val="single" w:sz="4" w:space="0" w:color="auto"/>
            </w:tcBorders>
            <w:vAlign w:val="center"/>
            <w:hideMark/>
          </w:tcPr>
          <w:p w14:paraId="2B6024DA"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Null Hypothesis</w:t>
            </w:r>
          </w:p>
        </w:tc>
        <w:tc>
          <w:tcPr>
            <w:tcW w:w="803" w:type="pct"/>
            <w:tcBorders>
              <w:top w:val="single" w:sz="4" w:space="0" w:color="auto"/>
              <w:bottom w:val="single" w:sz="4" w:space="0" w:color="auto"/>
            </w:tcBorders>
            <w:vAlign w:val="center"/>
            <w:hideMark/>
          </w:tcPr>
          <w:p w14:paraId="227295AA"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Log-Likelihood</w:t>
            </w:r>
            <w:r w:rsidRPr="006D74FE">
              <w:rPr>
                <w:rFonts w:ascii="Times New Roman" w:hAnsi="Times New Roman"/>
                <w:sz w:val="24"/>
                <w:szCs w:val="24"/>
              </w:rPr>
              <w:br/>
              <w:t>Function</w:t>
            </w:r>
          </w:p>
        </w:tc>
        <w:tc>
          <w:tcPr>
            <w:tcW w:w="710" w:type="pct"/>
            <w:tcBorders>
              <w:top w:val="single" w:sz="4" w:space="0" w:color="auto"/>
              <w:bottom w:val="single" w:sz="4" w:space="0" w:color="auto"/>
            </w:tcBorders>
            <w:vAlign w:val="center"/>
            <w:hideMark/>
          </w:tcPr>
          <w:p w14:paraId="20E465C3"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Test Statistics</w:t>
            </w:r>
            <w:r w:rsidRPr="006D74FE">
              <w:rPr>
                <w:rFonts w:ascii="Times New Roman" w:hAnsi="Times New Roman"/>
                <w:sz w:val="24"/>
                <w:szCs w:val="24"/>
              </w:rPr>
              <w:br/>
            </w:r>
            <w:r w:rsidRPr="006D74FE">
              <w:rPr>
                <w:rFonts w:ascii="Times New Roman" w:hAnsi="Times New Roman"/>
                <w:sz w:val="24"/>
                <w:szCs w:val="24"/>
              </w:rPr>
              <w:sym w:font="Symbol" w:char="F06C"/>
            </w:r>
          </w:p>
        </w:tc>
        <w:tc>
          <w:tcPr>
            <w:tcW w:w="807" w:type="pct"/>
            <w:tcBorders>
              <w:top w:val="single" w:sz="4" w:space="0" w:color="auto"/>
              <w:bottom w:val="single" w:sz="4" w:space="0" w:color="auto"/>
            </w:tcBorders>
            <w:vAlign w:val="center"/>
            <w:hideMark/>
          </w:tcPr>
          <w:p w14:paraId="7520BCDC"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Critical Value</w:t>
            </w:r>
          </w:p>
        </w:tc>
        <w:tc>
          <w:tcPr>
            <w:tcW w:w="830" w:type="pct"/>
            <w:tcBorders>
              <w:top w:val="single" w:sz="4" w:space="0" w:color="auto"/>
              <w:bottom w:val="single" w:sz="4" w:space="0" w:color="auto"/>
            </w:tcBorders>
            <w:vAlign w:val="center"/>
            <w:hideMark/>
          </w:tcPr>
          <w:p w14:paraId="03FA27A8"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Decision</w:t>
            </w:r>
          </w:p>
        </w:tc>
      </w:tr>
      <w:tr w:rsidR="004432EC" w:rsidRPr="006D74FE" w14:paraId="4ED605AA" w14:textId="77777777" w:rsidTr="00D471D1">
        <w:trPr>
          <w:trHeight w:val="278"/>
          <w:jc w:val="center"/>
        </w:trPr>
        <w:tc>
          <w:tcPr>
            <w:tcW w:w="778" w:type="pct"/>
            <w:vMerge w:val="restart"/>
            <w:tcBorders>
              <w:top w:val="single" w:sz="4" w:space="0" w:color="auto"/>
            </w:tcBorders>
            <w:vAlign w:val="center"/>
            <w:hideMark/>
          </w:tcPr>
          <w:p w14:paraId="7CFD5B6A"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Cost</w:t>
            </w:r>
          </w:p>
        </w:tc>
        <w:tc>
          <w:tcPr>
            <w:tcW w:w="1071" w:type="pct"/>
            <w:tcBorders>
              <w:top w:val="single" w:sz="4" w:space="0" w:color="auto"/>
            </w:tcBorders>
            <w:vAlign w:val="center"/>
            <w:hideMark/>
          </w:tcPr>
          <w:p w14:paraId="1EA8ED11"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object w:dxaOrig="1120" w:dyaOrig="360" w14:anchorId="79527931">
                <v:shape id="_x0000_i1029" type="#_x0000_t75" style="width:57pt;height:15pt" o:ole="">
                  <v:imagedata r:id="rId14" o:title=""/>
                </v:shape>
                <o:OLEObject Type="Embed" ProgID="Equation.3" ShapeID="_x0000_i1029" DrawAspect="Content" ObjectID="_1657558364" r:id="rId15"/>
              </w:object>
            </w:r>
          </w:p>
        </w:tc>
        <w:tc>
          <w:tcPr>
            <w:tcW w:w="803" w:type="pct"/>
            <w:tcBorders>
              <w:top w:val="single" w:sz="4" w:space="0" w:color="auto"/>
            </w:tcBorders>
            <w:vAlign w:val="center"/>
            <w:hideMark/>
          </w:tcPr>
          <w:p w14:paraId="519B6CE2" w14:textId="77777777" w:rsidR="004432EC" w:rsidRPr="006D74FE" w:rsidRDefault="004432EC" w:rsidP="00D471D1">
            <w:pPr>
              <w:jc w:val="center"/>
              <w:rPr>
                <w:rFonts w:ascii="Times New Roman" w:hAnsi="Times New Roman"/>
                <w:sz w:val="24"/>
                <w:szCs w:val="24"/>
              </w:rPr>
            </w:pPr>
          </w:p>
        </w:tc>
        <w:tc>
          <w:tcPr>
            <w:tcW w:w="710" w:type="pct"/>
            <w:vMerge w:val="restart"/>
            <w:tcBorders>
              <w:top w:val="single" w:sz="4" w:space="0" w:color="auto"/>
            </w:tcBorders>
            <w:vAlign w:val="center"/>
            <w:hideMark/>
          </w:tcPr>
          <w:p w14:paraId="52ACED6C"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-54.96</w:t>
            </w:r>
          </w:p>
        </w:tc>
        <w:tc>
          <w:tcPr>
            <w:tcW w:w="807" w:type="pct"/>
            <w:vMerge w:val="restart"/>
            <w:tcBorders>
              <w:top w:val="single" w:sz="4" w:space="0" w:color="auto"/>
            </w:tcBorders>
            <w:vAlign w:val="center"/>
            <w:hideMark/>
          </w:tcPr>
          <w:p w14:paraId="4F1D2179"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38.301</w:t>
            </w:r>
          </w:p>
        </w:tc>
        <w:tc>
          <w:tcPr>
            <w:tcW w:w="830" w:type="pct"/>
            <w:vMerge w:val="restart"/>
            <w:tcBorders>
              <w:top w:val="single" w:sz="4" w:space="0" w:color="auto"/>
            </w:tcBorders>
            <w:vAlign w:val="center"/>
            <w:hideMark/>
          </w:tcPr>
          <w:p w14:paraId="2B9A059C" w14:textId="7038E93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 xml:space="preserve">Reject </w:t>
            </w:r>
            <w:r w:rsidR="00E05AD7">
              <w:rPr>
                <w:rFonts w:ascii="Times New Roman" w:hAnsi="Times New Roman"/>
                <w:sz w:val="24"/>
                <w:szCs w:val="24"/>
              </w:rPr>
              <w:t>H</w:t>
            </w:r>
            <w:r w:rsidR="00E05AD7" w:rsidRPr="00E05AD7">
              <w:rPr>
                <w:rFonts w:ascii="Times New Roman" w:hAnsi="Times New Roman"/>
                <w:sz w:val="24"/>
                <w:szCs w:val="24"/>
                <w:vertAlign w:val="subscript"/>
              </w:rPr>
              <w:t>0</w:t>
            </w:r>
          </w:p>
        </w:tc>
      </w:tr>
      <w:tr w:rsidR="004432EC" w:rsidRPr="006D74FE" w14:paraId="3CC5DC26" w14:textId="77777777" w:rsidTr="00D471D1">
        <w:trPr>
          <w:trHeight w:val="323"/>
          <w:jc w:val="center"/>
        </w:trPr>
        <w:tc>
          <w:tcPr>
            <w:tcW w:w="778" w:type="pct"/>
            <w:vMerge/>
            <w:vAlign w:val="center"/>
          </w:tcPr>
          <w:p w14:paraId="03A43C5A" w14:textId="77777777" w:rsidR="004432EC" w:rsidRPr="006D74FE" w:rsidRDefault="004432EC" w:rsidP="00D471D1">
            <w:pPr>
              <w:jc w:val="center"/>
              <w:rPr>
                <w:rFonts w:ascii="Times New Roman" w:hAnsi="Times New Roman"/>
                <w:sz w:val="24"/>
                <w:szCs w:val="24"/>
              </w:rPr>
            </w:pPr>
          </w:p>
        </w:tc>
        <w:tc>
          <w:tcPr>
            <w:tcW w:w="1071" w:type="pct"/>
            <w:vAlign w:val="center"/>
          </w:tcPr>
          <w:p w14:paraId="4EAC0A42"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Cobb-</w:t>
            </w:r>
            <w:proofErr w:type="spellStart"/>
            <w:r w:rsidRPr="006D74FE">
              <w:rPr>
                <w:rFonts w:ascii="Times New Roman" w:hAnsi="Times New Roman"/>
                <w:sz w:val="24"/>
                <w:szCs w:val="24"/>
              </w:rPr>
              <w:t>douglas</w:t>
            </w:r>
            <w:proofErr w:type="spellEnd"/>
          </w:p>
        </w:tc>
        <w:tc>
          <w:tcPr>
            <w:tcW w:w="803" w:type="pct"/>
            <w:vAlign w:val="center"/>
          </w:tcPr>
          <w:p w14:paraId="39125D58"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-65.61</w:t>
            </w:r>
          </w:p>
        </w:tc>
        <w:tc>
          <w:tcPr>
            <w:tcW w:w="710" w:type="pct"/>
            <w:vMerge/>
            <w:vAlign w:val="center"/>
          </w:tcPr>
          <w:p w14:paraId="1093CADE" w14:textId="77777777" w:rsidR="004432EC" w:rsidRPr="006D74FE" w:rsidRDefault="004432EC" w:rsidP="00D471D1">
            <w:pPr>
              <w:jc w:val="center"/>
              <w:rPr>
                <w:rFonts w:ascii="Times New Roman" w:hAnsi="Times New Roman"/>
                <w:sz w:val="24"/>
                <w:szCs w:val="24"/>
              </w:rPr>
            </w:pPr>
          </w:p>
        </w:tc>
        <w:tc>
          <w:tcPr>
            <w:tcW w:w="807" w:type="pct"/>
            <w:vMerge/>
            <w:vAlign w:val="center"/>
          </w:tcPr>
          <w:p w14:paraId="10DA6E95" w14:textId="77777777" w:rsidR="004432EC" w:rsidRPr="006D74FE" w:rsidRDefault="004432EC" w:rsidP="00D471D1">
            <w:pPr>
              <w:jc w:val="center"/>
              <w:rPr>
                <w:rFonts w:ascii="Times New Roman" w:hAnsi="Times New Roman"/>
                <w:sz w:val="24"/>
                <w:szCs w:val="24"/>
              </w:rPr>
            </w:pPr>
          </w:p>
        </w:tc>
        <w:tc>
          <w:tcPr>
            <w:tcW w:w="830" w:type="pct"/>
            <w:vMerge/>
            <w:vAlign w:val="center"/>
          </w:tcPr>
          <w:p w14:paraId="26D10BFE" w14:textId="77777777" w:rsidR="004432EC" w:rsidRPr="006D74FE" w:rsidRDefault="004432EC" w:rsidP="00D471D1">
            <w:pPr>
              <w:jc w:val="center"/>
              <w:rPr>
                <w:rFonts w:ascii="Times New Roman" w:hAnsi="Times New Roman"/>
                <w:sz w:val="24"/>
                <w:szCs w:val="24"/>
              </w:rPr>
            </w:pPr>
          </w:p>
        </w:tc>
      </w:tr>
      <w:tr w:rsidR="004432EC" w:rsidRPr="006D74FE" w14:paraId="63046416" w14:textId="77777777" w:rsidTr="00D471D1">
        <w:trPr>
          <w:trHeight w:val="191"/>
          <w:jc w:val="center"/>
        </w:trPr>
        <w:tc>
          <w:tcPr>
            <w:tcW w:w="778" w:type="pct"/>
            <w:vMerge/>
            <w:vAlign w:val="center"/>
            <w:hideMark/>
          </w:tcPr>
          <w:p w14:paraId="0D9B8595" w14:textId="77777777" w:rsidR="004432EC" w:rsidRPr="006D74FE" w:rsidRDefault="004432EC" w:rsidP="00D471D1">
            <w:pPr>
              <w:jc w:val="center"/>
              <w:rPr>
                <w:rFonts w:ascii="Times New Roman" w:hAnsi="Times New Roman"/>
                <w:sz w:val="24"/>
                <w:szCs w:val="24"/>
              </w:rPr>
            </w:pPr>
          </w:p>
        </w:tc>
        <w:tc>
          <w:tcPr>
            <w:tcW w:w="1071" w:type="pct"/>
            <w:vAlign w:val="center"/>
            <w:hideMark/>
          </w:tcPr>
          <w:p w14:paraId="22606E90" w14:textId="77777777" w:rsidR="004432EC" w:rsidRPr="006D74FE" w:rsidRDefault="004432EC" w:rsidP="00D471D1">
            <w:pPr>
              <w:jc w:val="center"/>
              <w:rPr>
                <w:rFonts w:ascii="Times New Roman" w:hAnsi="Times New Roman"/>
                <w:sz w:val="24"/>
                <w:szCs w:val="24"/>
              </w:rPr>
            </w:pPr>
            <w:proofErr w:type="spellStart"/>
            <w:r w:rsidRPr="006D74FE">
              <w:rPr>
                <w:rFonts w:ascii="Times New Roman" w:hAnsi="Times New Roman"/>
                <w:sz w:val="24"/>
                <w:szCs w:val="24"/>
              </w:rPr>
              <w:t>Translog</w:t>
            </w:r>
            <w:proofErr w:type="spellEnd"/>
          </w:p>
        </w:tc>
        <w:tc>
          <w:tcPr>
            <w:tcW w:w="803" w:type="pct"/>
            <w:vAlign w:val="center"/>
            <w:hideMark/>
          </w:tcPr>
          <w:p w14:paraId="687E3E16"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-38.13</w:t>
            </w:r>
          </w:p>
        </w:tc>
        <w:tc>
          <w:tcPr>
            <w:tcW w:w="710" w:type="pct"/>
            <w:vMerge/>
            <w:vAlign w:val="center"/>
            <w:hideMark/>
          </w:tcPr>
          <w:p w14:paraId="4E20BF89" w14:textId="77777777" w:rsidR="004432EC" w:rsidRPr="006D74FE" w:rsidRDefault="004432EC" w:rsidP="00D471D1">
            <w:pPr>
              <w:jc w:val="center"/>
              <w:rPr>
                <w:rFonts w:ascii="Times New Roman" w:hAnsi="Times New Roman"/>
                <w:sz w:val="24"/>
                <w:szCs w:val="24"/>
              </w:rPr>
            </w:pPr>
          </w:p>
        </w:tc>
        <w:tc>
          <w:tcPr>
            <w:tcW w:w="807" w:type="pct"/>
            <w:vMerge/>
            <w:vAlign w:val="center"/>
            <w:hideMark/>
          </w:tcPr>
          <w:p w14:paraId="5960DA09" w14:textId="77777777" w:rsidR="004432EC" w:rsidRPr="006D74FE" w:rsidRDefault="004432EC" w:rsidP="00D471D1">
            <w:pPr>
              <w:jc w:val="center"/>
              <w:rPr>
                <w:rFonts w:ascii="Times New Roman" w:hAnsi="Times New Roman"/>
                <w:sz w:val="24"/>
                <w:szCs w:val="24"/>
              </w:rPr>
            </w:pPr>
          </w:p>
        </w:tc>
        <w:tc>
          <w:tcPr>
            <w:tcW w:w="830" w:type="pct"/>
            <w:vMerge/>
            <w:vAlign w:val="center"/>
            <w:hideMark/>
          </w:tcPr>
          <w:p w14:paraId="7399815B" w14:textId="77777777" w:rsidR="004432EC" w:rsidRPr="006D74FE" w:rsidRDefault="004432EC" w:rsidP="00D471D1">
            <w:pPr>
              <w:jc w:val="center"/>
              <w:rPr>
                <w:rFonts w:ascii="Times New Roman" w:hAnsi="Times New Roman"/>
                <w:sz w:val="24"/>
                <w:szCs w:val="24"/>
              </w:rPr>
            </w:pPr>
          </w:p>
        </w:tc>
      </w:tr>
      <w:tr w:rsidR="004432EC" w:rsidRPr="006D74FE" w14:paraId="78BE752B" w14:textId="77777777" w:rsidTr="00D471D1">
        <w:trPr>
          <w:trHeight w:val="341"/>
          <w:jc w:val="center"/>
        </w:trPr>
        <w:tc>
          <w:tcPr>
            <w:tcW w:w="778" w:type="pct"/>
            <w:vMerge/>
            <w:vAlign w:val="center"/>
            <w:hideMark/>
          </w:tcPr>
          <w:p w14:paraId="3A808CB7" w14:textId="77777777" w:rsidR="004432EC" w:rsidRPr="006D74FE" w:rsidRDefault="004432EC" w:rsidP="00D471D1">
            <w:pPr>
              <w:jc w:val="center"/>
              <w:rPr>
                <w:rFonts w:ascii="Times New Roman" w:hAnsi="Times New Roman"/>
                <w:sz w:val="24"/>
                <w:szCs w:val="24"/>
              </w:rPr>
            </w:pPr>
          </w:p>
        </w:tc>
        <w:tc>
          <w:tcPr>
            <w:tcW w:w="1071" w:type="pct"/>
            <w:vAlign w:val="center"/>
            <w:hideMark/>
          </w:tcPr>
          <w:p w14:paraId="70A31175"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object w:dxaOrig="1035" w:dyaOrig="375" w14:anchorId="615ABF56">
                <v:shape id="_x0000_i1030" type="#_x0000_t75" style="width:52.5pt;height:15.75pt" o:ole="">
                  <v:imagedata r:id="rId16" o:title=""/>
                </v:shape>
                <o:OLEObject Type="Embed" ProgID="Equation.3" ShapeID="_x0000_i1030" DrawAspect="Content" ObjectID="_1657558365" r:id="rId17"/>
              </w:object>
            </w:r>
          </w:p>
        </w:tc>
        <w:tc>
          <w:tcPr>
            <w:tcW w:w="803" w:type="pct"/>
            <w:vAlign w:val="center"/>
            <w:hideMark/>
          </w:tcPr>
          <w:p w14:paraId="3AE1B28F"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-33.64</w:t>
            </w:r>
          </w:p>
        </w:tc>
        <w:tc>
          <w:tcPr>
            <w:tcW w:w="710" w:type="pct"/>
            <w:vAlign w:val="center"/>
            <w:hideMark/>
          </w:tcPr>
          <w:p w14:paraId="7F8BF7EE"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1.3172</w:t>
            </w:r>
          </w:p>
        </w:tc>
        <w:tc>
          <w:tcPr>
            <w:tcW w:w="807" w:type="pct"/>
            <w:vAlign w:val="center"/>
            <w:hideMark/>
          </w:tcPr>
          <w:p w14:paraId="37B35973"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35.827</w:t>
            </w:r>
          </w:p>
        </w:tc>
        <w:tc>
          <w:tcPr>
            <w:tcW w:w="830" w:type="pct"/>
            <w:vAlign w:val="center"/>
            <w:hideMark/>
          </w:tcPr>
          <w:p w14:paraId="767B7182" w14:textId="3CD5C71D"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 xml:space="preserve">Accept </w:t>
            </w:r>
            <w:r w:rsidR="00E05AD7">
              <w:rPr>
                <w:rFonts w:ascii="Times New Roman" w:hAnsi="Times New Roman"/>
                <w:sz w:val="24"/>
                <w:szCs w:val="24"/>
              </w:rPr>
              <w:t>H</w:t>
            </w:r>
            <w:r w:rsidR="00E05AD7" w:rsidRPr="00E05AD7">
              <w:rPr>
                <w:rFonts w:ascii="Times New Roman" w:hAnsi="Times New Roman"/>
                <w:sz w:val="24"/>
                <w:szCs w:val="24"/>
                <w:vertAlign w:val="subscript"/>
              </w:rPr>
              <w:t>0</w:t>
            </w:r>
          </w:p>
        </w:tc>
      </w:tr>
      <w:tr w:rsidR="004432EC" w:rsidRPr="006D74FE" w14:paraId="467E7A68" w14:textId="77777777" w:rsidTr="00D471D1">
        <w:trPr>
          <w:trHeight w:val="191"/>
          <w:jc w:val="center"/>
        </w:trPr>
        <w:tc>
          <w:tcPr>
            <w:tcW w:w="778" w:type="pct"/>
            <w:vMerge/>
            <w:vAlign w:val="center"/>
            <w:hideMark/>
          </w:tcPr>
          <w:p w14:paraId="3DA1F705" w14:textId="77777777" w:rsidR="004432EC" w:rsidRPr="006D74FE" w:rsidRDefault="004432EC" w:rsidP="00D471D1">
            <w:pPr>
              <w:jc w:val="center"/>
              <w:rPr>
                <w:rFonts w:ascii="Times New Roman" w:hAnsi="Times New Roman"/>
                <w:sz w:val="24"/>
                <w:szCs w:val="24"/>
              </w:rPr>
            </w:pPr>
          </w:p>
        </w:tc>
        <w:tc>
          <w:tcPr>
            <w:tcW w:w="1071" w:type="pct"/>
            <w:vAlign w:val="center"/>
            <w:hideMark/>
          </w:tcPr>
          <w:p w14:paraId="098E5329"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object w:dxaOrig="1170" w:dyaOrig="390" w14:anchorId="35A95814">
                <v:shape id="_x0000_i1031" type="#_x0000_t75" style="width:58.5pt;height:19.5pt" o:ole="">
                  <v:imagedata r:id="rId18" o:title=""/>
                </v:shape>
                <o:OLEObject Type="Embed" ProgID="Equation.3" ShapeID="_x0000_i1031" DrawAspect="Content" ObjectID="_1657558366" r:id="rId19"/>
              </w:object>
            </w:r>
          </w:p>
        </w:tc>
        <w:tc>
          <w:tcPr>
            <w:tcW w:w="803" w:type="pct"/>
            <w:vAlign w:val="center"/>
            <w:hideMark/>
          </w:tcPr>
          <w:p w14:paraId="3419054A"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-64.82</w:t>
            </w:r>
          </w:p>
        </w:tc>
        <w:tc>
          <w:tcPr>
            <w:tcW w:w="710" w:type="pct"/>
            <w:vAlign w:val="center"/>
            <w:hideMark/>
          </w:tcPr>
          <w:p w14:paraId="3EECC6F8"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48.9</w:t>
            </w:r>
          </w:p>
        </w:tc>
        <w:tc>
          <w:tcPr>
            <w:tcW w:w="807" w:type="pct"/>
            <w:vAlign w:val="center"/>
            <w:hideMark/>
          </w:tcPr>
          <w:p w14:paraId="1C99DED4"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5.138</w:t>
            </w:r>
          </w:p>
        </w:tc>
        <w:tc>
          <w:tcPr>
            <w:tcW w:w="830" w:type="pct"/>
            <w:vAlign w:val="center"/>
            <w:hideMark/>
          </w:tcPr>
          <w:p w14:paraId="56063079" w14:textId="0D096EE1"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 xml:space="preserve">Reject </w:t>
            </w:r>
            <w:r w:rsidR="00E05AD7">
              <w:rPr>
                <w:rFonts w:ascii="Times New Roman" w:hAnsi="Times New Roman"/>
                <w:sz w:val="24"/>
                <w:szCs w:val="24"/>
              </w:rPr>
              <w:t>H</w:t>
            </w:r>
            <w:r w:rsidR="00E05AD7" w:rsidRPr="00E05AD7">
              <w:rPr>
                <w:rFonts w:ascii="Times New Roman" w:hAnsi="Times New Roman"/>
                <w:sz w:val="24"/>
                <w:szCs w:val="24"/>
                <w:vertAlign w:val="subscript"/>
              </w:rPr>
              <w:t>0</w:t>
            </w:r>
          </w:p>
        </w:tc>
      </w:tr>
      <w:tr w:rsidR="004432EC" w:rsidRPr="006D74FE" w14:paraId="31D091AB" w14:textId="77777777" w:rsidTr="00D471D1">
        <w:trPr>
          <w:trHeight w:val="278"/>
          <w:jc w:val="center"/>
        </w:trPr>
        <w:tc>
          <w:tcPr>
            <w:tcW w:w="778" w:type="pct"/>
            <w:vMerge w:val="restart"/>
            <w:vAlign w:val="center"/>
            <w:hideMark/>
          </w:tcPr>
          <w:p w14:paraId="7D2AC98F"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Profit</w:t>
            </w:r>
          </w:p>
        </w:tc>
        <w:tc>
          <w:tcPr>
            <w:tcW w:w="1071" w:type="pct"/>
            <w:vAlign w:val="center"/>
            <w:hideMark/>
          </w:tcPr>
          <w:p w14:paraId="6D8374B9"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object w:dxaOrig="1120" w:dyaOrig="360" w14:anchorId="17DA62CC">
                <v:shape id="_x0000_i1032" type="#_x0000_t75" style="width:57pt;height:18pt" o:ole="">
                  <v:imagedata r:id="rId14" o:title=""/>
                </v:shape>
                <o:OLEObject Type="Embed" ProgID="Equation.3" ShapeID="_x0000_i1032" DrawAspect="Content" ObjectID="_1657558367" r:id="rId20"/>
              </w:object>
            </w:r>
          </w:p>
        </w:tc>
        <w:tc>
          <w:tcPr>
            <w:tcW w:w="803" w:type="pct"/>
            <w:vAlign w:val="center"/>
            <w:hideMark/>
          </w:tcPr>
          <w:p w14:paraId="6721CE1F" w14:textId="77777777" w:rsidR="004432EC" w:rsidRPr="006D74FE" w:rsidRDefault="004432EC" w:rsidP="00D471D1">
            <w:pPr>
              <w:jc w:val="center"/>
              <w:rPr>
                <w:rFonts w:ascii="Times New Roman" w:hAnsi="Times New Roman"/>
                <w:sz w:val="24"/>
                <w:szCs w:val="24"/>
              </w:rPr>
            </w:pPr>
          </w:p>
        </w:tc>
        <w:tc>
          <w:tcPr>
            <w:tcW w:w="710" w:type="pct"/>
            <w:vMerge w:val="restart"/>
            <w:vAlign w:val="center"/>
            <w:hideMark/>
          </w:tcPr>
          <w:p w14:paraId="16ED7147"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16.31</w:t>
            </w:r>
          </w:p>
        </w:tc>
        <w:tc>
          <w:tcPr>
            <w:tcW w:w="807" w:type="pct"/>
            <w:vMerge w:val="restart"/>
            <w:vAlign w:val="center"/>
            <w:hideMark/>
          </w:tcPr>
          <w:p w14:paraId="2E1F677E"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35.83</w:t>
            </w:r>
          </w:p>
          <w:p w14:paraId="05D2172E" w14:textId="77777777" w:rsidR="004432EC" w:rsidRPr="006D74FE" w:rsidRDefault="004432EC" w:rsidP="00D471D1">
            <w:pPr>
              <w:jc w:val="center"/>
              <w:rPr>
                <w:rFonts w:ascii="Times New Roman" w:hAnsi="Times New Roman"/>
                <w:sz w:val="24"/>
                <w:szCs w:val="24"/>
              </w:rPr>
            </w:pPr>
          </w:p>
        </w:tc>
        <w:tc>
          <w:tcPr>
            <w:tcW w:w="830" w:type="pct"/>
            <w:vMerge w:val="restart"/>
            <w:vAlign w:val="center"/>
            <w:hideMark/>
          </w:tcPr>
          <w:p w14:paraId="67D00159" w14:textId="25A4B34E"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 xml:space="preserve">Reject </w:t>
            </w:r>
            <w:r w:rsidR="00E05AD7">
              <w:rPr>
                <w:rFonts w:ascii="Times New Roman" w:hAnsi="Times New Roman"/>
                <w:sz w:val="24"/>
                <w:szCs w:val="24"/>
              </w:rPr>
              <w:t>H</w:t>
            </w:r>
            <w:r w:rsidR="00E05AD7" w:rsidRPr="00E05AD7">
              <w:rPr>
                <w:rFonts w:ascii="Times New Roman" w:hAnsi="Times New Roman"/>
                <w:sz w:val="24"/>
                <w:szCs w:val="24"/>
                <w:vertAlign w:val="subscript"/>
              </w:rPr>
              <w:t>0</w:t>
            </w:r>
          </w:p>
        </w:tc>
      </w:tr>
      <w:tr w:rsidR="004432EC" w:rsidRPr="006D74FE" w14:paraId="738F474A" w14:textId="77777777" w:rsidTr="00D471D1">
        <w:trPr>
          <w:trHeight w:val="191"/>
          <w:jc w:val="center"/>
        </w:trPr>
        <w:tc>
          <w:tcPr>
            <w:tcW w:w="778" w:type="pct"/>
            <w:vMerge/>
            <w:vAlign w:val="center"/>
            <w:hideMark/>
          </w:tcPr>
          <w:p w14:paraId="29711AE6" w14:textId="77777777" w:rsidR="004432EC" w:rsidRPr="006D74FE" w:rsidRDefault="004432EC" w:rsidP="00D471D1">
            <w:pPr>
              <w:jc w:val="center"/>
              <w:rPr>
                <w:rFonts w:ascii="Times New Roman" w:hAnsi="Times New Roman"/>
                <w:sz w:val="24"/>
                <w:szCs w:val="24"/>
              </w:rPr>
            </w:pPr>
          </w:p>
        </w:tc>
        <w:tc>
          <w:tcPr>
            <w:tcW w:w="1071" w:type="pct"/>
            <w:vAlign w:val="center"/>
            <w:hideMark/>
          </w:tcPr>
          <w:p w14:paraId="7321B1DC"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Cobb-</w:t>
            </w:r>
            <w:proofErr w:type="spellStart"/>
            <w:r w:rsidRPr="006D74FE">
              <w:rPr>
                <w:rFonts w:ascii="Times New Roman" w:hAnsi="Times New Roman"/>
                <w:sz w:val="24"/>
                <w:szCs w:val="24"/>
              </w:rPr>
              <w:t>douglas</w:t>
            </w:r>
            <w:proofErr w:type="spellEnd"/>
          </w:p>
        </w:tc>
        <w:tc>
          <w:tcPr>
            <w:tcW w:w="803" w:type="pct"/>
            <w:vAlign w:val="center"/>
            <w:hideMark/>
          </w:tcPr>
          <w:p w14:paraId="6EB1299F"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-165.32</w:t>
            </w:r>
          </w:p>
        </w:tc>
        <w:tc>
          <w:tcPr>
            <w:tcW w:w="710" w:type="pct"/>
            <w:vMerge/>
            <w:vAlign w:val="center"/>
            <w:hideMark/>
          </w:tcPr>
          <w:p w14:paraId="1D96BDC3" w14:textId="77777777" w:rsidR="004432EC" w:rsidRPr="006D74FE" w:rsidRDefault="004432EC" w:rsidP="00D471D1">
            <w:pPr>
              <w:jc w:val="center"/>
              <w:rPr>
                <w:rFonts w:ascii="Times New Roman" w:hAnsi="Times New Roman"/>
                <w:sz w:val="24"/>
                <w:szCs w:val="24"/>
              </w:rPr>
            </w:pPr>
          </w:p>
        </w:tc>
        <w:tc>
          <w:tcPr>
            <w:tcW w:w="807" w:type="pct"/>
            <w:vMerge/>
            <w:vAlign w:val="center"/>
            <w:hideMark/>
          </w:tcPr>
          <w:p w14:paraId="3AFAA533" w14:textId="77777777" w:rsidR="004432EC" w:rsidRPr="006D74FE" w:rsidRDefault="004432EC" w:rsidP="00D471D1">
            <w:pPr>
              <w:jc w:val="center"/>
              <w:rPr>
                <w:rFonts w:ascii="Times New Roman" w:hAnsi="Times New Roman"/>
                <w:sz w:val="24"/>
                <w:szCs w:val="24"/>
              </w:rPr>
            </w:pPr>
          </w:p>
        </w:tc>
        <w:tc>
          <w:tcPr>
            <w:tcW w:w="830" w:type="pct"/>
            <w:vMerge/>
            <w:vAlign w:val="center"/>
            <w:hideMark/>
          </w:tcPr>
          <w:p w14:paraId="3CA07AAE" w14:textId="77777777" w:rsidR="004432EC" w:rsidRPr="006D74FE" w:rsidRDefault="004432EC" w:rsidP="00D471D1">
            <w:pPr>
              <w:jc w:val="center"/>
              <w:rPr>
                <w:rFonts w:ascii="Times New Roman" w:hAnsi="Times New Roman"/>
                <w:sz w:val="24"/>
                <w:szCs w:val="24"/>
              </w:rPr>
            </w:pPr>
          </w:p>
        </w:tc>
      </w:tr>
      <w:tr w:rsidR="004432EC" w:rsidRPr="006D74FE" w14:paraId="2A03C711" w14:textId="77777777" w:rsidTr="00D471D1">
        <w:trPr>
          <w:trHeight w:val="191"/>
          <w:jc w:val="center"/>
        </w:trPr>
        <w:tc>
          <w:tcPr>
            <w:tcW w:w="778" w:type="pct"/>
            <w:vMerge/>
            <w:vAlign w:val="center"/>
          </w:tcPr>
          <w:p w14:paraId="5AAED92B" w14:textId="77777777" w:rsidR="004432EC" w:rsidRPr="006D74FE" w:rsidRDefault="004432EC" w:rsidP="00D471D1">
            <w:pPr>
              <w:jc w:val="center"/>
              <w:rPr>
                <w:rFonts w:ascii="Times New Roman" w:hAnsi="Times New Roman"/>
                <w:sz w:val="24"/>
                <w:szCs w:val="24"/>
              </w:rPr>
            </w:pPr>
          </w:p>
        </w:tc>
        <w:tc>
          <w:tcPr>
            <w:tcW w:w="1071" w:type="pct"/>
            <w:vAlign w:val="center"/>
          </w:tcPr>
          <w:p w14:paraId="00CE270F" w14:textId="77777777" w:rsidR="004432EC" w:rsidRPr="006D74FE" w:rsidRDefault="004432EC" w:rsidP="00D471D1">
            <w:pPr>
              <w:jc w:val="center"/>
              <w:rPr>
                <w:rFonts w:ascii="Times New Roman" w:hAnsi="Times New Roman"/>
                <w:sz w:val="24"/>
                <w:szCs w:val="24"/>
              </w:rPr>
            </w:pPr>
            <w:proofErr w:type="spellStart"/>
            <w:r w:rsidRPr="006D74FE">
              <w:rPr>
                <w:rFonts w:ascii="Times New Roman" w:hAnsi="Times New Roman"/>
                <w:sz w:val="24"/>
                <w:szCs w:val="24"/>
              </w:rPr>
              <w:t>Translog</w:t>
            </w:r>
            <w:proofErr w:type="spellEnd"/>
          </w:p>
        </w:tc>
        <w:tc>
          <w:tcPr>
            <w:tcW w:w="803" w:type="pct"/>
            <w:vAlign w:val="center"/>
          </w:tcPr>
          <w:p w14:paraId="7FBD1528"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-157.17</w:t>
            </w:r>
          </w:p>
        </w:tc>
        <w:tc>
          <w:tcPr>
            <w:tcW w:w="710" w:type="pct"/>
            <w:vMerge/>
            <w:vAlign w:val="center"/>
          </w:tcPr>
          <w:p w14:paraId="13E18DE8" w14:textId="77777777" w:rsidR="004432EC" w:rsidRPr="006D74FE" w:rsidRDefault="004432EC" w:rsidP="00D471D1">
            <w:pPr>
              <w:jc w:val="center"/>
              <w:rPr>
                <w:rFonts w:ascii="Times New Roman" w:hAnsi="Times New Roman"/>
                <w:sz w:val="24"/>
                <w:szCs w:val="24"/>
              </w:rPr>
            </w:pPr>
          </w:p>
        </w:tc>
        <w:tc>
          <w:tcPr>
            <w:tcW w:w="807" w:type="pct"/>
            <w:vMerge/>
            <w:vAlign w:val="center"/>
          </w:tcPr>
          <w:p w14:paraId="4F0DAB5D" w14:textId="77777777" w:rsidR="004432EC" w:rsidRPr="006D74FE" w:rsidRDefault="004432EC" w:rsidP="00D471D1">
            <w:pPr>
              <w:jc w:val="center"/>
              <w:rPr>
                <w:rFonts w:ascii="Times New Roman" w:hAnsi="Times New Roman"/>
                <w:sz w:val="24"/>
                <w:szCs w:val="24"/>
              </w:rPr>
            </w:pPr>
          </w:p>
        </w:tc>
        <w:tc>
          <w:tcPr>
            <w:tcW w:w="830" w:type="pct"/>
            <w:vMerge/>
            <w:vAlign w:val="center"/>
          </w:tcPr>
          <w:p w14:paraId="5A73DD75" w14:textId="77777777" w:rsidR="004432EC" w:rsidRPr="006D74FE" w:rsidRDefault="004432EC" w:rsidP="00D471D1">
            <w:pPr>
              <w:jc w:val="center"/>
              <w:rPr>
                <w:rFonts w:ascii="Times New Roman" w:hAnsi="Times New Roman"/>
                <w:sz w:val="24"/>
                <w:szCs w:val="24"/>
              </w:rPr>
            </w:pPr>
          </w:p>
        </w:tc>
      </w:tr>
      <w:tr w:rsidR="004432EC" w:rsidRPr="006D74FE" w14:paraId="38B278BF" w14:textId="77777777" w:rsidTr="00D471D1">
        <w:trPr>
          <w:trHeight w:val="296"/>
          <w:jc w:val="center"/>
        </w:trPr>
        <w:tc>
          <w:tcPr>
            <w:tcW w:w="778" w:type="pct"/>
            <w:vMerge/>
            <w:vAlign w:val="center"/>
            <w:hideMark/>
          </w:tcPr>
          <w:p w14:paraId="6DF8B0CA" w14:textId="77777777" w:rsidR="004432EC" w:rsidRPr="006D74FE" w:rsidRDefault="004432EC" w:rsidP="00D471D1">
            <w:pPr>
              <w:jc w:val="center"/>
              <w:rPr>
                <w:rFonts w:ascii="Times New Roman" w:hAnsi="Times New Roman"/>
                <w:sz w:val="24"/>
                <w:szCs w:val="24"/>
              </w:rPr>
            </w:pPr>
          </w:p>
        </w:tc>
        <w:tc>
          <w:tcPr>
            <w:tcW w:w="1071" w:type="pct"/>
            <w:vAlign w:val="center"/>
            <w:hideMark/>
          </w:tcPr>
          <w:p w14:paraId="78A31883"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object w:dxaOrig="1035" w:dyaOrig="375" w14:anchorId="79F88301">
                <v:shape id="_x0000_i1033" type="#_x0000_t75" style="width:52.5pt;height:18.75pt" o:ole="">
                  <v:imagedata r:id="rId16" o:title=""/>
                </v:shape>
                <o:OLEObject Type="Embed" ProgID="Equation.3" ShapeID="_x0000_i1033" DrawAspect="Content" ObjectID="_1657558368" r:id="rId21"/>
              </w:object>
            </w:r>
          </w:p>
        </w:tc>
        <w:tc>
          <w:tcPr>
            <w:tcW w:w="803" w:type="pct"/>
            <w:vAlign w:val="center"/>
            <w:hideMark/>
          </w:tcPr>
          <w:p w14:paraId="23F03F6B"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-165.93</w:t>
            </w:r>
          </w:p>
        </w:tc>
        <w:tc>
          <w:tcPr>
            <w:tcW w:w="710" w:type="pct"/>
            <w:vAlign w:val="center"/>
            <w:hideMark/>
          </w:tcPr>
          <w:p w14:paraId="52BDC004"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88.654</w:t>
            </w:r>
          </w:p>
        </w:tc>
        <w:tc>
          <w:tcPr>
            <w:tcW w:w="807" w:type="pct"/>
            <w:vAlign w:val="center"/>
            <w:hideMark/>
          </w:tcPr>
          <w:p w14:paraId="547C329E"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35.827</w:t>
            </w:r>
          </w:p>
        </w:tc>
        <w:tc>
          <w:tcPr>
            <w:tcW w:w="830" w:type="pct"/>
            <w:vAlign w:val="center"/>
            <w:hideMark/>
          </w:tcPr>
          <w:p w14:paraId="3BAEB715" w14:textId="4A8F816B"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 xml:space="preserve">Reject </w:t>
            </w:r>
            <w:r w:rsidR="00E05AD7">
              <w:rPr>
                <w:rFonts w:ascii="Times New Roman" w:hAnsi="Times New Roman"/>
                <w:sz w:val="24"/>
                <w:szCs w:val="24"/>
              </w:rPr>
              <w:t>H</w:t>
            </w:r>
            <w:r w:rsidR="00E05AD7" w:rsidRPr="00E05AD7">
              <w:rPr>
                <w:rFonts w:ascii="Times New Roman" w:hAnsi="Times New Roman"/>
                <w:sz w:val="24"/>
                <w:szCs w:val="24"/>
                <w:vertAlign w:val="subscript"/>
              </w:rPr>
              <w:t>0</w:t>
            </w:r>
          </w:p>
        </w:tc>
      </w:tr>
      <w:tr w:rsidR="004432EC" w:rsidRPr="006D74FE" w14:paraId="4D430838" w14:textId="77777777" w:rsidTr="00D471D1">
        <w:trPr>
          <w:trHeight w:val="191"/>
          <w:jc w:val="center"/>
        </w:trPr>
        <w:tc>
          <w:tcPr>
            <w:tcW w:w="778" w:type="pct"/>
            <w:vMerge/>
            <w:tcBorders>
              <w:bottom w:val="single" w:sz="4" w:space="0" w:color="auto"/>
            </w:tcBorders>
            <w:vAlign w:val="center"/>
            <w:hideMark/>
          </w:tcPr>
          <w:p w14:paraId="31CF023E" w14:textId="77777777" w:rsidR="004432EC" w:rsidRPr="006D74FE" w:rsidRDefault="004432EC" w:rsidP="00D471D1">
            <w:pPr>
              <w:jc w:val="center"/>
              <w:rPr>
                <w:rFonts w:ascii="Times New Roman" w:hAnsi="Times New Roman"/>
                <w:sz w:val="24"/>
                <w:szCs w:val="24"/>
              </w:rPr>
            </w:pPr>
          </w:p>
        </w:tc>
        <w:tc>
          <w:tcPr>
            <w:tcW w:w="1071" w:type="pct"/>
            <w:tcBorders>
              <w:bottom w:val="single" w:sz="4" w:space="0" w:color="auto"/>
            </w:tcBorders>
            <w:vAlign w:val="center"/>
            <w:hideMark/>
          </w:tcPr>
          <w:p w14:paraId="6D95C99B"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object w:dxaOrig="1170" w:dyaOrig="390" w14:anchorId="5BC23CAA">
                <v:shape id="_x0000_i1034" type="#_x0000_t75" style="width:58.5pt;height:19.5pt" o:ole="">
                  <v:imagedata r:id="rId18" o:title=""/>
                </v:shape>
                <o:OLEObject Type="Embed" ProgID="Equation.3" ShapeID="_x0000_i1034" DrawAspect="Content" ObjectID="_1657558369" r:id="rId22"/>
              </w:object>
            </w:r>
          </w:p>
        </w:tc>
        <w:tc>
          <w:tcPr>
            <w:tcW w:w="803" w:type="pct"/>
            <w:tcBorders>
              <w:bottom w:val="single" w:sz="4" w:space="0" w:color="auto"/>
            </w:tcBorders>
            <w:vAlign w:val="center"/>
            <w:hideMark/>
          </w:tcPr>
          <w:p w14:paraId="26642B48"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-165.32</w:t>
            </w:r>
          </w:p>
        </w:tc>
        <w:tc>
          <w:tcPr>
            <w:tcW w:w="710" w:type="pct"/>
            <w:tcBorders>
              <w:bottom w:val="single" w:sz="4" w:space="0" w:color="auto"/>
            </w:tcBorders>
            <w:vAlign w:val="center"/>
            <w:hideMark/>
          </w:tcPr>
          <w:p w14:paraId="6BDD3941"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112.54</w:t>
            </w:r>
          </w:p>
        </w:tc>
        <w:tc>
          <w:tcPr>
            <w:tcW w:w="807" w:type="pct"/>
            <w:tcBorders>
              <w:bottom w:val="single" w:sz="4" w:space="0" w:color="auto"/>
            </w:tcBorders>
            <w:vAlign w:val="center"/>
            <w:hideMark/>
          </w:tcPr>
          <w:p w14:paraId="20EA5320" w14:textId="77777777"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5.138</w:t>
            </w:r>
          </w:p>
        </w:tc>
        <w:tc>
          <w:tcPr>
            <w:tcW w:w="830" w:type="pct"/>
            <w:tcBorders>
              <w:bottom w:val="single" w:sz="4" w:space="0" w:color="auto"/>
            </w:tcBorders>
            <w:vAlign w:val="center"/>
            <w:hideMark/>
          </w:tcPr>
          <w:p w14:paraId="5883A44D" w14:textId="780A9295" w:rsidR="004432EC" w:rsidRPr="006D74FE" w:rsidRDefault="004432EC" w:rsidP="00D471D1">
            <w:pPr>
              <w:jc w:val="center"/>
              <w:rPr>
                <w:rFonts w:ascii="Times New Roman" w:hAnsi="Times New Roman"/>
                <w:sz w:val="24"/>
                <w:szCs w:val="24"/>
              </w:rPr>
            </w:pPr>
            <w:r w:rsidRPr="006D74FE">
              <w:rPr>
                <w:rFonts w:ascii="Times New Roman" w:hAnsi="Times New Roman"/>
                <w:sz w:val="24"/>
                <w:szCs w:val="24"/>
              </w:rPr>
              <w:t xml:space="preserve">Reject </w:t>
            </w:r>
            <w:r w:rsidR="00E05AD7">
              <w:rPr>
                <w:rFonts w:ascii="Times New Roman" w:hAnsi="Times New Roman"/>
                <w:sz w:val="24"/>
                <w:szCs w:val="24"/>
              </w:rPr>
              <w:t>H</w:t>
            </w:r>
            <w:r w:rsidR="00E05AD7" w:rsidRPr="00E05AD7">
              <w:rPr>
                <w:rFonts w:ascii="Times New Roman" w:hAnsi="Times New Roman"/>
                <w:sz w:val="24"/>
                <w:szCs w:val="24"/>
                <w:vertAlign w:val="subscript"/>
              </w:rPr>
              <w:t>0</w:t>
            </w:r>
          </w:p>
        </w:tc>
      </w:tr>
    </w:tbl>
    <w:p w14:paraId="1F9F3BEA" w14:textId="67E35D05" w:rsidR="004432EC" w:rsidRPr="006D74FE" w:rsidRDefault="004432EC" w:rsidP="00A728A2">
      <w:pPr>
        <w:spacing w:after="0" w:line="240" w:lineRule="auto"/>
        <w:jc w:val="both"/>
        <w:rPr>
          <w:rFonts w:ascii="Times New Roman" w:hAnsi="Times New Roman"/>
          <w:sz w:val="24"/>
          <w:szCs w:val="24"/>
        </w:rPr>
      </w:pPr>
      <w:r w:rsidRPr="006D74FE">
        <w:rPr>
          <w:rFonts w:ascii="Times New Roman" w:hAnsi="Times New Roman"/>
          <w:sz w:val="24"/>
          <w:szCs w:val="24"/>
        </w:rPr>
        <w:t xml:space="preserve">Note: all critical values are at a 5% level of significance and the critical values are obtained from a table of </w:t>
      </w:r>
      <w:r w:rsidR="00255FF1" w:rsidRPr="006D74FE">
        <w:rPr>
          <w:rFonts w:ascii="Times New Roman" w:hAnsi="Times New Roman"/>
          <w:sz w:val="24"/>
          <w:szCs w:val="24"/>
        </w:rPr>
        <w:fldChar w:fldCharType="begin" w:fldLock="1"/>
      </w:r>
      <w:r w:rsidR="00B77167">
        <w:rPr>
          <w:rFonts w:ascii="Times New Roman" w:hAnsi="Times New Roman"/>
          <w:sz w:val="24"/>
          <w:szCs w:val="24"/>
        </w:rPr>
        <w:instrText>ADDIN CSL_CITATION {"citationItems":[{"id":"ITEM-1","itemData":{"author":[{"dropping-particle":"","family":"Kodde","given":"David A","non-dropping-particle":"","parse-names":false,"suffix":""},{"dropping-particle":"","family":"Palm","given":"Franz C.","non-dropping-particle":"","parse-names":false,"suffix":""},{"dropping-particle":"","family":"Kodde","given":"David A","non-dropping-particle":"","parse-names":false,"suffix":""},{"dropping-particle":"","family":"Palm","given":"Franz","non-dropping-particle":"","parse-names":false,"suffix":""}],"container-title":"Econometrica","id":"ITEM-1","issue":"5","issued":{"date-parts":[["1986"]]},"page":"1243-48","publisher":"Econometric Society","title":"Wald Criteria for Jointly Testing Equality and Inequality Restriction s","type":"article-journal","volume":"54"},"uris":["http://www.mendeley.com/documents/?uuid=b8d57c7a-6491-3a17-b77d-c8faacdfb81e"]}],"mendeley":{"formattedCitation":"(Kodde et al. 1986)","plainTextFormattedCitation":"(Kodde et al. 1986)","previouslyFormattedCitation":"(Kodde et al., 1986)"},"properties":{"noteIndex":0},"schema":"https://github.com/citation-style-language/schema/raw/master/csl-citation.json"}</w:instrText>
      </w:r>
      <w:r w:rsidR="00255FF1" w:rsidRPr="006D74FE">
        <w:rPr>
          <w:rFonts w:ascii="Times New Roman" w:hAnsi="Times New Roman"/>
          <w:sz w:val="24"/>
          <w:szCs w:val="24"/>
        </w:rPr>
        <w:fldChar w:fldCharType="separate"/>
      </w:r>
      <w:r w:rsidR="00B77167" w:rsidRPr="00B77167">
        <w:rPr>
          <w:rFonts w:ascii="Times New Roman" w:hAnsi="Times New Roman"/>
          <w:noProof/>
          <w:sz w:val="24"/>
          <w:szCs w:val="24"/>
        </w:rPr>
        <w:t>(Kodde et al. 1986)</w:t>
      </w:r>
      <w:r w:rsidR="00255FF1" w:rsidRPr="006D74FE">
        <w:rPr>
          <w:rFonts w:ascii="Times New Roman" w:hAnsi="Times New Roman"/>
          <w:sz w:val="24"/>
          <w:szCs w:val="24"/>
        </w:rPr>
        <w:fldChar w:fldCharType="end"/>
      </w:r>
    </w:p>
    <w:p w14:paraId="2DF0F138" w14:textId="77777777" w:rsidR="00FC2B57" w:rsidRPr="006D74FE" w:rsidRDefault="00FC2B57" w:rsidP="00A728A2">
      <w:pPr>
        <w:spacing w:after="0" w:line="240" w:lineRule="auto"/>
        <w:jc w:val="both"/>
        <w:rPr>
          <w:rFonts w:ascii="Times New Roman" w:hAnsi="Times New Roman"/>
          <w:sz w:val="24"/>
          <w:szCs w:val="24"/>
        </w:rPr>
      </w:pPr>
    </w:p>
    <w:p w14:paraId="4C591913" w14:textId="5300D522" w:rsidR="00215A86" w:rsidRDefault="00215A86" w:rsidP="00A728A2">
      <w:pPr>
        <w:spacing w:after="0" w:line="240" w:lineRule="auto"/>
        <w:jc w:val="both"/>
        <w:rPr>
          <w:rFonts w:ascii="Times New Roman" w:hAnsi="Times New Roman"/>
          <w:sz w:val="24"/>
          <w:szCs w:val="24"/>
        </w:rPr>
      </w:pPr>
      <w:r w:rsidRPr="006D74FE">
        <w:rPr>
          <w:rFonts w:ascii="Times New Roman" w:hAnsi="Times New Roman"/>
          <w:b/>
          <w:bCs/>
          <w:sz w:val="24"/>
          <w:szCs w:val="24"/>
        </w:rPr>
        <w:t xml:space="preserve">Table 4 </w:t>
      </w:r>
      <w:r w:rsidRPr="009305F6">
        <w:rPr>
          <w:rFonts w:ascii="Times New Roman" w:hAnsi="Times New Roman"/>
          <w:sz w:val="24"/>
          <w:szCs w:val="24"/>
        </w:rPr>
        <w:t>IT Determinants of Cost and profit Efficiency Scores by Tobit Regression Model</w:t>
      </w:r>
    </w:p>
    <w:p w14:paraId="61FD5CA1" w14:textId="77777777" w:rsidR="009305F6" w:rsidRPr="009305F6" w:rsidRDefault="009305F6" w:rsidP="00A728A2">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9"/>
        <w:gridCol w:w="1250"/>
        <w:gridCol w:w="1410"/>
        <w:gridCol w:w="1412"/>
        <w:gridCol w:w="1325"/>
        <w:gridCol w:w="1307"/>
      </w:tblGrid>
      <w:tr w:rsidR="00822E3D" w:rsidRPr="006D74FE" w14:paraId="6670CF5A" w14:textId="77777777" w:rsidTr="00102B50">
        <w:trPr>
          <w:trHeight w:val="80"/>
        </w:trPr>
        <w:tc>
          <w:tcPr>
            <w:tcW w:w="2049" w:type="pct"/>
            <w:gridSpan w:val="2"/>
            <w:tcBorders>
              <w:top w:val="single" w:sz="4" w:space="0" w:color="auto"/>
            </w:tcBorders>
            <w:vAlign w:val="center"/>
          </w:tcPr>
          <w:p w14:paraId="242CFA61" w14:textId="77777777" w:rsidR="00822E3D" w:rsidRPr="006D74FE" w:rsidRDefault="00822E3D" w:rsidP="00102B50">
            <w:pPr>
              <w:jc w:val="center"/>
              <w:rPr>
                <w:rFonts w:ascii="Times New Roman" w:hAnsi="Times New Roman"/>
                <w:sz w:val="24"/>
                <w:szCs w:val="24"/>
              </w:rPr>
            </w:pPr>
          </w:p>
        </w:tc>
        <w:tc>
          <w:tcPr>
            <w:tcW w:w="1527" w:type="pct"/>
            <w:gridSpan w:val="2"/>
            <w:tcBorders>
              <w:top w:val="single" w:sz="4" w:space="0" w:color="auto"/>
              <w:bottom w:val="single" w:sz="4" w:space="0" w:color="auto"/>
            </w:tcBorders>
            <w:vAlign w:val="center"/>
          </w:tcPr>
          <w:p w14:paraId="21D448C6" w14:textId="5D502368"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Coefficient of Cost</w:t>
            </w:r>
          </w:p>
        </w:tc>
        <w:tc>
          <w:tcPr>
            <w:tcW w:w="1425" w:type="pct"/>
            <w:gridSpan w:val="2"/>
            <w:tcBorders>
              <w:top w:val="single" w:sz="4" w:space="0" w:color="auto"/>
              <w:bottom w:val="single" w:sz="4" w:space="0" w:color="auto"/>
            </w:tcBorders>
            <w:vAlign w:val="center"/>
          </w:tcPr>
          <w:p w14:paraId="4788CEC2" w14:textId="21CEA068"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Coefficient of Profit</w:t>
            </w:r>
          </w:p>
        </w:tc>
      </w:tr>
      <w:tr w:rsidR="00822E3D" w:rsidRPr="006D74FE" w14:paraId="21A02D4F" w14:textId="77777777" w:rsidTr="00102B50">
        <w:trPr>
          <w:trHeight w:val="80"/>
        </w:trPr>
        <w:tc>
          <w:tcPr>
            <w:tcW w:w="1373" w:type="pct"/>
            <w:tcBorders>
              <w:bottom w:val="single" w:sz="4" w:space="0" w:color="auto"/>
            </w:tcBorders>
            <w:vAlign w:val="center"/>
            <w:hideMark/>
          </w:tcPr>
          <w:p w14:paraId="1123D36F" w14:textId="7E46893A" w:rsidR="00822E3D" w:rsidRPr="006D74FE" w:rsidRDefault="0074693D" w:rsidP="00102B50">
            <w:pPr>
              <w:jc w:val="center"/>
              <w:rPr>
                <w:rFonts w:ascii="Times New Roman" w:hAnsi="Times New Roman"/>
                <w:sz w:val="24"/>
                <w:szCs w:val="24"/>
              </w:rPr>
            </w:pPr>
            <w:r w:rsidRPr="006D74FE">
              <w:rPr>
                <w:rFonts w:ascii="Times New Roman" w:hAnsi="Times New Roman"/>
                <w:sz w:val="24"/>
                <w:szCs w:val="24"/>
              </w:rPr>
              <w:t>Variable</w:t>
            </w:r>
          </w:p>
        </w:tc>
        <w:tc>
          <w:tcPr>
            <w:tcW w:w="675" w:type="pct"/>
            <w:tcBorders>
              <w:bottom w:val="single" w:sz="4" w:space="0" w:color="auto"/>
            </w:tcBorders>
            <w:vAlign w:val="center"/>
          </w:tcPr>
          <w:p w14:paraId="24D3661C" w14:textId="4ECA4216" w:rsidR="00822E3D" w:rsidRPr="006D74FE" w:rsidRDefault="0074693D" w:rsidP="00102B50">
            <w:pPr>
              <w:jc w:val="center"/>
              <w:rPr>
                <w:rFonts w:ascii="Times New Roman" w:hAnsi="Times New Roman"/>
                <w:sz w:val="24"/>
                <w:szCs w:val="24"/>
              </w:rPr>
            </w:pPr>
            <w:r w:rsidRPr="006D74FE">
              <w:rPr>
                <w:rFonts w:ascii="Times New Roman" w:hAnsi="Times New Roman"/>
                <w:sz w:val="24"/>
                <w:szCs w:val="24"/>
              </w:rPr>
              <w:t>Parameter</w:t>
            </w:r>
          </w:p>
        </w:tc>
        <w:tc>
          <w:tcPr>
            <w:tcW w:w="763" w:type="pct"/>
            <w:tcBorders>
              <w:top w:val="single" w:sz="4" w:space="0" w:color="auto"/>
              <w:bottom w:val="single" w:sz="4" w:space="0" w:color="auto"/>
            </w:tcBorders>
            <w:vAlign w:val="center"/>
          </w:tcPr>
          <w:p w14:paraId="26730186" w14:textId="7C1AA25B"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Cobb-Douglas</w:t>
            </w:r>
          </w:p>
        </w:tc>
        <w:tc>
          <w:tcPr>
            <w:tcW w:w="764" w:type="pct"/>
            <w:tcBorders>
              <w:top w:val="single" w:sz="4" w:space="0" w:color="auto"/>
              <w:bottom w:val="single" w:sz="4" w:space="0" w:color="auto"/>
            </w:tcBorders>
            <w:vAlign w:val="center"/>
            <w:hideMark/>
          </w:tcPr>
          <w:p w14:paraId="250E2E00" w14:textId="77777777" w:rsidR="00822E3D" w:rsidRPr="006D74FE" w:rsidRDefault="00822E3D" w:rsidP="00102B50">
            <w:pPr>
              <w:jc w:val="center"/>
              <w:rPr>
                <w:rFonts w:ascii="Times New Roman" w:hAnsi="Times New Roman"/>
                <w:sz w:val="24"/>
                <w:szCs w:val="24"/>
              </w:rPr>
            </w:pPr>
            <w:proofErr w:type="spellStart"/>
            <w:r w:rsidRPr="006D74FE">
              <w:rPr>
                <w:rFonts w:ascii="Times New Roman" w:hAnsi="Times New Roman"/>
                <w:sz w:val="24"/>
                <w:szCs w:val="24"/>
              </w:rPr>
              <w:t>Translog</w:t>
            </w:r>
            <w:proofErr w:type="spellEnd"/>
          </w:p>
        </w:tc>
        <w:tc>
          <w:tcPr>
            <w:tcW w:w="717" w:type="pct"/>
            <w:tcBorders>
              <w:top w:val="single" w:sz="4" w:space="0" w:color="auto"/>
              <w:bottom w:val="single" w:sz="4" w:space="0" w:color="auto"/>
            </w:tcBorders>
            <w:vAlign w:val="center"/>
            <w:hideMark/>
          </w:tcPr>
          <w:p w14:paraId="2C0771F2"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Cobb-Douglas</w:t>
            </w:r>
          </w:p>
        </w:tc>
        <w:tc>
          <w:tcPr>
            <w:tcW w:w="708" w:type="pct"/>
            <w:tcBorders>
              <w:top w:val="single" w:sz="4" w:space="0" w:color="auto"/>
              <w:bottom w:val="single" w:sz="4" w:space="0" w:color="auto"/>
            </w:tcBorders>
            <w:vAlign w:val="center"/>
            <w:hideMark/>
          </w:tcPr>
          <w:p w14:paraId="34AB1061" w14:textId="77777777" w:rsidR="00822E3D" w:rsidRPr="006D74FE" w:rsidRDefault="00822E3D" w:rsidP="00102B50">
            <w:pPr>
              <w:jc w:val="center"/>
              <w:rPr>
                <w:rFonts w:ascii="Times New Roman" w:hAnsi="Times New Roman"/>
                <w:sz w:val="24"/>
                <w:szCs w:val="24"/>
              </w:rPr>
            </w:pPr>
            <w:proofErr w:type="spellStart"/>
            <w:r w:rsidRPr="006D74FE">
              <w:rPr>
                <w:rFonts w:ascii="Times New Roman" w:hAnsi="Times New Roman"/>
                <w:sz w:val="24"/>
                <w:szCs w:val="24"/>
              </w:rPr>
              <w:t>Translog</w:t>
            </w:r>
            <w:proofErr w:type="spellEnd"/>
          </w:p>
        </w:tc>
      </w:tr>
      <w:tr w:rsidR="00822E3D" w:rsidRPr="006D74FE" w14:paraId="1DF7EBF0" w14:textId="77777777" w:rsidTr="00102B50">
        <w:trPr>
          <w:trHeight w:val="80"/>
        </w:trPr>
        <w:tc>
          <w:tcPr>
            <w:tcW w:w="1373" w:type="pct"/>
            <w:tcBorders>
              <w:top w:val="single" w:sz="4" w:space="0" w:color="auto"/>
            </w:tcBorders>
            <w:vAlign w:val="center"/>
            <w:hideMark/>
          </w:tcPr>
          <w:p w14:paraId="121E794F"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Intercept</w:t>
            </w:r>
          </w:p>
        </w:tc>
        <w:tc>
          <w:tcPr>
            <w:tcW w:w="675" w:type="pct"/>
            <w:tcBorders>
              <w:top w:val="single" w:sz="4" w:space="0" w:color="auto"/>
            </w:tcBorders>
            <w:vAlign w:val="center"/>
            <w:hideMark/>
          </w:tcPr>
          <w:p w14:paraId="362086F8"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ɸ</w:t>
            </w:r>
            <w:r w:rsidRPr="00422A37">
              <w:rPr>
                <w:rFonts w:ascii="Times New Roman" w:hAnsi="Times New Roman"/>
                <w:sz w:val="24"/>
                <w:szCs w:val="24"/>
                <w:vertAlign w:val="subscript"/>
              </w:rPr>
              <w:t>0</w:t>
            </w:r>
          </w:p>
        </w:tc>
        <w:tc>
          <w:tcPr>
            <w:tcW w:w="763" w:type="pct"/>
            <w:tcBorders>
              <w:top w:val="single" w:sz="4" w:space="0" w:color="auto"/>
            </w:tcBorders>
            <w:vAlign w:val="center"/>
          </w:tcPr>
          <w:p w14:paraId="18E6A593"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0.580***</w:t>
            </w:r>
          </w:p>
        </w:tc>
        <w:tc>
          <w:tcPr>
            <w:tcW w:w="764" w:type="pct"/>
            <w:tcBorders>
              <w:top w:val="single" w:sz="4" w:space="0" w:color="auto"/>
            </w:tcBorders>
            <w:vAlign w:val="center"/>
            <w:hideMark/>
          </w:tcPr>
          <w:p w14:paraId="636AA4D5"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0.619***</w:t>
            </w:r>
          </w:p>
        </w:tc>
        <w:tc>
          <w:tcPr>
            <w:tcW w:w="717" w:type="pct"/>
            <w:tcBorders>
              <w:top w:val="single" w:sz="4" w:space="0" w:color="auto"/>
            </w:tcBorders>
            <w:vAlign w:val="center"/>
            <w:hideMark/>
          </w:tcPr>
          <w:p w14:paraId="0D427492"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0.304***</w:t>
            </w:r>
          </w:p>
        </w:tc>
        <w:tc>
          <w:tcPr>
            <w:tcW w:w="708" w:type="pct"/>
            <w:tcBorders>
              <w:top w:val="single" w:sz="4" w:space="0" w:color="auto"/>
            </w:tcBorders>
            <w:vAlign w:val="center"/>
            <w:hideMark/>
          </w:tcPr>
          <w:p w14:paraId="497EBBD0"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0.42***</w:t>
            </w:r>
          </w:p>
        </w:tc>
      </w:tr>
      <w:tr w:rsidR="00822E3D" w:rsidRPr="006D74FE" w14:paraId="40D48254" w14:textId="77777777" w:rsidTr="00102B50">
        <w:trPr>
          <w:trHeight w:val="80"/>
        </w:trPr>
        <w:tc>
          <w:tcPr>
            <w:tcW w:w="1373" w:type="pct"/>
            <w:vAlign w:val="center"/>
            <w:hideMark/>
          </w:tcPr>
          <w:p w14:paraId="4B2313B4"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IT. Expenses</w:t>
            </w:r>
          </w:p>
        </w:tc>
        <w:tc>
          <w:tcPr>
            <w:tcW w:w="675" w:type="pct"/>
            <w:vAlign w:val="center"/>
            <w:hideMark/>
          </w:tcPr>
          <w:p w14:paraId="1BB7BF1A"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ɸ</w:t>
            </w:r>
            <w:r w:rsidRPr="00422A37">
              <w:rPr>
                <w:rFonts w:ascii="Times New Roman" w:hAnsi="Times New Roman"/>
                <w:sz w:val="24"/>
                <w:szCs w:val="24"/>
                <w:vertAlign w:val="subscript"/>
              </w:rPr>
              <w:t>1</w:t>
            </w:r>
          </w:p>
        </w:tc>
        <w:tc>
          <w:tcPr>
            <w:tcW w:w="763" w:type="pct"/>
            <w:vAlign w:val="center"/>
          </w:tcPr>
          <w:p w14:paraId="732B12B2"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0.00002</w:t>
            </w:r>
          </w:p>
        </w:tc>
        <w:tc>
          <w:tcPr>
            <w:tcW w:w="764" w:type="pct"/>
            <w:vAlign w:val="center"/>
            <w:hideMark/>
          </w:tcPr>
          <w:p w14:paraId="56793717"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-0.00003</w:t>
            </w:r>
          </w:p>
        </w:tc>
        <w:tc>
          <w:tcPr>
            <w:tcW w:w="717" w:type="pct"/>
            <w:vAlign w:val="center"/>
            <w:hideMark/>
          </w:tcPr>
          <w:p w14:paraId="03435416"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0.0009</w:t>
            </w:r>
          </w:p>
        </w:tc>
        <w:tc>
          <w:tcPr>
            <w:tcW w:w="708" w:type="pct"/>
            <w:vAlign w:val="center"/>
            <w:hideMark/>
          </w:tcPr>
          <w:p w14:paraId="48FD8497"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-0.00002</w:t>
            </w:r>
          </w:p>
        </w:tc>
      </w:tr>
      <w:tr w:rsidR="00822E3D" w:rsidRPr="006D74FE" w14:paraId="3EE495B6" w14:textId="77777777" w:rsidTr="00102B50">
        <w:trPr>
          <w:trHeight w:val="224"/>
        </w:trPr>
        <w:tc>
          <w:tcPr>
            <w:tcW w:w="1373" w:type="pct"/>
            <w:vAlign w:val="center"/>
            <w:hideMark/>
          </w:tcPr>
          <w:p w14:paraId="3398A975"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IT. Income</w:t>
            </w:r>
          </w:p>
        </w:tc>
        <w:tc>
          <w:tcPr>
            <w:tcW w:w="675" w:type="pct"/>
            <w:vAlign w:val="center"/>
            <w:hideMark/>
          </w:tcPr>
          <w:p w14:paraId="02A9B849"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ɸ</w:t>
            </w:r>
            <w:r w:rsidRPr="00422A37">
              <w:rPr>
                <w:rFonts w:ascii="Times New Roman" w:hAnsi="Times New Roman"/>
                <w:sz w:val="24"/>
                <w:szCs w:val="24"/>
                <w:vertAlign w:val="subscript"/>
              </w:rPr>
              <w:t>2</w:t>
            </w:r>
          </w:p>
        </w:tc>
        <w:tc>
          <w:tcPr>
            <w:tcW w:w="763" w:type="pct"/>
            <w:vAlign w:val="center"/>
          </w:tcPr>
          <w:p w14:paraId="440F86A3"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-0.00018*</w:t>
            </w:r>
          </w:p>
        </w:tc>
        <w:tc>
          <w:tcPr>
            <w:tcW w:w="764" w:type="pct"/>
            <w:vAlign w:val="center"/>
            <w:hideMark/>
          </w:tcPr>
          <w:p w14:paraId="22ACE4F3"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-0.0002**</w:t>
            </w:r>
          </w:p>
        </w:tc>
        <w:tc>
          <w:tcPr>
            <w:tcW w:w="717" w:type="pct"/>
            <w:vAlign w:val="center"/>
            <w:hideMark/>
          </w:tcPr>
          <w:p w14:paraId="5DD7FE90"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-0.0032**</w:t>
            </w:r>
          </w:p>
        </w:tc>
        <w:tc>
          <w:tcPr>
            <w:tcW w:w="708" w:type="pct"/>
            <w:vAlign w:val="center"/>
            <w:hideMark/>
          </w:tcPr>
          <w:p w14:paraId="424DD4AC"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0.00003</w:t>
            </w:r>
          </w:p>
        </w:tc>
      </w:tr>
      <w:tr w:rsidR="00822E3D" w:rsidRPr="006D74FE" w14:paraId="5C690581" w14:textId="77777777" w:rsidTr="00102B50">
        <w:trPr>
          <w:trHeight w:val="237"/>
        </w:trPr>
        <w:tc>
          <w:tcPr>
            <w:tcW w:w="1373" w:type="pct"/>
            <w:vAlign w:val="center"/>
            <w:hideMark/>
          </w:tcPr>
          <w:p w14:paraId="62504F0A"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IT. Investment</w:t>
            </w:r>
          </w:p>
        </w:tc>
        <w:tc>
          <w:tcPr>
            <w:tcW w:w="675" w:type="pct"/>
            <w:vAlign w:val="center"/>
            <w:hideMark/>
          </w:tcPr>
          <w:p w14:paraId="3DF5305D"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ɸ</w:t>
            </w:r>
            <w:r w:rsidRPr="00422A37">
              <w:rPr>
                <w:rFonts w:ascii="Times New Roman" w:hAnsi="Times New Roman"/>
                <w:sz w:val="24"/>
                <w:szCs w:val="24"/>
                <w:vertAlign w:val="subscript"/>
              </w:rPr>
              <w:t>3</w:t>
            </w:r>
          </w:p>
        </w:tc>
        <w:tc>
          <w:tcPr>
            <w:tcW w:w="763" w:type="pct"/>
            <w:vAlign w:val="center"/>
          </w:tcPr>
          <w:p w14:paraId="024D31B0"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-0.0000009</w:t>
            </w:r>
          </w:p>
        </w:tc>
        <w:tc>
          <w:tcPr>
            <w:tcW w:w="764" w:type="pct"/>
            <w:vAlign w:val="center"/>
            <w:hideMark/>
          </w:tcPr>
          <w:p w14:paraId="6677CE81"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-0.000002</w:t>
            </w:r>
          </w:p>
        </w:tc>
        <w:tc>
          <w:tcPr>
            <w:tcW w:w="717" w:type="pct"/>
            <w:vAlign w:val="center"/>
            <w:hideMark/>
          </w:tcPr>
          <w:p w14:paraId="1D3A1318"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-0.0003*</w:t>
            </w:r>
          </w:p>
        </w:tc>
        <w:tc>
          <w:tcPr>
            <w:tcW w:w="708" w:type="pct"/>
            <w:vAlign w:val="center"/>
            <w:hideMark/>
          </w:tcPr>
          <w:p w14:paraId="57FB3D3C"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-0.000008*</w:t>
            </w:r>
          </w:p>
        </w:tc>
      </w:tr>
      <w:tr w:rsidR="00822E3D" w:rsidRPr="006D74FE" w14:paraId="513A6FC7" w14:textId="77777777" w:rsidTr="00102B50">
        <w:trPr>
          <w:trHeight w:val="224"/>
        </w:trPr>
        <w:tc>
          <w:tcPr>
            <w:tcW w:w="1373" w:type="pct"/>
            <w:vAlign w:val="center"/>
            <w:hideMark/>
          </w:tcPr>
          <w:p w14:paraId="4405167B"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IT. personnel</w:t>
            </w:r>
          </w:p>
        </w:tc>
        <w:tc>
          <w:tcPr>
            <w:tcW w:w="675" w:type="pct"/>
            <w:vAlign w:val="center"/>
            <w:hideMark/>
          </w:tcPr>
          <w:p w14:paraId="123C46C0"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ɸ</w:t>
            </w:r>
            <w:r w:rsidRPr="00422A37">
              <w:rPr>
                <w:rFonts w:ascii="Times New Roman" w:hAnsi="Times New Roman"/>
                <w:sz w:val="24"/>
                <w:szCs w:val="24"/>
                <w:vertAlign w:val="subscript"/>
              </w:rPr>
              <w:t>4</w:t>
            </w:r>
          </w:p>
        </w:tc>
        <w:tc>
          <w:tcPr>
            <w:tcW w:w="763" w:type="pct"/>
            <w:vAlign w:val="center"/>
          </w:tcPr>
          <w:p w14:paraId="2D72F3F7"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0.0002</w:t>
            </w:r>
          </w:p>
        </w:tc>
        <w:tc>
          <w:tcPr>
            <w:tcW w:w="764" w:type="pct"/>
            <w:vAlign w:val="center"/>
            <w:hideMark/>
          </w:tcPr>
          <w:p w14:paraId="2E0617C2"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0.0003</w:t>
            </w:r>
          </w:p>
        </w:tc>
        <w:tc>
          <w:tcPr>
            <w:tcW w:w="717" w:type="pct"/>
            <w:vAlign w:val="center"/>
            <w:hideMark/>
          </w:tcPr>
          <w:p w14:paraId="3ACA3CD4"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-0.004**</w:t>
            </w:r>
          </w:p>
        </w:tc>
        <w:tc>
          <w:tcPr>
            <w:tcW w:w="708" w:type="pct"/>
            <w:vAlign w:val="center"/>
            <w:hideMark/>
          </w:tcPr>
          <w:p w14:paraId="7B8C5233"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0.0006</w:t>
            </w:r>
          </w:p>
        </w:tc>
      </w:tr>
      <w:tr w:rsidR="00822E3D" w:rsidRPr="006D74FE" w14:paraId="72572CD2" w14:textId="77777777" w:rsidTr="00102B50">
        <w:trPr>
          <w:trHeight w:val="237"/>
        </w:trPr>
        <w:tc>
          <w:tcPr>
            <w:tcW w:w="1373" w:type="pct"/>
            <w:vAlign w:val="center"/>
            <w:hideMark/>
          </w:tcPr>
          <w:p w14:paraId="49DF0BDF"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IT personnel expanses</w:t>
            </w:r>
          </w:p>
        </w:tc>
        <w:tc>
          <w:tcPr>
            <w:tcW w:w="675" w:type="pct"/>
            <w:vAlign w:val="center"/>
            <w:hideMark/>
          </w:tcPr>
          <w:p w14:paraId="0CD7370B"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ɸ</w:t>
            </w:r>
            <w:r w:rsidRPr="00422A37">
              <w:rPr>
                <w:rFonts w:ascii="Times New Roman" w:hAnsi="Times New Roman"/>
                <w:sz w:val="24"/>
                <w:szCs w:val="24"/>
                <w:vertAlign w:val="subscript"/>
              </w:rPr>
              <w:t>5</w:t>
            </w:r>
          </w:p>
        </w:tc>
        <w:tc>
          <w:tcPr>
            <w:tcW w:w="763" w:type="pct"/>
            <w:vAlign w:val="center"/>
          </w:tcPr>
          <w:p w14:paraId="376749FC"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0.00087*</w:t>
            </w:r>
          </w:p>
        </w:tc>
        <w:tc>
          <w:tcPr>
            <w:tcW w:w="764" w:type="pct"/>
            <w:vAlign w:val="center"/>
            <w:hideMark/>
          </w:tcPr>
          <w:p w14:paraId="108E09BD"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0.0006*</w:t>
            </w:r>
          </w:p>
        </w:tc>
        <w:tc>
          <w:tcPr>
            <w:tcW w:w="717" w:type="pct"/>
            <w:vAlign w:val="center"/>
            <w:hideMark/>
          </w:tcPr>
          <w:p w14:paraId="34184C30"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0.0018**</w:t>
            </w:r>
          </w:p>
        </w:tc>
        <w:tc>
          <w:tcPr>
            <w:tcW w:w="708" w:type="pct"/>
            <w:vAlign w:val="center"/>
            <w:hideMark/>
          </w:tcPr>
          <w:p w14:paraId="232F8D94"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0.0009</w:t>
            </w:r>
          </w:p>
        </w:tc>
      </w:tr>
      <w:tr w:rsidR="00822E3D" w:rsidRPr="006D74FE" w14:paraId="712A814E" w14:textId="77777777" w:rsidTr="00102B50">
        <w:trPr>
          <w:trHeight w:val="224"/>
        </w:trPr>
        <w:tc>
          <w:tcPr>
            <w:tcW w:w="1373" w:type="pct"/>
            <w:vAlign w:val="center"/>
            <w:hideMark/>
          </w:tcPr>
          <w:p w14:paraId="155F6E20" w14:textId="77777777" w:rsidR="00822E3D" w:rsidRPr="006D74FE" w:rsidRDefault="00822E3D" w:rsidP="00102B50">
            <w:pPr>
              <w:jc w:val="center"/>
              <w:rPr>
                <w:rFonts w:ascii="Times New Roman" w:hAnsi="Times New Roman"/>
                <w:sz w:val="24"/>
                <w:szCs w:val="24"/>
              </w:rPr>
            </w:pPr>
            <w:proofErr w:type="spellStart"/>
            <w:r w:rsidRPr="006D74FE">
              <w:rPr>
                <w:rFonts w:ascii="Times New Roman" w:hAnsi="Times New Roman"/>
                <w:sz w:val="24"/>
                <w:szCs w:val="24"/>
              </w:rPr>
              <w:t>ATM.Transaction</w:t>
            </w:r>
            <w:proofErr w:type="spellEnd"/>
          </w:p>
        </w:tc>
        <w:tc>
          <w:tcPr>
            <w:tcW w:w="675" w:type="pct"/>
            <w:vAlign w:val="center"/>
            <w:hideMark/>
          </w:tcPr>
          <w:p w14:paraId="09108297"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ɸ</w:t>
            </w:r>
            <w:r w:rsidRPr="00422A37">
              <w:rPr>
                <w:rFonts w:ascii="Times New Roman" w:hAnsi="Times New Roman"/>
                <w:sz w:val="24"/>
                <w:szCs w:val="24"/>
                <w:vertAlign w:val="subscript"/>
              </w:rPr>
              <w:t>6</w:t>
            </w:r>
          </w:p>
        </w:tc>
        <w:tc>
          <w:tcPr>
            <w:tcW w:w="763" w:type="pct"/>
            <w:vAlign w:val="center"/>
          </w:tcPr>
          <w:p w14:paraId="596EA0D6"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-0.00004</w:t>
            </w:r>
          </w:p>
        </w:tc>
        <w:tc>
          <w:tcPr>
            <w:tcW w:w="764" w:type="pct"/>
            <w:vAlign w:val="center"/>
            <w:hideMark/>
          </w:tcPr>
          <w:p w14:paraId="041D249C"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-0.00005*</w:t>
            </w:r>
          </w:p>
        </w:tc>
        <w:tc>
          <w:tcPr>
            <w:tcW w:w="717" w:type="pct"/>
            <w:vAlign w:val="center"/>
            <w:hideMark/>
          </w:tcPr>
          <w:p w14:paraId="6D12399A"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-0.0008*</w:t>
            </w:r>
          </w:p>
        </w:tc>
        <w:tc>
          <w:tcPr>
            <w:tcW w:w="708" w:type="pct"/>
            <w:vAlign w:val="center"/>
            <w:hideMark/>
          </w:tcPr>
          <w:p w14:paraId="6F38CD57"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0.00005</w:t>
            </w:r>
          </w:p>
        </w:tc>
      </w:tr>
      <w:tr w:rsidR="00822E3D" w:rsidRPr="006D74FE" w14:paraId="23D2B3E1" w14:textId="77777777" w:rsidTr="00102B50">
        <w:trPr>
          <w:trHeight w:val="237"/>
        </w:trPr>
        <w:tc>
          <w:tcPr>
            <w:tcW w:w="1373" w:type="pct"/>
            <w:vAlign w:val="center"/>
            <w:hideMark/>
          </w:tcPr>
          <w:p w14:paraId="06AF9389" w14:textId="77777777" w:rsidR="00822E3D" w:rsidRPr="006D74FE" w:rsidRDefault="00822E3D" w:rsidP="00102B50">
            <w:pPr>
              <w:jc w:val="center"/>
              <w:rPr>
                <w:rFonts w:ascii="Times New Roman" w:hAnsi="Times New Roman"/>
                <w:sz w:val="24"/>
                <w:szCs w:val="24"/>
              </w:rPr>
            </w:pPr>
            <w:proofErr w:type="spellStart"/>
            <w:r w:rsidRPr="006D74FE">
              <w:rPr>
                <w:rFonts w:ascii="Times New Roman" w:hAnsi="Times New Roman"/>
                <w:sz w:val="24"/>
                <w:szCs w:val="24"/>
              </w:rPr>
              <w:t>ATM.expeses</w:t>
            </w:r>
            <w:proofErr w:type="spellEnd"/>
          </w:p>
        </w:tc>
        <w:tc>
          <w:tcPr>
            <w:tcW w:w="675" w:type="pct"/>
            <w:vAlign w:val="center"/>
            <w:hideMark/>
          </w:tcPr>
          <w:p w14:paraId="18BBAE89"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ɸ</w:t>
            </w:r>
            <w:r w:rsidRPr="00422A37">
              <w:rPr>
                <w:rFonts w:ascii="Times New Roman" w:hAnsi="Times New Roman"/>
                <w:sz w:val="24"/>
                <w:szCs w:val="24"/>
                <w:vertAlign w:val="subscript"/>
              </w:rPr>
              <w:t>7</w:t>
            </w:r>
          </w:p>
        </w:tc>
        <w:tc>
          <w:tcPr>
            <w:tcW w:w="763" w:type="pct"/>
            <w:vAlign w:val="center"/>
          </w:tcPr>
          <w:p w14:paraId="73238759"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0.00306*</w:t>
            </w:r>
          </w:p>
        </w:tc>
        <w:tc>
          <w:tcPr>
            <w:tcW w:w="764" w:type="pct"/>
            <w:vAlign w:val="center"/>
            <w:hideMark/>
          </w:tcPr>
          <w:p w14:paraId="350C4969"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0.0002</w:t>
            </w:r>
          </w:p>
        </w:tc>
        <w:tc>
          <w:tcPr>
            <w:tcW w:w="717" w:type="pct"/>
            <w:vAlign w:val="center"/>
            <w:hideMark/>
          </w:tcPr>
          <w:p w14:paraId="33690029"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-0.009</w:t>
            </w:r>
          </w:p>
        </w:tc>
        <w:tc>
          <w:tcPr>
            <w:tcW w:w="708" w:type="pct"/>
            <w:vAlign w:val="center"/>
            <w:hideMark/>
          </w:tcPr>
          <w:p w14:paraId="5E37F584"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0.00002</w:t>
            </w:r>
          </w:p>
        </w:tc>
      </w:tr>
      <w:tr w:rsidR="00822E3D" w:rsidRPr="006D74FE" w14:paraId="0CEA2F87" w14:textId="77777777" w:rsidTr="00102B50">
        <w:trPr>
          <w:trHeight w:val="224"/>
        </w:trPr>
        <w:tc>
          <w:tcPr>
            <w:tcW w:w="1373" w:type="pct"/>
            <w:vAlign w:val="center"/>
            <w:hideMark/>
          </w:tcPr>
          <w:p w14:paraId="654B79EE"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Credit. Card. Transaction</w:t>
            </w:r>
          </w:p>
        </w:tc>
        <w:tc>
          <w:tcPr>
            <w:tcW w:w="675" w:type="pct"/>
            <w:vAlign w:val="center"/>
            <w:hideMark/>
          </w:tcPr>
          <w:p w14:paraId="1B918C56"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ɸ</w:t>
            </w:r>
            <w:r w:rsidRPr="00422A37">
              <w:rPr>
                <w:rFonts w:ascii="Times New Roman" w:hAnsi="Times New Roman"/>
                <w:sz w:val="24"/>
                <w:szCs w:val="24"/>
                <w:vertAlign w:val="subscript"/>
              </w:rPr>
              <w:t>8</w:t>
            </w:r>
          </w:p>
        </w:tc>
        <w:tc>
          <w:tcPr>
            <w:tcW w:w="763" w:type="pct"/>
            <w:vAlign w:val="center"/>
          </w:tcPr>
          <w:p w14:paraId="39C16FCC"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0.00005*</w:t>
            </w:r>
          </w:p>
        </w:tc>
        <w:tc>
          <w:tcPr>
            <w:tcW w:w="764" w:type="pct"/>
            <w:vAlign w:val="center"/>
            <w:hideMark/>
          </w:tcPr>
          <w:p w14:paraId="4CEAB38F"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0.000006**</w:t>
            </w:r>
          </w:p>
        </w:tc>
        <w:tc>
          <w:tcPr>
            <w:tcW w:w="717" w:type="pct"/>
            <w:vAlign w:val="center"/>
            <w:hideMark/>
          </w:tcPr>
          <w:p w14:paraId="62F7559B"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0.0013***</w:t>
            </w:r>
          </w:p>
        </w:tc>
        <w:tc>
          <w:tcPr>
            <w:tcW w:w="708" w:type="pct"/>
            <w:vAlign w:val="center"/>
            <w:hideMark/>
          </w:tcPr>
          <w:p w14:paraId="459C0149"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-0.0000007</w:t>
            </w:r>
          </w:p>
        </w:tc>
      </w:tr>
      <w:tr w:rsidR="00822E3D" w:rsidRPr="006D74FE" w14:paraId="0E43BCC7" w14:textId="77777777" w:rsidTr="00102B50">
        <w:trPr>
          <w:trHeight w:val="249"/>
        </w:trPr>
        <w:tc>
          <w:tcPr>
            <w:tcW w:w="1373" w:type="pct"/>
            <w:tcBorders>
              <w:bottom w:val="single" w:sz="4" w:space="0" w:color="auto"/>
            </w:tcBorders>
            <w:vAlign w:val="center"/>
            <w:hideMark/>
          </w:tcPr>
          <w:p w14:paraId="0F2E1800"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Credit. Card. expenses</w:t>
            </w:r>
          </w:p>
        </w:tc>
        <w:tc>
          <w:tcPr>
            <w:tcW w:w="675" w:type="pct"/>
            <w:tcBorders>
              <w:bottom w:val="single" w:sz="4" w:space="0" w:color="auto"/>
            </w:tcBorders>
            <w:vAlign w:val="center"/>
            <w:hideMark/>
          </w:tcPr>
          <w:p w14:paraId="765B7630"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ɸ</w:t>
            </w:r>
            <w:r w:rsidRPr="00422A37">
              <w:rPr>
                <w:rFonts w:ascii="Times New Roman" w:hAnsi="Times New Roman"/>
                <w:sz w:val="24"/>
                <w:szCs w:val="24"/>
                <w:vertAlign w:val="subscript"/>
              </w:rPr>
              <w:t>9</w:t>
            </w:r>
          </w:p>
        </w:tc>
        <w:tc>
          <w:tcPr>
            <w:tcW w:w="763" w:type="pct"/>
            <w:tcBorders>
              <w:bottom w:val="single" w:sz="4" w:space="0" w:color="auto"/>
            </w:tcBorders>
            <w:vAlign w:val="center"/>
          </w:tcPr>
          <w:p w14:paraId="2DD20680"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-0.00013**</w:t>
            </w:r>
          </w:p>
        </w:tc>
        <w:tc>
          <w:tcPr>
            <w:tcW w:w="764" w:type="pct"/>
            <w:tcBorders>
              <w:bottom w:val="single" w:sz="4" w:space="0" w:color="auto"/>
            </w:tcBorders>
            <w:vAlign w:val="center"/>
            <w:hideMark/>
          </w:tcPr>
          <w:p w14:paraId="6D50281A"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-0.0001*</w:t>
            </w:r>
          </w:p>
        </w:tc>
        <w:tc>
          <w:tcPr>
            <w:tcW w:w="717" w:type="pct"/>
            <w:tcBorders>
              <w:bottom w:val="single" w:sz="4" w:space="0" w:color="auto"/>
            </w:tcBorders>
            <w:vAlign w:val="center"/>
            <w:hideMark/>
          </w:tcPr>
          <w:p w14:paraId="371F51DA"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-0.0012</w:t>
            </w:r>
          </w:p>
        </w:tc>
        <w:tc>
          <w:tcPr>
            <w:tcW w:w="708" w:type="pct"/>
            <w:tcBorders>
              <w:bottom w:val="single" w:sz="4" w:space="0" w:color="auto"/>
            </w:tcBorders>
            <w:vAlign w:val="center"/>
            <w:hideMark/>
          </w:tcPr>
          <w:p w14:paraId="4793DAF5" w14:textId="77777777" w:rsidR="00822E3D" w:rsidRPr="006D74FE" w:rsidRDefault="00822E3D" w:rsidP="00102B50">
            <w:pPr>
              <w:jc w:val="center"/>
              <w:rPr>
                <w:rFonts w:ascii="Times New Roman" w:hAnsi="Times New Roman"/>
                <w:sz w:val="24"/>
                <w:szCs w:val="24"/>
              </w:rPr>
            </w:pPr>
            <w:r w:rsidRPr="006D74FE">
              <w:rPr>
                <w:rFonts w:ascii="Times New Roman" w:hAnsi="Times New Roman"/>
                <w:sz w:val="24"/>
                <w:szCs w:val="24"/>
              </w:rPr>
              <w:t>-0.0002***</w:t>
            </w:r>
          </w:p>
        </w:tc>
      </w:tr>
    </w:tbl>
    <w:p w14:paraId="410D2361" w14:textId="471C4FC6" w:rsidR="009305F6" w:rsidRDefault="009305F6" w:rsidP="00A728A2">
      <w:pPr>
        <w:spacing w:after="0" w:line="240" w:lineRule="auto"/>
        <w:jc w:val="both"/>
        <w:rPr>
          <w:rFonts w:ascii="Times New Roman" w:hAnsi="Times New Roman"/>
          <w:sz w:val="24"/>
          <w:szCs w:val="24"/>
        </w:rPr>
      </w:pPr>
    </w:p>
    <w:p w14:paraId="242D468F" w14:textId="77777777" w:rsidR="009305F6" w:rsidRDefault="009305F6" w:rsidP="00A728A2">
      <w:pPr>
        <w:jc w:val="both"/>
        <w:rPr>
          <w:rFonts w:ascii="Times New Roman" w:hAnsi="Times New Roman"/>
          <w:sz w:val="24"/>
          <w:szCs w:val="24"/>
        </w:rPr>
      </w:pPr>
      <w:r>
        <w:rPr>
          <w:rFonts w:ascii="Times New Roman" w:hAnsi="Times New Roman"/>
          <w:sz w:val="24"/>
          <w:szCs w:val="24"/>
        </w:rPr>
        <w:br w:type="page"/>
      </w:r>
    </w:p>
    <w:p w14:paraId="4A5F318B" w14:textId="77777777" w:rsidR="009305F6" w:rsidRDefault="009305F6" w:rsidP="00A728A2">
      <w:pPr>
        <w:spacing w:after="0" w:line="240" w:lineRule="auto"/>
        <w:jc w:val="both"/>
        <w:rPr>
          <w:rFonts w:ascii="Times New Roman" w:hAnsi="Times New Roman"/>
          <w:b/>
          <w:bCs/>
          <w:sz w:val="24"/>
          <w:szCs w:val="24"/>
        </w:rPr>
      </w:pPr>
      <w:r w:rsidRPr="006D74FE">
        <w:rPr>
          <w:rFonts w:ascii="Times New Roman" w:hAnsi="Times New Roman"/>
          <w:b/>
          <w:bCs/>
          <w:sz w:val="24"/>
          <w:szCs w:val="24"/>
        </w:rPr>
        <w:lastRenderedPageBreak/>
        <w:t>Appendix</w:t>
      </w:r>
      <w:r>
        <w:rPr>
          <w:rFonts w:ascii="Times New Roman" w:hAnsi="Times New Roman"/>
          <w:b/>
          <w:bCs/>
          <w:sz w:val="24"/>
          <w:szCs w:val="24"/>
        </w:rPr>
        <w:t xml:space="preserve"> </w:t>
      </w:r>
      <w:r w:rsidRPr="006D74FE">
        <w:rPr>
          <w:rFonts w:ascii="Times New Roman" w:hAnsi="Times New Roman"/>
          <w:b/>
          <w:bCs/>
          <w:sz w:val="24"/>
          <w:szCs w:val="24"/>
        </w:rPr>
        <w:t xml:space="preserve">1 </w:t>
      </w:r>
      <w:r w:rsidRPr="009305F6">
        <w:rPr>
          <w:rFonts w:ascii="Times New Roman" w:hAnsi="Times New Roman"/>
          <w:sz w:val="24"/>
          <w:szCs w:val="24"/>
        </w:rPr>
        <w:t xml:space="preserve">Year-wise Cost and Profit Efficiency of Cobb-Douglas, </w:t>
      </w:r>
      <w:proofErr w:type="spellStart"/>
      <w:r w:rsidRPr="009305F6">
        <w:rPr>
          <w:rFonts w:ascii="Times New Roman" w:hAnsi="Times New Roman"/>
          <w:sz w:val="24"/>
          <w:szCs w:val="24"/>
        </w:rPr>
        <w:t>Translog</w:t>
      </w:r>
      <w:proofErr w:type="spellEnd"/>
      <w:r w:rsidRPr="009305F6">
        <w:rPr>
          <w:rFonts w:ascii="Times New Roman" w:hAnsi="Times New Roman"/>
          <w:sz w:val="24"/>
          <w:szCs w:val="24"/>
        </w:rPr>
        <w:t xml:space="preserve"> Stochastic Frontier Analysis and VRS- Data Envelopment Analysis for Private Commercial Bank</w:t>
      </w:r>
      <w:r w:rsidRPr="006D74FE">
        <w:rPr>
          <w:rFonts w:ascii="Times New Roman" w:hAnsi="Times New Roman"/>
          <w:b/>
          <w:bCs/>
          <w:sz w:val="24"/>
          <w:szCs w:val="24"/>
        </w:rPr>
        <w:t xml:space="preserve"> </w:t>
      </w:r>
    </w:p>
    <w:p w14:paraId="3AED4DC1" w14:textId="5C8BC8D2" w:rsidR="00215A86" w:rsidRDefault="00215A86" w:rsidP="00A728A2">
      <w:pPr>
        <w:spacing w:after="0" w:line="240" w:lineRule="auto"/>
        <w:jc w:val="both"/>
        <w:rPr>
          <w:rFonts w:ascii="Times New Roman" w:hAnsi="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9"/>
        <w:gridCol w:w="1849"/>
        <w:gridCol w:w="1849"/>
      </w:tblGrid>
      <w:tr w:rsidR="0099288E" w14:paraId="10DA8D06" w14:textId="77777777" w:rsidTr="00102B50">
        <w:tc>
          <w:tcPr>
            <w:tcW w:w="1848" w:type="dxa"/>
            <w:vMerge w:val="restart"/>
            <w:tcBorders>
              <w:top w:val="single" w:sz="4" w:space="0" w:color="auto"/>
            </w:tcBorders>
            <w:vAlign w:val="center"/>
          </w:tcPr>
          <w:p w14:paraId="18C02EF1" w14:textId="0E3C11FB" w:rsidR="0099288E" w:rsidRDefault="0099288E" w:rsidP="00102B50">
            <w:pPr>
              <w:jc w:val="center"/>
              <w:rPr>
                <w:rFonts w:ascii="Times New Roman" w:hAnsi="Times New Roman"/>
                <w:sz w:val="24"/>
                <w:szCs w:val="24"/>
              </w:rPr>
            </w:pPr>
            <w:r w:rsidRPr="006D74FE">
              <w:rPr>
                <w:rFonts w:ascii="Times New Roman" w:hAnsi="Times New Roman"/>
                <w:sz w:val="24"/>
                <w:szCs w:val="24"/>
              </w:rPr>
              <w:t>Year</w:t>
            </w:r>
          </w:p>
        </w:tc>
        <w:tc>
          <w:tcPr>
            <w:tcW w:w="3697" w:type="dxa"/>
            <w:gridSpan w:val="2"/>
            <w:tcBorders>
              <w:top w:val="single" w:sz="4" w:space="0" w:color="auto"/>
              <w:bottom w:val="single" w:sz="4" w:space="0" w:color="auto"/>
            </w:tcBorders>
            <w:vAlign w:val="center"/>
          </w:tcPr>
          <w:p w14:paraId="5D39CE42" w14:textId="330F29ED" w:rsidR="0099288E" w:rsidRDefault="0099288E" w:rsidP="00102B50">
            <w:pPr>
              <w:jc w:val="center"/>
              <w:rPr>
                <w:rFonts w:ascii="Times New Roman" w:hAnsi="Times New Roman"/>
                <w:sz w:val="24"/>
                <w:szCs w:val="24"/>
              </w:rPr>
            </w:pPr>
            <w:r w:rsidRPr="006D74FE">
              <w:rPr>
                <w:rFonts w:ascii="Times New Roman" w:hAnsi="Times New Roman"/>
                <w:sz w:val="24"/>
                <w:szCs w:val="24"/>
              </w:rPr>
              <w:t>Cobb-Douglas</w:t>
            </w:r>
          </w:p>
        </w:tc>
        <w:tc>
          <w:tcPr>
            <w:tcW w:w="3698" w:type="dxa"/>
            <w:gridSpan w:val="2"/>
            <w:tcBorders>
              <w:top w:val="single" w:sz="4" w:space="0" w:color="auto"/>
              <w:bottom w:val="single" w:sz="4" w:space="0" w:color="auto"/>
            </w:tcBorders>
            <w:vAlign w:val="center"/>
          </w:tcPr>
          <w:p w14:paraId="64FB1ED4" w14:textId="2CB9685C" w:rsidR="0099288E" w:rsidRDefault="0099288E" w:rsidP="00102B50">
            <w:pPr>
              <w:jc w:val="center"/>
              <w:rPr>
                <w:rFonts w:ascii="Times New Roman" w:hAnsi="Times New Roman"/>
                <w:sz w:val="24"/>
                <w:szCs w:val="24"/>
              </w:rPr>
            </w:pPr>
            <w:proofErr w:type="spellStart"/>
            <w:r w:rsidRPr="006D74FE">
              <w:rPr>
                <w:rFonts w:ascii="Times New Roman" w:hAnsi="Times New Roman"/>
                <w:sz w:val="24"/>
                <w:szCs w:val="24"/>
              </w:rPr>
              <w:t>Translog</w:t>
            </w:r>
            <w:proofErr w:type="spellEnd"/>
          </w:p>
        </w:tc>
      </w:tr>
      <w:tr w:rsidR="0099288E" w14:paraId="3D13B27E" w14:textId="77777777" w:rsidTr="00102B50">
        <w:tc>
          <w:tcPr>
            <w:tcW w:w="1848" w:type="dxa"/>
            <w:vMerge/>
            <w:tcBorders>
              <w:bottom w:val="single" w:sz="4" w:space="0" w:color="auto"/>
            </w:tcBorders>
            <w:vAlign w:val="center"/>
          </w:tcPr>
          <w:p w14:paraId="08F24B6F" w14:textId="77777777" w:rsidR="0099288E" w:rsidRPr="006D74FE" w:rsidRDefault="0099288E" w:rsidP="00102B50">
            <w:pPr>
              <w:jc w:val="center"/>
              <w:rPr>
                <w:rFonts w:ascii="Times New Roman" w:hAnsi="Times New Roman"/>
                <w:sz w:val="24"/>
                <w:szCs w:val="24"/>
              </w:rPr>
            </w:pPr>
          </w:p>
        </w:tc>
        <w:tc>
          <w:tcPr>
            <w:tcW w:w="1848" w:type="dxa"/>
            <w:tcBorders>
              <w:top w:val="single" w:sz="4" w:space="0" w:color="auto"/>
              <w:bottom w:val="single" w:sz="4" w:space="0" w:color="auto"/>
            </w:tcBorders>
            <w:vAlign w:val="center"/>
          </w:tcPr>
          <w:p w14:paraId="52448F68" w14:textId="5BABB23F" w:rsidR="0099288E" w:rsidRDefault="0099288E" w:rsidP="00102B50">
            <w:pPr>
              <w:jc w:val="center"/>
              <w:rPr>
                <w:rFonts w:ascii="Times New Roman" w:hAnsi="Times New Roman"/>
                <w:sz w:val="24"/>
                <w:szCs w:val="24"/>
              </w:rPr>
            </w:pPr>
            <w:r w:rsidRPr="006D74FE">
              <w:rPr>
                <w:rFonts w:ascii="Times New Roman" w:hAnsi="Times New Roman"/>
                <w:sz w:val="24"/>
                <w:szCs w:val="24"/>
              </w:rPr>
              <w:t>Cost Efficiency</w:t>
            </w:r>
          </w:p>
        </w:tc>
        <w:tc>
          <w:tcPr>
            <w:tcW w:w="1849" w:type="dxa"/>
            <w:tcBorders>
              <w:top w:val="single" w:sz="4" w:space="0" w:color="auto"/>
              <w:bottom w:val="single" w:sz="4" w:space="0" w:color="auto"/>
            </w:tcBorders>
            <w:vAlign w:val="center"/>
          </w:tcPr>
          <w:p w14:paraId="2B3E5775" w14:textId="2DB590E0" w:rsidR="0099288E" w:rsidRDefault="0099288E" w:rsidP="00102B50">
            <w:pPr>
              <w:jc w:val="center"/>
              <w:rPr>
                <w:rFonts w:ascii="Times New Roman" w:hAnsi="Times New Roman"/>
                <w:sz w:val="24"/>
                <w:szCs w:val="24"/>
              </w:rPr>
            </w:pPr>
            <w:r w:rsidRPr="006D74FE">
              <w:rPr>
                <w:rFonts w:ascii="Times New Roman" w:hAnsi="Times New Roman"/>
                <w:sz w:val="24"/>
                <w:szCs w:val="24"/>
              </w:rPr>
              <w:t>Profit Efficiency</w:t>
            </w:r>
          </w:p>
        </w:tc>
        <w:tc>
          <w:tcPr>
            <w:tcW w:w="1849" w:type="dxa"/>
            <w:tcBorders>
              <w:top w:val="single" w:sz="4" w:space="0" w:color="auto"/>
              <w:bottom w:val="single" w:sz="4" w:space="0" w:color="auto"/>
            </w:tcBorders>
            <w:vAlign w:val="center"/>
          </w:tcPr>
          <w:p w14:paraId="11ADF2B5" w14:textId="249BFF4A" w:rsidR="0099288E" w:rsidRDefault="0099288E" w:rsidP="00102B50">
            <w:pPr>
              <w:jc w:val="center"/>
              <w:rPr>
                <w:rFonts w:ascii="Times New Roman" w:hAnsi="Times New Roman"/>
                <w:sz w:val="24"/>
                <w:szCs w:val="24"/>
              </w:rPr>
            </w:pPr>
            <w:r w:rsidRPr="006D74FE">
              <w:rPr>
                <w:rFonts w:ascii="Times New Roman" w:hAnsi="Times New Roman"/>
                <w:sz w:val="24"/>
                <w:szCs w:val="24"/>
              </w:rPr>
              <w:t>Cost Efficiency</w:t>
            </w:r>
          </w:p>
        </w:tc>
        <w:tc>
          <w:tcPr>
            <w:tcW w:w="1849" w:type="dxa"/>
            <w:tcBorders>
              <w:top w:val="single" w:sz="4" w:space="0" w:color="auto"/>
              <w:bottom w:val="single" w:sz="4" w:space="0" w:color="auto"/>
            </w:tcBorders>
            <w:vAlign w:val="center"/>
          </w:tcPr>
          <w:p w14:paraId="5944BD01" w14:textId="4671F0AF" w:rsidR="0099288E" w:rsidRDefault="0099288E" w:rsidP="00102B50">
            <w:pPr>
              <w:jc w:val="center"/>
              <w:rPr>
                <w:rFonts w:ascii="Times New Roman" w:hAnsi="Times New Roman"/>
                <w:sz w:val="24"/>
                <w:szCs w:val="24"/>
              </w:rPr>
            </w:pPr>
            <w:r w:rsidRPr="006D74FE">
              <w:rPr>
                <w:rFonts w:ascii="Times New Roman" w:hAnsi="Times New Roman"/>
                <w:sz w:val="24"/>
                <w:szCs w:val="24"/>
              </w:rPr>
              <w:t>Profit Efficiency</w:t>
            </w:r>
          </w:p>
        </w:tc>
      </w:tr>
      <w:tr w:rsidR="009305F6" w14:paraId="5EABEB0B" w14:textId="77777777" w:rsidTr="00102B50">
        <w:tc>
          <w:tcPr>
            <w:tcW w:w="1848" w:type="dxa"/>
            <w:tcBorders>
              <w:top w:val="single" w:sz="4" w:space="0" w:color="auto"/>
            </w:tcBorders>
            <w:vAlign w:val="center"/>
          </w:tcPr>
          <w:p w14:paraId="37CD7080" w14:textId="445D9BC2"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2008</w:t>
            </w:r>
          </w:p>
        </w:tc>
        <w:tc>
          <w:tcPr>
            <w:tcW w:w="1848" w:type="dxa"/>
            <w:tcBorders>
              <w:top w:val="single" w:sz="4" w:space="0" w:color="auto"/>
            </w:tcBorders>
            <w:vAlign w:val="center"/>
          </w:tcPr>
          <w:p w14:paraId="5F61B318" w14:textId="562D41AF"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0.499</w:t>
            </w:r>
          </w:p>
        </w:tc>
        <w:tc>
          <w:tcPr>
            <w:tcW w:w="1849" w:type="dxa"/>
            <w:tcBorders>
              <w:top w:val="single" w:sz="4" w:space="0" w:color="auto"/>
            </w:tcBorders>
            <w:vAlign w:val="center"/>
          </w:tcPr>
          <w:p w14:paraId="42207C55" w14:textId="213DB91B"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0.454</w:t>
            </w:r>
          </w:p>
        </w:tc>
        <w:tc>
          <w:tcPr>
            <w:tcW w:w="1849" w:type="dxa"/>
            <w:tcBorders>
              <w:top w:val="single" w:sz="4" w:space="0" w:color="auto"/>
            </w:tcBorders>
            <w:vAlign w:val="center"/>
          </w:tcPr>
          <w:p w14:paraId="734E8FD5" w14:textId="57F3152D"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0.518</w:t>
            </w:r>
          </w:p>
        </w:tc>
        <w:tc>
          <w:tcPr>
            <w:tcW w:w="1849" w:type="dxa"/>
            <w:tcBorders>
              <w:top w:val="single" w:sz="4" w:space="0" w:color="auto"/>
            </w:tcBorders>
            <w:vAlign w:val="center"/>
          </w:tcPr>
          <w:p w14:paraId="27F0DF1C" w14:textId="23804D6B"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0.503</w:t>
            </w:r>
          </w:p>
        </w:tc>
      </w:tr>
      <w:tr w:rsidR="009305F6" w14:paraId="30404FCD" w14:textId="77777777" w:rsidTr="00102B50">
        <w:tc>
          <w:tcPr>
            <w:tcW w:w="1848" w:type="dxa"/>
            <w:vAlign w:val="center"/>
          </w:tcPr>
          <w:p w14:paraId="207C8546" w14:textId="0C26D532"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2009</w:t>
            </w:r>
          </w:p>
        </w:tc>
        <w:tc>
          <w:tcPr>
            <w:tcW w:w="1848" w:type="dxa"/>
            <w:vAlign w:val="center"/>
          </w:tcPr>
          <w:p w14:paraId="64118473" w14:textId="48CD920A"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0.530</w:t>
            </w:r>
          </w:p>
        </w:tc>
        <w:tc>
          <w:tcPr>
            <w:tcW w:w="1849" w:type="dxa"/>
            <w:vAlign w:val="center"/>
          </w:tcPr>
          <w:p w14:paraId="0F132E8F" w14:textId="1168704A"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0.319</w:t>
            </w:r>
          </w:p>
        </w:tc>
        <w:tc>
          <w:tcPr>
            <w:tcW w:w="1849" w:type="dxa"/>
            <w:vAlign w:val="center"/>
          </w:tcPr>
          <w:p w14:paraId="6DEDE44F" w14:textId="6EA87483"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0.559</w:t>
            </w:r>
          </w:p>
        </w:tc>
        <w:tc>
          <w:tcPr>
            <w:tcW w:w="1849" w:type="dxa"/>
            <w:vAlign w:val="center"/>
          </w:tcPr>
          <w:p w14:paraId="5A5CAC06" w14:textId="4F8AB72E"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0.328</w:t>
            </w:r>
          </w:p>
        </w:tc>
      </w:tr>
      <w:tr w:rsidR="009305F6" w14:paraId="3E10425A" w14:textId="77777777" w:rsidTr="00102B50">
        <w:tc>
          <w:tcPr>
            <w:tcW w:w="1848" w:type="dxa"/>
            <w:vAlign w:val="center"/>
          </w:tcPr>
          <w:p w14:paraId="2ADC1D83" w14:textId="17A247A4"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2010</w:t>
            </w:r>
          </w:p>
        </w:tc>
        <w:tc>
          <w:tcPr>
            <w:tcW w:w="1848" w:type="dxa"/>
            <w:vAlign w:val="center"/>
          </w:tcPr>
          <w:p w14:paraId="5964F897" w14:textId="47A30F95"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0.567</w:t>
            </w:r>
          </w:p>
        </w:tc>
        <w:tc>
          <w:tcPr>
            <w:tcW w:w="1849" w:type="dxa"/>
            <w:vAlign w:val="center"/>
          </w:tcPr>
          <w:p w14:paraId="11A19612" w14:textId="55999906"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0.470</w:t>
            </w:r>
          </w:p>
        </w:tc>
        <w:tc>
          <w:tcPr>
            <w:tcW w:w="1849" w:type="dxa"/>
            <w:vAlign w:val="center"/>
          </w:tcPr>
          <w:p w14:paraId="7F06E283" w14:textId="0090697A"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0.643</w:t>
            </w:r>
          </w:p>
        </w:tc>
        <w:tc>
          <w:tcPr>
            <w:tcW w:w="1849" w:type="dxa"/>
            <w:vAlign w:val="center"/>
          </w:tcPr>
          <w:p w14:paraId="462CC1B6" w14:textId="3F2B2F2F"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0.545</w:t>
            </w:r>
          </w:p>
        </w:tc>
      </w:tr>
      <w:tr w:rsidR="009305F6" w14:paraId="4735609B" w14:textId="77777777" w:rsidTr="00102B50">
        <w:tc>
          <w:tcPr>
            <w:tcW w:w="1848" w:type="dxa"/>
            <w:vAlign w:val="center"/>
          </w:tcPr>
          <w:p w14:paraId="720F174A" w14:textId="76BDEAF3"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2011</w:t>
            </w:r>
          </w:p>
        </w:tc>
        <w:tc>
          <w:tcPr>
            <w:tcW w:w="1848" w:type="dxa"/>
            <w:vAlign w:val="center"/>
          </w:tcPr>
          <w:p w14:paraId="47FD6AF7" w14:textId="6EEB5F84"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0.643</w:t>
            </w:r>
          </w:p>
        </w:tc>
        <w:tc>
          <w:tcPr>
            <w:tcW w:w="1849" w:type="dxa"/>
            <w:vAlign w:val="center"/>
          </w:tcPr>
          <w:p w14:paraId="5FFD73F3" w14:textId="56BC32E1"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0.471</w:t>
            </w:r>
          </w:p>
        </w:tc>
        <w:tc>
          <w:tcPr>
            <w:tcW w:w="1849" w:type="dxa"/>
            <w:vAlign w:val="center"/>
          </w:tcPr>
          <w:p w14:paraId="19561289" w14:textId="0CF8B92F"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0.676</w:t>
            </w:r>
          </w:p>
        </w:tc>
        <w:tc>
          <w:tcPr>
            <w:tcW w:w="1849" w:type="dxa"/>
            <w:vAlign w:val="center"/>
          </w:tcPr>
          <w:p w14:paraId="1611E2C5" w14:textId="3CE4F294"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0.512</w:t>
            </w:r>
          </w:p>
        </w:tc>
      </w:tr>
      <w:tr w:rsidR="009305F6" w14:paraId="342FEF7A" w14:textId="77777777" w:rsidTr="00102B50">
        <w:tc>
          <w:tcPr>
            <w:tcW w:w="1848" w:type="dxa"/>
            <w:vAlign w:val="center"/>
          </w:tcPr>
          <w:p w14:paraId="61E3F046" w14:textId="363ADB94"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2012</w:t>
            </w:r>
          </w:p>
        </w:tc>
        <w:tc>
          <w:tcPr>
            <w:tcW w:w="1848" w:type="dxa"/>
            <w:vAlign w:val="center"/>
          </w:tcPr>
          <w:p w14:paraId="0085A565" w14:textId="0B067F01"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0.690</w:t>
            </w:r>
          </w:p>
        </w:tc>
        <w:tc>
          <w:tcPr>
            <w:tcW w:w="1849" w:type="dxa"/>
            <w:vAlign w:val="center"/>
          </w:tcPr>
          <w:p w14:paraId="2226BFC0" w14:textId="134312B9"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0.468</w:t>
            </w:r>
          </w:p>
        </w:tc>
        <w:tc>
          <w:tcPr>
            <w:tcW w:w="1849" w:type="dxa"/>
            <w:vAlign w:val="center"/>
          </w:tcPr>
          <w:p w14:paraId="4396FB19" w14:textId="0F31F004"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0.694</w:t>
            </w:r>
          </w:p>
        </w:tc>
        <w:tc>
          <w:tcPr>
            <w:tcW w:w="1849" w:type="dxa"/>
            <w:vAlign w:val="center"/>
          </w:tcPr>
          <w:p w14:paraId="122BC4F7" w14:textId="09D194C2"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0.510</w:t>
            </w:r>
          </w:p>
        </w:tc>
      </w:tr>
      <w:tr w:rsidR="009305F6" w14:paraId="38BF0F14" w14:textId="77777777" w:rsidTr="00102B50">
        <w:tc>
          <w:tcPr>
            <w:tcW w:w="1848" w:type="dxa"/>
            <w:vAlign w:val="center"/>
          </w:tcPr>
          <w:p w14:paraId="09C3D94E" w14:textId="48449F02"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2013</w:t>
            </w:r>
          </w:p>
        </w:tc>
        <w:tc>
          <w:tcPr>
            <w:tcW w:w="1848" w:type="dxa"/>
            <w:vAlign w:val="center"/>
          </w:tcPr>
          <w:p w14:paraId="3974343E" w14:textId="0B94E2FA"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0.748</w:t>
            </w:r>
          </w:p>
        </w:tc>
        <w:tc>
          <w:tcPr>
            <w:tcW w:w="1849" w:type="dxa"/>
            <w:vAlign w:val="center"/>
          </w:tcPr>
          <w:p w14:paraId="3A04FD20" w14:textId="69D43CBA"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0.444</w:t>
            </w:r>
          </w:p>
        </w:tc>
        <w:tc>
          <w:tcPr>
            <w:tcW w:w="1849" w:type="dxa"/>
            <w:vAlign w:val="center"/>
          </w:tcPr>
          <w:p w14:paraId="6C6F7CDA" w14:textId="0E2A9659"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0.721</w:t>
            </w:r>
          </w:p>
        </w:tc>
        <w:tc>
          <w:tcPr>
            <w:tcW w:w="1849" w:type="dxa"/>
            <w:vAlign w:val="center"/>
          </w:tcPr>
          <w:p w14:paraId="0C15BB4C" w14:textId="12D68198"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0.473</w:t>
            </w:r>
          </w:p>
        </w:tc>
      </w:tr>
      <w:tr w:rsidR="009305F6" w14:paraId="7756D457" w14:textId="77777777" w:rsidTr="00102B50">
        <w:tc>
          <w:tcPr>
            <w:tcW w:w="1848" w:type="dxa"/>
            <w:vAlign w:val="center"/>
          </w:tcPr>
          <w:p w14:paraId="4E9492EE" w14:textId="4A364C9B"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2014</w:t>
            </w:r>
          </w:p>
        </w:tc>
        <w:tc>
          <w:tcPr>
            <w:tcW w:w="1848" w:type="dxa"/>
            <w:vAlign w:val="center"/>
          </w:tcPr>
          <w:p w14:paraId="34D585FC" w14:textId="2025AC7A"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0.744</w:t>
            </w:r>
          </w:p>
        </w:tc>
        <w:tc>
          <w:tcPr>
            <w:tcW w:w="1849" w:type="dxa"/>
            <w:vAlign w:val="center"/>
          </w:tcPr>
          <w:p w14:paraId="7E81DFFF" w14:textId="605699D0"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0.566</w:t>
            </w:r>
          </w:p>
        </w:tc>
        <w:tc>
          <w:tcPr>
            <w:tcW w:w="1849" w:type="dxa"/>
            <w:vAlign w:val="center"/>
          </w:tcPr>
          <w:p w14:paraId="577B3677" w14:textId="7557A410"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0.712</w:t>
            </w:r>
          </w:p>
        </w:tc>
        <w:tc>
          <w:tcPr>
            <w:tcW w:w="1849" w:type="dxa"/>
            <w:vAlign w:val="center"/>
          </w:tcPr>
          <w:p w14:paraId="2CE564C0" w14:textId="3E3E0268"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0.600</w:t>
            </w:r>
          </w:p>
        </w:tc>
      </w:tr>
      <w:tr w:rsidR="009305F6" w14:paraId="1A1D4E3E" w14:textId="77777777" w:rsidTr="00102B50">
        <w:tc>
          <w:tcPr>
            <w:tcW w:w="1848" w:type="dxa"/>
            <w:vAlign w:val="center"/>
          </w:tcPr>
          <w:p w14:paraId="648258F3" w14:textId="6BEF2EB7"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2015</w:t>
            </w:r>
          </w:p>
        </w:tc>
        <w:tc>
          <w:tcPr>
            <w:tcW w:w="1848" w:type="dxa"/>
            <w:vAlign w:val="center"/>
          </w:tcPr>
          <w:p w14:paraId="779B57C3" w14:textId="51E001A3"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0.715</w:t>
            </w:r>
          </w:p>
        </w:tc>
        <w:tc>
          <w:tcPr>
            <w:tcW w:w="1849" w:type="dxa"/>
            <w:vAlign w:val="center"/>
          </w:tcPr>
          <w:p w14:paraId="1D82CCDA" w14:textId="19ABBE6E"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0.578</w:t>
            </w:r>
          </w:p>
        </w:tc>
        <w:tc>
          <w:tcPr>
            <w:tcW w:w="1849" w:type="dxa"/>
            <w:vAlign w:val="center"/>
          </w:tcPr>
          <w:p w14:paraId="3DF98829" w14:textId="6CB5513C"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0.701</w:t>
            </w:r>
          </w:p>
        </w:tc>
        <w:tc>
          <w:tcPr>
            <w:tcW w:w="1849" w:type="dxa"/>
            <w:vAlign w:val="center"/>
          </w:tcPr>
          <w:p w14:paraId="28E952E1" w14:textId="02FA4B62"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0.620</w:t>
            </w:r>
          </w:p>
        </w:tc>
      </w:tr>
      <w:tr w:rsidR="009305F6" w14:paraId="4901A711" w14:textId="77777777" w:rsidTr="00102B50">
        <w:tc>
          <w:tcPr>
            <w:tcW w:w="1848" w:type="dxa"/>
            <w:vAlign w:val="center"/>
          </w:tcPr>
          <w:p w14:paraId="05DBEE69" w14:textId="572AA752"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2016</w:t>
            </w:r>
          </w:p>
        </w:tc>
        <w:tc>
          <w:tcPr>
            <w:tcW w:w="1848" w:type="dxa"/>
            <w:vAlign w:val="center"/>
          </w:tcPr>
          <w:p w14:paraId="6155F79A" w14:textId="1A61E1E4"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0.715</w:t>
            </w:r>
          </w:p>
        </w:tc>
        <w:tc>
          <w:tcPr>
            <w:tcW w:w="1849" w:type="dxa"/>
            <w:vAlign w:val="center"/>
          </w:tcPr>
          <w:p w14:paraId="3A08B765" w14:textId="38239DED"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0.615</w:t>
            </w:r>
          </w:p>
        </w:tc>
        <w:tc>
          <w:tcPr>
            <w:tcW w:w="1849" w:type="dxa"/>
            <w:vAlign w:val="center"/>
          </w:tcPr>
          <w:p w14:paraId="7B707F78" w14:textId="496E6C7B"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0.704</w:t>
            </w:r>
          </w:p>
        </w:tc>
        <w:tc>
          <w:tcPr>
            <w:tcW w:w="1849" w:type="dxa"/>
            <w:vAlign w:val="center"/>
          </w:tcPr>
          <w:p w14:paraId="25D7205F" w14:textId="2C448D4A"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0.631</w:t>
            </w:r>
          </w:p>
        </w:tc>
      </w:tr>
      <w:tr w:rsidR="009305F6" w14:paraId="32F62FF1" w14:textId="77777777" w:rsidTr="00102B50">
        <w:tc>
          <w:tcPr>
            <w:tcW w:w="1848" w:type="dxa"/>
            <w:vAlign w:val="center"/>
          </w:tcPr>
          <w:p w14:paraId="1162B766" w14:textId="5CED2B38"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2017</w:t>
            </w:r>
          </w:p>
        </w:tc>
        <w:tc>
          <w:tcPr>
            <w:tcW w:w="1848" w:type="dxa"/>
            <w:vAlign w:val="center"/>
          </w:tcPr>
          <w:p w14:paraId="1322865F" w14:textId="119FED4C"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0.731</w:t>
            </w:r>
          </w:p>
        </w:tc>
        <w:tc>
          <w:tcPr>
            <w:tcW w:w="1849" w:type="dxa"/>
            <w:vAlign w:val="center"/>
          </w:tcPr>
          <w:p w14:paraId="2E899479" w14:textId="3F5F29F1"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0.667</w:t>
            </w:r>
          </w:p>
        </w:tc>
        <w:tc>
          <w:tcPr>
            <w:tcW w:w="1849" w:type="dxa"/>
            <w:vAlign w:val="center"/>
          </w:tcPr>
          <w:p w14:paraId="6F11B501" w14:textId="40D8D845"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0.698</w:t>
            </w:r>
          </w:p>
        </w:tc>
        <w:tc>
          <w:tcPr>
            <w:tcW w:w="1849" w:type="dxa"/>
            <w:vAlign w:val="center"/>
          </w:tcPr>
          <w:p w14:paraId="1559D968" w14:textId="59EDA11D"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0.664</w:t>
            </w:r>
          </w:p>
        </w:tc>
      </w:tr>
      <w:tr w:rsidR="009305F6" w14:paraId="75BFA31F" w14:textId="77777777" w:rsidTr="00102B50">
        <w:tc>
          <w:tcPr>
            <w:tcW w:w="1848" w:type="dxa"/>
            <w:vAlign w:val="center"/>
          </w:tcPr>
          <w:p w14:paraId="2D5EF6D7" w14:textId="3D4AE185"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Mean</w:t>
            </w:r>
          </w:p>
        </w:tc>
        <w:tc>
          <w:tcPr>
            <w:tcW w:w="1848" w:type="dxa"/>
            <w:vAlign w:val="center"/>
          </w:tcPr>
          <w:p w14:paraId="2F306083" w14:textId="7CBA8C0C"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0.658</w:t>
            </w:r>
          </w:p>
        </w:tc>
        <w:tc>
          <w:tcPr>
            <w:tcW w:w="1849" w:type="dxa"/>
            <w:vAlign w:val="center"/>
          </w:tcPr>
          <w:p w14:paraId="6DF34339" w14:textId="1B9B954F"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0.505</w:t>
            </w:r>
          </w:p>
        </w:tc>
        <w:tc>
          <w:tcPr>
            <w:tcW w:w="1849" w:type="dxa"/>
            <w:vAlign w:val="center"/>
          </w:tcPr>
          <w:p w14:paraId="2866E668" w14:textId="3ABBAF5F"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0.663</w:t>
            </w:r>
          </w:p>
        </w:tc>
        <w:tc>
          <w:tcPr>
            <w:tcW w:w="1849" w:type="dxa"/>
            <w:vAlign w:val="center"/>
          </w:tcPr>
          <w:p w14:paraId="0EA1F1A3" w14:textId="4D43A7C7" w:rsidR="009305F6" w:rsidRPr="006D74FE" w:rsidRDefault="009305F6" w:rsidP="00102B50">
            <w:pPr>
              <w:jc w:val="center"/>
              <w:rPr>
                <w:rFonts w:ascii="Times New Roman" w:hAnsi="Times New Roman"/>
                <w:sz w:val="24"/>
                <w:szCs w:val="24"/>
              </w:rPr>
            </w:pPr>
            <w:r w:rsidRPr="006D74FE">
              <w:rPr>
                <w:rFonts w:ascii="Times New Roman" w:hAnsi="Times New Roman"/>
                <w:sz w:val="24"/>
                <w:szCs w:val="24"/>
              </w:rPr>
              <w:t>0.539</w:t>
            </w:r>
          </w:p>
        </w:tc>
      </w:tr>
    </w:tbl>
    <w:p w14:paraId="79A3FD6C" w14:textId="1EF78120" w:rsidR="009305F6" w:rsidRPr="006D74FE" w:rsidRDefault="009305F6" w:rsidP="00A728A2">
      <w:pPr>
        <w:spacing w:after="0" w:line="240" w:lineRule="auto"/>
        <w:jc w:val="both"/>
        <w:rPr>
          <w:rFonts w:ascii="Times New Roman" w:hAnsi="Times New Roman"/>
          <w:sz w:val="24"/>
          <w:szCs w:val="24"/>
        </w:rPr>
      </w:pPr>
    </w:p>
    <w:p w14:paraId="127E6469" w14:textId="77777777" w:rsidR="009305F6" w:rsidRDefault="009305F6" w:rsidP="00A728A2">
      <w:pPr>
        <w:spacing w:after="0" w:line="240" w:lineRule="auto"/>
        <w:jc w:val="both"/>
        <w:rPr>
          <w:rFonts w:ascii="Times New Roman" w:hAnsi="Times New Roman"/>
          <w:b/>
          <w:bCs/>
          <w:sz w:val="24"/>
          <w:szCs w:val="24"/>
        </w:rPr>
      </w:pPr>
    </w:p>
    <w:p w14:paraId="2E4F727F" w14:textId="2C005106" w:rsidR="00574F5D" w:rsidRDefault="00547427" w:rsidP="00A728A2">
      <w:pPr>
        <w:spacing w:after="0" w:line="240" w:lineRule="auto"/>
        <w:jc w:val="both"/>
        <w:rPr>
          <w:rFonts w:ascii="Times New Roman" w:hAnsi="Times New Roman"/>
          <w:sz w:val="24"/>
          <w:szCs w:val="24"/>
        </w:rPr>
      </w:pPr>
      <w:r w:rsidRPr="006D74FE">
        <w:rPr>
          <w:rFonts w:ascii="Times New Roman" w:hAnsi="Times New Roman"/>
          <w:b/>
          <w:bCs/>
          <w:sz w:val="24"/>
          <w:szCs w:val="24"/>
        </w:rPr>
        <w:t>Appendix</w:t>
      </w:r>
      <w:r w:rsidR="009305F6">
        <w:rPr>
          <w:rFonts w:ascii="Times New Roman" w:hAnsi="Times New Roman"/>
          <w:b/>
          <w:bCs/>
          <w:sz w:val="24"/>
          <w:szCs w:val="24"/>
        </w:rPr>
        <w:t xml:space="preserve"> </w:t>
      </w:r>
      <w:r w:rsidRPr="006D74FE">
        <w:rPr>
          <w:rFonts w:ascii="Times New Roman" w:hAnsi="Times New Roman"/>
          <w:b/>
          <w:bCs/>
          <w:sz w:val="24"/>
          <w:szCs w:val="24"/>
        </w:rPr>
        <w:t>2</w:t>
      </w:r>
      <w:r w:rsidR="00574F5D" w:rsidRPr="006D74FE">
        <w:rPr>
          <w:rFonts w:ascii="Times New Roman" w:hAnsi="Times New Roman"/>
          <w:b/>
          <w:bCs/>
          <w:sz w:val="24"/>
          <w:szCs w:val="24"/>
        </w:rPr>
        <w:t xml:space="preserve"> </w:t>
      </w:r>
      <w:r w:rsidR="00574F5D" w:rsidRPr="009305F6">
        <w:rPr>
          <w:rFonts w:ascii="Times New Roman" w:hAnsi="Times New Roman"/>
          <w:sz w:val="24"/>
          <w:szCs w:val="24"/>
        </w:rPr>
        <w:t xml:space="preserve">Bank-wise Cost and Profit Efficiency of Cobb-Douglas, </w:t>
      </w:r>
      <w:proofErr w:type="spellStart"/>
      <w:r w:rsidR="00574F5D" w:rsidRPr="009305F6">
        <w:rPr>
          <w:rFonts w:ascii="Times New Roman" w:hAnsi="Times New Roman"/>
          <w:sz w:val="24"/>
          <w:szCs w:val="24"/>
        </w:rPr>
        <w:t>Translog</w:t>
      </w:r>
      <w:proofErr w:type="spellEnd"/>
      <w:r w:rsidR="00574F5D" w:rsidRPr="009305F6">
        <w:rPr>
          <w:rFonts w:ascii="Times New Roman" w:hAnsi="Times New Roman"/>
          <w:sz w:val="24"/>
          <w:szCs w:val="24"/>
        </w:rPr>
        <w:t xml:space="preserve"> Stochastic Frontier Analysis and VRS- Data Envelopment Analysis for Private Commercial Bank</w:t>
      </w:r>
    </w:p>
    <w:p w14:paraId="23312CDF" w14:textId="77777777" w:rsidR="009305F6" w:rsidRPr="006D74FE" w:rsidRDefault="009305F6" w:rsidP="00A728A2">
      <w:pPr>
        <w:spacing w:after="0" w:line="240" w:lineRule="auto"/>
        <w:jc w:val="both"/>
        <w:rPr>
          <w:rFonts w:ascii="Times New Roman" w:hAnsi="Times New Roman"/>
          <w:b/>
          <w:bCs/>
          <w:sz w:val="24"/>
          <w:szCs w:val="24"/>
        </w:rPr>
      </w:pPr>
    </w:p>
    <w:tbl>
      <w:tblPr>
        <w:tblW w:w="5000" w:type="pct"/>
        <w:jc w:val="center"/>
        <w:tblBorders>
          <w:top w:val="single" w:sz="4" w:space="0" w:color="auto"/>
          <w:bottom w:val="single" w:sz="4" w:space="0" w:color="auto"/>
        </w:tblBorders>
        <w:tblLook w:val="04A0" w:firstRow="1" w:lastRow="0" w:firstColumn="1" w:lastColumn="0" w:noHBand="0" w:noVBand="1"/>
      </w:tblPr>
      <w:tblGrid>
        <w:gridCol w:w="1923"/>
        <w:gridCol w:w="1830"/>
        <w:gridCol w:w="1830"/>
        <w:gridCol w:w="1830"/>
        <w:gridCol w:w="1830"/>
      </w:tblGrid>
      <w:tr w:rsidR="00574F5D" w:rsidRPr="006D74FE" w14:paraId="7EC83C12" w14:textId="77777777" w:rsidTr="00102B50">
        <w:trPr>
          <w:trHeight w:val="314"/>
          <w:jc w:val="center"/>
        </w:trPr>
        <w:tc>
          <w:tcPr>
            <w:tcW w:w="1040" w:type="pct"/>
            <w:vMerge w:val="restart"/>
            <w:tcBorders>
              <w:top w:val="single" w:sz="4" w:space="0" w:color="auto"/>
            </w:tcBorders>
            <w:shd w:val="clear" w:color="auto" w:fill="auto"/>
            <w:vAlign w:val="center"/>
          </w:tcPr>
          <w:p w14:paraId="38E83606"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Banks Name</w:t>
            </w:r>
          </w:p>
        </w:tc>
        <w:tc>
          <w:tcPr>
            <w:tcW w:w="1980" w:type="pct"/>
            <w:gridSpan w:val="2"/>
            <w:tcBorders>
              <w:top w:val="single" w:sz="4" w:space="0" w:color="auto"/>
              <w:bottom w:val="single" w:sz="4" w:space="0" w:color="auto"/>
            </w:tcBorders>
            <w:shd w:val="clear" w:color="auto" w:fill="auto"/>
            <w:vAlign w:val="center"/>
          </w:tcPr>
          <w:p w14:paraId="3F6D4D63"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Cobb-Douglas</w:t>
            </w:r>
          </w:p>
        </w:tc>
        <w:tc>
          <w:tcPr>
            <w:tcW w:w="1980" w:type="pct"/>
            <w:gridSpan w:val="2"/>
            <w:tcBorders>
              <w:top w:val="single" w:sz="4" w:space="0" w:color="auto"/>
              <w:bottom w:val="single" w:sz="4" w:space="0" w:color="auto"/>
            </w:tcBorders>
            <w:shd w:val="clear" w:color="auto" w:fill="auto"/>
            <w:vAlign w:val="center"/>
          </w:tcPr>
          <w:p w14:paraId="5F3E9432" w14:textId="77777777" w:rsidR="00574F5D" w:rsidRPr="006D74FE" w:rsidRDefault="00574F5D" w:rsidP="00102B50">
            <w:pPr>
              <w:spacing w:after="0" w:line="240" w:lineRule="auto"/>
              <w:jc w:val="center"/>
              <w:rPr>
                <w:rFonts w:ascii="Times New Roman" w:hAnsi="Times New Roman"/>
                <w:sz w:val="24"/>
                <w:szCs w:val="24"/>
              </w:rPr>
            </w:pPr>
            <w:proofErr w:type="spellStart"/>
            <w:r w:rsidRPr="006D74FE">
              <w:rPr>
                <w:rFonts w:ascii="Times New Roman" w:hAnsi="Times New Roman"/>
                <w:sz w:val="24"/>
                <w:szCs w:val="24"/>
              </w:rPr>
              <w:t>Translog</w:t>
            </w:r>
            <w:proofErr w:type="spellEnd"/>
          </w:p>
        </w:tc>
      </w:tr>
      <w:tr w:rsidR="00574F5D" w:rsidRPr="006D74FE" w14:paraId="50968530" w14:textId="77777777" w:rsidTr="00102B50">
        <w:trPr>
          <w:trHeight w:val="545"/>
          <w:jc w:val="center"/>
        </w:trPr>
        <w:tc>
          <w:tcPr>
            <w:tcW w:w="1040" w:type="pct"/>
            <w:vMerge/>
            <w:tcBorders>
              <w:bottom w:val="single" w:sz="4" w:space="0" w:color="auto"/>
            </w:tcBorders>
            <w:shd w:val="clear" w:color="auto" w:fill="auto"/>
            <w:vAlign w:val="center"/>
          </w:tcPr>
          <w:p w14:paraId="62B56CAF" w14:textId="77777777" w:rsidR="00574F5D" w:rsidRPr="006D74FE" w:rsidRDefault="00574F5D" w:rsidP="00102B50">
            <w:pPr>
              <w:spacing w:after="0" w:line="240" w:lineRule="auto"/>
              <w:jc w:val="center"/>
              <w:rPr>
                <w:rFonts w:ascii="Times New Roman" w:hAnsi="Times New Roman"/>
                <w:sz w:val="24"/>
                <w:szCs w:val="24"/>
              </w:rPr>
            </w:pPr>
          </w:p>
        </w:tc>
        <w:tc>
          <w:tcPr>
            <w:tcW w:w="990" w:type="pct"/>
            <w:tcBorders>
              <w:top w:val="single" w:sz="4" w:space="0" w:color="auto"/>
              <w:bottom w:val="single" w:sz="4" w:space="0" w:color="auto"/>
            </w:tcBorders>
            <w:shd w:val="clear" w:color="auto" w:fill="auto"/>
            <w:vAlign w:val="center"/>
          </w:tcPr>
          <w:p w14:paraId="65175003"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Cost Efficiency</w:t>
            </w:r>
          </w:p>
        </w:tc>
        <w:tc>
          <w:tcPr>
            <w:tcW w:w="990" w:type="pct"/>
            <w:tcBorders>
              <w:top w:val="single" w:sz="4" w:space="0" w:color="auto"/>
              <w:bottom w:val="single" w:sz="4" w:space="0" w:color="auto"/>
            </w:tcBorders>
            <w:shd w:val="clear" w:color="auto" w:fill="auto"/>
            <w:vAlign w:val="center"/>
          </w:tcPr>
          <w:p w14:paraId="4A656625"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Profit Efficiency</w:t>
            </w:r>
          </w:p>
        </w:tc>
        <w:tc>
          <w:tcPr>
            <w:tcW w:w="990" w:type="pct"/>
            <w:tcBorders>
              <w:top w:val="single" w:sz="4" w:space="0" w:color="auto"/>
              <w:bottom w:val="single" w:sz="4" w:space="0" w:color="auto"/>
            </w:tcBorders>
            <w:shd w:val="clear" w:color="auto" w:fill="auto"/>
            <w:vAlign w:val="center"/>
          </w:tcPr>
          <w:p w14:paraId="2F0C783A"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Cost Efficiency</w:t>
            </w:r>
          </w:p>
        </w:tc>
        <w:tc>
          <w:tcPr>
            <w:tcW w:w="990" w:type="pct"/>
            <w:tcBorders>
              <w:top w:val="single" w:sz="4" w:space="0" w:color="auto"/>
              <w:bottom w:val="single" w:sz="4" w:space="0" w:color="auto"/>
            </w:tcBorders>
            <w:shd w:val="clear" w:color="auto" w:fill="auto"/>
            <w:vAlign w:val="center"/>
          </w:tcPr>
          <w:p w14:paraId="0C6D1A4C"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Profit Efficiency</w:t>
            </w:r>
          </w:p>
        </w:tc>
      </w:tr>
      <w:tr w:rsidR="00574F5D" w:rsidRPr="006D74FE" w14:paraId="1A1F435D" w14:textId="77777777" w:rsidTr="00102B50">
        <w:trPr>
          <w:trHeight w:val="187"/>
          <w:jc w:val="center"/>
        </w:trPr>
        <w:tc>
          <w:tcPr>
            <w:tcW w:w="1040" w:type="pct"/>
            <w:tcBorders>
              <w:top w:val="single" w:sz="4" w:space="0" w:color="auto"/>
            </w:tcBorders>
            <w:shd w:val="clear" w:color="auto" w:fill="auto"/>
            <w:vAlign w:val="center"/>
          </w:tcPr>
          <w:p w14:paraId="39806964"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DBBL</w:t>
            </w:r>
          </w:p>
        </w:tc>
        <w:tc>
          <w:tcPr>
            <w:tcW w:w="990" w:type="pct"/>
            <w:tcBorders>
              <w:top w:val="single" w:sz="4" w:space="0" w:color="auto"/>
            </w:tcBorders>
            <w:shd w:val="clear" w:color="auto" w:fill="auto"/>
            <w:vAlign w:val="center"/>
          </w:tcPr>
          <w:p w14:paraId="0E57EAD6"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0.618</w:t>
            </w:r>
          </w:p>
        </w:tc>
        <w:tc>
          <w:tcPr>
            <w:tcW w:w="990" w:type="pct"/>
            <w:tcBorders>
              <w:top w:val="single" w:sz="4" w:space="0" w:color="auto"/>
            </w:tcBorders>
            <w:shd w:val="clear" w:color="auto" w:fill="auto"/>
            <w:vAlign w:val="center"/>
          </w:tcPr>
          <w:p w14:paraId="5DD8CE7C" w14:textId="77777777" w:rsidR="004751A5"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0.341</w:t>
            </w:r>
          </w:p>
        </w:tc>
        <w:tc>
          <w:tcPr>
            <w:tcW w:w="990" w:type="pct"/>
            <w:tcBorders>
              <w:top w:val="single" w:sz="4" w:space="0" w:color="auto"/>
            </w:tcBorders>
            <w:shd w:val="clear" w:color="auto" w:fill="auto"/>
            <w:vAlign w:val="center"/>
          </w:tcPr>
          <w:p w14:paraId="61765478"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0.552</w:t>
            </w:r>
          </w:p>
        </w:tc>
        <w:tc>
          <w:tcPr>
            <w:tcW w:w="990" w:type="pct"/>
            <w:tcBorders>
              <w:top w:val="single" w:sz="4" w:space="0" w:color="auto"/>
            </w:tcBorders>
            <w:shd w:val="clear" w:color="auto" w:fill="auto"/>
            <w:vAlign w:val="center"/>
          </w:tcPr>
          <w:p w14:paraId="13936F3D"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0.389</w:t>
            </w:r>
          </w:p>
        </w:tc>
      </w:tr>
      <w:tr w:rsidR="00574F5D" w:rsidRPr="006D74FE" w14:paraId="41193C4E" w14:textId="77777777" w:rsidTr="00102B50">
        <w:trPr>
          <w:trHeight w:val="259"/>
          <w:jc w:val="center"/>
        </w:trPr>
        <w:tc>
          <w:tcPr>
            <w:tcW w:w="1040" w:type="pct"/>
            <w:shd w:val="clear" w:color="auto" w:fill="auto"/>
            <w:vAlign w:val="center"/>
          </w:tcPr>
          <w:p w14:paraId="3C681636" w14:textId="77777777" w:rsidR="00574F5D" w:rsidRPr="006D74FE" w:rsidRDefault="00574F5D" w:rsidP="00102B50">
            <w:pPr>
              <w:spacing w:after="0" w:line="240" w:lineRule="auto"/>
              <w:jc w:val="center"/>
              <w:rPr>
                <w:rFonts w:ascii="Times New Roman" w:hAnsi="Times New Roman"/>
                <w:sz w:val="24"/>
                <w:szCs w:val="24"/>
              </w:rPr>
            </w:pPr>
            <w:proofErr w:type="spellStart"/>
            <w:r w:rsidRPr="006D74FE">
              <w:rPr>
                <w:rFonts w:ascii="Times New Roman" w:hAnsi="Times New Roman"/>
                <w:sz w:val="24"/>
                <w:szCs w:val="24"/>
              </w:rPr>
              <w:t>Brack</w:t>
            </w:r>
            <w:proofErr w:type="spellEnd"/>
          </w:p>
        </w:tc>
        <w:tc>
          <w:tcPr>
            <w:tcW w:w="990" w:type="pct"/>
            <w:shd w:val="clear" w:color="auto" w:fill="auto"/>
            <w:vAlign w:val="center"/>
          </w:tcPr>
          <w:p w14:paraId="0028DDC7"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0.893</w:t>
            </w:r>
          </w:p>
        </w:tc>
        <w:tc>
          <w:tcPr>
            <w:tcW w:w="990" w:type="pct"/>
            <w:shd w:val="clear" w:color="auto" w:fill="auto"/>
            <w:vAlign w:val="center"/>
          </w:tcPr>
          <w:p w14:paraId="3AD0CBB3"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0.549</w:t>
            </w:r>
          </w:p>
        </w:tc>
        <w:tc>
          <w:tcPr>
            <w:tcW w:w="990" w:type="pct"/>
            <w:shd w:val="clear" w:color="auto" w:fill="auto"/>
            <w:vAlign w:val="center"/>
          </w:tcPr>
          <w:p w14:paraId="7723528A"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0.712</w:t>
            </w:r>
          </w:p>
        </w:tc>
        <w:tc>
          <w:tcPr>
            <w:tcW w:w="990" w:type="pct"/>
            <w:shd w:val="clear" w:color="auto" w:fill="auto"/>
            <w:vAlign w:val="center"/>
          </w:tcPr>
          <w:p w14:paraId="21226F6C"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0.678</w:t>
            </w:r>
          </w:p>
        </w:tc>
      </w:tr>
      <w:tr w:rsidR="00574F5D" w:rsidRPr="006D74FE" w14:paraId="5ADBBD1D" w14:textId="77777777" w:rsidTr="00102B50">
        <w:trPr>
          <w:trHeight w:val="268"/>
          <w:jc w:val="center"/>
        </w:trPr>
        <w:tc>
          <w:tcPr>
            <w:tcW w:w="1040" w:type="pct"/>
            <w:shd w:val="clear" w:color="auto" w:fill="auto"/>
            <w:vAlign w:val="center"/>
          </w:tcPr>
          <w:p w14:paraId="002B4D6A" w14:textId="4D4FA6C9"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City</w:t>
            </w:r>
          </w:p>
        </w:tc>
        <w:tc>
          <w:tcPr>
            <w:tcW w:w="990" w:type="pct"/>
            <w:shd w:val="clear" w:color="auto" w:fill="auto"/>
            <w:vAlign w:val="center"/>
          </w:tcPr>
          <w:p w14:paraId="18457D27"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0.668</w:t>
            </w:r>
          </w:p>
        </w:tc>
        <w:tc>
          <w:tcPr>
            <w:tcW w:w="990" w:type="pct"/>
            <w:shd w:val="clear" w:color="auto" w:fill="auto"/>
            <w:vAlign w:val="center"/>
          </w:tcPr>
          <w:p w14:paraId="3CDF0A00"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0.489</w:t>
            </w:r>
          </w:p>
        </w:tc>
        <w:tc>
          <w:tcPr>
            <w:tcW w:w="990" w:type="pct"/>
            <w:shd w:val="clear" w:color="auto" w:fill="auto"/>
            <w:vAlign w:val="center"/>
          </w:tcPr>
          <w:p w14:paraId="538F791F"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0.675</w:t>
            </w:r>
          </w:p>
        </w:tc>
        <w:tc>
          <w:tcPr>
            <w:tcW w:w="990" w:type="pct"/>
            <w:shd w:val="clear" w:color="auto" w:fill="auto"/>
            <w:vAlign w:val="center"/>
          </w:tcPr>
          <w:p w14:paraId="4226857C"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0.514</w:t>
            </w:r>
          </w:p>
        </w:tc>
      </w:tr>
      <w:tr w:rsidR="00574F5D" w:rsidRPr="006D74FE" w14:paraId="62206FC6" w14:textId="77777777" w:rsidTr="00102B50">
        <w:trPr>
          <w:trHeight w:val="250"/>
          <w:jc w:val="center"/>
        </w:trPr>
        <w:tc>
          <w:tcPr>
            <w:tcW w:w="1040" w:type="pct"/>
            <w:shd w:val="clear" w:color="auto" w:fill="auto"/>
            <w:vAlign w:val="center"/>
          </w:tcPr>
          <w:p w14:paraId="3AF2DDEC" w14:textId="77777777" w:rsidR="00574F5D" w:rsidRPr="006D74FE" w:rsidRDefault="00506068" w:rsidP="00102B50">
            <w:pPr>
              <w:spacing w:after="0" w:line="240" w:lineRule="auto"/>
              <w:jc w:val="center"/>
              <w:rPr>
                <w:rFonts w:ascii="Times New Roman" w:hAnsi="Times New Roman"/>
                <w:sz w:val="24"/>
                <w:szCs w:val="24"/>
              </w:rPr>
            </w:pPr>
            <w:r w:rsidRPr="006D74FE">
              <w:rPr>
                <w:rFonts w:ascii="Times New Roman" w:hAnsi="Times New Roman"/>
                <w:sz w:val="24"/>
                <w:szCs w:val="24"/>
              </w:rPr>
              <w:t>Merca</w:t>
            </w:r>
            <w:r w:rsidR="00574F5D" w:rsidRPr="006D74FE">
              <w:rPr>
                <w:rFonts w:ascii="Times New Roman" w:hAnsi="Times New Roman"/>
                <w:sz w:val="24"/>
                <w:szCs w:val="24"/>
              </w:rPr>
              <w:t>ntile</w:t>
            </w:r>
          </w:p>
        </w:tc>
        <w:tc>
          <w:tcPr>
            <w:tcW w:w="990" w:type="pct"/>
            <w:shd w:val="clear" w:color="auto" w:fill="auto"/>
            <w:vAlign w:val="center"/>
          </w:tcPr>
          <w:p w14:paraId="12387F27"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0.712</w:t>
            </w:r>
          </w:p>
        </w:tc>
        <w:tc>
          <w:tcPr>
            <w:tcW w:w="990" w:type="pct"/>
            <w:shd w:val="clear" w:color="auto" w:fill="auto"/>
            <w:vAlign w:val="center"/>
          </w:tcPr>
          <w:p w14:paraId="1C72BB89"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0.336</w:t>
            </w:r>
          </w:p>
        </w:tc>
        <w:tc>
          <w:tcPr>
            <w:tcW w:w="990" w:type="pct"/>
            <w:shd w:val="clear" w:color="auto" w:fill="auto"/>
            <w:vAlign w:val="center"/>
          </w:tcPr>
          <w:p w14:paraId="78912B5E"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0.727</w:t>
            </w:r>
          </w:p>
        </w:tc>
        <w:tc>
          <w:tcPr>
            <w:tcW w:w="990" w:type="pct"/>
            <w:shd w:val="clear" w:color="auto" w:fill="auto"/>
            <w:vAlign w:val="center"/>
          </w:tcPr>
          <w:p w14:paraId="7439A29E"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0.333</w:t>
            </w:r>
          </w:p>
        </w:tc>
      </w:tr>
      <w:tr w:rsidR="00574F5D" w:rsidRPr="006D74FE" w14:paraId="3ED4B7D1" w14:textId="77777777" w:rsidTr="00102B50">
        <w:trPr>
          <w:trHeight w:val="268"/>
          <w:jc w:val="center"/>
        </w:trPr>
        <w:tc>
          <w:tcPr>
            <w:tcW w:w="1040" w:type="pct"/>
            <w:shd w:val="clear" w:color="auto" w:fill="auto"/>
            <w:vAlign w:val="center"/>
          </w:tcPr>
          <w:p w14:paraId="116CD9D2"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Mutual</w:t>
            </w:r>
          </w:p>
        </w:tc>
        <w:tc>
          <w:tcPr>
            <w:tcW w:w="990" w:type="pct"/>
            <w:shd w:val="clear" w:color="auto" w:fill="auto"/>
            <w:vAlign w:val="center"/>
          </w:tcPr>
          <w:p w14:paraId="17ED0D6E"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0.473</w:t>
            </w:r>
          </w:p>
        </w:tc>
        <w:tc>
          <w:tcPr>
            <w:tcW w:w="990" w:type="pct"/>
            <w:shd w:val="clear" w:color="auto" w:fill="auto"/>
            <w:vAlign w:val="center"/>
          </w:tcPr>
          <w:p w14:paraId="7C28FB04"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0.398</w:t>
            </w:r>
          </w:p>
        </w:tc>
        <w:tc>
          <w:tcPr>
            <w:tcW w:w="990" w:type="pct"/>
            <w:shd w:val="clear" w:color="auto" w:fill="auto"/>
            <w:vAlign w:val="center"/>
          </w:tcPr>
          <w:p w14:paraId="4B32C249"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0.527</w:t>
            </w:r>
          </w:p>
        </w:tc>
        <w:tc>
          <w:tcPr>
            <w:tcW w:w="990" w:type="pct"/>
            <w:shd w:val="clear" w:color="auto" w:fill="auto"/>
            <w:vAlign w:val="center"/>
          </w:tcPr>
          <w:p w14:paraId="755451D8"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0.397</w:t>
            </w:r>
          </w:p>
        </w:tc>
      </w:tr>
      <w:tr w:rsidR="00574F5D" w:rsidRPr="006D74FE" w14:paraId="016665FB" w14:textId="77777777" w:rsidTr="00102B50">
        <w:trPr>
          <w:trHeight w:val="250"/>
          <w:jc w:val="center"/>
        </w:trPr>
        <w:tc>
          <w:tcPr>
            <w:tcW w:w="1040" w:type="pct"/>
            <w:shd w:val="clear" w:color="auto" w:fill="auto"/>
            <w:vAlign w:val="center"/>
          </w:tcPr>
          <w:p w14:paraId="019C9995"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One</w:t>
            </w:r>
          </w:p>
        </w:tc>
        <w:tc>
          <w:tcPr>
            <w:tcW w:w="990" w:type="pct"/>
            <w:shd w:val="clear" w:color="auto" w:fill="auto"/>
            <w:vAlign w:val="center"/>
          </w:tcPr>
          <w:p w14:paraId="6FBC95A2"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0.746</w:t>
            </w:r>
          </w:p>
        </w:tc>
        <w:tc>
          <w:tcPr>
            <w:tcW w:w="990" w:type="pct"/>
            <w:shd w:val="clear" w:color="auto" w:fill="auto"/>
            <w:vAlign w:val="center"/>
          </w:tcPr>
          <w:p w14:paraId="30C56403"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0.425</w:t>
            </w:r>
          </w:p>
        </w:tc>
        <w:tc>
          <w:tcPr>
            <w:tcW w:w="990" w:type="pct"/>
            <w:shd w:val="clear" w:color="auto" w:fill="auto"/>
            <w:vAlign w:val="center"/>
          </w:tcPr>
          <w:p w14:paraId="1F9A855C"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0.714</w:t>
            </w:r>
          </w:p>
        </w:tc>
        <w:tc>
          <w:tcPr>
            <w:tcW w:w="990" w:type="pct"/>
            <w:shd w:val="clear" w:color="auto" w:fill="auto"/>
            <w:vAlign w:val="center"/>
          </w:tcPr>
          <w:p w14:paraId="05FACBBB"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0.477</w:t>
            </w:r>
          </w:p>
        </w:tc>
      </w:tr>
      <w:tr w:rsidR="00574F5D" w:rsidRPr="006D74FE" w14:paraId="0154DBD4" w14:textId="77777777" w:rsidTr="00102B50">
        <w:trPr>
          <w:trHeight w:val="259"/>
          <w:jc w:val="center"/>
        </w:trPr>
        <w:tc>
          <w:tcPr>
            <w:tcW w:w="1040" w:type="pct"/>
            <w:shd w:val="clear" w:color="auto" w:fill="auto"/>
            <w:vAlign w:val="center"/>
          </w:tcPr>
          <w:p w14:paraId="506305A1"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Premium</w:t>
            </w:r>
          </w:p>
        </w:tc>
        <w:tc>
          <w:tcPr>
            <w:tcW w:w="990" w:type="pct"/>
            <w:shd w:val="clear" w:color="auto" w:fill="auto"/>
            <w:vAlign w:val="center"/>
          </w:tcPr>
          <w:p w14:paraId="01DBDB38"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0.678</w:t>
            </w:r>
          </w:p>
        </w:tc>
        <w:tc>
          <w:tcPr>
            <w:tcW w:w="990" w:type="pct"/>
            <w:shd w:val="clear" w:color="auto" w:fill="auto"/>
            <w:vAlign w:val="center"/>
          </w:tcPr>
          <w:p w14:paraId="6A75973B"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0.463</w:t>
            </w:r>
          </w:p>
        </w:tc>
        <w:tc>
          <w:tcPr>
            <w:tcW w:w="990" w:type="pct"/>
            <w:shd w:val="clear" w:color="auto" w:fill="auto"/>
            <w:vAlign w:val="center"/>
          </w:tcPr>
          <w:p w14:paraId="3C37B2DD"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0.703</w:t>
            </w:r>
          </w:p>
        </w:tc>
        <w:tc>
          <w:tcPr>
            <w:tcW w:w="990" w:type="pct"/>
            <w:shd w:val="clear" w:color="auto" w:fill="auto"/>
            <w:vAlign w:val="center"/>
          </w:tcPr>
          <w:p w14:paraId="3FD59F81"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0.406</w:t>
            </w:r>
          </w:p>
        </w:tc>
      </w:tr>
      <w:tr w:rsidR="00574F5D" w:rsidRPr="006D74FE" w14:paraId="2A9BCCD0" w14:textId="77777777" w:rsidTr="00102B50">
        <w:trPr>
          <w:trHeight w:val="259"/>
          <w:jc w:val="center"/>
        </w:trPr>
        <w:tc>
          <w:tcPr>
            <w:tcW w:w="1040" w:type="pct"/>
            <w:shd w:val="clear" w:color="auto" w:fill="auto"/>
            <w:vAlign w:val="center"/>
          </w:tcPr>
          <w:p w14:paraId="2F81FDD4"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Prime</w:t>
            </w:r>
          </w:p>
        </w:tc>
        <w:tc>
          <w:tcPr>
            <w:tcW w:w="990" w:type="pct"/>
            <w:shd w:val="clear" w:color="auto" w:fill="auto"/>
            <w:vAlign w:val="center"/>
          </w:tcPr>
          <w:p w14:paraId="28F36F22"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0.694</w:t>
            </w:r>
          </w:p>
        </w:tc>
        <w:tc>
          <w:tcPr>
            <w:tcW w:w="990" w:type="pct"/>
            <w:shd w:val="clear" w:color="auto" w:fill="auto"/>
            <w:vAlign w:val="center"/>
          </w:tcPr>
          <w:p w14:paraId="1DFB2469"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0.591</w:t>
            </w:r>
          </w:p>
        </w:tc>
        <w:tc>
          <w:tcPr>
            <w:tcW w:w="990" w:type="pct"/>
            <w:shd w:val="clear" w:color="auto" w:fill="auto"/>
            <w:vAlign w:val="center"/>
          </w:tcPr>
          <w:p w14:paraId="46B0A30D"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0.721</w:t>
            </w:r>
          </w:p>
        </w:tc>
        <w:tc>
          <w:tcPr>
            <w:tcW w:w="990" w:type="pct"/>
            <w:shd w:val="clear" w:color="auto" w:fill="auto"/>
            <w:vAlign w:val="center"/>
          </w:tcPr>
          <w:p w14:paraId="016C162F"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0.628</w:t>
            </w:r>
          </w:p>
        </w:tc>
      </w:tr>
      <w:tr w:rsidR="00574F5D" w:rsidRPr="006D74FE" w14:paraId="3BDDDE93" w14:textId="77777777" w:rsidTr="00102B50">
        <w:trPr>
          <w:trHeight w:val="313"/>
          <w:jc w:val="center"/>
        </w:trPr>
        <w:tc>
          <w:tcPr>
            <w:tcW w:w="1040" w:type="pct"/>
            <w:shd w:val="clear" w:color="auto" w:fill="auto"/>
            <w:vAlign w:val="center"/>
          </w:tcPr>
          <w:p w14:paraId="360D02D5"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Southeast</w:t>
            </w:r>
          </w:p>
        </w:tc>
        <w:tc>
          <w:tcPr>
            <w:tcW w:w="990" w:type="pct"/>
            <w:shd w:val="clear" w:color="auto" w:fill="auto"/>
            <w:vAlign w:val="center"/>
          </w:tcPr>
          <w:p w14:paraId="2C327E5C"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0.797</w:t>
            </w:r>
          </w:p>
        </w:tc>
        <w:tc>
          <w:tcPr>
            <w:tcW w:w="990" w:type="pct"/>
            <w:shd w:val="clear" w:color="auto" w:fill="auto"/>
            <w:vAlign w:val="center"/>
          </w:tcPr>
          <w:p w14:paraId="28264A78"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0.691</w:t>
            </w:r>
          </w:p>
        </w:tc>
        <w:tc>
          <w:tcPr>
            <w:tcW w:w="990" w:type="pct"/>
            <w:shd w:val="clear" w:color="auto" w:fill="auto"/>
            <w:vAlign w:val="center"/>
          </w:tcPr>
          <w:p w14:paraId="6003962A"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0.66</w:t>
            </w:r>
          </w:p>
        </w:tc>
        <w:tc>
          <w:tcPr>
            <w:tcW w:w="990" w:type="pct"/>
            <w:shd w:val="clear" w:color="auto" w:fill="auto"/>
            <w:vAlign w:val="center"/>
          </w:tcPr>
          <w:p w14:paraId="04A4A86C"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0.68</w:t>
            </w:r>
          </w:p>
        </w:tc>
      </w:tr>
      <w:tr w:rsidR="00574F5D" w:rsidRPr="006D74FE" w14:paraId="689F3AFF" w14:textId="77777777" w:rsidTr="00102B50">
        <w:trPr>
          <w:trHeight w:val="304"/>
          <w:jc w:val="center"/>
        </w:trPr>
        <w:tc>
          <w:tcPr>
            <w:tcW w:w="1040" w:type="pct"/>
            <w:shd w:val="clear" w:color="auto" w:fill="auto"/>
            <w:vAlign w:val="center"/>
          </w:tcPr>
          <w:p w14:paraId="49B06EBD"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Eastern</w:t>
            </w:r>
          </w:p>
        </w:tc>
        <w:tc>
          <w:tcPr>
            <w:tcW w:w="990" w:type="pct"/>
            <w:shd w:val="clear" w:color="auto" w:fill="auto"/>
            <w:vAlign w:val="center"/>
          </w:tcPr>
          <w:p w14:paraId="1095317D"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0.738</w:t>
            </w:r>
          </w:p>
        </w:tc>
        <w:tc>
          <w:tcPr>
            <w:tcW w:w="990" w:type="pct"/>
            <w:shd w:val="clear" w:color="auto" w:fill="auto"/>
            <w:vAlign w:val="center"/>
          </w:tcPr>
          <w:p w14:paraId="4698404E"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0.717</w:t>
            </w:r>
          </w:p>
        </w:tc>
        <w:tc>
          <w:tcPr>
            <w:tcW w:w="990" w:type="pct"/>
            <w:shd w:val="clear" w:color="auto" w:fill="auto"/>
            <w:vAlign w:val="center"/>
          </w:tcPr>
          <w:p w14:paraId="59E7DD81"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0.779</w:t>
            </w:r>
          </w:p>
        </w:tc>
        <w:tc>
          <w:tcPr>
            <w:tcW w:w="990" w:type="pct"/>
            <w:shd w:val="clear" w:color="auto" w:fill="auto"/>
            <w:vAlign w:val="center"/>
          </w:tcPr>
          <w:p w14:paraId="2F2990A8"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0.68</w:t>
            </w:r>
          </w:p>
        </w:tc>
      </w:tr>
      <w:tr w:rsidR="00574F5D" w:rsidRPr="006D74FE" w14:paraId="55AB7A90" w14:textId="77777777" w:rsidTr="00102B50">
        <w:trPr>
          <w:trHeight w:val="134"/>
          <w:jc w:val="center"/>
        </w:trPr>
        <w:tc>
          <w:tcPr>
            <w:tcW w:w="1040" w:type="pct"/>
            <w:shd w:val="clear" w:color="auto" w:fill="auto"/>
            <w:vAlign w:val="center"/>
          </w:tcPr>
          <w:p w14:paraId="3FA72ACB"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UCB Limited</w:t>
            </w:r>
          </w:p>
        </w:tc>
        <w:tc>
          <w:tcPr>
            <w:tcW w:w="990" w:type="pct"/>
            <w:shd w:val="clear" w:color="auto" w:fill="auto"/>
            <w:vAlign w:val="center"/>
          </w:tcPr>
          <w:p w14:paraId="0B2185A4"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0.613</w:t>
            </w:r>
          </w:p>
        </w:tc>
        <w:tc>
          <w:tcPr>
            <w:tcW w:w="990" w:type="pct"/>
            <w:shd w:val="clear" w:color="auto" w:fill="auto"/>
            <w:vAlign w:val="center"/>
          </w:tcPr>
          <w:p w14:paraId="20109A87"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0.455</w:t>
            </w:r>
          </w:p>
        </w:tc>
        <w:tc>
          <w:tcPr>
            <w:tcW w:w="990" w:type="pct"/>
            <w:shd w:val="clear" w:color="auto" w:fill="auto"/>
            <w:vAlign w:val="center"/>
          </w:tcPr>
          <w:p w14:paraId="3804FE7E"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0.590</w:t>
            </w:r>
          </w:p>
        </w:tc>
        <w:tc>
          <w:tcPr>
            <w:tcW w:w="990" w:type="pct"/>
            <w:shd w:val="clear" w:color="auto" w:fill="auto"/>
            <w:vAlign w:val="center"/>
          </w:tcPr>
          <w:p w14:paraId="32A3EC42"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0.585</w:t>
            </w:r>
          </w:p>
        </w:tc>
      </w:tr>
      <w:tr w:rsidR="00574F5D" w:rsidRPr="006D74FE" w14:paraId="5D7D12FB" w14:textId="77777777" w:rsidTr="00102B50">
        <w:trPr>
          <w:trHeight w:val="268"/>
          <w:jc w:val="center"/>
        </w:trPr>
        <w:tc>
          <w:tcPr>
            <w:tcW w:w="1040" w:type="pct"/>
            <w:shd w:val="clear" w:color="auto" w:fill="auto"/>
            <w:vAlign w:val="center"/>
          </w:tcPr>
          <w:p w14:paraId="2E89D74E"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IFIC</w:t>
            </w:r>
          </w:p>
        </w:tc>
        <w:tc>
          <w:tcPr>
            <w:tcW w:w="990" w:type="pct"/>
            <w:shd w:val="clear" w:color="auto" w:fill="auto"/>
            <w:vAlign w:val="center"/>
          </w:tcPr>
          <w:p w14:paraId="7915A1E0"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0.588</w:t>
            </w:r>
          </w:p>
        </w:tc>
        <w:tc>
          <w:tcPr>
            <w:tcW w:w="990" w:type="pct"/>
            <w:shd w:val="clear" w:color="auto" w:fill="auto"/>
            <w:vAlign w:val="center"/>
          </w:tcPr>
          <w:p w14:paraId="4DF006B6"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0.449</w:t>
            </w:r>
          </w:p>
        </w:tc>
        <w:tc>
          <w:tcPr>
            <w:tcW w:w="990" w:type="pct"/>
            <w:shd w:val="clear" w:color="auto" w:fill="auto"/>
            <w:vAlign w:val="center"/>
          </w:tcPr>
          <w:p w14:paraId="0C3E432C"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0.663</w:t>
            </w:r>
          </w:p>
        </w:tc>
        <w:tc>
          <w:tcPr>
            <w:tcW w:w="990" w:type="pct"/>
            <w:shd w:val="clear" w:color="auto" w:fill="auto"/>
            <w:vAlign w:val="center"/>
          </w:tcPr>
          <w:p w14:paraId="4BA3944C"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0.482</w:t>
            </w:r>
          </w:p>
        </w:tc>
      </w:tr>
      <w:tr w:rsidR="00574F5D" w:rsidRPr="006D74FE" w14:paraId="43EF2091" w14:textId="77777777" w:rsidTr="00102B50">
        <w:trPr>
          <w:trHeight w:val="160"/>
          <w:jc w:val="center"/>
        </w:trPr>
        <w:tc>
          <w:tcPr>
            <w:tcW w:w="1040" w:type="pct"/>
            <w:shd w:val="clear" w:color="auto" w:fill="auto"/>
            <w:vAlign w:val="center"/>
          </w:tcPr>
          <w:p w14:paraId="224E0C30"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IBBL</w:t>
            </w:r>
          </w:p>
        </w:tc>
        <w:tc>
          <w:tcPr>
            <w:tcW w:w="990" w:type="pct"/>
            <w:shd w:val="clear" w:color="auto" w:fill="auto"/>
            <w:vAlign w:val="center"/>
          </w:tcPr>
          <w:p w14:paraId="27366195"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0.726</w:t>
            </w:r>
          </w:p>
        </w:tc>
        <w:tc>
          <w:tcPr>
            <w:tcW w:w="990" w:type="pct"/>
            <w:shd w:val="clear" w:color="auto" w:fill="auto"/>
            <w:vAlign w:val="center"/>
          </w:tcPr>
          <w:p w14:paraId="6C4A6A4B"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0.738</w:t>
            </w:r>
          </w:p>
        </w:tc>
        <w:tc>
          <w:tcPr>
            <w:tcW w:w="990" w:type="pct"/>
            <w:shd w:val="clear" w:color="auto" w:fill="auto"/>
            <w:vAlign w:val="center"/>
          </w:tcPr>
          <w:p w14:paraId="7DDC9EED"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0.824</w:t>
            </w:r>
          </w:p>
        </w:tc>
        <w:tc>
          <w:tcPr>
            <w:tcW w:w="990" w:type="pct"/>
            <w:shd w:val="clear" w:color="auto" w:fill="auto"/>
            <w:vAlign w:val="center"/>
          </w:tcPr>
          <w:p w14:paraId="13C9E8A8"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0.674</w:t>
            </w:r>
          </w:p>
        </w:tc>
      </w:tr>
      <w:tr w:rsidR="00574F5D" w:rsidRPr="006D74FE" w14:paraId="4C0A0C91" w14:textId="77777777" w:rsidTr="00102B50">
        <w:trPr>
          <w:trHeight w:val="259"/>
          <w:jc w:val="center"/>
        </w:trPr>
        <w:tc>
          <w:tcPr>
            <w:tcW w:w="1040" w:type="pct"/>
            <w:shd w:val="clear" w:color="auto" w:fill="auto"/>
            <w:vAlign w:val="center"/>
          </w:tcPr>
          <w:p w14:paraId="47C1229B"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Al-</w:t>
            </w:r>
            <w:proofErr w:type="spellStart"/>
            <w:r w:rsidRPr="006D74FE">
              <w:rPr>
                <w:rFonts w:ascii="Times New Roman" w:hAnsi="Times New Roman"/>
                <w:sz w:val="24"/>
                <w:szCs w:val="24"/>
              </w:rPr>
              <w:t>arafah</w:t>
            </w:r>
            <w:proofErr w:type="spellEnd"/>
          </w:p>
        </w:tc>
        <w:tc>
          <w:tcPr>
            <w:tcW w:w="990" w:type="pct"/>
            <w:shd w:val="clear" w:color="auto" w:fill="auto"/>
            <w:vAlign w:val="center"/>
          </w:tcPr>
          <w:p w14:paraId="57597C88"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0.374</w:t>
            </w:r>
          </w:p>
        </w:tc>
        <w:tc>
          <w:tcPr>
            <w:tcW w:w="990" w:type="pct"/>
            <w:shd w:val="clear" w:color="auto" w:fill="auto"/>
            <w:vAlign w:val="center"/>
          </w:tcPr>
          <w:p w14:paraId="1F0B60A6"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0.608</w:t>
            </w:r>
          </w:p>
        </w:tc>
        <w:tc>
          <w:tcPr>
            <w:tcW w:w="990" w:type="pct"/>
            <w:shd w:val="clear" w:color="auto" w:fill="auto"/>
            <w:vAlign w:val="center"/>
          </w:tcPr>
          <w:p w14:paraId="128781B8"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0.461</w:t>
            </w:r>
          </w:p>
        </w:tc>
        <w:tc>
          <w:tcPr>
            <w:tcW w:w="990" w:type="pct"/>
            <w:shd w:val="clear" w:color="auto" w:fill="auto"/>
            <w:vAlign w:val="center"/>
          </w:tcPr>
          <w:p w14:paraId="73883945"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0.566</w:t>
            </w:r>
          </w:p>
        </w:tc>
      </w:tr>
      <w:tr w:rsidR="00574F5D" w:rsidRPr="006D74FE" w14:paraId="53589CE2" w14:textId="77777777" w:rsidTr="00102B50">
        <w:trPr>
          <w:trHeight w:val="322"/>
          <w:jc w:val="center"/>
        </w:trPr>
        <w:tc>
          <w:tcPr>
            <w:tcW w:w="1040" w:type="pct"/>
            <w:shd w:val="clear" w:color="auto" w:fill="auto"/>
            <w:vAlign w:val="center"/>
          </w:tcPr>
          <w:p w14:paraId="3891044C"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Social</w:t>
            </w:r>
          </w:p>
        </w:tc>
        <w:tc>
          <w:tcPr>
            <w:tcW w:w="990" w:type="pct"/>
            <w:shd w:val="clear" w:color="auto" w:fill="auto"/>
            <w:vAlign w:val="center"/>
          </w:tcPr>
          <w:p w14:paraId="2E5EA77C"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0.823</w:t>
            </w:r>
          </w:p>
        </w:tc>
        <w:tc>
          <w:tcPr>
            <w:tcW w:w="990" w:type="pct"/>
            <w:shd w:val="clear" w:color="auto" w:fill="auto"/>
            <w:vAlign w:val="center"/>
          </w:tcPr>
          <w:p w14:paraId="004C0BA7"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0.486</w:t>
            </w:r>
          </w:p>
        </w:tc>
        <w:tc>
          <w:tcPr>
            <w:tcW w:w="990" w:type="pct"/>
            <w:shd w:val="clear" w:color="auto" w:fill="auto"/>
            <w:vAlign w:val="center"/>
          </w:tcPr>
          <w:p w14:paraId="0067C3B6"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0.88</w:t>
            </w:r>
          </w:p>
        </w:tc>
        <w:tc>
          <w:tcPr>
            <w:tcW w:w="990" w:type="pct"/>
            <w:shd w:val="clear" w:color="auto" w:fill="auto"/>
            <w:vAlign w:val="center"/>
          </w:tcPr>
          <w:p w14:paraId="27CBDFE2"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0.507</w:t>
            </w:r>
          </w:p>
        </w:tc>
      </w:tr>
      <w:tr w:rsidR="00574F5D" w:rsidRPr="006D74FE" w14:paraId="040A846F" w14:textId="77777777" w:rsidTr="00102B50">
        <w:trPr>
          <w:trHeight w:val="214"/>
          <w:jc w:val="center"/>
        </w:trPr>
        <w:tc>
          <w:tcPr>
            <w:tcW w:w="1040" w:type="pct"/>
            <w:shd w:val="clear" w:color="auto" w:fill="auto"/>
            <w:vAlign w:val="center"/>
          </w:tcPr>
          <w:p w14:paraId="09875C57"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Exim</w:t>
            </w:r>
          </w:p>
        </w:tc>
        <w:tc>
          <w:tcPr>
            <w:tcW w:w="990" w:type="pct"/>
            <w:shd w:val="clear" w:color="auto" w:fill="auto"/>
            <w:vAlign w:val="center"/>
          </w:tcPr>
          <w:p w14:paraId="28EE2350"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0.393</w:t>
            </w:r>
          </w:p>
        </w:tc>
        <w:tc>
          <w:tcPr>
            <w:tcW w:w="990" w:type="pct"/>
            <w:shd w:val="clear" w:color="auto" w:fill="auto"/>
            <w:vAlign w:val="center"/>
          </w:tcPr>
          <w:p w14:paraId="52CD8642"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0.428</w:t>
            </w:r>
          </w:p>
        </w:tc>
        <w:tc>
          <w:tcPr>
            <w:tcW w:w="990" w:type="pct"/>
            <w:shd w:val="clear" w:color="auto" w:fill="auto"/>
            <w:vAlign w:val="center"/>
          </w:tcPr>
          <w:p w14:paraId="31A475C8"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0.311</w:t>
            </w:r>
          </w:p>
        </w:tc>
        <w:tc>
          <w:tcPr>
            <w:tcW w:w="990" w:type="pct"/>
            <w:shd w:val="clear" w:color="auto" w:fill="auto"/>
            <w:vAlign w:val="center"/>
          </w:tcPr>
          <w:p w14:paraId="0D475167"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0.567</w:t>
            </w:r>
          </w:p>
        </w:tc>
      </w:tr>
      <w:tr w:rsidR="00574F5D" w:rsidRPr="006D74FE" w14:paraId="54574DFA" w14:textId="77777777" w:rsidTr="00102B50">
        <w:trPr>
          <w:trHeight w:val="214"/>
          <w:jc w:val="center"/>
        </w:trPr>
        <w:tc>
          <w:tcPr>
            <w:tcW w:w="1040" w:type="pct"/>
            <w:shd w:val="clear" w:color="auto" w:fill="auto"/>
            <w:vAlign w:val="center"/>
          </w:tcPr>
          <w:p w14:paraId="228749A7"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Shahjalal</w:t>
            </w:r>
          </w:p>
        </w:tc>
        <w:tc>
          <w:tcPr>
            <w:tcW w:w="990" w:type="pct"/>
            <w:shd w:val="clear" w:color="auto" w:fill="auto"/>
            <w:vAlign w:val="center"/>
          </w:tcPr>
          <w:p w14:paraId="3B214F67"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0.658</w:t>
            </w:r>
          </w:p>
        </w:tc>
        <w:tc>
          <w:tcPr>
            <w:tcW w:w="990" w:type="pct"/>
            <w:shd w:val="clear" w:color="auto" w:fill="auto"/>
            <w:vAlign w:val="center"/>
          </w:tcPr>
          <w:p w14:paraId="07F0040E"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0.426</w:t>
            </w:r>
          </w:p>
        </w:tc>
        <w:tc>
          <w:tcPr>
            <w:tcW w:w="990" w:type="pct"/>
            <w:shd w:val="clear" w:color="auto" w:fill="auto"/>
            <w:vAlign w:val="center"/>
          </w:tcPr>
          <w:p w14:paraId="1DD83433"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0.761</w:t>
            </w:r>
          </w:p>
        </w:tc>
        <w:tc>
          <w:tcPr>
            <w:tcW w:w="990" w:type="pct"/>
            <w:shd w:val="clear" w:color="auto" w:fill="auto"/>
            <w:vAlign w:val="center"/>
          </w:tcPr>
          <w:p w14:paraId="0A575B54"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0.595</w:t>
            </w:r>
          </w:p>
        </w:tc>
      </w:tr>
      <w:tr w:rsidR="00574F5D" w:rsidRPr="006D74FE" w14:paraId="57B4C258" w14:textId="77777777" w:rsidTr="00102B50">
        <w:trPr>
          <w:trHeight w:val="241"/>
          <w:jc w:val="center"/>
        </w:trPr>
        <w:tc>
          <w:tcPr>
            <w:tcW w:w="1040" w:type="pct"/>
            <w:shd w:val="clear" w:color="auto" w:fill="auto"/>
            <w:vAlign w:val="center"/>
          </w:tcPr>
          <w:p w14:paraId="34574CF5"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Mean</w:t>
            </w:r>
          </w:p>
        </w:tc>
        <w:tc>
          <w:tcPr>
            <w:tcW w:w="990" w:type="pct"/>
            <w:shd w:val="clear" w:color="auto" w:fill="auto"/>
            <w:vAlign w:val="center"/>
          </w:tcPr>
          <w:p w14:paraId="14302461"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0.658</w:t>
            </w:r>
          </w:p>
        </w:tc>
        <w:tc>
          <w:tcPr>
            <w:tcW w:w="990" w:type="pct"/>
            <w:shd w:val="clear" w:color="auto" w:fill="auto"/>
            <w:vAlign w:val="center"/>
          </w:tcPr>
          <w:p w14:paraId="15F05AC2"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0.505</w:t>
            </w:r>
          </w:p>
        </w:tc>
        <w:tc>
          <w:tcPr>
            <w:tcW w:w="990" w:type="pct"/>
            <w:shd w:val="clear" w:color="auto" w:fill="auto"/>
            <w:vAlign w:val="center"/>
          </w:tcPr>
          <w:p w14:paraId="40D67CD3"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0.662</w:t>
            </w:r>
          </w:p>
        </w:tc>
        <w:tc>
          <w:tcPr>
            <w:tcW w:w="990" w:type="pct"/>
            <w:shd w:val="clear" w:color="auto" w:fill="auto"/>
            <w:vAlign w:val="center"/>
          </w:tcPr>
          <w:p w14:paraId="7F7F74E7" w14:textId="77777777" w:rsidR="00574F5D" w:rsidRPr="006D74FE" w:rsidRDefault="00574F5D" w:rsidP="00102B50">
            <w:pPr>
              <w:spacing w:after="0" w:line="240" w:lineRule="auto"/>
              <w:jc w:val="center"/>
              <w:rPr>
                <w:rFonts w:ascii="Times New Roman" w:hAnsi="Times New Roman"/>
                <w:sz w:val="24"/>
                <w:szCs w:val="24"/>
              </w:rPr>
            </w:pPr>
            <w:r w:rsidRPr="006D74FE">
              <w:rPr>
                <w:rFonts w:ascii="Times New Roman" w:hAnsi="Times New Roman"/>
                <w:sz w:val="24"/>
                <w:szCs w:val="24"/>
              </w:rPr>
              <w:t>0.539</w:t>
            </w:r>
          </w:p>
        </w:tc>
      </w:tr>
    </w:tbl>
    <w:p w14:paraId="4C9090B2" w14:textId="30932AC0" w:rsidR="00574F5D" w:rsidRDefault="00574F5D" w:rsidP="00A728A2">
      <w:pPr>
        <w:spacing w:after="0" w:line="240" w:lineRule="auto"/>
        <w:jc w:val="both"/>
        <w:rPr>
          <w:rFonts w:ascii="Times New Roman" w:hAnsi="Times New Roman"/>
          <w:sz w:val="24"/>
          <w:szCs w:val="24"/>
        </w:rPr>
      </w:pPr>
    </w:p>
    <w:p w14:paraId="18DBC305" w14:textId="41D5644B" w:rsidR="009305F6" w:rsidRDefault="009305F6" w:rsidP="00A728A2">
      <w:pPr>
        <w:spacing w:after="0" w:line="240" w:lineRule="auto"/>
        <w:jc w:val="both"/>
        <w:rPr>
          <w:rFonts w:ascii="Times New Roman" w:hAnsi="Times New Roman"/>
          <w:sz w:val="24"/>
          <w:szCs w:val="24"/>
        </w:rPr>
      </w:pPr>
    </w:p>
    <w:p w14:paraId="3275640B" w14:textId="77777777" w:rsidR="009305F6" w:rsidRDefault="009305F6" w:rsidP="00A728A2">
      <w:pPr>
        <w:spacing w:after="0" w:line="240" w:lineRule="auto"/>
        <w:jc w:val="both"/>
        <w:rPr>
          <w:rFonts w:ascii="Times New Roman" w:hAnsi="Times New Roman"/>
          <w:sz w:val="24"/>
          <w:szCs w:val="24"/>
        </w:rPr>
      </w:pPr>
    </w:p>
    <w:p w14:paraId="35DA7D51" w14:textId="77777777" w:rsidR="0099288E" w:rsidRDefault="0099288E" w:rsidP="00A728A2">
      <w:pPr>
        <w:jc w:val="both"/>
        <w:rPr>
          <w:rFonts w:ascii="Times New Roman" w:hAnsi="Times New Roman"/>
          <w:b/>
          <w:bCs/>
          <w:sz w:val="24"/>
          <w:szCs w:val="24"/>
        </w:rPr>
      </w:pPr>
      <w:r>
        <w:rPr>
          <w:rFonts w:ascii="Times New Roman" w:hAnsi="Times New Roman"/>
          <w:b/>
          <w:bCs/>
          <w:sz w:val="24"/>
          <w:szCs w:val="24"/>
        </w:rPr>
        <w:br w:type="page"/>
      </w:r>
    </w:p>
    <w:p w14:paraId="5A03D764" w14:textId="3BF4B542" w:rsidR="00AD13BB" w:rsidRPr="006D74FE" w:rsidRDefault="00AD13BB" w:rsidP="00A728A2">
      <w:pPr>
        <w:spacing w:after="0" w:line="240" w:lineRule="auto"/>
        <w:jc w:val="both"/>
        <w:rPr>
          <w:rFonts w:ascii="Times New Roman" w:hAnsi="Times New Roman"/>
          <w:b/>
          <w:bCs/>
          <w:sz w:val="24"/>
          <w:szCs w:val="24"/>
        </w:rPr>
      </w:pPr>
      <w:r w:rsidRPr="006D74FE">
        <w:rPr>
          <w:rFonts w:ascii="Times New Roman" w:hAnsi="Times New Roman"/>
          <w:b/>
          <w:bCs/>
          <w:sz w:val="24"/>
          <w:szCs w:val="24"/>
        </w:rPr>
        <w:lastRenderedPageBreak/>
        <w:t>Fig</w:t>
      </w:r>
      <w:r>
        <w:rPr>
          <w:rFonts w:ascii="Times New Roman" w:hAnsi="Times New Roman"/>
          <w:b/>
          <w:bCs/>
          <w:sz w:val="24"/>
          <w:szCs w:val="24"/>
        </w:rPr>
        <w:t>ure</w:t>
      </w:r>
      <w:r w:rsidRPr="006D74FE">
        <w:rPr>
          <w:rFonts w:ascii="Times New Roman" w:hAnsi="Times New Roman"/>
          <w:b/>
          <w:bCs/>
          <w:sz w:val="24"/>
          <w:szCs w:val="24"/>
        </w:rPr>
        <w:t xml:space="preserve"> 1 </w:t>
      </w:r>
      <w:r w:rsidRPr="00AD13BB">
        <w:rPr>
          <w:rFonts w:ascii="Times New Roman" w:hAnsi="Times New Roman"/>
          <w:sz w:val="24"/>
          <w:szCs w:val="24"/>
        </w:rPr>
        <w:t xml:space="preserve">Year-wise Average Cost and Profit Efficiency Scores of Stochastic Cobb-Douglas and </w:t>
      </w:r>
      <w:proofErr w:type="spellStart"/>
      <w:r w:rsidRPr="00AD13BB">
        <w:rPr>
          <w:rFonts w:ascii="Times New Roman" w:hAnsi="Times New Roman"/>
          <w:sz w:val="24"/>
          <w:szCs w:val="24"/>
        </w:rPr>
        <w:t>Translog</w:t>
      </w:r>
      <w:proofErr w:type="spellEnd"/>
      <w:r w:rsidRPr="00AD13BB">
        <w:rPr>
          <w:rFonts w:ascii="Times New Roman" w:hAnsi="Times New Roman"/>
          <w:sz w:val="24"/>
          <w:szCs w:val="24"/>
        </w:rPr>
        <w:t xml:space="preserve"> Frontier Models</w:t>
      </w:r>
    </w:p>
    <w:p w14:paraId="771E21CE" w14:textId="77777777" w:rsidR="00AD13BB" w:rsidRPr="006D74FE" w:rsidRDefault="00AD13BB" w:rsidP="00A728A2">
      <w:pPr>
        <w:spacing w:after="0" w:line="240" w:lineRule="auto"/>
        <w:jc w:val="both"/>
        <w:rPr>
          <w:rFonts w:ascii="Times New Roman" w:hAnsi="Times New Roman"/>
          <w:sz w:val="24"/>
          <w:szCs w:val="24"/>
        </w:rPr>
      </w:pPr>
    </w:p>
    <w:p w14:paraId="6DD57846" w14:textId="77777777" w:rsidR="00467F97" w:rsidRPr="006D74FE" w:rsidRDefault="00467F97" w:rsidP="00A728A2">
      <w:pPr>
        <w:spacing w:after="0" w:line="240" w:lineRule="auto"/>
        <w:jc w:val="both"/>
        <w:rPr>
          <w:rFonts w:ascii="Times New Roman" w:hAnsi="Times New Roman"/>
          <w:sz w:val="24"/>
          <w:szCs w:val="24"/>
        </w:rPr>
      </w:pPr>
      <w:r w:rsidRPr="006D74FE">
        <w:rPr>
          <w:rFonts w:ascii="Times New Roman" w:hAnsi="Times New Roman"/>
          <w:noProof/>
          <w:sz w:val="24"/>
          <w:szCs w:val="24"/>
        </w:rPr>
        <w:drawing>
          <wp:inline distT="0" distB="0" distL="0" distR="0" wp14:anchorId="4CD0A0A3" wp14:editId="7AAF6314">
            <wp:extent cx="5362575" cy="2914650"/>
            <wp:effectExtent l="0" t="0" r="9525"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A4C47BC" w14:textId="59712F26" w:rsidR="00547427" w:rsidRDefault="00547427" w:rsidP="00A728A2">
      <w:pPr>
        <w:spacing w:after="0" w:line="240" w:lineRule="auto"/>
        <w:jc w:val="both"/>
        <w:rPr>
          <w:rFonts w:ascii="Times New Roman" w:hAnsi="Times New Roman"/>
          <w:sz w:val="24"/>
          <w:szCs w:val="24"/>
        </w:rPr>
      </w:pPr>
    </w:p>
    <w:p w14:paraId="662A9C2B" w14:textId="0BB615E2" w:rsidR="00AD13BB" w:rsidRDefault="00AD13BB" w:rsidP="00A728A2">
      <w:pPr>
        <w:spacing w:after="0" w:line="240" w:lineRule="auto"/>
        <w:jc w:val="both"/>
        <w:rPr>
          <w:rFonts w:ascii="Times New Roman" w:hAnsi="Times New Roman"/>
          <w:sz w:val="24"/>
          <w:szCs w:val="24"/>
        </w:rPr>
      </w:pPr>
    </w:p>
    <w:p w14:paraId="63724708" w14:textId="321BE622" w:rsidR="00AD13BB" w:rsidRDefault="00AD13BB" w:rsidP="00A728A2">
      <w:pPr>
        <w:spacing w:after="0" w:line="240" w:lineRule="auto"/>
        <w:jc w:val="both"/>
        <w:rPr>
          <w:rFonts w:ascii="Times New Roman" w:hAnsi="Times New Roman"/>
          <w:sz w:val="24"/>
          <w:szCs w:val="24"/>
        </w:rPr>
      </w:pPr>
    </w:p>
    <w:p w14:paraId="7358733A" w14:textId="32745AA6" w:rsidR="00AD13BB" w:rsidRPr="00AD13BB" w:rsidRDefault="00AD13BB" w:rsidP="00A728A2">
      <w:pPr>
        <w:spacing w:after="0" w:line="240" w:lineRule="auto"/>
        <w:jc w:val="both"/>
        <w:rPr>
          <w:rFonts w:ascii="Times New Roman" w:hAnsi="Times New Roman"/>
          <w:sz w:val="24"/>
          <w:szCs w:val="24"/>
        </w:rPr>
      </w:pPr>
      <w:r w:rsidRPr="006D74FE">
        <w:rPr>
          <w:rFonts w:ascii="Times New Roman" w:hAnsi="Times New Roman"/>
          <w:b/>
          <w:bCs/>
          <w:sz w:val="24"/>
          <w:szCs w:val="24"/>
        </w:rPr>
        <w:t>Fig</w:t>
      </w:r>
      <w:r>
        <w:rPr>
          <w:rFonts w:ascii="Times New Roman" w:hAnsi="Times New Roman"/>
          <w:b/>
          <w:bCs/>
          <w:sz w:val="24"/>
          <w:szCs w:val="24"/>
        </w:rPr>
        <w:t>ure</w:t>
      </w:r>
      <w:r w:rsidRPr="006D74FE">
        <w:rPr>
          <w:rFonts w:ascii="Times New Roman" w:hAnsi="Times New Roman"/>
          <w:b/>
          <w:bCs/>
          <w:sz w:val="24"/>
          <w:szCs w:val="24"/>
        </w:rPr>
        <w:t xml:space="preserve"> 2 </w:t>
      </w:r>
      <w:r w:rsidRPr="00AD13BB">
        <w:rPr>
          <w:rFonts w:ascii="Times New Roman" w:hAnsi="Times New Roman"/>
          <w:sz w:val="24"/>
          <w:szCs w:val="24"/>
        </w:rPr>
        <w:t xml:space="preserve">Bank-wise Average Cost and Profit Efficiency Scores of Stochastic Cobb-Douglas and </w:t>
      </w:r>
      <w:proofErr w:type="spellStart"/>
      <w:r w:rsidRPr="00AD13BB">
        <w:rPr>
          <w:rFonts w:ascii="Times New Roman" w:hAnsi="Times New Roman"/>
          <w:sz w:val="24"/>
          <w:szCs w:val="24"/>
        </w:rPr>
        <w:t>Translog</w:t>
      </w:r>
      <w:proofErr w:type="spellEnd"/>
      <w:r w:rsidRPr="00AD13BB">
        <w:rPr>
          <w:rFonts w:ascii="Times New Roman" w:hAnsi="Times New Roman"/>
          <w:sz w:val="24"/>
          <w:szCs w:val="24"/>
        </w:rPr>
        <w:t xml:space="preserve"> Frontier Models</w:t>
      </w:r>
    </w:p>
    <w:p w14:paraId="115D8CC2" w14:textId="77777777" w:rsidR="00AD13BB" w:rsidRPr="00AD13BB" w:rsidRDefault="00AD13BB" w:rsidP="00A728A2">
      <w:pPr>
        <w:spacing w:after="0" w:line="240" w:lineRule="auto"/>
        <w:jc w:val="both"/>
        <w:rPr>
          <w:rFonts w:ascii="Times New Roman" w:hAnsi="Times New Roman"/>
          <w:b/>
          <w:bCs/>
          <w:sz w:val="24"/>
          <w:szCs w:val="24"/>
        </w:rPr>
      </w:pPr>
    </w:p>
    <w:p w14:paraId="49DB7A1D" w14:textId="77777777" w:rsidR="00467F97" w:rsidRPr="006D74FE" w:rsidRDefault="00467F97" w:rsidP="00A728A2">
      <w:pPr>
        <w:spacing w:after="0" w:line="240" w:lineRule="auto"/>
        <w:jc w:val="both"/>
        <w:rPr>
          <w:rFonts w:ascii="Times New Roman" w:hAnsi="Times New Roman"/>
          <w:sz w:val="24"/>
          <w:szCs w:val="24"/>
        </w:rPr>
      </w:pPr>
      <w:r w:rsidRPr="006D74FE">
        <w:rPr>
          <w:rFonts w:ascii="Times New Roman" w:hAnsi="Times New Roman"/>
          <w:sz w:val="24"/>
          <w:szCs w:val="24"/>
        </w:rPr>
        <w:t xml:space="preserve">                  </w:t>
      </w:r>
      <w:r w:rsidRPr="006D74FE">
        <w:rPr>
          <w:rFonts w:ascii="Times New Roman" w:hAnsi="Times New Roman"/>
          <w:noProof/>
          <w:sz w:val="24"/>
          <w:szCs w:val="24"/>
        </w:rPr>
        <w:drawing>
          <wp:inline distT="0" distB="0" distL="0" distR="0" wp14:anchorId="09AF8E1D" wp14:editId="2EEB92F4">
            <wp:extent cx="4555524" cy="3163329"/>
            <wp:effectExtent l="0" t="0" r="16510" b="184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6D74FE">
        <w:rPr>
          <w:rFonts w:ascii="Times New Roman" w:hAnsi="Times New Roman"/>
          <w:sz w:val="24"/>
          <w:szCs w:val="24"/>
        </w:rPr>
        <w:tab/>
      </w:r>
    </w:p>
    <w:p w14:paraId="4C71EE9A" w14:textId="3BF741F5" w:rsidR="00467F97" w:rsidRPr="006D74FE" w:rsidRDefault="00467F97" w:rsidP="00A728A2">
      <w:pPr>
        <w:spacing w:after="0" w:line="240" w:lineRule="auto"/>
        <w:jc w:val="both"/>
        <w:rPr>
          <w:rFonts w:ascii="Times New Roman" w:hAnsi="Times New Roman"/>
          <w:sz w:val="24"/>
          <w:szCs w:val="24"/>
        </w:rPr>
      </w:pPr>
    </w:p>
    <w:sectPr w:rsidR="00467F97" w:rsidRPr="006D74FE" w:rsidSect="006A2A7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A667D" w14:textId="77777777" w:rsidR="00916439" w:rsidRDefault="00916439" w:rsidP="006457B2">
      <w:pPr>
        <w:spacing w:after="0" w:line="240" w:lineRule="auto"/>
      </w:pPr>
      <w:r>
        <w:separator/>
      </w:r>
    </w:p>
  </w:endnote>
  <w:endnote w:type="continuationSeparator" w:id="0">
    <w:p w14:paraId="58175746" w14:textId="77777777" w:rsidR="00916439" w:rsidRDefault="00916439" w:rsidP="0064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FD3DA" w14:textId="77777777" w:rsidR="00916439" w:rsidRDefault="00916439" w:rsidP="006457B2">
      <w:pPr>
        <w:spacing w:after="0" w:line="240" w:lineRule="auto"/>
      </w:pPr>
      <w:r>
        <w:separator/>
      </w:r>
    </w:p>
  </w:footnote>
  <w:footnote w:type="continuationSeparator" w:id="0">
    <w:p w14:paraId="25D1A132" w14:textId="77777777" w:rsidR="00916439" w:rsidRDefault="00916439" w:rsidP="00645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2C67"/>
    <w:multiLevelType w:val="multilevel"/>
    <w:tmpl w:val="6C545722"/>
    <w:lvl w:ilvl="0">
      <w:start w:val="1"/>
      <w:numFmt w:val="none"/>
      <w:lvlText w:val="2.6"/>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562422"/>
    <w:multiLevelType w:val="hybridMultilevel"/>
    <w:tmpl w:val="C032BC36"/>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 w15:restartNumberingAfterBreak="0">
    <w:nsid w:val="0A547978"/>
    <w:multiLevelType w:val="multilevel"/>
    <w:tmpl w:val="7EF637CC"/>
    <w:lvl w:ilvl="0">
      <w:start w:val="1"/>
      <w:numFmt w:val="none"/>
      <w:lvlText w:val="3.6"/>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BD46D65"/>
    <w:multiLevelType w:val="hybridMultilevel"/>
    <w:tmpl w:val="F7FAD058"/>
    <w:lvl w:ilvl="0" w:tplc="10120A26">
      <w:start w:val="1"/>
      <w:numFmt w:val="decimal"/>
      <w:lvlText w:val="%1."/>
      <w:lvlJc w:val="left"/>
      <w:pPr>
        <w:ind w:left="144" w:hanging="360"/>
      </w:pPr>
      <w:rPr>
        <w:b w:val="0"/>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0C1B28C5"/>
    <w:multiLevelType w:val="hybridMultilevel"/>
    <w:tmpl w:val="A6801532"/>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0ED40CB2"/>
    <w:multiLevelType w:val="multilevel"/>
    <w:tmpl w:val="338E187E"/>
    <w:lvl w:ilvl="0">
      <w:start w:val="1"/>
      <w:numFmt w:val="none"/>
      <w:lvlText w:val="3.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8C6B57"/>
    <w:multiLevelType w:val="multilevel"/>
    <w:tmpl w:val="39EA1A08"/>
    <w:lvl w:ilvl="0">
      <w:start w:val="1"/>
      <w:numFmt w:val="none"/>
      <w:lvlText w:val="3.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55697C"/>
    <w:multiLevelType w:val="hybridMultilevel"/>
    <w:tmpl w:val="D3C4810A"/>
    <w:lvl w:ilvl="0" w:tplc="0409000B">
      <w:start w:val="1"/>
      <w:numFmt w:val="bullet"/>
      <w:lvlText w:val=""/>
      <w:lvlJc w:val="left"/>
      <w:pPr>
        <w:ind w:left="432" w:hanging="360"/>
      </w:pPr>
      <w:rPr>
        <w:rFonts w:ascii="Wingdings" w:hAnsi="Wingdings"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hint="default"/>
      </w:rPr>
    </w:lvl>
    <w:lvl w:ilvl="3" w:tplc="04090001">
      <w:start w:val="1"/>
      <w:numFmt w:val="bullet"/>
      <w:lvlText w:val=""/>
      <w:lvlJc w:val="left"/>
      <w:pPr>
        <w:ind w:left="2592" w:hanging="360"/>
      </w:pPr>
      <w:rPr>
        <w:rFonts w:ascii="Symbol" w:hAnsi="Symbol" w:hint="default"/>
      </w:rPr>
    </w:lvl>
    <w:lvl w:ilvl="4" w:tplc="04090003">
      <w:start w:val="1"/>
      <w:numFmt w:val="bullet"/>
      <w:lvlText w:val="o"/>
      <w:lvlJc w:val="left"/>
      <w:pPr>
        <w:ind w:left="3312" w:hanging="360"/>
      </w:pPr>
      <w:rPr>
        <w:rFonts w:ascii="Courier New" w:hAnsi="Courier New" w:cs="Courier New" w:hint="default"/>
      </w:rPr>
    </w:lvl>
    <w:lvl w:ilvl="5" w:tplc="04090005">
      <w:start w:val="1"/>
      <w:numFmt w:val="bullet"/>
      <w:lvlText w:val=""/>
      <w:lvlJc w:val="left"/>
      <w:pPr>
        <w:ind w:left="4032" w:hanging="360"/>
      </w:pPr>
      <w:rPr>
        <w:rFonts w:ascii="Wingdings" w:hAnsi="Wingdings" w:hint="default"/>
      </w:rPr>
    </w:lvl>
    <w:lvl w:ilvl="6" w:tplc="04090001">
      <w:start w:val="1"/>
      <w:numFmt w:val="bullet"/>
      <w:lvlText w:val=""/>
      <w:lvlJc w:val="left"/>
      <w:pPr>
        <w:ind w:left="4752" w:hanging="360"/>
      </w:pPr>
      <w:rPr>
        <w:rFonts w:ascii="Symbol" w:hAnsi="Symbol" w:hint="default"/>
      </w:rPr>
    </w:lvl>
    <w:lvl w:ilvl="7" w:tplc="04090003">
      <w:start w:val="1"/>
      <w:numFmt w:val="bullet"/>
      <w:lvlText w:val="o"/>
      <w:lvlJc w:val="left"/>
      <w:pPr>
        <w:ind w:left="5472" w:hanging="360"/>
      </w:pPr>
      <w:rPr>
        <w:rFonts w:ascii="Courier New" w:hAnsi="Courier New" w:cs="Courier New" w:hint="default"/>
      </w:rPr>
    </w:lvl>
    <w:lvl w:ilvl="8" w:tplc="04090005">
      <w:start w:val="1"/>
      <w:numFmt w:val="bullet"/>
      <w:lvlText w:val=""/>
      <w:lvlJc w:val="left"/>
      <w:pPr>
        <w:ind w:left="6192" w:hanging="360"/>
      </w:pPr>
      <w:rPr>
        <w:rFonts w:ascii="Wingdings" w:hAnsi="Wingdings" w:hint="default"/>
      </w:rPr>
    </w:lvl>
  </w:abstractNum>
  <w:abstractNum w:abstractNumId="8" w15:restartNumberingAfterBreak="0">
    <w:nsid w:val="16AA287C"/>
    <w:multiLevelType w:val="multilevel"/>
    <w:tmpl w:val="CFEE5976"/>
    <w:lvl w:ilvl="0">
      <w:start w:val="6"/>
      <w:numFmt w:val="decimal"/>
      <w:lvlText w:val="%1"/>
      <w:lvlJc w:val="left"/>
      <w:pPr>
        <w:ind w:left="360" w:hanging="360"/>
      </w:pPr>
      <w:rPr>
        <w:b/>
      </w:rPr>
    </w:lvl>
    <w:lvl w:ilvl="1">
      <w:start w:val="2"/>
      <w:numFmt w:val="decimal"/>
      <w:lvlText w:val="%1.%2"/>
      <w:lvlJc w:val="left"/>
      <w:pPr>
        <w:ind w:left="312" w:hanging="360"/>
      </w:pPr>
      <w:rPr>
        <w:b/>
      </w:rPr>
    </w:lvl>
    <w:lvl w:ilvl="2">
      <w:start w:val="1"/>
      <w:numFmt w:val="decimal"/>
      <w:lvlText w:val="%1.%2.%3"/>
      <w:lvlJc w:val="left"/>
      <w:pPr>
        <w:ind w:left="624" w:hanging="720"/>
      </w:pPr>
      <w:rPr>
        <w:b/>
      </w:rPr>
    </w:lvl>
    <w:lvl w:ilvl="3">
      <w:start w:val="1"/>
      <w:numFmt w:val="decimal"/>
      <w:lvlText w:val="%1.%2.%3.%4"/>
      <w:lvlJc w:val="left"/>
      <w:pPr>
        <w:ind w:left="576" w:hanging="720"/>
      </w:pPr>
      <w:rPr>
        <w:b/>
      </w:rPr>
    </w:lvl>
    <w:lvl w:ilvl="4">
      <w:start w:val="1"/>
      <w:numFmt w:val="decimal"/>
      <w:lvlText w:val="%1.%2.%3.%4.%5"/>
      <w:lvlJc w:val="left"/>
      <w:pPr>
        <w:ind w:left="888" w:hanging="1080"/>
      </w:pPr>
      <w:rPr>
        <w:b/>
      </w:rPr>
    </w:lvl>
    <w:lvl w:ilvl="5">
      <w:start w:val="1"/>
      <w:numFmt w:val="decimal"/>
      <w:lvlText w:val="%1.%2.%3.%4.%5.%6"/>
      <w:lvlJc w:val="left"/>
      <w:pPr>
        <w:ind w:left="840" w:hanging="1080"/>
      </w:pPr>
      <w:rPr>
        <w:b/>
      </w:rPr>
    </w:lvl>
    <w:lvl w:ilvl="6">
      <w:start w:val="1"/>
      <w:numFmt w:val="decimal"/>
      <w:lvlText w:val="%1.%2.%3.%4.%5.%6.%7"/>
      <w:lvlJc w:val="left"/>
      <w:pPr>
        <w:ind w:left="1152" w:hanging="1440"/>
      </w:pPr>
      <w:rPr>
        <w:b/>
      </w:rPr>
    </w:lvl>
    <w:lvl w:ilvl="7">
      <w:start w:val="1"/>
      <w:numFmt w:val="decimal"/>
      <w:lvlText w:val="%1.%2.%3.%4.%5.%6.%7.%8"/>
      <w:lvlJc w:val="left"/>
      <w:pPr>
        <w:ind w:left="1104" w:hanging="1440"/>
      </w:pPr>
      <w:rPr>
        <w:b/>
      </w:rPr>
    </w:lvl>
    <w:lvl w:ilvl="8">
      <w:start w:val="1"/>
      <w:numFmt w:val="decimal"/>
      <w:lvlText w:val="%1.%2.%3.%4.%5.%6.%7.%8.%9"/>
      <w:lvlJc w:val="left"/>
      <w:pPr>
        <w:ind w:left="1416" w:hanging="1800"/>
      </w:pPr>
      <w:rPr>
        <w:b/>
      </w:rPr>
    </w:lvl>
  </w:abstractNum>
  <w:abstractNum w:abstractNumId="9" w15:restartNumberingAfterBreak="0">
    <w:nsid w:val="1C9B291C"/>
    <w:multiLevelType w:val="hybridMultilevel"/>
    <w:tmpl w:val="15548B86"/>
    <w:lvl w:ilvl="0" w:tplc="E5881CB2">
      <w:start w:val="1"/>
      <w:numFmt w:val="decimal"/>
      <w:lvlText w:val="%1."/>
      <w:lvlJc w:val="left"/>
      <w:pPr>
        <w:ind w:left="720" w:hanging="360"/>
      </w:pPr>
    </w:lvl>
    <w:lvl w:ilvl="1" w:tplc="3948CEA8">
      <w:start w:val="1"/>
      <w:numFmt w:val="lowerLetter"/>
      <w:lvlText w:val="%2."/>
      <w:lvlJc w:val="left"/>
      <w:pPr>
        <w:ind w:left="1440" w:hanging="360"/>
      </w:pPr>
    </w:lvl>
    <w:lvl w:ilvl="2" w:tplc="B99E960E">
      <w:start w:val="1"/>
      <w:numFmt w:val="lowerRoman"/>
      <w:lvlText w:val="%3."/>
      <w:lvlJc w:val="right"/>
      <w:pPr>
        <w:ind w:left="2160" w:hanging="180"/>
      </w:pPr>
    </w:lvl>
    <w:lvl w:ilvl="3" w:tplc="32682EAA">
      <w:start w:val="1"/>
      <w:numFmt w:val="decimal"/>
      <w:lvlText w:val="%4."/>
      <w:lvlJc w:val="left"/>
      <w:pPr>
        <w:ind w:left="2880" w:hanging="360"/>
      </w:pPr>
    </w:lvl>
    <w:lvl w:ilvl="4" w:tplc="7FF43F6C">
      <w:start w:val="1"/>
      <w:numFmt w:val="lowerLetter"/>
      <w:lvlText w:val="%5."/>
      <w:lvlJc w:val="left"/>
      <w:pPr>
        <w:ind w:left="3600" w:hanging="360"/>
      </w:pPr>
    </w:lvl>
    <w:lvl w:ilvl="5" w:tplc="7736D108">
      <w:start w:val="1"/>
      <w:numFmt w:val="lowerRoman"/>
      <w:lvlText w:val="%6."/>
      <w:lvlJc w:val="right"/>
      <w:pPr>
        <w:ind w:left="4320" w:hanging="180"/>
      </w:pPr>
    </w:lvl>
    <w:lvl w:ilvl="6" w:tplc="CA2A4806">
      <w:start w:val="1"/>
      <w:numFmt w:val="decimal"/>
      <w:lvlText w:val="%7."/>
      <w:lvlJc w:val="left"/>
      <w:pPr>
        <w:ind w:left="5040" w:hanging="360"/>
      </w:pPr>
    </w:lvl>
    <w:lvl w:ilvl="7" w:tplc="6AA25920">
      <w:start w:val="1"/>
      <w:numFmt w:val="lowerLetter"/>
      <w:lvlText w:val="%8."/>
      <w:lvlJc w:val="left"/>
      <w:pPr>
        <w:ind w:left="5760" w:hanging="360"/>
      </w:pPr>
    </w:lvl>
    <w:lvl w:ilvl="8" w:tplc="8A6238A2">
      <w:start w:val="1"/>
      <w:numFmt w:val="lowerRoman"/>
      <w:lvlText w:val="%9."/>
      <w:lvlJc w:val="right"/>
      <w:pPr>
        <w:ind w:left="6480" w:hanging="180"/>
      </w:pPr>
    </w:lvl>
  </w:abstractNum>
  <w:abstractNum w:abstractNumId="10" w15:restartNumberingAfterBreak="0">
    <w:nsid w:val="22164EDD"/>
    <w:multiLevelType w:val="hybridMultilevel"/>
    <w:tmpl w:val="55727B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6775F0A"/>
    <w:multiLevelType w:val="hybridMultilevel"/>
    <w:tmpl w:val="B2E6BF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C932BE"/>
    <w:multiLevelType w:val="hybridMultilevel"/>
    <w:tmpl w:val="7DB86432"/>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29607C45"/>
    <w:multiLevelType w:val="multilevel"/>
    <w:tmpl w:val="6C70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3D33D1"/>
    <w:multiLevelType w:val="hybridMultilevel"/>
    <w:tmpl w:val="0AF01D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06127B0"/>
    <w:multiLevelType w:val="hybridMultilevel"/>
    <w:tmpl w:val="A2BEC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23165"/>
    <w:multiLevelType w:val="multilevel"/>
    <w:tmpl w:val="276E2106"/>
    <w:lvl w:ilvl="0">
      <w:start w:val="1"/>
      <w:numFmt w:val="none"/>
      <w:lvlText w:val="2.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D51F5D"/>
    <w:multiLevelType w:val="hybridMultilevel"/>
    <w:tmpl w:val="F4305D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53D1B"/>
    <w:multiLevelType w:val="hybridMultilevel"/>
    <w:tmpl w:val="D4DEE7D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9" w15:restartNumberingAfterBreak="0">
    <w:nsid w:val="43CB7E24"/>
    <w:multiLevelType w:val="hybridMultilevel"/>
    <w:tmpl w:val="09B23E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F30F7"/>
    <w:multiLevelType w:val="hybridMultilevel"/>
    <w:tmpl w:val="1186A9B8"/>
    <w:lvl w:ilvl="0" w:tplc="10120A26">
      <w:start w:val="1"/>
      <w:numFmt w:val="decimal"/>
      <w:lvlText w:val="%1."/>
      <w:lvlJc w:val="left"/>
      <w:pPr>
        <w:ind w:left="432" w:hanging="360"/>
      </w:pPr>
      <w:rPr>
        <w:b w:val="0"/>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1" w15:restartNumberingAfterBreak="0">
    <w:nsid w:val="4DD9329D"/>
    <w:multiLevelType w:val="hybridMultilevel"/>
    <w:tmpl w:val="E8E8D4C8"/>
    <w:lvl w:ilvl="0" w:tplc="AC084C92">
      <w:start w:val="1"/>
      <w:numFmt w:val="bullet"/>
      <w:lvlText w:val=""/>
      <w:lvlJc w:val="left"/>
      <w:pPr>
        <w:ind w:left="1080" w:hanging="360"/>
      </w:pPr>
      <w:rPr>
        <w:rFonts w:ascii="Wingdings" w:hAnsi="Wingdings" w:hint="default"/>
      </w:rPr>
    </w:lvl>
    <w:lvl w:ilvl="1" w:tplc="FBF216CE">
      <w:start w:val="1"/>
      <w:numFmt w:val="bullet"/>
      <w:lvlText w:val="o"/>
      <w:lvlJc w:val="left"/>
      <w:pPr>
        <w:ind w:left="1800" w:hanging="360"/>
      </w:pPr>
      <w:rPr>
        <w:rFonts w:ascii="Courier New" w:hAnsi="Courier New" w:cs="Courier New" w:hint="default"/>
      </w:rPr>
    </w:lvl>
    <w:lvl w:ilvl="2" w:tplc="36D26A98">
      <w:start w:val="1"/>
      <w:numFmt w:val="bullet"/>
      <w:lvlText w:val=""/>
      <w:lvlJc w:val="left"/>
      <w:pPr>
        <w:ind w:left="2520" w:hanging="360"/>
      </w:pPr>
      <w:rPr>
        <w:rFonts w:ascii="Wingdings" w:hAnsi="Wingdings" w:hint="default"/>
      </w:rPr>
    </w:lvl>
    <w:lvl w:ilvl="3" w:tplc="C7301FB8">
      <w:start w:val="1"/>
      <w:numFmt w:val="bullet"/>
      <w:lvlText w:val=""/>
      <w:lvlJc w:val="left"/>
      <w:pPr>
        <w:ind w:left="3240" w:hanging="360"/>
      </w:pPr>
      <w:rPr>
        <w:rFonts w:ascii="Symbol" w:hAnsi="Symbol" w:hint="default"/>
      </w:rPr>
    </w:lvl>
    <w:lvl w:ilvl="4" w:tplc="56CEA120">
      <w:start w:val="1"/>
      <w:numFmt w:val="bullet"/>
      <w:lvlText w:val="o"/>
      <w:lvlJc w:val="left"/>
      <w:pPr>
        <w:ind w:left="3960" w:hanging="360"/>
      </w:pPr>
      <w:rPr>
        <w:rFonts w:ascii="Courier New" w:hAnsi="Courier New" w:cs="Courier New" w:hint="default"/>
      </w:rPr>
    </w:lvl>
    <w:lvl w:ilvl="5" w:tplc="E794A4A2">
      <w:start w:val="1"/>
      <w:numFmt w:val="bullet"/>
      <w:lvlText w:val=""/>
      <w:lvlJc w:val="left"/>
      <w:pPr>
        <w:ind w:left="4680" w:hanging="360"/>
      </w:pPr>
      <w:rPr>
        <w:rFonts w:ascii="Wingdings" w:hAnsi="Wingdings" w:hint="default"/>
      </w:rPr>
    </w:lvl>
    <w:lvl w:ilvl="6" w:tplc="52305B40">
      <w:start w:val="1"/>
      <w:numFmt w:val="bullet"/>
      <w:lvlText w:val=""/>
      <w:lvlJc w:val="left"/>
      <w:pPr>
        <w:ind w:left="5400" w:hanging="360"/>
      </w:pPr>
      <w:rPr>
        <w:rFonts w:ascii="Symbol" w:hAnsi="Symbol" w:hint="default"/>
      </w:rPr>
    </w:lvl>
    <w:lvl w:ilvl="7" w:tplc="31C83388">
      <w:start w:val="1"/>
      <w:numFmt w:val="bullet"/>
      <w:lvlText w:val="o"/>
      <w:lvlJc w:val="left"/>
      <w:pPr>
        <w:ind w:left="6120" w:hanging="360"/>
      </w:pPr>
      <w:rPr>
        <w:rFonts w:ascii="Courier New" w:hAnsi="Courier New" w:cs="Courier New" w:hint="default"/>
      </w:rPr>
    </w:lvl>
    <w:lvl w:ilvl="8" w:tplc="5FAA8A6E">
      <w:start w:val="1"/>
      <w:numFmt w:val="bullet"/>
      <w:lvlText w:val=""/>
      <w:lvlJc w:val="left"/>
      <w:pPr>
        <w:ind w:left="6840" w:hanging="360"/>
      </w:pPr>
      <w:rPr>
        <w:rFonts w:ascii="Wingdings" w:hAnsi="Wingdings" w:hint="default"/>
      </w:rPr>
    </w:lvl>
  </w:abstractNum>
  <w:abstractNum w:abstractNumId="22" w15:restartNumberingAfterBreak="0">
    <w:nsid w:val="4FB932F9"/>
    <w:multiLevelType w:val="hybridMultilevel"/>
    <w:tmpl w:val="AB961A0E"/>
    <w:lvl w:ilvl="0" w:tplc="66902FA8">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3D90206"/>
    <w:multiLevelType w:val="hybridMultilevel"/>
    <w:tmpl w:val="B95A200E"/>
    <w:lvl w:ilvl="0" w:tplc="BF20D77E">
      <w:start w:val="1"/>
      <w:numFmt w:val="decimal"/>
      <w:lvlText w:val="%1"/>
      <w:lvlJc w:val="righ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611CE4"/>
    <w:multiLevelType w:val="multilevel"/>
    <w:tmpl w:val="376EC608"/>
    <w:lvl w:ilvl="0">
      <w:start w:val="1"/>
      <w:numFmt w:val="non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7EC50FE"/>
    <w:multiLevelType w:val="multilevel"/>
    <w:tmpl w:val="B21EBE8C"/>
    <w:lvl w:ilvl="0">
      <w:start w:val="1"/>
      <w:numFmt w:val="none"/>
      <w:lvlText w:val="2.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C4918C4"/>
    <w:multiLevelType w:val="multilevel"/>
    <w:tmpl w:val="02B89B00"/>
    <w:lvl w:ilvl="0">
      <w:start w:val="1"/>
      <w:numFmt w:val="none"/>
      <w:lvlText w:val="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DB64B94"/>
    <w:multiLevelType w:val="multilevel"/>
    <w:tmpl w:val="E3D619B0"/>
    <w:lvl w:ilvl="0">
      <w:start w:val="1"/>
      <w:numFmt w:val="none"/>
      <w:lvlText w:val="3.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E651BC2"/>
    <w:multiLevelType w:val="hybridMultilevel"/>
    <w:tmpl w:val="48E01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ECE5C7A"/>
    <w:multiLevelType w:val="hybridMultilevel"/>
    <w:tmpl w:val="1A3E2FB6"/>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0" w15:restartNumberingAfterBreak="0">
    <w:nsid w:val="6798705D"/>
    <w:multiLevelType w:val="multilevel"/>
    <w:tmpl w:val="20C69F6E"/>
    <w:lvl w:ilvl="0">
      <w:start w:val="1"/>
      <w:numFmt w:val="none"/>
      <w:lvlText w:val="3.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A7B2CC4"/>
    <w:multiLevelType w:val="multilevel"/>
    <w:tmpl w:val="2CB8D472"/>
    <w:lvl w:ilvl="0">
      <w:start w:val="1"/>
      <w:numFmt w:val="none"/>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AF91C8A"/>
    <w:multiLevelType w:val="hybridMultilevel"/>
    <w:tmpl w:val="32D8DB3E"/>
    <w:lvl w:ilvl="0" w:tplc="10120A26">
      <w:start w:val="1"/>
      <w:numFmt w:val="decimal"/>
      <w:lvlText w:val="%1."/>
      <w:lvlJc w:val="left"/>
      <w:pPr>
        <w:ind w:left="144" w:hanging="360"/>
      </w:pPr>
      <w:rPr>
        <w:b w:val="0"/>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3" w15:restartNumberingAfterBreak="0">
    <w:nsid w:val="6CBF3B2F"/>
    <w:multiLevelType w:val="hybridMultilevel"/>
    <w:tmpl w:val="17628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FF84463"/>
    <w:multiLevelType w:val="hybridMultilevel"/>
    <w:tmpl w:val="AEF8F3BE"/>
    <w:lvl w:ilvl="0" w:tplc="0409000B">
      <w:start w:val="1"/>
      <w:numFmt w:val="bullet"/>
      <w:lvlText w:val=""/>
      <w:lvlJc w:val="left"/>
      <w:pPr>
        <w:ind w:left="432" w:hanging="360"/>
      </w:pPr>
      <w:rPr>
        <w:rFonts w:ascii="Wingdings" w:hAnsi="Wingdings"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hint="default"/>
      </w:rPr>
    </w:lvl>
    <w:lvl w:ilvl="3" w:tplc="04090001">
      <w:start w:val="1"/>
      <w:numFmt w:val="bullet"/>
      <w:lvlText w:val=""/>
      <w:lvlJc w:val="left"/>
      <w:pPr>
        <w:ind w:left="2592" w:hanging="360"/>
      </w:pPr>
      <w:rPr>
        <w:rFonts w:ascii="Symbol" w:hAnsi="Symbol" w:hint="default"/>
      </w:rPr>
    </w:lvl>
    <w:lvl w:ilvl="4" w:tplc="04090003">
      <w:start w:val="1"/>
      <w:numFmt w:val="bullet"/>
      <w:lvlText w:val="o"/>
      <w:lvlJc w:val="left"/>
      <w:pPr>
        <w:ind w:left="3312" w:hanging="360"/>
      </w:pPr>
      <w:rPr>
        <w:rFonts w:ascii="Courier New" w:hAnsi="Courier New" w:cs="Courier New" w:hint="default"/>
      </w:rPr>
    </w:lvl>
    <w:lvl w:ilvl="5" w:tplc="04090005">
      <w:start w:val="1"/>
      <w:numFmt w:val="bullet"/>
      <w:lvlText w:val=""/>
      <w:lvlJc w:val="left"/>
      <w:pPr>
        <w:ind w:left="4032" w:hanging="360"/>
      </w:pPr>
      <w:rPr>
        <w:rFonts w:ascii="Wingdings" w:hAnsi="Wingdings" w:hint="default"/>
      </w:rPr>
    </w:lvl>
    <w:lvl w:ilvl="6" w:tplc="04090001">
      <w:start w:val="1"/>
      <w:numFmt w:val="bullet"/>
      <w:lvlText w:val=""/>
      <w:lvlJc w:val="left"/>
      <w:pPr>
        <w:ind w:left="4752" w:hanging="360"/>
      </w:pPr>
      <w:rPr>
        <w:rFonts w:ascii="Symbol" w:hAnsi="Symbol" w:hint="default"/>
      </w:rPr>
    </w:lvl>
    <w:lvl w:ilvl="7" w:tplc="04090003">
      <w:start w:val="1"/>
      <w:numFmt w:val="bullet"/>
      <w:lvlText w:val="o"/>
      <w:lvlJc w:val="left"/>
      <w:pPr>
        <w:ind w:left="5472" w:hanging="360"/>
      </w:pPr>
      <w:rPr>
        <w:rFonts w:ascii="Courier New" w:hAnsi="Courier New" w:cs="Courier New" w:hint="default"/>
      </w:rPr>
    </w:lvl>
    <w:lvl w:ilvl="8" w:tplc="04090005">
      <w:start w:val="1"/>
      <w:numFmt w:val="bullet"/>
      <w:lvlText w:val=""/>
      <w:lvlJc w:val="left"/>
      <w:pPr>
        <w:ind w:left="6192" w:hanging="360"/>
      </w:pPr>
      <w:rPr>
        <w:rFonts w:ascii="Wingdings" w:hAnsi="Wingdings" w:hint="default"/>
      </w:rPr>
    </w:lvl>
  </w:abstractNum>
  <w:abstractNum w:abstractNumId="35" w15:restartNumberingAfterBreak="0">
    <w:nsid w:val="75952F93"/>
    <w:multiLevelType w:val="multilevel"/>
    <w:tmpl w:val="ACCCBD3A"/>
    <w:lvl w:ilvl="0">
      <w:start w:val="6"/>
      <w:numFmt w:val="decimal"/>
      <w:lvlText w:val="%1"/>
      <w:lvlJc w:val="left"/>
      <w:pPr>
        <w:ind w:left="360" w:hanging="360"/>
      </w:pPr>
    </w:lvl>
    <w:lvl w:ilvl="1">
      <w:start w:val="1"/>
      <w:numFmt w:val="decimal"/>
      <w:lvlText w:val="%1.%2"/>
      <w:lvlJc w:val="left"/>
      <w:pPr>
        <w:ind w:left="72" w:hanging="360"/>
      </w:pPr>
    </w:lvl>
    <w:lvl w:ilvl="2">
      <w:start w:val="1"/>
      <w:numFmt w:val="decimal"/>
      <w:lvlText w:val="%1.%2.%3"/>
      <w:lvlJc w:val="left"/>
      <w:pPr>
        <w:ind w:left="144" w:hanging="720"/>
      </w:pPr>
    </w:lvl>
    <w:lvl w:ilvl="3">
      <w:start w:val="1"/>
      <w:numFmt w:val="decimal"/>
      <w:lvlText w:val="%1.%2.%3.%4"/>
      <w:lvlJc w:val="left"/>
      <w:pPr>
        <w:ind w:left="-144" w:hanging="720"/>
      </w:pPr>
    </w:lvl>
    <w:lvl w:ilvl="4">
      <w:start w:val="1"/>
      <w:numFmt w:val="decimal"/>
      <w:lvlText w:val="%1.%2.%3.%4.%5"/>
      <w:lvlJc w:val="left"/>
      <w:pPr>
        <w:ind w:left="-72" w:hanging="1080"/>
      </w:pPr>
    </w:lvl>
    <w:lvl w:ilvl="5">
      <w:start w:val="1"/>
      <w:numFmt w:val="decimal"/>
      <w:lvlText w:val="%1.%2.%3.%4.%5.%6"/>
      <w:lvlJc w:val="left"/>
      <w:pPr>
        <w:ind w:left="-360" w:hanging="1080"/>
      </w:pPr>
    </w:lvl>
    <w:lvl w:ilvl="6">
      <w:start w:val="1"/>
      <w:numFmt w:val="decimal"/>
      <w:lvlText w:val="%1.%2.%3.%4.%5.%6.%7"/>
      <w:lvlJc w:val="left"/>
      <w:pPr>
        <w:ind w:left="-288" w:hanging="1440"/>
      </w:pPr>
    </w:lvl>
    <w:lvl w:ilvl="7">
      <w:start w:val="1"/>
      <w:numFmt w:val="decimal"/>
      <w:lvlText w:val="%1.%2.%3.%4.%5.%6.%7.%8"/>
      <w:lvlJc w:val="left"/>
      <w:pPr>
        <w:ind w:left="-576" w:hanging="1440"/>
      </w:pPr>
    </w:lvl>
    <w:lvl w:ilvl="8">
      <w:start w:val="1"/>
      <w:numFmt w:val="decimal"/>
      <w:lvlText w:val="%1.%2.%3.%4.%5.%6.%7.%8.%9"/>
      <w:lvlJc w:val="left"/>
      <w:pPr>
        <w:ind w:left="-504" w:hanging="1800"/>
      </w:pPr>
    </w:lvl>
  </w:abstractNum>
  <w:abstractNum w:abstractNumId="36" w15:restartNumberingAfterBreak="0">
    <w:nsid w:val="7840722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D7B39AF"/>
    <w:multiLevelType w:val="multilevel"/>
    <w:tmpl w:val="3710C88A"/>
    <w:lvl w:ilvl="0">
      <w:start w:val="1"/>
      <w:numFmt w:val="none"/>
      <w:lvlText w:val="2.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7"/>
  </w:num>
  <w:num w:numId="4">
    <w:abstractNumId w:val="19"/>
  </w:num>
  <w:num w:numId="5">
    <w:abstractNumId w:val="22"/>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28"/>
  </w:num>
  <w:num w:numId="9">
    <w:abstractNumId w:val="13"/>
  </w:num>
  <w:num w:numId="10">
    <w:abstractNumId w:val="33"/>
  </w:num>
  <w:num w:numId="11">
    <w:abstractNumId w:val="33"/>
  </w:num>
  <w:num w:numId="12">
    <w:abstractNumId w:val="3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14"/>
  </w:num>
  <w:num w:numId="17">
    <w:abstractNumId w:val="11"/>
  </w:num>
  <w:num w:numId="18">
    <w:abstractNumId w:val="15"/>
  </w:num>
  <w:num w:numId="19">
    <w:abstractNumId w:val="10"/>
  </w:num>
  <w:num w:numId="20">
    <w:abstractNumId w:val="9"/>
  </w:num>
  <w:num w:numId="21">
    <w:abstractNumId w:val="12"/>
  </w:num>
  <w:num w:numId="22">
    <w:abstractNumId w:val="20"/>
  </w:num>
  <w:num w:numId="23">
    <w:abstractNumId w:val="3"/>
  </w:num>
  <w:num w:numId="24">
    <w:abstractNumId w:val="32"/>
  </w:num>
  <w:num w:numId="25">
    <w:abstractNumId w:val="18"/>
  </w:num>
  <w:num w:numId="26">
    <w:abstractNumId w:val="29"/>
  </w:num>
  <w:num w:numId="27">
    <w:abstractNumId w:val="4"/>
  </w:num>
  <w:num w:numId="28">
    <w:abstractNumId w:val="1"/>
  </w:num>
  <w:num w:numId="29">
    <w:abstractNumId w:val="23"/>
  </w:num>
  <w:num w:numId="30">
    <w:abstractNumId w:val="31"/>
  </w:num>
  <w:num w:numId="31">
    <w:abstractNumId w:val="26"/>
  </w:num>
  <w:num w:numId="32">
    <w:abstractNumId w:val="25"/>
  </w:num>
  <w:num w:numId="33">
    <w:abstractNumId w:val="37"/>
  </w:num>
  <w:num w:numId="34">
    <w:abstractNumId w:val="16"/>
  </w:num>
  <w:num w:numId="35">
    <w:abstractNumId w:val="0"/>
  </w:num>
  <w:num w:numId="36">
    <w:abstractNumId w:val="24"/>
  </w:num>
  <w:num w:numId="37">
    <w:abstractNumId w:val="27"/>
  </w:num>
  <w:num w:numId="38">
    <w:abstractNumId w:val="5"/>
  </w:num>
  <w:num w:numId="39">
    <w:abstractNumId w:val="30"/>
  </w:num>
  <w:num w:numId="40">
    <w:abstractNumId w:val="6"/>
  </w:num>
  <w:num w:numId="41">
    <w:abstractNumId w:val="36"/>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61F"/>
    <w:rsid w:val="00000D5F"/>
    <w:rsid w:val="00014C1F"/>
    <w:rsid w:val="00017972"/>
    <w:rsid w:val="000215C4"/>
    <w:rsid w:val="00025B21"/>
    <w:rsid w:val="00026769"/>
    <w:rsid w:val="00031585"/>
    <w:rsid w:val="000408EE"/>
    <w:rsid w:val="0006125A"/>
    <w:rsid w:val="0006706F"/>
    <w:rsid w:val="0007350A"/>
    <w:rsid w:val="00074A61"/>
    <w:rsid w:val="00082824"/>
    <w:rsid w:val="000A7D42"/>
    <w:rsid w:val="000B1EFE"/>
    <w:rsid w:val="000B65F7"/>
    <w:rsid w:val="000D1BD6"/>
    <w:rsid w:val="000D263B"/>
    <w:rsid w:val="000D265B"/>
    <w:rsid w:val="000D4771"/>
    <w:rsid w:val="000D5E7D"/>
    <w:rsid w:val="000E4D38"/>
    <w:rsid w:val="000F40CE"/>
    <w:rsid w:val="000F666A"/>
    <w:rsid w:val="00102B50"/>
    <w:rsid w:val="00102E36"/>
    <w:rsid w:val="0010493F"/>
    <w:rsid w:val="00104F56"/>
    <w:rsid w:val="0010763D"/>
    <w:rsid w:val="00111D37"/>
    <w:rsid w:val="00112AD4"/>
    <w:rsid w:val="00121F23"/>
    <w:rsid w:val="001304F2"/>
    <w:rsid w:val="00141CB4"/>
    <w:rsid w:val="00142ECA"/>
    <w:rsid w:val="00153B0F"/>
    <w:rsid w:val="00181504"/>
    <w:rsid w:val="001823E6"/>
    <w:rsid w:val="00186BD7"/>
    <w:rsid w:val="00190B15"/>
    <w:rsid w:val="001A35B8"/>
    <w:rsid w:val="001B4928"/>
    <w:rsid w:val="001B6AEE"/>
    <w:rsid w:val="001C7B30"/>
    <w:rsid w:val="001D2C3C"/>
    <w:rsid w:val="001E22AA"/>
    <w:rsid w:val="001F2327"/>
    <w:rsid w:val="001F550B"/>
    <w:rsid w:val="001F687A"/>
    <w:rsid w:val="001F70C3"/>
    <w:rsid w:val="0020051D"/>
    <w:rsid w:val="00215A86"/>
    <w:rsid w:val="00231A0F"/>
    <w:rsid w:val="002335E2"/>
    <w:rsid w:val="00243B03"/>
    <w:rsid w:val="00250965"/>
    <w:rsid w:val="00253FE7"/>
    <w:rsid w:val="00255FF1"/>
    <w:rsid w:val="00257E39"/>
    <w:rsid w:val="00257F74"/>
    <w:rsid w:val="00260B1A"/>
    <w:rsid w:val="00261C04"/>
    <w:rsid w:val="00265E5E"/>
    <w:rsid w:val="00272AD3"/>
    <w:rsid w:val="002734BF"/>
    <w:rsid w:val="00285390"/>
    <w:rsid w:val="00292660"/>
    <w:rsid w:val="002C12B4"/>
    <w:rsid w:val="002C33EE"/>
    <w:rsid w:val="002C5D2C"/>
    <w:rsid w:val="002D1052"/>
    <w:rsid w:val="002D6A08"/>
    <w:rsid w:val="00301B08"/>
    <w:rsid w:val="00302E04"/>
    <w:rsid w:val="00303C5C"/>
    <w:rsid w:val="00311907"/>
    <w:rsid w:val="00323570"/>
    <w:rsid w:val="00332B92"/>
    <w:rsid w:val="0033593C"/>
    <w:rsid w:val="003364FF"/>
    <w:rsid w:val="00337ADB"/>
    <w:rsid w:val="003633DF"/>
    <w:rsid w:val="00371619"/>
    <w:rsid w:val="003849F1"/>
    <w:rsid w:val="003975A6"/>
    <w:rsid w:val="003B2513"/>
    <w:rsid w:val="003C1F60"/>
    <w:rsid w:val="003D48D9"/>
    <w:rsid w:val="003E196E"/>
    <w:rsid w:val="003E578F"/>
    <w:rsid w:val="003F3B68"/>
    <w:rsid w:val="004148F4"/>
    <w:rsid w:val="00416564"/>
    <w:rsid w:val="004208E6"/>
    <w:rsid w:val="00421D85"/>
    <w:rsid w:val="00422A37"/>
    <w:rsid w:val="0043125C"/>
    <w:rsid w:val="0043607B"/>
    <w:rsid w:val="004432EC"/>
    <w:rsid w:val="004460B4"/>
    <w:rsid w:val="00457664"/>
    <w:rsid w:val="00461BF8"/>
    <w:rsid w:val="00463919"/>
    <w:rsid w:val="00467F97"/>
    <w:rsid w:val="004751A5"/>
    <w:rsid w:val="004A00F7"/>
    <w:rsid w:val="004A12E6"/>
    <w:rsid w:val="004B1E6A"/>
    <w:rsid w:val="004B5C0D"/>
    <w:rsid w:val="004B6992"/>
    <w:rsid w:val="004C5F52"/>
    <w:rsid w:val="004C7E97"/>
    <w:rsid w:val="004D3A48"/>
    <w:rsid w:val="004E05C4"/>
    <w:rsid w:val="005027AE"/>
    <w:rsid w:val="00506068"/>
    <w:rsid w:val="005060F0"/>
    <w:rsid w:val="00507C3F"/>
    <w:rsid w:val="00511853"/>
    <w:rsid w:val="00524363"/>
    <w:rsid w:val="00536DE4"/>
    <w:rsid w:val="00540D0F"/>
    <w:rsid w:val="00543BE5"/>
    <w:rsid w:val="00546333"/>
    <w:rsid w:val="00547427"/>
    <w:rsid w:val="005725F8"/>
    <w:rsid w:val="005731FC"/>
    <w:rsid w:val="00574F5D"/>
    <w:rsid w:val="005750AE"/>
    <w:rsid w:val="005751CF"/>
    <w:rsid w:val="00580A73"/>
    <w:rsid w:val="00582DD2"/>
    <w:rsid w:val="0058631A"/>
    <w:rsid w:val="005868A1"/>
    <w:rsid w:val="005A09DB"/>
    <w:rsid w:val="005A5080"/>
    <w:rsid w:val="005B6111"/>
    <w:rsid w:val="005C0864"/>
    <w:rsid w:val="005C565B"/>
    <w:rsid w:val="005D313D"/>
    <w:rsid w:val="005E27F4"/>
    <w:rsid w:val="005E51FC"/>
    <w:rsid w:val="005F22C1"/>
    <w:rsid w:val="005F5084"/>
    <w:rsid w:val="005F6E54"/>
    <w:rsid w:val="00602E84"/>
    <w:rsid w:val="00643D6A"/>
    <w:rsid w:val="0064411B"/>
    <w:rsid w:val="006457B2"/>
    <w:rsid w:val="00656E01"/>
    <w:rsid w:val="006634AE"/>
    <w:rsid w:val="00680817"/>
    <w:rsid w:val="00683426"/>
    <w:rsid w:val="00683CA7"/>
    <w:rsid w:val="006A2A7A"/>
    <w:rsid w:val="006B093F"/>
    <w:rsid w:val="006B0C30"/>
    <w:rsid w:val="006C1774"/>
    <w:rsid w:val="006D0431"/>
    <w:rsid w:val="006D74FE"/>
    <w:rsid w:val="006F2A44"/>
    <w:rsid w:val="006F3E16"/>
    <w:rsid w:val="006F77CF"/>
    <w:rsid w:val="0070130B"/>
    <w:rsid w:val="00704512"/>
    <w:rsid w:val="00714863"/>
    <w:rsid w:val="007152C7"/>
    <w:rsid w:val="00717146"/>
    <w:rsid w:val="007303B6"/>
    <w:rsid w:val="00730C40"/>
    <w:rsid w:val="00733E8D"/>
    <w:rsid w:val="00734329"/>
    <w:rsid w:val="0074043F"/>
    <w:rsid w:val="0074693D"/>
    <w:rsid w:val="00747424"/>
    <w:rsid w:val="00751352"/>
    <w:rsid w:val="00762FCA"/>
    <w:rsid w:val="007641A5"/>
    <w:rsid w:val="007668EA"/>
    <w:rsid w:val="007903E7"/>
    <w:rsid w:val="007A051F"/>
    <w:rsid w:val="007A1227"/>
    <w:rsid w:val="007A597D"/>
    <w:rsid w:val="007A5DC0"/>
    <w:rsid w:val="007B0882"/>
    <w:rsid w:val="007B6C1B"/>
    <w:rsid w:val="007B7FC8"/>
    <w:rsid w:val="007E0F1A"/>
    <w:rsid w:val="007E6DD1"/>
    <w:rsid w:val="0080191C"/>
    <w:rsid w:val="00807B41"/>
    <w:rsid w:val="00822E3D"/>
    <w:rsid w:val="0082768D"/>
    <w:rsid w:val="00832914"/>
    <w:rsid w:val="00836446"/>
    <w:rsid w:val="00845414"/>
    <w:rsid w:val="00850015"/>
    <w:rsid w:val="0085164A"/>
    <w:rsid w:val="00854BE1"/>
    <w:rsid w:val="00862BD1"/>
    <w:rsid w:val="00884061"/>
    <w:rsid w:val="008A1923"/>
    <w:rsid w:val="008B15C9"/>
    <w:rsid w:val="008B4A76"/>
    <w:rsid w:val="008B5208"/>
    <w:rsid w:val="008C1418"/>
    <w:rsid w:val="008C4FBC"/>
    <w:rsid w:val="008C7A20"/>
    <w:rsid w:val="008E7D0E"/>
    <w:rsid w:val="008F1DD9"/>
    <w:rsid w:val="008F68F1"/>
    <w:rsid w:val="009045A0"/>
    <w:rsid w:val="00911F5F"/>
    <w:rsid w:val="00916439"/>
    <w:rsid w:val="00916C84"/>
    <w:rsid w:val="00923157"/>
    <w:rsid w:val="009305F6"/>
    <w:rsid w:val="00930A84"/>
    <w:rsid w:val="00944344"/>
    <w:rsid w:val="009478BC"/>
    <w:rsid w:val="00955144"/>
    <w:rsid w:val="0096149B"/>
    <w:rsid w:val="009812C5"/>
    <w:rsid w:val="00984515"/>
    <w:rsid w:val="00984C4C"/>
    <w:rsid w:val="00987E80"/>
    <w:rsid w:val="0099288E"/>
    <w:rsid w:val="009A02E9"/>
    <w:rsid w:val="009A6948"/>
    <w:rsid w:val="009B01FB"/>
    <w:rsid w:val="009C141B"/>
    <w:rsid w:val="009C3B3B"/>
    <w:rsid w:val="009D5E21"/>
    <w:rsid w:val="009D7608"/>
    <w:rsid w:val="009E1652"/>
    <w:rsid w:val="009E2B60"/>
    <w:rsid w:val="009E5B21"/>
    <w:rsid w:val="009F66CE"/>
    <w:rsid w:val="009F7ECA"/>
    <w:rsid w:val="00A109E8"/>
    <w:rsid w:val="00A20B98"/>
    <w:rsid w:val="00A2732D"/>
    <w:rsid w:val="00A63168"/>
    <w:rsid w:val="00A64B13"/>
    <w:rsid w:val="00A71ADD"/>
    <w:rsid w:val="00A727A2"/>
    <w:rsid w:val="00A728A2"/>
    <w:rsid w:val="00A84AC2"/>
    <w:rsid w:val="00A93CA0"/>
    <w:rsid w:val="00A954FA"/>
    <w:rsid w:val="00A9601C"/>
    <w:rsid w:val="00A97CB5"/>
    <w:rsid w:val="00AA006A"/>
    <w:rsid w:val="00AA10A6"/>
    <w:rsid w:val="00AA2438"/>
    <w:rsid w:val="00AC413F"/>
    <w:rsid w:val="00AC60E8"/>
    <w:rsid w:val="00AD13BB"/>
    <w:rsid w:val="00AD1F97"/>
    <w:rsid w:val="00AD3E12"/>
    <w:rsid w:val="00AD556C"/>
    <w:rsid w:val="00AE42C0"/>
    <w:rsid w:val="00AF12D1"/>
    <w:rsid w:val="00AF363E"/>
    <w:rsid w:val="00B0041D"/>
    <w:rsid w:val="00B15AC9"/>
    <w:rsid w:val="00B201D4"/>
    <w:rsid w:val="00B24DF5"/>
    <w:rsid w:val="00B40C03"/>
    <w:rsid w:val="00B4761F"/>
    <w:rsid w:val="00B52A40"/>
    <w:rsid w:val="00B55E03"/>
    <w:rsid w:val="00B62EE2"/>
    <w:rsid w:val="00B66D7C"/>
    <w:rsid w:val="00B75939"/>
    <w:rsid w:val="00B77167"/>
    <w:rsid w:val="00B80FEE"/>
    <w:rsid w:val="00B8358B"/>
    <w:rsid w:val="00B84966"/>
    <w:rsid w:val="00B91C67"/>
    <w:rsid w:val="00B97B9F"/>
    <w:rsid w:val="00BA09F3"/>
    <w:rsid w:val="00BA55F9"/>
    <w:rsid w:val="00BA744E"/>
    <w:rsid w:val="00BB0C46"/>
    <w:rsid w:val="00BB7689"/>
    <w:rsid w:val="00BC2D30"/>
    <w:rsid w:val="00BC3A22"/>
    <w:rsid w:val="00BD26F4"/>
    <w:rsid w:val="00BD5320"/>
    <w:rsid w:val="00BE07D9"/>
    <w:rsid w:val="00BE54EE"/>
    <w:rsid w:val="00BE7298"/>
    <w:rsid w:val="00BF1D2F"/>
    <w:rsid w:val="00BF5F7A"/>
    <w:rsid w:val="00BF76F9"/>
    <w:rsid w:val="00C025D3"/>
    <w:rsid w:val="00C03AF5"/>
    <w:rsid w:val="00C04FFB"/>
    <w:rsid w:val="00C10554"/>
    <w:rsid w:val="00C12432"/>
    <w:rsid w:val="00C15D7F"/>
    <w:rsid w:val="00C257E0"/>
    <w:rsid w:val="00C269A7"/>
    <w:rsid w:val="00C26E5B"/>
    <w:rsid w:val="00C43644"/>
    <w:rsid w:val="00C44509"/>
    <w:rsid w:val="00C4509A"/>
    <w:rsid w:val="00C53F0C"/>
    <w:rsid w:val="00C6061F"/>
    <w:rsid w:val="00C61377"/>
    <w:rsid w:val="00C70212"/>
    <w:rsid w:val="00C75CC7"/>
    <w:rsid w:val="00C816E9"/>
    <w:rsid w:val="00C81B94"/>
    <w:rsid w:val="00C83E70"/>
    <w:rsid w:val="00C97896"/>
    <w:rsid w:val="00CA38A7"/>
    <w:rsid w:val="00CA45C9"/>
    <w:rsid w:val="00CA5DE5"/>
    <w:rsid w:val="00CA7649"/>
    <w:rsid w:val="00CB3E16"/>
    <w:rsid w:val="00CB41C2"/>
    <w:rsid w:val="00CC5AA7"/>
    <w:rsid w:val="00CD0E15"/>
    <w:rsid w:val="00CE0DBC"/>
    <w:rsid w:val="00CE747B"/>
    <w:rsid w:val="00CE77C6"/>
    <w:rsid w:val="00CF018D"/>
    <w:rsid w:val="00CF322E"/>
    <w:rsid w:val="00D0108B"/>
    <w:rsid w:val="00D1025C"/>
    <w:rsid w:val="00D20B3A"/>
    <w:rsid w:val="00D21D1B"/>
    <w:rsid w:val="00D27A27"/>
    <w:rsid w:val="00D36121"/>
    <w:rsid w:val="00D36EE3"/>
    <w:rsid w:val="00D400D1"/>
    <w:rsid w:val="00D44972"/>
    <w:rsid w:val="00D471D1"/>
    <w:rsid w:val="00D562A8"/>
    <w:rsid w:val="00D97BDB"/>
    <w:rsid w:val="00D97F21"/>
    <w:rsid w:val="00DA4AD6"/>
    <w:rsid w:val="00DA6623"/>
    <w:rsid w:val="00DA7EE7"/>
    <w:rsid w:val="00DB36E7"/>
    <w:rsid w:val="00DB778C"/>
    <w:rsid w:val="00DB7AFC"/>
    <w:rsid w:val="00DC1C9D"/>
    <w:rsid w:val="00DC1E12"/>
    <w:rsid w:val="00DC55C3"/>
    <w:rsid w:val="00DD0E5A"/>
    <w:rsid w:val="00DD7557"/>
    <w:rsid w:val="00DE0CA5"/>
    <w:rsid w:val="00DE0F81"/>
    <w:rsid w:val="00DF6E50"/>
    <w:rsid w:val="00DF770F"/>
    <w:rsid w:val="00E009A5"/>
    <w:rsid w:val="00E05AD7"/>
    <w:rsid w:val="00E22647"/>
    <w:rsid w:val="00E24F17"/>
    <w:rsid w:val="00E43679"/>
    <w:rsid w:val="00E4633A"/>
    <w:rsid w:val="00E65939"/>
    <w:rsid w:val="00E73614"/>
    <w:rsid w:val="00ED52E3"/>
    <w:rsid w:val="00EE4619"/>
    <w:rsid w:val="00EF241A"/>
    <w:rsid w:val="00F1100C"/>
    <w:rsid w:val="00F2479B"/>
    <w:rsid w:val="00F26BEC"/>
    <w:rsid w:val="00F3159B"/>
    <w:rsid w:val="00F331D8"/>
    <w:rsid w:val="00F3695C"/>
    <w:rsid w:val="00F46AEC"/>
    <w:rsid w:val="00F666C0"/>
    <w:rsid w:val="00F66E80"/>
    <w:rsid w:val="00F67442"/>
    <w:rsid w:val="00F70EE6"/>
    <w:rsid w:val="00F779E5"/>
    <w:rsid w:val="00F86148"/>
    <w:rsid w:val="00F86252"/>
    <w:rsid w:val="00F8669E"/>
    <w:rsid w:val="00FA3445"/>
    <w:rsid w:val="00FA3CA0"/>
    <w:rsid w:val="00FA4F9C"/>
    <w:rsid w:val="00FB08C4"/>
    <w:rsid w:val="00FB0994"/>
    <w:rsid w:val="00FC2B57"/>
    <w:rsid w:val="00FC4E09"/>
    <w:rsid w:val="00FC50F0"/>
    <w:rsid w:val="00FD141A"/>
    <w:rsid w:val="00FD2BF0"/>
    <w:rsid w:val="00FE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70810"/>
  <w15:docId w15:val="{3D8B111A-CEFC-433F-9643-74AFA3A1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70F"/>
    <w:rPr>
      <w:rFonts w:ascii="Calibri" w:eastAsia="Calibri" w:hAnsi="Calibri" w:cs="Times New Roman"/>
    </w:rPr>
  </w:style>
  <w:style w:type="paragraph" w:styleId="Heading2">
    <w:name w:val="heading 2"/>
    <w:basedOn w:val="Normal"/>
    <w:next w:val="Normal"/>
    <w:link w:val="Heading2Char"/>
    <w:unhideWhenUsed/>
    <w:qFormat/>
    <w:rsid w:val="00253FE7"/>
    <w:pPr>
      <w:autoSpaceDE w:val="0"/>
      <w:autoSpaceDN w:val="0"/>
      <w:adjustRightInd w:val="0"/>
      <w:spacing w:after="0" w:line="240" w:lineRule="auto"/>
      <w:outlineLvl w:val="1"/>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53FE7"/>
    <w:rPr>
      <w:rFonts w:ascii="Times New Roman" w:eastAsia="Times New Roman" w:hAnsi="Times New Roman" w:cs="Times New Roman"/>
      <w:sz w:val="24"/>
      <w:szCs w:val="24"/>
    </w:rPr>
  </w:style>
  <w:style w:type="paragraph" w:styleId="ListParagraph">
    <w:name w:val="List Paragraph"/>
    <w:basedOn w:val="Normal"/>
    <w:uiPriority w:val="34"/>
    <w:qFormat/>
    <w:rsid w:val="00253FE7"/>
    <w:pPr>
      <w:autoSpaceDE w:val="0"/>
      <w:autoSpaceDN w:val="0"/>
      <w:adjustRightInd w:val="0"/>
      <w:spacing w:after="0" w:line="360" w:lineRule="auto"/>
      <w:ind w:left="720"/>
      <w:contextualSpacing/>
      <w:jc w:val="both"/>
    </w:pPr>
    <w:rPr>
      <w:rFonts w:eastAsia="Times New Roman" w:cs="Calibri"/>
      <w:sz w:val="24"/>
      <w:szCs w:val="24"/>
    </w:rPr>
  </w:style>
  <w:style w:type="character" w:customStyle="1" w:styleId="tooltip">
    <w:name w:val="tooltip"/>
    <w:basedOn w:val="DefaultParagraphFont"/>
    <w:rsid w:val="00253FE7"/>
  </w:style>
  <w:style w:type="character" w:customStyle="1" w:styleId="HeaderChar">
    <w:name w:val="Header Char"/>
    <w:basedOn w:val="DefaultParagraphFont"/>
    <w:link w:val="Header"/>
    <w:uiPriority w:val="99"/>
    <w:rsid w:val="00832914"/>
  </w:style>
  <w:style w:type="paragraph" w:styleId="Header">
    <w:name w:val="header"/>
    <w:basedOn w:val="Normal"/>
    <w:link w:val="HeaderChar"/>
    <w:uiPriority w:val="99"/>
    <w:unhideWhenUsed/>
    <w:rsid w:val="00832914"/>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832914"/>
  </w:style>
  <w:style w:type="paragraph" w:styleId="Footer">
    <w:name w:val="footer"/>
    <w:basedOn w:val="Normal"/>
    <w:link w:val="FooterChar"/>
    <w:uiPriority w:val="99"/>
    <w:unhideWhenUsed/>
    <w:rsid w:val="00832914"/>
    <w:pPr>
      <w:tabs>
        <w:tab w:val="center" w:pos="4680"/>
        <w:tab w:val="right" w:pos="9360"/>
      </w:tabs>
      <w:spacing w:after="0" w:line="240" w:lineRule="auto"/>
    </w:pPr>
    <w:rPr>
      <w:rFonts w:asciiTheme="minorHAnsi" w:eastAsiaTheme="minorHAnsi" w:hAnsiTheme="minorHAnsi" w:cstheme="minorBidi"/>
    </w:rPr>
  </w:style>
  <w:style w:type="character" w:styleId="Hyperlink">
    <w:name w:val="Hyperlink"/>
    <w:basedOn w:val="DefaultParagraphFont"/>
    <w:uiPriority w:val="99"/>
    <w:unhideWhenUsed/>
    <w:rsid w:val="00D400D1"/>
    <w:rPr>
      <w:color w:val="0000FF"/>
      <w:u w:val="single"/>
    </w:rPr>
  </w:style>
  <w:style w:type="paragraph" w:styleId="NormalWeb">
    <w:name w:val="Normal (Web)"/>
    <w:basedOn w:val="Normal"/>
    <w:uiPriority w:val="99"/>
    <w:semiHidden/>
    <w:unhideWhenUsed/>
    <w:rsid w:val="00D400D1"/>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1"/>
    <w:unhideWhenUsed/>
    <w:qFormat/>
    <w:rsid w:val="00D400D1"/>
    <w:pPr>
      <w:widowControl w:val="0"/>
      <w:autoSpaceDE w:val="0"/>
      <w:autoSpaceDN w:val="0"/>
      <w:spacing w:after="0" w:line="240" w:lineRule="auto"/>
    </w:pPr>
    <w:rPr>
      <w:rFonts w:ascii="Times New Roman" w:eastAsia="Times New Roman" w:hAnsi="Times New Roman"/>
      <w:sz w:val="19"/>
      <w:szCs w:val="19"/>
    </w:rPr>
  </w:style>
  <w:style w:type="character" w:customStyle="1" w:styleId="BodyTextChar">
    <w:name w:val="Body Text Char"/>
    <w:basedOn w:val="DefaultParagraphFont"/>
    <w:link w:val="BodyText"/>
    <w:uiPriority w:val="1"/>
    <w:rsid w:val="00D400D1"/>
    <w:rPr>
      <w:rFonts w:ascii="Times New Roman" w:eastAsia="Times New Roman" w:hAnsi="Times New Roman" w:cs="Times New Roman"/>
      <w:sz w:val="19"/>
      <w:szCs w:val="19"/>
    </w:rPr>
  </w:style>
  <w:style w:type="character" w:customStyle="1" w:styleId="BalloonTextChar">
    <w:name w:val="Balloon Text Char"/>
    <w:basedOn w:val="DefaultParagraphFont"/>
    <w:link w:val="BalloonText"/>
    <w:uiPriority w:val="99"/>
    <w:semiHidden/>
    <w:rsid w:val="00D400D1"/>
    <w:rPr>
      <w:rFonts w:ascii="Tahoma" w:eastAsia="Calibri" w:hAnsi="Tahoma" w:cs="Tahoma"/>
      <w:sz w:val="16"/>
      <w:szCs w:val="16"/>
    </w:rPr>
  </w:style>
  <w:style w:type="paragraph" w:styleId="BalloonText">
    <w:name w:val="Balloon Text"/>
    <w:basedOn w:val="Normal"/>
    <w:link w:val="BalloonTextChar"/>
    <w:uiPriority w:val="99"/>
    <w:semiHidden/>
    <w:unhideWhenUsed/>
    <w:rsid w:val="00D400D1"/>
    <w:pPr>
      <w:spacing w:after="0" w:line="240" w:lineRule="auto"/>
    </w:pPr>
    <w:rPr>
      <w:rFonts w:ascii="Tahoma" w:hAnsi="Tahoma" w:cs="Tahoma"/>
      <w:sz w:val="16"/>
      <w:szCs w:val="16"/>
    </w:rPr>
  </w:style>
  <w:style w:type="table" w:styleId="TableGrid">
    <w:name w:val="Table Grid"/>
    <w:basedOn w:val="TableNormal"/>
    <w:uiPriority w:val="59"/>
    <w:rsid w:val="00D40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B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15C9"/>
    <w:rPr>
      <w:rFonts w:ascii="Courier New" w:eastAsia="Times New Roman" w:hAnsi="Courier New" w:cs="Courier New"/>
      <w:sz w:val="20"/>
      <w:szCs w:val="20"/>
    </w:rPr>
  </w:style>
  <w:style w:type="paragraph" w:styleId="NoSpacing">
    <w:name w:val="No Spacing"/>
    <w:uiPriority w:val="1"/>
    <w:qFormat/>
    <w:rsid w:val="008B15C9"/>
    <w:pPr>
      <w:spacing w:after="0" w:line="240" w:lineRule="auto"/>
    </w:pPr>
  </w:style>
  <w:style w:type="paragraph" w:customStyle="1" w:styleId="Default">
    <w:name w:val="Default"/>
    <w:rsid w:val="008B15C9"/>
    <w:pPr>
      <w:autoSpaceDE w:val="0"/>
      <w:autoSpaceDN w:val="0"/>
      <w:adjustRightInd w:val="0"/>
      <w:spacing w:after="0" w:line="240" w:lineRule="auto"/>
    </w:pPr>
    <w:rPr>
      <w:rFonts w:ascii="Constantia" w:hAnsi="Constantia" w:cs="Constantia"/>
      <w:color w:val="000000"/>
      <w:sz w:val="24"/>
      <w:szCs w:val="24"/>
    </w:rPr>
  </w:style>
  <w:style w:type="character" w:customStyle="1" w:styleId="gnkrckgcgsb">
    <w:name w:val="gnkrckgcgsb"/>
    <w:basedOn w:val="DefaultParagraphFont"/>
    <w:rsid w:val="008B15C9"/>
  </w:style>
  <w:style w:type="table" w:styleId="LightShading-Accent3">
    <w:name w:val="Light Shading Accent 3"/>
    <w:basedOn w:val="TableNormal"/>
    <w:uiPriority w:val="60"/>
    <w:rsid w:val="00303C5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z-TopofForm">
    <w:name w:val="HTML Top of Form"/>
    <w:basedOn w:val="Normal"/>
    <w:next w:val="Normal"/>
    <w:link w:val="z-TopofFormChar"/>
    <w:hidden/>
    <w:uiPriority w:val="99"/>
    <w:semiHidden/>
    <w:unhideWhenUsed/>
    <w:rsid w:val="00301B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1B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01B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1B08"/>
    <w:rPr>
      <w:rFonts w:ascii="Arial" w:eastAsia="Times New Roman" w:hAnsi="Arial" w:cs="Arial"/>
      <w:vanish/>
      <w:sz w:val="16"/>
      <w:szCs w:val="16"/>
    </w:rPr>
  </w:style>
  <w:style w:type="paragraph" w:styleId="Caption">
    <w:name w:val="caption"/>
    <w:basedOn w:val="Normal"/>
    <w:next w:val="Normal"/>
    <w:uiPriority w:val="35"/>
    <w:unhideWhenUsed/>
    <w:qFormat/>
    <w:rsid w:val="00574F5D"/>
    <w:pPr>
      <w:spacing w:line="240" w:lineRule="auto"/>
    </w:pPr>
    <w:rPr>
      <w:b/>
      <w:bCs/>
      <w:color w:val="4F81BD"/>
      <w:sz w:val="18"/>
      <w:szCs w:val="18"/>
    </w:rPr>
  </w:style>
  <w:style w:type="character" w:styleId="PlaceholderText">
    <w:name w:val="Placeholder Text"/>
    <w:basedOn w:val="DefaultParagraphFont"/>
    <w:uiPriority w:val="99"/>
    <w:semiHidden/>
    <w:rsid w:val="00536DE4"/>
    <w:rPr>
      <w:color w:val="808080"/>
    </w:rPr>
  </w:style>
  <w:style w:type="table" w:styleId="PlainTable2">
    <w:name w:val="Plain Table 2"/>
    <w:basedOn w:val="TableNormal"/>
    <w:uiPriority w:val="42"/>
    <w:rsid w:val="0099288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461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9683">
      <w:bodyDiv w:val="1"/>
      <w:marLeft w:val="0"/>
      <w:marRight w:val="0"/>
      <w:marTop w:val="0"/>
      <w:marBottom w:val="0"/>
      <w:divBdr>
        <w:top w:val="none" w:sz="0" w:space="0" w:color="auto"/>
        <w:left w:val="none" w:sz="0" w:space="0" w:color="auto"/>
        <w:bottom w:val="none" w:sz="0" w:space="0" w:color="auto"/>
        <w:right w:val="none" w:sz="0" w:space="0" w:color="auto"/>
      </w:divBdr>
    </w:div>
    <w:div w:id="624776497">
      <w:bodyDiv w:val="1"/>
      <w:marLeft w:val="0"/>
      <w:marRight w:val="0"/>
      <w:marTop w:val="0"/>
      <w:marBottom w:val="0"/>
      <w:divBdr>
        <w:top w:val="none" w:sz="0" w:space="0" w:color="auto"/>
        <w:left w:val="none" w:sz="0" w:space="0" w:color="auto"/>
        <w:bottom w:val="none" w:sz="0" w:space="0" w:color="auto"/>
        <w:right w:val="none" w:sz="0" w:space="0" w:color="auto"/>
      </w:divBdr>
    </w:div>
    <w:div w:id="689987243">
      <w:bodyDiv w:val="1"/>
      <w:marLeft w:val="0"/>
      <w:marRight w:val="0"/>
      <w:marTop w:val="0"/>
      <w:marBottom w:val="0"/>
      <w:divBdr>
        <w:top w:val="none" w:sz="0" w:space="0" w:color="auto"/>
        <w:left w:val="none" w:sz="0" w:space="0" w:color="auto"/>
        <w:bottom w:val="none" w:sz="0" w:space="0" w:color="auto"/>
        <w:right w:val="none" w:sz="0" w:space="0" w:color="auto"/>
      </w:divBdr>
    </w:div>
    <w:div w:id="965114693">
      <w:bodyDiv w:val="1"/>
      <w:marLeft w:val="0"/>
      <w:marRight w:val="0"/>
      <w:marTop w:val="0"/>
      <w:marBottom w:val="0"/>
      <w:divBdr>
        <w:top w:val="none" w:sz="0" w:space="0" w:color="auto"/>
        <w:left w:val="none" w:sz="0" w:space="0" w:color="auto"/>
        <w:bottom w:val="none" w:sz="0" w:space="0" w:color="auto"/>
        <w:right w:val="none" w:sz="0" w:space="0" w:color="auto"/>
      </w:divBdr>
    </w:div>
    <w:div w:id="1034623443">
      <w:bodyDiv w:val="1"/>
      <w:marLeft w:val="0"/>
      <w:marRight w:val="0"/>
      <w:marTop w:val="0"/>
      <w:marBottom w:val="0"/>
      <w:divBdr>
        <w:top w:val="none" w:sz="0" w:space="0" w:color="auto"/>
        <w:left w:val="none" w:sz="0" w:space="0" w:color="auto"/>
        <w:bottom w:val="none" w:sz="0" w:space="0" w:color="auto"/>
        <w:right w:val="none" w:sz="0" w:space="0" w:color="auto"/>
      </w:divBdr>
    </w:div>
    <w:div w:id="1059670083">
      <w:bodyDiv w:val="1"/>
      <w:marLeft w:val="0"/>
      <w:marRight w:val="0"/>
      <w:marTop w:val="0"/>
      <w:marBottom w:val="0"/>
      <w:divBdr>
        <w:top w:val="none" w:sz="0" w:space="0" w:color="auto"/>
        <w:left w:val="none" w:sz="0" w:space="0" w:color="auto"/>
        <w:bottom w:val="none" w:sz="0" w:space="0" w:color="auto"/>
        <w:right w:val="none" w:sz="0" w:space="0" w:color="auto"/>
      </w:divBdr>
    </w:div>
    <w:div w:id="1140882509">
      <w:bodyDiv w:val="1"/>
      <w:marLeft w:val="0"/>
      <w:marRight w:val="0"/>
      <w:marTop w:val="0"/>
      <w:marBottom w:val="0"/>
      <w:divBdr>
        <w:top w:val="none" w:sz="0" w:space="0" w:color="auto"/>
        <w:left w:val="none" w:sz="0" w:space="0" w:color="auto"/>
        <w:bottom w:val="none" w:sz="0" w:space="0" w:color="auto"/>
        <w:right w:val="none" w:sz="0" w:space="0" w:color="auto"/>
      </w:divBdr>
    </w:div>
    <w:div w:id="1196767779">
      <w:bodyDiv w:val="1"/>
      <w:marLeft w:val="0"/>
      <w:marRight w:val="0"/>
      <w:marTop w:val="0"/>
      <w:marBottom w:val="0"/>
      <w:divBdr>
        <w:top w:val="none" w:sz="0" w:space="0" w:color="auto"/>
        <w:left w:val="none" w:sz="0" w:space="0" w:color="auto"/>
        <w:bottom w:val="none" w:sz="0" w:space="0" w:color="auto"/>
        <w:right w:val="none" w:sz="0" w:space="0" w:color="auto"/>
      </w:divBdr>
    </w:div>
    <w:div w:id="1230920332">
      <w:bodyDiv w:val="1"/>
      <w:marLeft w:val="0"/>
      <w:marRight w:val="0"/>
      <w:marTop w:val="0"/>
      <w:marBottom w:val="0"/>
      <w:divBdr>
        <w:top w:val="none" w:sz="0" w:space="0" w:color="auto"/>
        <w:left w:val="none" w:sz="0" w:space="0" w:color="auto"/>
        <w:bottom w:val="none" w:sz="0" w:space="0" w:color="auto"/>
        <w:right w:val="none" w:sz="0" w:space="0" w:color="auto"/>
      </w:divBdr>
    </w:div>
    <w:div w:id="1371370553">
      <w:bodyDiv w:val="1"/>
      <w:marLeft w:val="0"/>
      <w:marRight w:val="0"/>
      <w:marTop w:val="0"/>
      <w:marBottom w:val="0"/>
      <w:divBdr>
        <w:top w:val="none" w:sz="0" w:space="0" w:color="auto"/>
        <w:left w:val="none" w:sz="0" w:space="0" w:color="auto"/>
        <w:bottom w:val="none" w:sz="0" w:space="0" w:color="auto"/>
        <w:right w:val="none" w:sz="0" w:space="0" w:color="auto"/>
      </w:divBdr>
    </w:div>
    <w:div w:id="1437480086">
      <w:bodyDiv w:val="1"/>
      <w:marLeft w:val="0"/>
      <w:marRight w:val="0"/>
      <w:marTop w:val="0"/>
      <w:marBottom w:val="0"/>
      <w:divBdr>
        <w:top w:val="none" w:sz="0" w:space="0" w:color="auto"/>
        <w:left w:val="none" w:sz="0" w:space="0" w:color="auto"/>
        <w:bottom w:val="none" w:sz="0" w:space="0" w:color="auto"/>
        <w:right w:val="none" w:sz="0" w:space="0" w:color="auto"/>
      </w:divBdr>
    </w:div>
    <w:div w:id="1503357138">
      <w:bodyDiv w:val="1"/>
      <w:marLeft w:val="0"/>
      <w:marRight w:val="0"/>
      <w:marTop w:val="0"/>
      <w:marBottom w:val="0"/>
      <w:divBdr>
        <w:top w:val="none" w:sz="0" w:space="0" w:color="auto"/>
        <w:left w:val="none" w:sz="0" w:space="0" w:color="auto"/>
        <w:bottom w:val="none" w:sz="0" w:space="0" w:color="auto"/>
        <w:right w:val="none" w:sz="0" w:space="0" w:color="auto"/>
      </w:divBdr>
    </w:div>
    <w:div w:id="1611627345">
      <w:bodyDiv w:val="1"/>
      <w:marLeft w:val="0"/>
      <w:marRight w:val="0"/>
      <w:marTop w:val="0"/>
      <w:marBottom w:val="0"/>
      <w:divBdr>
        <w:top w:val="none" w:sz="0" w:space="0" w:color="auto"/>
        <w:left w:val="none" w:sz="0" w:space="0" w:color="auto"/>
        <w:bottom w:val="none" w:sz="0" w:space="0" w:color="auto"/>
        <w:right w:val="none" w:sz="0" w:space="0" w:color="auto"/>
      </w:divBdr>
    </w:div>
    <w:div w:id="1686863032">
      <w:bodyDiv w:val="1"/>
      <w:marLeft w:val="0"/>
      <w:marRight w:val="0"/>
      <w:marTop w:val="0"/>
      <w:marBottom w:val="0"/>
      <w:divBdr>
        <w:top w:val="none" w:sz="0" w:space="0" w:color="auto"/>
        <w:left w:val="none" w:sz="0" w:space="0" w:color="auto"/>
        <w:bottom w:val="none" w:sz="0" w:space="0" w:color="auto"/>
        <w:right w:val="none" w:sz="0" w:space="0" w:color="auto"/>
      </w:divBdr>
    </w:div>
    <w:div w:id="1755513841">
      <w:bodyDiv w:val="1"/>
      <w:marLeft w:val="0"/>
      <w:marRight w:val="0"/>
      <w:marTop w:val="0"/>
      <w:marBottom w:val="0"/>
      <w:divBdr>
        <w:top w:val="none" w:sz="0" w:space="0" w:color="auto"/>
        <w:left w:val="none" w:sz="0" w:space="0" w:color="auto"/>
        <w:bottom w:val="none" w:sz="0" w:space="0" w:color="auto"/>
        <w:right w:val="none" w:sz="0" w:space="0" w:color="auto"/>
      </w:divBdr>
    </w:div>
    <w:div w:id="1811098302">
      <w:bodyDiv w:val="1"/>
      <w:marLeft w:val="0"/>
      <w:marRight w:val="0"/>
      <w:marTop w:val="0"/>
      <w:marBottom w:val="0"/>
      <w:divBdr>
        <w:top w:val="none" w:sz="0" w:space="0" w:color="auto"/>
        <w:left w:val="none" w:sz="0" w:space="0" w:color="auto"/>
        <w:bottom w:val="none" w:sz="0" w:space="0" w:color="auto"/>
        <w:right w:val="none" w:sz="0" w:space="0" w:color="auto"/>
      </w:divBdr>
    </w:div>
    <w:div w:id="19554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chart" Target="charts/chart1.xml"/><Relationship Id="rId10" Type="http://schemas.openxmlformats.org/officeDocument/2006/relationships/image" Target="media/image2.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oleObject" Target="embeddings/oleObject10.bin"/></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9237914400082117E-2"/>
          <c:y val="0.23440721870550496"/>
          <c:w val="0.74129592593110583"/>
          <c:h val="0.59977390081141813"/>
        </c:manualLayout>
      </c:layout>
      <c:lineChart>
        <c:grouping val="standard"/>
        <c:varyColors val="0"/>
        <c:ser>
          <c:idx val="2"/>
          <c:order val="2"/>
          <c:tx>
            <c:v>Translog Cost Efficiency</c:v>
          </c:tx>
          <c:cat>
            <c:numRef>
              <c:f>Sheet1!$A$2:$A$11</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Sheet1!$D$2:$D$11</c:f>
              <c:numCache>
                <c:formatCode>General</c:formatCode>
                <c:ptCount val="10"/>
                <c:pt idx="0">
                  <c:v>0.51800000000000002</c:v>
                </c:pt>
                <c:pt idx="1">
                  <c:v>0.55900000000000005</c:v>
                </c:pt>
                <c:pt idx="2">
                  <c:v>0.64300000000000002</c:v>
                </c:pt>
                <c:pt idx="3">
                  <c:v>0.67600000000000005</c:v>
                </c:pt>
                <c:pt idx="4">
                  <c:v>0.69399999999999995</c:v>
                </c:pt>
                <c:pt idx="5">
                  <c:v>0.72099999999999997</c:v>
                </c:pt>
                <c:pt idx="6">
                  <c:v>0.71199999999999997</c:v>
                </c:pt>
                <c:pt idx="7">
                  <c:v>0.70099999999999996</c:v>
                </c:pt>
                <c:pt idx="8">
                  <c:v>0.70399999999999996</c:v>
                </c:pt>
                <c:pt idx="9">
                  <c:v>0.69799999999999995</c:v>
                </c:pt>
              </c:numCache>
            </c:numRef>
          </c:val>
          <c:smooth val="0"/>
          <c:extLst>
            <c:ext xmlns:c16="http://schemas.microsoft.com/office/drawing/2014/chart" uri="{C3380CC4-5D6E-409C-BE32-E72D297353CC}">
              <c16:uniqueId val="{00000000-B9F6-4F02-940C-62E1A776C581}"/>
            </c:ext>
          </c:extLst>
        </c:ser>
        <c:ser>
          <c:idx val="3"/>
          <c:order val="3"/>
          <c:tx>
            <c:v>Translog Profit Efficiency</c:v>
          </c:tx>
          <c:cat>
            <c:numRef>
              <c:f>Sheet1!$A$2:$A$11</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Sheet1!$E$2:$E$11</c:f>
              <c:numCache>
                <c:formatCode>General</c:formatCode>
                <c:ptCount val="10"/>
                <c:pt idx="0">
                  <c:v>0.503</c:v>
                </c:pt>
                <c:pt idx="1">
                  <c:v>0.32800000000000001</c:v>
                </c:pt>
                <c:pt idx="2">
                  <c:v>0.54500000000000004</c:v>
                </c:pt>
                <c:pt idx="3">
                  <c:v>0.51200000000000001</c:v>
                </c:pt>
                <c:pt idx="4">
                  <c:v>0.51</c:v>
                </c:pt>
                <c:pt idx="5">
                  <c:v>0.47299999999999998</c:v>
                </c:pt>
                <c:pt idx="6">
                  <c:v>0.6</c:v>
                </c:pt>
                <c:pt idx="7">
                  <c:v>0.62</c:v>
                </c:pt>
                <c:pt idx="8">
                  <c:v>0.63100000000000001</c:v>
                </c:pt>
                <c:pt idx="9">
                  <c:v>0.66400000000000003</c:v>
                </c:pt>
              </c:numCache>
            </c:numRef>
          </c:val>
          <c:smooth val="0"/>
          <c:extLst>
            <c:ext xmlns:c16="http://schemas.microsoft.com/office/drawing/2014/chart" uri="{C3380CC4-5D6E-409C-BE32-E72D297353CC}">
              <c16:uniqueId val="{00000001-B9F6-4F02-940C-62E1A776C581}"/>
            </c:ext>
          </c:extLst>
        </c:ser>
        <c:dLbls>
          <c:showLegendKey val="0"/>
          <c:showVal val="0"/>
          <c:showCatName val="0"/>
          <c:showSerName val="0"/>
          <c:showPercent val="0"/>
          <c:showBubbleSize val="0"/>
        </c:dLbls>
        <c:marker val="1"/>
        <c:smooth val="0"/>
        <c:axId val="314182656"/>
        <c:axId val="314205312"/>
      </c:lineChart>
      <c:lineChart>
        <c:grouping val="standard"/>
        <c:varyColors val="0"/>
        <c:ser>
          <c:idx val="0"/>
          <c:order val="0"/>
          <c:tx>
            <c:v>Cobb-Douglas cost Efficiency</c:v>
          </c:tx>
          <c:val>
            <c:numRef>
              <c:f>Sheet1!$B$2:$B$11</c:f>
              <c:numCache>
                <c:formatCode>General</c:formatCode>
                <c:ptCount val="10"/>
                <c:pt idx="0">
                  <c:v>0.499</c:v>
                </c:pt>
                <c:pt idx="1">
                  <c:v>0.53</c:v>
                </c:pt>
                <c:pt idx="2">
                  <c:v>0.56699999999999995</c:v>
                </c:pt>
                <c:pt idx="3">
                  <c:v>0.64300000000000002</c:v>
                </c:pt>
                <c:pt idx="4">
                  <c:v>0.69</c:v>
                </c:pt>
                <c:pt idx="5">
                  <c:v>0.748</c:v>
                </c:pt>
                <c:pt idx="6">
                  <c:v>0.74399999999999999</c:v>
                </c:pt>
                <c:pt idx="7">
                  <c:v>0.71499999999999997</c:v>
                </c:pt>
                <c:pt idx="8">
                  <c:v>0.71499999999999997</c:v>
                </c:pt>
                <c:pt idx="9">
                  <c:v>0.73099999999999998</c:v>
                </c:pt>
              </c:numCache>
            </c:numRef>
          </c:val>
          <c:smooth val="0"/>
          <c:extLst>
            <c:ext xmlns:c16="http://schemas.microsoft.com/office/drawing/2014/chart" uri="{C3380CC4-5D6E-409C-BE32-E72D297353CC}">
              <c16:uniqueId val="{00000002-B9F6-4F02-940C-62E1A776C581}"/>
            </c:ext>
          </c:extLst>
        </c:ser>
        <c:ser>
          <c:idx val="1"/>
          <c:order val="1"/>
          <c:tx>
            <c:v>Cobb-Douglas Profit Efficiency</c:v>
          </c:tx>
          <c:val>
            <c:numRef>
              <c:f>Sheet1!$C$2:$C$11</c:f>
              <c:numCache>
                <c:formatCode>General</c:formatCode>
                <c:ptCount val="10"/>
                <c:pt idx="0">
                  <c:v>0.45400000000000001</c:v>
                </c:pt>
                <c:pt idx="1">
                  <c:v>0.31900000000000001</c:v>
                </c:pt>
                <c:pt idx="2">
                  <c:v>0.47</c:v>
                </c:pt>
                <c:pt idx="3">
                  <c:v>0.47099999999999997</c:v>
                </c:pt>
                <c:pt idx="4">
                  <c:v>0.46800000000000003</c:v>
                </c:pt>
                <c:pt idx="5">
                  <c:v>0.44400000000000001</c:v>
                </c:pt>
                <c:pt idx="6">
                  <c:v>0.56599999999999995</c:v>
                </c:pt>
                <c:pt idx="7">
                  <c:v>0.57799999999999996</c:v>
                </c:pt>
                <c:pt idx="8">
                  <c:v>0.61499999999999999</c:v>
                </c:pt>
                <c:pt idx="9">
                  <c:v>0.66700000000000004</c:v>
                </c:pt>
              </c:numCache>
            </c:numRef>
          </c:val>
          <c:smooth val="0"/>
          <c:extLst>
            <c:ext xmlns:c16="http://schemas.microsoft.com/office/drawing/2014/chart" uri="{C3380CC4-5D6E-409C-BE32-E72D297353CC}">
              <c16:uniqueId val="{00000003-B9F6-4F02-940C-62E1A776C581}"/>
            </c:ext>
          </c:extLst>
        </c:ser>
        <c:dLbls>
          <c:showLegendKey val="0"/>
          <c:showVal val="0"/>
          <c:showCatName val="0"/>
          <c:showSerName val="0"/>
          <c:showPercent val="0"/>
          <c:showBubbleSize val="0"/>
        </c:dLbls>
        <c:marker val="1"/>
        <c:smooth val="0"/>
        <c:axId val="314233984"/>
        <c:axId val="314207232"/>
      </c:lineChart>
      <c:catAx>
        <c:axId val="314182656"/>
        <c:scaling>
          <c:orientation val="minMax"/>
        </c:scaling>
        <c:delete val="0"/>
        <c:axPos val="b"/>
        <c:title>
          <c:tx>
            <c:rich>
              <a:bodyPr/>
              <a:lstStyle/>
              <a:p>
                <a:pPr>
                  <a:defRPr/>
                </a:pPr>
                <a:r>
                  <a:rPr lang="en-US"/>
                  <a:t>Year</a:t>
                </a:r>
              </a:p>
            </c:rich>
          </c:tx>
          <c:layout>
            <c:manualLayout>
              <c:xMode val="edge"/>
              <c:yMode val="edge"/>
              <c:x val="0.47635785546152093"/>
              <c:y val="0.91315904139433546"/>
            </c:manualLayout>
          </c:layout>
          <c:overlay val="0"/>
        </c:title>
        <c:numFmt formatCode="General" sourceLinked="1"/>
        <c:majorTickMark val="out"/>
        <c:minorTickMark val="none"/>
        <c:tickLblPos val="nextTo"/>
        <c:crossAx val="314205312"/>
        <c:crosses val="autoZero"/>
        <c:auto val="1"/>
        <c:lblAlgn val="ctr"/>
        <c:lblOffset val="100"/>
        <c:noMultiLvlLbl val="0"/>
      </c:catAx>
      <c:valAx>
        <c:axId val="314205312"/>
        <c:scaling>
          <c:orientation val="minMax"/>
        </c:scaling>
        <c:delete val="0"/>
        <c:axPos val="l"/>
        <c:majorGridlines>
          <c:spPr>
            <a:ln>
              <a:gradFill>
                <a:gsLst>
                  <a:gs pos="0">
                    <a:srgbClr val="CCCCFF"/>
                  </a:gs>
                  <a:gs pos="17999">
                    <a:srgbClr val="99CCFF"/>
                  </a:gs>
                  <a:gs pos="36000">
                    <a:srgbClr val="9966FF"/>
                  </a:gs>
                  <a:gs pos="61000">
                    <a:srgbClr val="CC99FF"/>
                  </a:gs>
                  <a:gs pos="82001">
                    <a:srgbClr val="99CCFF"/>
                  </a:gs>
                  <a:gs pos="100000">
                    <a:srgbClr val="CCCCFF"/>
                  </a:gs>
                </a:gsLst>
                <a:lin ang="5400000" scaled="0"/>
              </a:gradFill>
            </a:ln>
          </c:spPr>
        </c:majorGridlines>
        <c:title>
          <c:tx>
            <c:rich>
              <a:bodyPr rot="-5400000" vert="horz"/>
              <a:lstStyle/>
              <a:p>
                <a:pPr>
                  <a:defRPr/>
                </a:pPr>
                <a:r>
                  <a:rPr lang="en-US"/>
                  <a:t>Cost</a:t>
                </a:r>
                <a:r>
                  <a:rPr lang="en-US" baseline="0"/>
                  <a:t> Efficiency</a:t>
                </a:r>
                <a:endParaRPr lang="en-US"/>
              </a:p>
            </c:rich>
          </c:tx>
          <c:overlay val="0"/>
        </c:title>
        <c:numFmt formatCode="General" sourceLinked="1"/>
        <c:majorTickMark val="out"/>
        <c:minorTickMark val="none"/>
        <c:tickLblPos val="nextTo"/>
        <c:crossAx val="314182656"/>
        <c:crosses val="autoZero"/>
        <c:crossBetween val="between"/>
      </c:valAx>
      <c:valAx>
        <c:axId val="314207232"/>
        <c:scaling>
          <c:orientation val="minMax"/>
        </c:scaling>
        <c:delete val="0"/>
        <c:axPos val="r"/>
        <c:title>
          <c:tx>
            <c:rich>
              <a:bodyPr rot="-5400000" vert="horz"/>
              <a:lstStyle/>
              <a:p>
                <a:pPr>
                  <a:defRPr/>
                </a:pPr>
                <a:r>
                  <a:rPr lang="en-US"/>
                  <a:t>Profit</a:t>
                </a:r>
                <a:r>
                  <a:rPr lang="en-US" baseline="0"/>
                  <a:t> Efficiency</a:t>
                </a:r>
                <a:endParaRPr lang="en-US"/>
              </a:p>
            </c:rich>
          </c:tx>
          <c:overlay val="0"/>
        </c:title>
        <c:numFmt formatCode="General" sourceLinked="1"/>
        <c:majorTickMark val="out"/>
        <c:minorTickMark val="none"/>
        <c:tickLblPos val="nextTo"/>
        <c:crossAx val="314233984"/>
        <c:crosses val="max"/>
        <c:crossBetween val="between"/>
      </c:valAx>
      <c:catAx>
        <c:axId val="314233984"/>
        <c:scaling>
          <c:orientation val="minMax"/>
        </c:scaling>
        <c:delete val="1"/>
        <c:axPos val="b"/>
        <c:majorTickMark val="out"/>
        <c:minorTickMark val="none"/>
        <c:tickLblPos val="nextTo"/>
        <c:crossAx val="314207232"/>
        <c:crosses val="autoZero"/>
        <c:auto val="1"/>
        <c:lblAlgn val="ctr"/>
        <c:lblOffset val="100"/>
        <c:noMultiLvlLbl val="0"/>
      </c:catAx>
    </c:plotArea>
    <c:legend>
      <c:legendPos val="t"/>
      <c:overlay val="0"/>
    </c:legend>
    <c:plotVisOnly val="1"/>
    <c:dispBlanksAs val="gap"/>
    <c:showDLblsOverMax val="0"/>
  </c:chart>
  <c:spPr>
    <a:pattFill prst="pct5">
      <a:fgClr>
        <a:schemeClr val="accent4">
          <a:lumMod val="20000"/>
          <a:lumOff val="80000"/>
        </a:schemeClr>
      </a:fgClr>
      <a:bgClr>
        <a:schemeClr val="bg1"/>
      </a:bgClr>
    </a:patt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041310725176731"/>
          <c:y val="0.17984094330551023"/>
          <c:w val="0.61877383113561879"/>
          <c:h val="0.53750115779926777"/>
        </c:manualLayout>
      </c:layout>
      <c:lineChart>
        <c:grouping val="standard"/>
        <c:varyColors val="0"/>
        <c:ser>
          <c:idx val="0"/>
          <c:order val="0"/>
          <c:tx>
            <c:v>Cobb-Douglas Cost Efficiency</c:v>
          </c:tx>
          <c:cat>
            <c:strRef>
              <c:f>Sheet1!$A$26:$A$42</c:f>
              <c:strCache>
                <c:ptCount val="17"/>
                <c:pt idx="0">
                  <c:v>DBBL</c:v>
                </c:pt>
                <c:pt idx="1">
                  <c:v>Brac</c:v>
                </c:pt>
                <c:pt idx="2">
                  <c:v>City</c:v>
                </c:pt>
                <c:pt idx="3">
                  <c:v>Mercantile</c:v>
                </c:pt>
                <c:pt idx="4">
                  <c:v>Mutual</c:v>
                </c:pt>
                <c:pt idx="5">
                  <c:v>One</c:v>
                </c:pt>
                <c:pt idx="6">
                  <c:v>Premium</c:v>
                </c:pt>
                <c:pt idx="7">
                  <c:v>Primier</c:v>
                </c:pt>
                <c:pt idx="8">
                  <c:v>Southeast</c:v>
                </c:pt>
                <c:pt idx="9">
                  <c:v>Eastern</c:v>
                </c:pt>
                <c:pt idx="10">
                  <c:v>UCB Limited</c:v>
                </c:pt>
                <c:pt idx="11">
                  <c:v>IFIC</c:v>
                </c:pt>
                <c:pt idx="12">
                  <c:v>IBBL</c:v>
                </c:pt>
                <c:pt idx="13">
                  <c:v>Al-arafah</c:v>
                </c:pt>
                <c:pt idx="14">
                  <c:v>Social</c:v>
                </c:pt>
                <c:pt idx="15">
                  <c:v>Exim</c:v>
                </c:pt>
                <c:pt idx="16">
                  <c:v>Shahjalal</c:v>
                </c:pt>
              </c:strCache>
            </c:strRef>
          </c:cat>
          <c:val>
            <c:numRef>
              <c:f>Sheet1!$B$26:$B$42</c:f>
              <c:numCache>
                <c:formatCode>General</c:formatCode>
                <c:ptCount val="17"/>
                <c:pt idx="0">
                  <c:v>0.61799999999999999</c:v>
                </c:pt>
                <c:pt idx="1">
                  <c:v>0.89300000000000002</c:v>
                </c:pt>
                <c:pt idx="2">
                  <c:v>0.66800000000000004</c:v>
                </c:pt>
                <c:pt idx="3">
                  <c:v>0.71199999999999997</c:v>
                </c:pt>
                <c:pt idx="4">
                  <c:v>0.47299999999999998</c:v>
                </c:pt>
                <c:pt idx="5">
                  <c:v>0.746</c:v>
                </c:pt>
                <c:pt idx="6">
                  <c:v>0.67800000000000005</c:v>
                </c:pt>
                <c:pt idx="7">
                  <c:v>0.69399999999999995</c:v>
                </c:pt>
                <c:pt idx="8">
                  <c:v>0.79700000000000004</c:v>
                </c:pt>
                <c:pt idx="9">
                  <c:v>0.73799999999999999</c:v>
                </c:pt>
                <c:pt idx="10">
                  <c:v>0.61299999999999999</c:v>
                </c:pt>
                <c:pt idx="11">
                  <c:v>0.58799999999999997</c:v>
                </c:pt>
                <c:pt idx="12">
                  <c:v>0.72599999999999998</c:v>
                </c:pt>
                <c:pt idx="13">
                  <c:v>0.374</c:v>
                </c:pt>
                <c:pt idx="14">
                  <c:v>0.82299999999999995</c:v>
                </c:pt>
                <c:pt idx="15">
                  <c:v>0.39300000000000002</c:v>
                </c:pt>
                <c:pt idx="16">
                  <c:v>0.65800000000000003</c:v>
                </c:pt>
              </c:numCache>
            </c:numRef>
          </c:val>
          <c:smooth val="0"/>
          <c:extLst>
            <c:ext xmlns:c16="http://schemas.microsoft.com/office/drawing/2014/chart" uri="{C3380CC4-5D6E-409C-BE32-E72D297353CC}">
              <c16:uniqueId val="{00000000-BF3E-4DD9-B451-93C00530DD98}"/>
            </c:ext>
          </c:extLst>
        </c:ser>
        <c:ser>
          <c:idx val="2"/>
          <c:order val="2"/>
          <c:tx>
            <c:v>Translog Cost Efficiency</c:v>
          </c:tx>
          <c:cat>
            <c:strRef>
              <c:f>Sheet1!$A$26:$A$42</c:f>
              <c:strCache>
                <c:ptCount val="17"/>
                <c:pt idx="0">
                  <c:v>DBBL</c:v>
                </c:pt>
                <c:pt idx="1">
                  <c:v>Brac</c:v>
                </c:pt>
                <c:pt idx="2">
                  <c:v>City</c:v>
                </c:pt>
                <c:pt idx="3">
                  <c:v>Mercantile</c:v>
                </c:pt>
                <c:pt idx="4">
                  <c:v>Mutual</c:v>
                </c:pt>
                <c:pt idx="5">
                  <c:v>One</c:v>
                </c:pt>
                <c:pt idx="6">
                  <c:v>Premium</c:v>
                </c:pt>
                <c:pt idx="7">
                  <c:v>Primier</c:v>
                </c:pt>
                <c:pt idx="8">
                  <c:v>Southeast</c:v>
                </c:pt>
                <c:pt idx="9">
                  <c:v>Eastern</c:v>
                </c:pt>
                <c:pt idx="10">
                  <c:v>UCB Limited</c:v>
                </c:pt>
                <c:pt idx="11">
                  <c:v>IFIC</c:v>
                </c:pt>
                <c:pt idx="12">
                  <c:v>IBBL</c:v>
                </c:pt>
                <c:pt idx="13">
                  <c:v>Al-arafah</c:v>
                </c:pt>
                <c:pt idx="14">
                  <c:v>Social</c:v>
                </c:pt>
                <c:pt idx="15">
                  <c:v>Exim</c:v>
                </c:pt>
                <c:pt idx="16">
                  <c:v>Shahjalal</c:v>
                </c:pt>
              </c:strCache>
            </c:strRef>
          </c:cat>
          <c:val>
            <c:numRef>
              <c:f>Sheet1!$D$26:$D$42</c:f>
              <c:numCache>
                <c:formatCode>General</c:formatCode>
                <c:ptCount val="17"/>
                <c:pt idx="0">
                  <c:v>0.55200000000000005</c:v>
                </c:pt>
                <c:pt idx="1">
                  <c:v>0.71199999999999997</c:v>
                </c:pt>
                <c:pt idx="2">
                  <c:v>0.67500000000000004</c:v>
                </c:pt>
                <c:pt idx="3">
                  <c:v>0.72699999999999998</c:v>
                </c:pt>
                <c:pt idx="4">
                  <c:v>0.52700000000000002</c:v>
                </c:pt>
                <c:pt idx="5">
                  <c:v>0.71399999999999997</c:v>
                </c:pt>
                <c:pt idx="6">
                  <c:v>0.70299999999999996</c:v>
                </c:pt>
                <c:pt idx="7">
                  <c:v>0.72099999999999997</c:v>
                </c:pt>
                <c:pt idx="8">
                  <c:v>0.66</c:v>
                </c:pt>
                <c:pt idx="9">
                  <c:v>0.77900000000000003</c:v>
                </c:pt>
                <c:pt idx="10">
                  <c:v>0.59</c:v>
                </c:pt>
                <c:pt idx="11">
                  <c:v>0.66300000000000003</c:v>
                </c:pt>
                <c:pt idx="12">
                  <c:v>0.82399999999999995</c:v>
                </c:pt>
                <c:pt idx="13">
                  <c:v>0.46100000000000002</c:v>
                </c:pt>
                <c:pt idx="14">
                  <c:v>0.88</c:v>
                </c:pt>
                <c:pt idx="15">
                  <c:v>0.311</c:v>
                </c:pt>
                <c:pt idx="16">
                  <c:v>0.76100000000000001</c:v>
                </c:pt>
              </c:numCache>
            </c:numRef>
          </c:val>
          <c:smooth val="0"/>
          <c:extLst>
            <c:ext xmlns:c16="http://schemas.microsoft.com/office/drawing/2014/chart" uri="{C3380CC4-5D6E-409C-BE32-E72D297353CC}">
              <c16:uniqueId val="{00000001-BF3E-4DD9-B451-93C00530DD98}"/>
            </c:ext>
          </c:extLst>
        </c:ser>
        <c:dLbls>
          <c:showLegendKey val="0"/>
          <c:showVal val="0"/>
          <c:showCatName val="0"/>
          <c:showSerName val="0"/>
          <c:showPercent val="0"/>
          <c:showBubbleSize val="0"/>
        </c:dLbls>
        <c:marker val="1"/>
        <c:smooth val="0"/>
        <c:axId val="314320768"/>
        <c:axId val="314359808"/>
      </c:lineChart>
      <c:lineChart>
        <c:grouping val="standard"/>
        <c:varyColors val="0"/>
        <c:ser>
          <c:idx val="1"/>
          <c:order val="1"/>
          <c:tx>
            <c:v>Cobb-Duglas Profit Efficiency</c:v>
          </c:tx>
          <c:cat>
            <c:strRef>
              <c:f>Sheet1!$A$26:$A$42</c:f>
              <c:strCache>
                <c:ptCount val="17"/>
                <c:pt idx="0">
                  <c:v>DBBL</c:v>
                </c:pt>
                <c:pt idx="1">
                  <c:v>Brac</c:v>
                </c:pt>
                <c:pt idx="2">
                  <c:v>City</c:v>
                </c:pt>
                <c:pt idx="3">
                  <c:v>Mercantile</c:v>
                </c:pt>
                <c:pt idx="4">
                  <c:v>Mutual</c:v>
                </c:pt>
                <c:pt idx="5">
                  <c:v>One</c:v>
                </c:pt>
                <c:pt idx="6">
                  <c:v>Premium</c:v>
                </c:pt>
                <c:pt idx="7">
                  <c:v>Primier</c:v>
                </c:pt>
                <c:pt idx="8">
                  <c:v>Southeast</c:v>
                </c:pt>
                <c:pt idx="9">
                  <c:v>Eastern</c:v>
                </c:pt>
                <c:pt idx="10">
                  <c:v>UCB Limited</c:v>
                </c:pt>
                <c:pt idx="11">
                  <c:v>IFIC</c:v>
                </c:pt>
                <c:pt idx="12">
                  <c:v>IBBL</c:v>
                </c:pt>
                <c:pt idx="13">
                  <c:v>Al-arafah</c:v>
                </c:pt>
                <c:pt idx="14">
                  <c:v>Social</c:v>
                </c:pt>
                <c:pt idx="15">
                  <c:v>Exim</c:v>
                </c:pt>
                <c:pt idx="16">
                  <c:v>Shahjalal</c:v>
                </c:pt>
              </c:strCache>
            </c:strRef>
          </c:cat>
          <c:val>
            <c:numRef>
              <c:f>Sheet1!$C$26:$C$42</c:f>
              <c:numCache>
                <c:formatCode>General</c:formatCode>
                <c:ptCount val="17"/>
                <c:pt idx="0">
                  <c:v>0.34100000000000003</c:v>
                </c:pt>
                <c:pt idx="1">
                  <c:v>0.54900000000000004</c:v>
                </c:pt>
                <c:pt idx="2">
                  <c:v>0.48899999999999999</c:v>
                </c:pt>
                <c:pt idx="3">
                  <c:v>0.33600000000000002</c:v>
                </c:pt>
                <c:pt idx="4">
                  <c:v>0.39800000000000002</c:v>
                </c:pt>
                <c:pt idx="5">
                  <c:v>0.42499999999999999</c:v>
                </c:pt>
                <c:pt idx="6">
                  <c:v>0.46300000000000002</c:v>
                </c:pt>
                <c:pt idx="7">
                  <c:v>0.59099999999999997</c:v>
                </c:pt>
                <c:pt idx="8">
                  <c:v>0.69099999999999995</c:v>
                </c:pt>
                <c:pt idx="9">
                  <c:v>0.71699999999999997</c:v>
                </c:pt>
                <c:pt idx="10">
                  <c:v>0.45500000000000002</c:v>
                </c:pt>
                <c:pt idx="11">
                  <c:v>0.44900000000000001</c:v>
                </c:pt>
                <c:pt idx="12">
                  <c:v>0.73799999999999999</c:v>
                </c:pt>
                <c:pt idx="13">
                  <c:v>0.60799999999999998</c:v>
                </c:pt>
                <c:pt idx="14">
                  <c:v>0.48599999999999999</c:v>
                </c:pt>
                <c:pt idx="15">
                  <c:v>0.42799999999999999</c:v>
                </c:pt>
                <c:pt idx="16">
                  <c:v>0.42599999999999999</c:v>
                </c:pt>
              </c:numCache>
            </c:numRef>
          </c:val>
          <c:smooth val="0"/>
          <c:extLst>
            <c:ext xmlns:c16="http://schemas.microsoft.com/office/drawing/2014/chart" uri="{C3380CC4-5D6E-409C-BE32-E72D297353CC}">
              <c16:uniqueId val="{00000002-BF3E-4DD9-B451-93C00530DD98}"/>
            </c:ext>
          </c:extLst>
        </c:ser>
        <c:ser>
          <c:idx val="3"/>
          <c:order val="3"/>
          <c:tx>
            <c:v>Translog Profit Efficiency</c:v>
          </c:tx>
          <c:cat>
            <c:strRef>
              <c:f>Sheet1!$A$26:$A$42</c:f>
              <c:strCache>
                <c:ptCount val="17"/>
                <c:pt idx="0">
                  <c:v>DBBL</c:v>
                </c:pt>
                <c:pt idx="1">
                  <c:v>Brac</c:v>
                </c:pt>
                <c:pt idx="2">
                  <c:v>City</c:v>
                </c:pt>
                <c:pt idx="3">
                  <c:v>Mercantile</c:v>
                </c:pt>
                <c:pt idx="4">
                  <c:v>Mutual</c:v>
                </c:pt>
                <c:pt idx="5">
                  <c:v>One</c:v>
                </c:pt>
                <c:pt idx="6">
                  <c:v>Premium</c:v>
                </c:pt>
                <c:pt idx="7">
                  <c:v>Primier</c:v>
                </c:pt>
                <c:pt idx="8">
                  <c:v>Southeast</c:v>
                </c:pt>
                <c:pt idx="9">
                  <c:v>Eastern</c:v>
                </c:pt>
                <c:pt idx="10">
                  <c:v>UCB Limited</c:v>
                </c:pt>
                <c:pt idx="11">
                  <c:v>IFIC</c:v>
                </c:pt>
                <c:pt idx="12">
                  <c:v>IBBL</c:v>
                </c:pt>
                <c:pt idx="13">
                  <c:v>Al-arafah</c:v>
                </c:pt>
                <c:pt idx="14">
                  <c:v>Social</c:v>
                </c:pt>
                <c:pt idx="15">
                  <c:v>Exim</c:v>
                </c:pt>
                <c:pt idx="16">
                  <c:v>Shahjalal</c:v>
                </c:pt>
              </c:strCache>
            </c:strRef>
          </c:cat>
          <c:val>
            <c:numRef>
              <c:f>Sheet1!$E$26:$E$42</c:f>
              <c:numCache>
                <c:formatCode>General</c:formatCode>
                <c:ptCount val="17"/>
                <c:pt idx="0">
                  <c:v>0.38900000000000001</c:v>
                </c:pt>
                <c:pt idx="1">
                  <c:v>0.67800000000000005</c:v>
                </c:pt>
                <c:pt idx="2">
                  <c:v>0.51400000000000001</c:v>
                </c:pt>
                <c:pt idx="3">
                  <c:v>0.33300000000000002</c:v>
                </c:pt>
                <c:pt idx="4">
                  <c:v>0.39700000000000002</c:v>
                </c:pt>
                <c:pt idx="5">
                  <c:v>0.47699999999999998</c:v>
                </c:pt>
                <c:pt idx="6">
                  <c:v>0.40600000000000003</c:v>
                </c:pt>
                <c:pt idx="7">
                  <c:v>0.628</c:v>
                </c:pt>
                <c:pt idx="8">
                  <c:v>0.68</c:v>
                </c:pt>
                <c:pt idx="9">
                  <c:v>0.68</c:v>
                </c:pt>
                <c:pt idx="10">
                  <c:v>0.58499999999999996</c:v>
                </c:pt>
                <c:pt idx="11">
                  <c:v>0.48199999999999998</c:v>
                </c:pt>
                <c:pt idx="12">
                  <c:v>0.67400000000000004</c:v>
                </c:pt>
                <c:pt idx="13">
                  <c:v>0.56599999999999995</c:v>
                </c:pt>
                <c:pt idx="14">
                  <c:v>0.50700000000000001</c:v>
                </c:pt>
                <c:pt idx="15">
                  <c:v>0.56699999999999995</c:v>
                </c:pt>
                <c:pt idx="16">
                  <c:v>0.59499999999999997</c:v>
                </c:pt>
              </c:numCache>
            </c:numRef>
          </c:val>
          <c:smooth val="0"/>
          <c:extLst>
            <c:ext xmlns:c16="http://schemas.microsoft.com/office/drawing/2014/chart" uri="{C3380CC4-5D6E-409C-BE32-E72D297353CC}">
              <c16:uniqueId val="{00000003-BF3E-4DD9-B451-93C00530DD98}"/>
            </c:ext>
          </c:extLst>
        </c:ser>
        <c:dLbls>
          <c:showLegendKey val="0"/>
          <c:showVal val="0"/>
          <c:showCatName val="0"/>
          <c:showSerName val="0"/>
          <c:showPercent val="0"/>
          <c:showBubbleSize val="0"/>
        </c:dLbls>
        <c:marker val="1"/>
        <c:smooth val="0"/>
        <c:axId val="315514880"/>
        <c:axId val="314361728"/>
      </c:lineChart>
      <c:catAx>
        <c:axId val="314320768"/>
        <c:scaling>
          <c:orientation val="minMax"/>
        </c:scaling>
        <c:delete val="0"/>
        <c:axPos val="b"/>
        <c:title>
          <c:tx>
            <c:rich>
              <a:bodyPr/>
              <a:lstStyle/>
              <a:p>
                <a:pPr>
                  <a:defRPr/>
                </a:pPr>
                <a:r>
                  <a:rPr lang="en-US"/>
                  <a:t>Bank's</a:t>
                </a:r>
                <a:r>
                  <a:rPr lang="en-US" baseline="0"/>
                  <a:t> Name</a:t>
                </a:r>
                <a:endParaRPr lang="en-US"/>
              </a:p>
            </c:rich>
          </c:tx>
          <c:layout>
            <c:manualLayout>
              <c:xMode val="edge"/>
              <c:yMode val="edge"/>
              <c:x val="0.39061741305720266"/>
              <c:y val="0.92300379236373808"/>
            </c:manualLayout>
          </c:layout>
          <c:overlay val="0"/>
        </c:title>
        <c:numFmt formatCode="General" sourceLinked="0"/>
        <c:majorTickMark val="out"/>
        <c:minorTickMark val="none"/>
        <c:tickLblPos val="nextTo"/>
        <c:crossAx val="314359808"/>
        <c:crosses val="autoZero"/>
        <c:auto val="1"/>
        <c:lblAlgn val="ctr"/>
        <c:lblOffset val="100"/>
        <c:noMultiLvlLbl val="0"/>
      </c:catAx>
      <c:valAx>
        <c:axId val="314359808"/>
        <c:scaling>
          <c:orientation val="minMax"/>
        </c:scaling>
        <c:delete val="0"/>
        <c:axPos val="l"/>
        <c:majorGridlines/>
        <c:title>
          <c:tx>
            <c:rich>
              <a:bodyPr rot="-5400000" vert="horz"/>
              <a:lstStyle/>
              <a:p>
                <a:pPr>
                  <a:defRPr/>
                </a:pPr>
                <a:r>
                  <a:rPr lang="en-US"/>
                  <a:t>Cost</a:t>
                </a:r>
                <a:r>
                  <a:rPr lang="en-US" baseline="0"/>
                  <a:t> Efficiency</a:t>
                </a:r>
                <a:endParaRPr lang="en-US"/>
              </a:p>
            </c:rich>
          </c:tx>
          <c:layout>
            <c:manualLayout>
              <c:xMode val="edge"/>
              <c:yMode val="edge"/>
              <c:x val="1.0223324160604492E-2"/>
              <c:y val="0.34776806328976284"/>
            </c:manualLayout>
          </c:layout>
          <c:overlay val="0"/>
        </c:title>
        <c:numFmt formatCode="General" sourceLinked="1"/>
        <c:majorTickMark val="out"/>
        <c:minorTickMark val="none"/>
        <c:tickLblPos val="nextTo"/>
        <c:crossAx val="314320768"/>
        <c:crosses val="autoZero"/>
        <c:crossBetween val="midCat"/>
      </c:valAx>
      <c:valAx>
        <c:axId val="314361728"/>
        <c:scaling>
          <c:orientation val="minMax"/>
        </c:scaling>
        <c:delete val="0"/>
        <c:axPos val="r"/>
        <c:title>
          <c:tx>
            <c:rich>
              <a:bodyPr rot="-5400000" vert="horz"/>
              <a:lstStyle/>
              <a:p>
                <a:pPr>
                  <a:defRPr/>
                </a:pPr>
                <a:r>
                  <a:rPr lang="en-US"/>
                  <a:t>Profit</a:t>
                </a:r>
                <a:r>
                  <a:rPr lang="en-US" baseline="0"/>
                  <a:t> Efficiency</a:t>
                </a:r>
                <a:endParaRPr lang="en-US"/>
              </a:p>
            </c:rich>
          </c:tx>
          <c:layout>
            <c:manualLayout>
              <c:xMode val="edge"/>
              <c:yMode val="edge"/>
              <c:x val="0.85346442262829547"/>
              <c:y val="0.3382257302157648"/>
            </c:manualLayout>
          </c:layout>
          <c:overlay val="0"/>
        </c:title>
        <c:numFmt formatCode="General" sourceLinked="1"/>
        <c:majorTickMark val="out"/>
        <c:minorTickMark val="none"/>
        <c:tickLblPos val="nextTo"/>
        <c:crossAx val="315514880"/>
        <c:crosses val="max"/>
        <c:crossBetween val="between"/>
      </c:valAx>
      <c:catAx>
        <c:axId val="315514880"/>
        <c:scaling>
          <c:orientation val="minMax"/>
        </c:scaling>
        <c:delete val="1"/>
        <c:axPos val="b"/>
        <c:numFmt formatCode="General" sourceLinked="1"/>
        <c:majorTickMark val="out"/>
        <c:minorTickMark val="none"/>
        <c:tickLblPos val="nextTo"/>
        <c:crossAx val="314361728"/>
        <c:crosses val="autoZero"/>
        <c:auto val="1"/>
        <c:lblAlgn val="ctr"/>
        <c:lblOffset val="100"/>
        <c:noMultiLvlLbl val="0"/>
      </c:catAx>
    </c:plotArea>
    <c:legend>
      <c:legendPos val="t"/>
      <c:overlay val="0"/>
    </c:legend>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F904A-C26A-4F4E-B2D2-35687A04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18236</TotalTime>
  <Pages>17</Pages>
  <Words>21191</Words>
  <Characters>120794</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shakera</dc:creator>
  <cp:lastModifiedBy>nayeem hasan</cp:lastModifiedBy>
  <cp:revision>90</cp:revision>
  <dcterms:created xsi:type="dcterms:W3CDTF">2020-02-24T16:54:00Z</dcterms:created>
  <dcterms:modified xsi:type="dcterms:W3CDTF">2020-07-29T14:03:00Z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http://csl.mendeley.com/styles/16057573/harvard-the-university-of-wa-3</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http://csl.mendeley.com/styles/16057573/harvard-the-university-of-wa-3</vt:lpwstr>
  </property>
  <property fmtid="{D5CDD505-2E9C-101B-9397-08002B2CF9AE}" pid="14" name="Mendeley Recent Style Name 4_1">
    <vt:lpwstr>Harvard - The University of Western Australia - Ray White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