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F891" w14:textId="18A18499" w:rsidR="00AF7B1D" w:rsidRDefault="00AF7B1D" w:rsidP="00CA65DE">
      <w:pPr>
        <w:jc w:val="both"/>
      </w:pPr>
      <w:r>
        <w:t>Methods:</w:t>
      </w:r>
    </w:p>
    <w:p w14:paraId="6CCBC30C" w14:textId="2EC35F65" w:rsidR="00091108" w:rsidRDefault="00091108" w:rsidP="00CA65DE">
      <w:pPr>
        <w:jc w:val="both"/>
      </w:pPr>
      <w:r w:rsidRPr="00091108">
        <w:t xml:space="preserve">The daily data of COVID-19 cases </w:t>
      </w:r>
      <w:r>
        <w:t xml:space="preserve">and deaths </w:t>
      </w:r>
      <w:r w:rsidRPr="00091108">
        <w:t xml:space="preserve">in Bangladesh's division, district, and sub-district of Noakhali are in the form of a continuous </w:t>
      </w:r>
      <w:r>
        <w:t>variable</w:t>
      </w:r>
      <w:r w:rsidRPr="00091108">
        <w:t xml:space="preserve">, and the correlation values in Tables 1 and 2 confirm that the active cases are reliant on the arsenic variable. </w:t>
      </w:r>
      <w:r w:rsidRPr="00091108">
        <w:t>To</w:t>
      </w:r>
      <w:r w:rsidRPr="00091108">
        <w:t xml:space="preserve"> calculate and comprehend the effects of a linear relationship between two continuous variables, linear regression analysis and correlation analysis are used. The values that coefficients of association might take on range from uncorrelated (zero) through positive correlations (+1) to negative correlations (1). The direction of the relationship depends on whether the correlation coefficient is positive or negative. The absolute value, which is extremely close to +1, demonstrates the strength of the linear relationship (Tables 1 and 2).</w:t>
      </w:r>
    </w:p>
    <w:p w14:paraId="091705EA" w14:textId="0813460F" w:rsidR="00AF7B1D" w:rsidRDefault="00091108" w:rsidP="00CA65DE">
      <w:pPr>
        <w:jc w:val="both"/>
      </w:pPr>
      <w:r w:rsidRPr="00091108">
        <w:t>T</w:t>
      </w:r>
      <w:r w:rsidRPr="00091108">
        <w:t>he</w:t>
      </w:r>
      <w:r w:rsidRPr="00091108">
        <w:t xml:space="preserve"> relative impact of active cases </w:t>
      </w:r>
      <w:r>
        <w:t xml:space="preserve">and deaths </w:t>
      </w:r>
      <w:r w:rsidRPr="00091108">
        <w:t>resulting from daily positive cases</w:t>
      </w:r>
      <w:r>
        <w:t xml:space="preserve"> and deaths</w:t>
      </w:r>
      <w:r w:rsidRPr="00091108">
        <w:t xml:space="preserve"> in Noakhali as well as in the case of Bangladesh data is assessed using a linear regression model. Fitting a straight line with the data predicts Y for X, where Y is the total number of daily active cases</w:t>
      </w:r>
      <w:r>
        <w:t xml:space="preserve"> and deaths,</w:t>
      </w:r>
      <w:r w:rsidRPr="00091108">
        <w:t xml:space="preserve"> and X is the level of arsenic, is the main objective of linear regression. Estimating the intercept and slope regression parameters, which define the line, is frequently done using the least squares method.</w:t>
      </w:r>
    </w:p>
    <w:p w14:paraId="2DA4D413" w14:textId="6358C8B6" w:rsidR="008A3A3C" w:rsidRDefault="008A3A3C" w:rsidP="00CA65DE">
      <w:pPr>
        <w:jc w:val="both"/>
      </w:pPr>
      <w:r>
        <w:t xml:space="preserve">Table </w:t>
      </w:r>
      <w:r w:rsidR="00AE1464">
        <w:t>1</w:t>
      </w:r>
      <w:r>
        <w:t>:</w:t>
      </w:r>
      <w:r w:rsidR="005C1DE5">
        <w:t xml:space="preserve"> Relation between top </w:t>
      </w:r>
      <w:r w:rsidR="00AE1464">
        <w:t>Division wise COVID-19</w:t>
      </w:r>
      <w:r w:rsidR="005C1DE5">
        <w:t xml:space="preserve"> cases</w:t>
      </w:r>
      <w:r w:rsidR="00AE1464">
        <w:t xml:space="preserve"> and deaths</w:t>
      </w:r>
      <w:r w:rsidR="005C1DE5">
        <w:t xml:space="preserve"> </w:t>
      </w:r>
      <w:r w:rsidR="00AE1464">
        <w:t>with Arsenic</w:t>
      </w:r>
      <w:r w:rsidR="005C1DE5">
        <w:t xml:space="preserve"> rate</w:t>
      </w:r>
      <w:r w:rsidR="00AE1464">
        <w:t xml:space="preserve"> in Bangladesh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29"/>
        <w:gridCol w:w="1752"/>
        <w:gridCol w:w="1647"/>
        <w:gridCol w:w="1335"/>
        <w:gridCol w:w="1457"/>
        <w:gridCol w:w="1330"/>
      </w:tblGrid>
      <w:tr w:rsidR="00AE1464" w14:paraId="6C347470" w14:textId="77777777" w:rsidTr="00AE1464">
        <w:tc>
          <w:tcPr>
            <w:tcW w:w="2796" w:type="pct"/>
            <w:gridSpan w:val="3"/>
          </w:tcPr>
          <w:p w14:paraId="44A20AC8" w14:textId="496A8D64" w:rsidR="00AE1464" w:rsidRDefault="00AE1464" w:rsidP="00CA65DE">
            <w:pPr>
              <w:jc w:val="both"/>
            </w:pPr>
            <w:r>
              <w:t>Cases</w:t>
            </w:r>
          </w:p>
        </w:tc>
        <w:tc>
          <w:tcPr>
            <w:tcW w:w="2204" w:type="pct"/>
            <w:gridSpan w:val="3"/>
          </w:tcPr>
          <w:p w14:paraId="7C588D5F" w14:textId="05DD39FD" w:rsidR="00AE1464" w:rsidRDefault="00AE1464" w:rsidP="00CA65DE">
            <w:pPr>
              <w:jc w:val="both"/>
            </w:pPr>
            <w:r>
              <w:t>Deaths</w:t>
            </w:r>
          </w:p>
        </w:tc>
      </w:tr>
      <w:tr w:rsidR="00AE1464" w14:paraId="23403F21" w14:textId="3A64E870" w:rsidTr="00AE1464">
        <w:tc>
          <w:tcPr>
            <w:tcW w:w="978" w:type="pct"/>
          </w:tcPr>
          <w:p w14:paraId="64EF1480" w14:textId="425B9148" w:rsidR="00AE1464" w:rsidRDefault="00AE1464" w:rsidP="00CA65DE">
            <w:pPr>
              <w:jc w:val="both"/>
            </w:pPr>
            <w:r>
              <w:t>Estimate</w:t>
            </w:r>
          </w:p>
        </w:tc>
        <w:tc>
          <w:tcPr>
            <w:tcW w:w="936" w:type="pct"/>
          </w:tcPr>
          <w:p w14:paraId="42F25807" w14:textId="6631B2BC" w:rsidR="00AE1464" w:rsidRDefault="00AE1464" w:rsidP="00CA65DE">
            <w:pPr>
              <w:jc w:val="both"/>
            </w:pPr>
            <w:r>
              <w:t>95% CI</w:t>
            </w:r>
          </w:p>
        </w:tc>
        <w:tc>
          <w:tcPr>
            <w:tcW w:w="881" w:type="pct"/>
          </w:tcPr>
          <w:p w14:paraId="6627E31A" w14:textId="312EFA21" w:rsidR="00AE1464" w:rsidRDefault="00AE1464" w:rsidP="00CA65DE">
            <w:pPr>
              <w:jc w:val="both"/>
            </w:pPr>
            <w:r>
              <w:t>P-value</w:t>
            </w:r>
          </w:p>
        </w:tc>
        <w:tc>
          <w:tcPr>
            <w:tcW w:w="714" w:type="pct"/>
          </w:tcPr>
          <w:p w14:paraId="4C35DAF1" w14:textId="6BB88AED" w:rsidR="00AE1464" w:rsidRDefault="00AE1464" w:rsidP="00CA65DE">
            <w:pPr>
              <w:jc w:val="both"/>
            </w:pPr>
            <w:r>
              <w:t>Estimate</w:t>
            </w:r>
          </w:p>
        </w:tc>
        <w:tc>
          <w:tcPr>
            <w:tcW w:w="779" w:type="pct"/>
          </w:tcPr>
          <w:p w14:paraId="491D299D" w14:textId="21B68E1A" w:rsidR="00AE1464" w:rsidRDefault="00AE1464" w:rsidP="00CA65DE">
            <w:pPr>
              <w:jc w:val="both"/>
            </w:pPr>
            <w:r>
              <w:t>95% CI</w:t>
            </w:r>
          </w:p>
        </w:tc>
        <w:tc>
          <w:tcPr>
            <w:tcW w:w="712" w:type="pct"/>
          </w:tcPr>
          <w:p w14:paraId="7ED2529C" w14:textId="7376336A" w:rsidR="00AE1464" w:rsidRDefault="00AE1464" w:rsidP="00CA65DE">
            <w:pPr>
              <w:jc w:val="both"/>
            </w:pPr>
            <w:r>
              <w:t>P-value</w:t>
            </w:r>
          </w:p>
        </w:tc>
      </w:tr>
      <w:tr w:rsidR="00AE1464" w14:paraId="63B3136F" w14:textId="65B81E0F" w:rsidTr="00AE1464">
        <w:tc>
          <w:tcPr>
            <w:tcW w:w="978" w:type="pct"/>
          </w:tcPr>
          <w:p w14:paraId="2D3EE04A" w14:textId="35AEFEB2" w:rsidR="00AE1464" w:rsidRDefault="00AE1464" w:rsidP="00CA65DE">
            <w:pPr>
              <w:jc w:val="both"/>
            </w:pPr>
            <w:r>
              <w:t>9.31</w:t>
            </w:r>
          </w:p>
        </w:tc>
        <w:tc>
          <w:tcPr>
            <w:tcW w:w="936" w:type="pct"/>
          </w:tcPr>
          <w:p w14:paraId="602F4B07" w14:textId="11F27AD9" w:rsidR="00AE1464" w:rsidRDefault="00AE1464" w:rsidP="00CA65DE">
            <w:pPr>
              <w:jc w:val="both"/>
            </w:pPr>
            <w:r>
              <w:t>-3.01 to 21.63</w:t>
            </w:r>
          </w:p>
        </w:tc>
        <w:tc>
          <w:tcPr>
            <w:tcW w:w="881" w:type="pct"/>
          </w:tcPr>
          <w:p w14:paraId="115E24B6" w14:textId="1253C218" w:rsidR="00AE1464" w:rsidRDefault="00AE1464" w:rsidP="00CA65DE">
            <w:pPr>
              <w:jc w:val="both"/>
            </w:pPr>
            <w:r>
              <w:t>0.189</w:t>
            </w:r>
          </w:p>
        </w:tc>
        <w:tc>
          <w:tcPr>
            <w:tcW w:w="714" w:type="pct"/>
          </w:tcPr>
          <w:p w14:paraId="63661B29" w14:textId="0CAF8D52" w:rsidR="00AE1464" w:rsidRDefault="000A6DA6" w:rsidP="00CA65DE">
            <w:pPr>
              <w:jc w:val="both"/>
            </w:pPr>
            <w:r>
              <w:t>10.</w:t>
            </w:r>
            <w:r w:rsidR="00556E88">
              <w:t>87</w:t>
            </w:r>
          </w:p>
        </w:tc>
        <w:tc>
          <w:tcPr>
            <w:tcW w:w="779" w:type="pct"/>
          </w:tcPr>
          <w:p w14:paraId="5F2CDB72" w14:textId="7D95F5F0" w:rsidR="00AE1464" w:rsidRDefault="00556E88" w:rsidP="00CA65DE">
            <w:pPr>
              <w:jc w:val="both"/>
            </w:pPr>
            <w:r>
              <w:t>-3.</w:t>
            </w:r>
            <w:r w:rsidR="004F6CD6">
              <w:t>09 to 24.82</w:t>
            </w:r>
          </w:p>
        </w:tc>
        <w:tc>
          <w:tcPr>
            <w:tcW w:w="712" w:type="pct"/>
          </w:tcPr>
          <w:p w14:paraId="56EB7F4D" w14:textId="1F8FD80C" w:rsidR="00AE1464" w:rsidRDefault="00333C2A" w:rsidP="00CA65DE">
            <w:pPr>
              <w:jc w:val="both"/>
            </w:pPr>
            <w:r>
              <w:t>0.</w:t>
            </w:r>
            <w:r w:rsidR="00EA4070">
              <w:t>178</w:t>
            </w:r>
          </w:p>
        </w:tc>
      </w:tr>
      <w:tr w:rsidR="00AE1464" w14:paraId="194A9A16" w14:textId="237F937A" w:rsidTr="00AE1464">
        <w:trPr>
          <w:trHeight w:val="143"/>
        </w:trPr>
        <w:tc>
          <w:tcPr>
            <w:tcW w:w="1915" w:type="pct"/>
            <w:gridSpan w:val="2"/>
          </w:tcPr>
          <w:p w14:paraId="5ED4804B" w14:textId="505B548B" w:rsidR="00AE1464" w:rsidRDefault="00AE1464" w:rsidP="00CA65DE">
            <w:pPr>
              <w:jc w:val="both"/>
            </w:pPr>
            <w:r>
              <w:t>Correlation Coefficient, r = 0.</w:t>
            </w:r>
            <w:r w:rsidR="00CC3FDC">
              <w:t>517</w:t>
            </w:r>
          </w:p>
        </w:tc>
        <w:tc>
          <w:tcPr>
            <w:tcW w:w="881" w:type="pct"/>
          </w:tcPr>
          <w:p w14:paraId="4F3AF52B" w14:textId="240D91D3" w:rsidR="00AE1464" w:rsidRDefault="00AE1464" w:rsidP="00CA65DE">
            <w:pPr>
              <w:jc w:val="both"/>
            </w:pPr>
            <w:r>
              <w:t xml:space="preserve">R-squared = </w:t>
            </w:r>
            <w:r w:rsidR="00CC3FDC">
              <w:t>26.78%</w:t>
            </w:r>
          </w:p>
        </w:tc>
        <w:tc>
          <w:tcPr>
            <w:tcW w:w="1492" w:type="pct"/>
            <w:gridSpan w:val="2"/>
          </w:tcPr>
          <w:p w14:paraId="4D28DDB5" w14:textId="2F1B77B6" w:rsidR="00AE1464" w:rsidRDefault="00AE1464" w:rsidP="00CA65DE">
            <w:pPr>
              <w:jc w:val="both"/>
            </w:pPr>
            <w:r>
              <w:t xml:space="preserve">Correlation Coefficient, r = </w:t>
            </w:r>
            <w:r w:rsidR="000A6DA6">
              <w:t>0.</w:t>
            </w:r>
            <w:r w:rsidR="00556E88">
              <w:t>529</w:t>
            </w:r>
          </w:p>
        </w:tc>
        <w:tc>
          <w:tcPr>
            <w:tcW w:w="712" w:type="pct"/>
          </w:tcPr>
          <w:p w14:paraId="33CE5015" w14:textId="61931A45" w:rsidR="00AE1464" w:rsidRDefault="00AE1464" w:rsidP="00CA65DE">
            <w:pPr>
              <w:jc w:val="both"/>
            </w:pPr>
            <w:r>
              <w:t xml:space="preserve">R-squared = </w:t>
            </w:r>
            <w:r w:rsidR="00EA4070">
              <w:t>27.96%</w:t>
            </w:r>
          </w:p>
        </w:tc>
      </w:tr>
    </w:tbl>
    <w:p w14:paraId="3C6DFD14" w14:textId="5CC77D98" w:rsidR="004A7430" w:rsidRDefault="004A7430" w:rsidP="00CA65DE">
      <w:pPr>
        <w:jc w:val="both"/>
      </w:pPr>
    </w:p>
    <w:p w14:paraId="1F0100EE" w14:textId="3F4202D3" w:rsidR="00091108" w:rsidRDefault="008C44F0" w:rsidP="00CA65DE">
      <w:pPr>
        <w:jc w:val="both"/>
      </w:pPr>
      <w:r w:rsidRPr="008C44F0">
        <w:t xml:space="preserve">Table </w:t>
      </w:r>
      <w:r w:rsidR="00091108">
        <w:t>1</w:t>
      </w:r>
      <w:r w:rsidRPr="008C44F0">
        <w:t xml:space="preserve"> shows the Spearman's correlation coefficients among the total confirmed cases</w:t>
      </w:r>
      <w:r w:rsidR="00091108">
        <w:t xml:space="preserve"> and</w:t>
      </w:r>
      <w:r w:rsidRPr="008C44F0">
        <w:t xml:space="preserve"> </w:t>
      </w:r>
      <w:r w:rsidR="00091108">
        <w:t xml:space="preserve">deaths </w:t>
      </w:r>
      <w:r w:rsidRPr="008C44F0">
        <w:t xml:space="preserve">of COVID-19 by </w:t>
      </w:r>
      <w:r w:rsidR="00091108">
        <w:t>Division</w:t>
      </w:r>
      <w:r w:rsidR="00CA65DE">
        <w:t>-wise data</w:t>
      </w:r>
      <w:r w:rsidRPr="008C44F0">
        <w:t xml:space="preserve">. Total cases had </w:t>
      </w:r>
      <w:r w:rsidR="00CA65DE">
        <w:t xml:space="preserve">lower </w:t>
      </w:r>
      <w:r w:rsidRPr="008C44F0">
        <w:t xml:space="preserve">significant </w:t>
      </w:r>
      <w:r w:rsidR="00CA65DE">
        <w:t>positive</w:t>
      </w:r>
      <w:r w:rsidRPr="008C44F0">
        <w:t xml:space="preserve"> Spearman's correlations with </w:t>
      </w:r>
      <w:r w:rsidR="00CA65DE">
        <w:t>Arsenic</w:t>
      </w:r>
      <w:r w:rsidRPr="008C44F0">
        <w:t xml:space="preserve"> (r = </w:t>
      </w:r>
      <w:r w:rsidR="00CA65DE">
        <w:t>0.517</w:t>
      </w:r>
      <w:r w:rsidRPr="008C44F0">
        <w:t>, p = 0.</w:t>
      </w:r>
      <w:r w:rsidR="00CA65DE">
        <w:t>189</w:t>
      </w:r>
      <w:r w:rsidRPr="008C44F0">
        <w:t xml:space="preserve">), </w:t>
      </w:r>
      <w:r w:rsidR="00CA65DE" w:rsidRPr="008C44F0">
        <w:t>and</w:t>
      </w:r>
      <w:r w:rsidR="00CA65DE">
        <w:t xml:space="preserve"> almost similar relation with deaths data </w:t>
      </w:r>
      <w:r w:rsidR="00CA65DE" w:rsidRPr="008C44F0">
        <w:t>(</w:t>
      </w:r>
      <w:r w:rsidRPr="008C44F0">
        <w:t>r = 0.</w:t>
      </w:r>
      <w:r w:rsidR="00CA65DE">
        <w:t>529</w:t>
      </w:r>
      <w:r w:rsidRPr="008C44F0">
        <w:t>, p = 0.</w:t>
      </w:r>
      <w:r w:rsidR="00CA65DE">
        <w:t>178). The estimate of linear relation</w:t>
      </w:r>
      <w:r w:rsidRPr="008C44F0">
        <w:t xml:space="preserve"> shows that for each 1 </w:t>
      </w:r>
      <w:r w:rsidR="00CA65DE">
        <w:t xml:space="preserve">ppb </w:t>
      </w:r>
      <w:r w:rsidRPr="008C44F0">
        <w:t xml:space="preserve">rise in </w:t>
      </w:r>
      <w:r w:rsidR="00CA65DE">
        <w:t>Arsenic</w:t>
      </w:r>
      <w:r w:rsidRPr="008C44F0">
        <w:t xml:space="preserve">, there is </w:t>
      </w:r>
      <w:r w:rsidR="00CA65DE">
        <w:t>almost ten times in</w:t>
      </w:r>
      <w:r w:rsidRPr="008C44F0">
        <w:t>crease in the cumulative daily number of COVID-19 confirmed cases</w:t>
      </w:r>
      <w:r w:rsidR="00CA65DE">
        <w:t xml:space="preserve"> and almost 11 times increase </w:t>
      </w:r>
      <w:r w:rsidR="00CA65DE" w:rsidRPr="008C44F0">
        <w:t xml:space="preserve">in the cumulative daily number of COVID-19 confirmed </w:t>
      </w:r>
      <w:r w:rsidR="00CA65DE">
        <w:t xml:space="preserve">deaths. </w:t>
      </w:r>
      <w:r w:rsidR="00091108" w:rsidRPr="00091108">
        <w:t xml:space="preserve">Table </w:t>
      </w:r>
      <w:r w:rsidR="00CA65DE">
        <w:t>1 also</w:t>
      </w:r>
      <w:r w:rsidR="00091108" w:rsidRPr="00091108">
        <w:t xml:space="preserve"> summarizes the R-squared results. Findings suggest that these factors have a reasonable contribution to explaining the behavior of the COVID-19, at least for this linear model.</w:t>
      </w:r>
    </w:p>
    <w:p w14:paraId="5AE7D0B0" w14:textId="77777777" w:rsidR="00CA65DE" w:rsidRDefault="00CA65DE" w:rsidP="00CA65DE">
      <w:pPr>
        <w:jc w:val="both"/>
      </w:pPr>
      <w:r>
        <w:br w:type="page"/>
      </w:r>
    </w:p>
    <w:p w14:paraId="42AA6E00" w14:textId="1615BC5C" w:rsidR="00523978" w:rsidRDefault="00523978" w:rsidP="00CA65DE">
      <w:pPr>
        <w:jc w:val="both"/>
      </w:pPr>
      <w:r>
        <w:lastRenderedPageBreak/>
        <w:t xml:space="preserve">Table </w:t>
      </w:r>
      <w:r w:rsidR="004A7430">
        <w:t>2</w:t>
      </w:r>
      <w:r>
        <w:t>:</w:t>
      </w:r>
      <w:r w:rsidR="005C1DE5" w:rsidRPr="005C1DE5">
        <w:t xml:space="preserve"> </w:t>
      </w:r>
      <w:r w:rsidR="006E5C08">
        <w:t>Relation between District wise COVID-19 cases and deaths with Arsenic rate in Bangladesh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4"/>
        <w:gridCol w:w="1659"/>
        <w:gridCol w:w="7"/>
        <w:gridCol w:w="1348"/>
        <w:gridCol w:w="7"/>
        <w:gridCol w:w="1460"/>
        <w:gridCol w:w="1333"/>
        <w:gridCol w:w="17"/>
        <w:gridCol w:w="1659"/>
        <w:gridCol w:w="6"/>
      </w:tblGrid>
      <w:tr w:rsidR="006E5C08" w14:paraId="539EA35F" w14:textId="77777777" w:rsidTr="006E5C08">
        <w:tc>
          <w:tcPr>
            <w:tcW w:w="2606" w:type="pct"/>
            <w:gridSpan w:val="5"/>
          </w:tcPr>
          <w:p w14:paraId="35C813DD" w14:textId="602E1C3E" w:rsidR="006E5C08" w:rsidRDefault="006E5C08" w:rsidP="00CA65DE">
            <w:pPr>
              <w:jc w:val="both"/>
            </w:pPr>
            <w:r>
              <w:t>Cases</w:t>
            </w:r>
          </w:p>
        </w:tc>
        <w:tc>
          <w:tcPr>
            <w:tcW w:w="2394" w:type="pct"/>
            <w:gridSpan w:val="5"/>
          </w:tcPr>
          <w:p w14:paraId="32828114" w14:textId="6100AF24" w:rsidR="006E5C08" w:rsidRDefault="006E5C08" w:rsidP="00CA65DE">
            <w:pPr>
              <w:jc w:val="both"/>
            </w:pPr>
            <w:r>
              <w:t>Deaths</w:t>
            </w:r>
          </w:p>
        </w:tc>
      </w:tr>
      <w:tr w:rsidR="006E5C08" w14:paraId="45D36D48" w14:textId="77777777" w:rsidTr="006E5C08">
        <w:tc>
          <w:tcPr>
            <w:tcW w:w="991" w:type="pct"/>
          </w:tcPr>
          <w:p w14:paraId="121A538B" w14:textId="102854B3" w:rsidR="006E5C08" w:rsidRDefault="006E5C08" w:rsidP="00CA65DE">
            <w:pPr>
              <w:jc w:val="both"/>
            </w:pPr>
            <w:r>
              <w:t>Estimate</w:t>
            </w:r>
          </w:p>
        </w:tc>
        <w:tc>
          <w:tcPr>
            <w:tcW w:w="891" w:type="pct"/>
            <w:gridSpan w:val="2"/>
          </w:tcPr>
          <w:p w14:paraId="1703AAEE" w14:textId="78D9EADA" w:rsidR="006E5C08" w:rsidRDefault="006E5C08" w:rsidP="00CA65DE">
            <w:pPr>
              <w:jc w:val="both"/>
            </w:pPr>
            <w:r>
              <w:t>95% CI</w:t>
            </w:r>
          </w:p>
        </w:tc>
        <w:tc>
          <w:tcPr>
            <w:tcW w:w="725" w:type="pct"/>
            <w:gridSpan w:val="2"/>
          </w:tcPr>
          <w:p w14:paraId="3FA1CAC2" w14:textId="1B7A449E" w:rsidR="006E5C08" w:rsidRDefault="006E5C08" w:rsidP="00CA65DE">
            <w:pPr>
              <w:jc w:val="both"/>
            </w:pPr>
            <w:r>
              <w:t>P-value</w:t>
            </w:r>
          </w:p>
        </w:tc>
        <w:tc>
          <w:tcPr>
            <w:tcW w:w="781" w:type="pct"/>
          </w:tcPr>
          <w:p w14:paraId="4F01B2BE" w14:textId="7D097201" w:rsidR="006E5C08" w:rsidRDefault="006E5C08" w:rsidP="00CA65DE">
            <w:pPr>
              <w:jc w:val="both"/>
            </w:pPr>
            <w:r>
              <w:t>Estimate</w:t>
            </w:r>
          </w:p>
        </w:tc>
        <w:tc>
          <w:tcPr>
            <w:tcW w:w="722" w:type="pct"/>
            <w:gridSpan w:val="2"/>
          </w:tcPr>
          <w:p w14:paraId="3CEC4447" w14:textId="6E678506" w:rsidR="006E5C08" w:rsidRDefault="006E5C08" w:rsidP="00CA65DE">
            <w:pPr>
              <w:jc w:val="both"/>
            </w:pPr>
            <w:r>
              <w:t>95% CI</w:t>
            </w:r>
          </w:p>
        </w:tc>
        <w:tc>
          <w:tcPr>
            <w:tcW w:w="891" w:type="pct"/>
            <w:gridSpan w:val="2"/>
          </w:tcPr>
          <w:p w14:paraId="02C11F1E" w14:textId="14673057" w:rsidR="006E5C08" w:rsidRDefault="006E5C08" w:rsidP="00CA65DE">
            <w:pPr>
              <w:jc w:val="both"/>
            </w:pPr>
            <w:r>
              <w:t>P-value</w:t>
            </w:r>
          </w:p>
        </w:tc>
      </w:tr>
      <w:tr w:rsidR="006E5C08" w14:paraId="5CF2133B" w14:textId="77777777" w:rsidTr="006E5C08">
        <w:tc>
          <w:tcPr>
            <w:tcW w:w="991" w:type="pct"/>
          </w:tcPr>
          <w:p w14:paraId="336F0010" w14:textId="113FCE83" w:rsidR="006E5C08" w:rsidRDefault="006E5C08" w:rsidP="00CA65DE">
            <w:pPr>
              <w:jc w:val="both"/>
            </w:pPr>
            <w:r>
              <w:t>10.15</w:t>
            </w:r>
          </w:p>
        </w:tc>
        <w:tc>
          <w:tcPr>
            <w:tcW w:w="891" w:type="pct"/>
            <w:gridSpan w:val="2"/>
          </w:tcPr>
          <w:p w14:paraId="446228E0" w14:textId="463190E5" w:rsidR="006E5C08" w:rsidRDefault="006E5C08" w:rsidP="00CA65DE">
            <w:pPr>
              <w:jc w:val="both"/>
            </w:pPr>
            <w:r>
              <w:t>-3.69 to 23.99</w:t>
            </w:r>
          </w:p>
        </w:tc>
        <w:tc>
          <w:tcPr>
            <w:tcW w:w="725" w:type="pct"/>
            <w:gridSpan w:val="2"/>
          </w:tcPr>
          <w:p w14:paraId="6BC36A1F" w14:textId="2337A5AB" w:rsidR="006E5C08" w:rsidRDefault="006E5C08" w:rsidP="00CA65DE">
            <w:pPr>
              <w:jc w:val="both"/>
            </w:pPr>
            <w:r>
              <w:t>0.</w:t>
            </w:r>
            <w:r w:rsidR="00F52D9A">
              <w:t>156</w:t>
            </w:r>
          </w:p>
        </w:tc>
        <w:tc>
          <w:tcPr>
            <w:tcW w:w="781" w:type="pct"/>
          </w:tcPr>
          <w:p w14:paraId="30F92905" w14:textId="28EDC087" w:rsidR="006E5C08" w:rsidRDefault="009D591B" w:rsidP="00CA65DE">
            <w:pPr>
              <w:jc w:val="both"/>
            </w:pPr>
            <w:r>
              <w:t>15.53</w:t>
            </w:r>
          </w:p>
        </w:tc>
        <w:tc>
          <w:tcPr>
            <w:tcW w:w="722" w:type="pct"/>
            <w:gridSpan w:val="2"/>
          </w:tcPr>
          <w:p w14:paraId="42CB1003" w14:textId="339E83A6" w:rsidR="006E5C08" w:rsidRDefault="009D591B" w:rsidP="00CA65DE">
            <w:pPr>
              <w:jc w:val="both"/>
            </w:pPr>
            <w:r>
              <w:t>1.13 to 29.92</w:t>
            </w:r>
          </w:p>
        </w:tc>
        <w:tc>
          <w:tcPr>
            <w:tcW w:w="891" w:type="pct"/>
            <w:gridSpan w:val="2"/>
          </w:tcPr>
          <w:p w14:paraId="04C6E2A9" w14:textId="6964C6D8" w:rsidR="006E5C08" w:rsidRDefault="006E5C08" w:rsidP="00CA65DE">
            <w:pPr>
              <w:jc w:val="both"/>
            </w:pPr>
            <w:r>
              <w:t>0.</w:t>
            </w:r>
            <w:r w:rsidR="009D591B">
              <w:t>039</w:t>
            </w:r>
          </w:p>
        </w:tc>
      </w:tr>
      <w:tr w:rsidR="006E5C08" w14:paraId="0422130E" w14:textId="29161E9C" w:rsidTr="006E5C08">
        <w:trPr>
          <w:gridAfter w:val="1"/>
          <w:wAfter w:w="4" w:type="pct"/>
          <w:trHeight w:val="143"/>
        </w:trPr>
        <w:tc>
          <w:tcPr>
            <w:tcW w:w="1878" w:type="pct"/>
            <w:gridSpan w:val="2"/>
          </w:tcPr>
          <w:p w14:paraId="3430AC46" w14:textId="4BB70718" w:rsidR="006E5C08" w:rsidRDefault="006E5C08" w:rsidP="00CA65DE">
            <w:pPr>
              <w:jc w:val="both"/>
            </w:pPr>
            <w:r>
              <w:t>Correlation Coefficient, r = 0.032</w:t>
            </w:r>
          </w:p>
        </w:tc>
        <w:tc>
          <w:tcPr>
            <w:tcW w:w="725" w:type="pct"/>
            <w:gridSpan w:val="2"/>
          </w:tcPr>
          <w:p w14:paraId="4A4DBD3E" w14:textId="22D68661" w:rsidR="006E5C08" w:rsidRDefault="006E5C08" w:rsidP="00CA65DE">
            <w:pPr>
              <w:jc w:val="both"/>
            </w:pPr>
            <w:r>
              <w:t xml:space="preserve">R-squared = </w:t>
            </w:r>
            <w:r w:rsidR="00F52D9A">
              <w:t>3.23%</w:t>
            </w:r>
          </w:p>
        </w:tc>
        <w:tc>
          <w:tcPr>
            <w:tcW w:w="1498" w:type="pct"/>
            <w:gridSpan w:val="3"/>
          </w:tcPr>
          <w:p w14:paraId="0D86B6DE" w14:textId="1BA2D2AA" w:rsidR="006E5C08" w:rsidRDefault="006E5C08" w:rsidP="00CA65DE">
            <w:pPr>
              <w:jc w:val="both"/>
            </w:pPr>
            <w:r>
              <w:t>Correlation Coefficient, r = 0.</w:t>
            </w:r>
            <w:r w:rsidR="009D591B">
              <w:t>259</w:t>
            </w:r>
          </w:p>
        </w:tc>
        <w:tc>
          <w:tcPr>
            <w:tcW w:w="896" w:type="pct"/>
            <w:gridSpan w:val="2"/>
          </w:tcPr>
          <w:p w14:paraId="50A116EB" w14:textId="269E1D97" w:rsidR="006E5C08" w:rsidRDefault="006E5C08" w:rsidP="00CA65DE">
            <w:pPr>
              <w:jc w:val="both"/>
            </w:pPr>
            <w:r>
              <w:t xml:space="preserve">R-squared = </w:t>
            </w:r>
            <w:r w:rsidR="00176C70">
              <w:t>6.73%</w:t>
            </w:r>
          </w:p>
        </w:tc>
      </w:tr>
    </w:tbl>
    <w:p w14:paraId="67594783" w14:textId="0A3DE3C8" w:rsidR="00176C70" w:rsidRDefault="00176C70" w:rsidP="00CA65DE">
      <w:pPr>
        <w:jc w:val="both"/>
      </w:pPr>
    </w:p>
    <w:p w14:paraId="663A6D2E" w14:textId="34F1F933" w:rsidR="00CA65DE" w:rsidRDefault="00CA65DE" w:rsidP="00CA65DE">
      <w:pPr>
        <w:jc w:val="both"/>
      </w:pPr>
      <w:r w:rsidRPr="008C44F0">
        <w:t xml:space="preserve">Table </w:t>
      </w:r>
      <w:r>
        <w:t>2</w:t>
      </w:r>
      <w:r w:rsidRPr="008C44F0">
        <w:t xml:space="preserve"> shows the Spearman's correlation coefficients among the total confirmed cases</w:t>
      </w:r>
      <w:r>
        <w:t xml:space="preserve"> and</w:t>
      </w:r>
      <w:r w:rsidRPr="008C44F0">
        <w:t xml:space="preserve"> </w:t>
      </w:r>
      <w:r>
        <w:t xml:space="preserve">deaths </w:t>
      </w:r>
      <w:r w:rsidRPr="008C44F0">
        <w:t xml:space="preserve">of COVID-19 by </w:t>
      </w:r>
      <w:r>
        <w:t>Di</w:t>
      </w:r>
      <w:r>
        <w:t>strict</w:t>
      </w:r>
      <w:r>
        <w:t>-wise data</w:t>
      </w:r>
      <w:r w:rsidRPr="008C44F0">
        <w:t xml:space="preserve">. Total cases had </w:t>
      </w:r>
      <w:r>
        <w:t xml:space="preserve">lower </w:t>
      </w:r>
      <w:r w:rsidRPr="008C44F0">
        <w:t xml:space="preserve">significant </w:t>
      </w:r>
      <w:r>
        <w:t>positive</w:t>
      </w:r>
      <w:r>
        <w:t xml:space="preserve"> (so poor)</w:t>
      </w:r>
      <w:r w:rsidRPr="008C44F0">
        <w:t xml:space="preserve"> Spearman's correlations with </w:t>
      </w:r>
      <w:r>
        <w:t>Arsenic</w:t>
      </w:r>
      <w:r w:rsidRPr="008C44F0">
        <w:t xml:space="preserve"> (r = </w:t>
      </w:r>
      <w:r>
        <w:t>0.</w:t>
      </w:r>
      <w:r>
        <w:t>032</w:t>
      </w:r>
      <w:r w:rsidRPr="008C44F0">
        <w:t>, p = 0.</w:t>
      </w:r>
      <w:r>
        <w:t>1</w:t>
      </w:r>
      <w:r>
        <w:t>56</w:t>
      </w:r>
      <w:r w:rsidRPr="008C44F0">
        <w:t xml:space="preserve">), </w:t>
      </w:r>
      <w:r>
        <w:t>but</w:t>
      </w:r>
      <w:r>
        <w:t xml:space="preserve"> </w:t>
      </w:r>
      <w:r>
        <w:t>the</w:t>
      </w:r>
      <w:r>
        <w:t xml:space="preserve"> relation with deaths data</w:t>
      </w:r>
      <w:r>
        <w:t xml:space="preserve"> is statistically significant</w:t>
      </w:r>
      <w:r>
        <w:t xml:space="preserve"> </w:t>
      </w:r>
      <w:r w:rsidRPr="008C44F0">
        <w:t>(r = 0.</w:t>
      </w:r>
      <w:r>
        <w:t>259</w:t>
      </w:r>
      <w:r w:rsidRPr="008C44F0">
        <w:t>, p = 0.</w:t>
      </w:r>
      <w:r>
        <w:t>039</w:t>
      </w:r>
      <w:r>
        <w:t>).</w:t>
      </w:r>
      <w:r>
        <w:t xml:space="preserve"> Though, they have a lower correlation coefficient. However,</w:t>
      </w:r>
      <w:r>
        <w:t xml:space="preserve"> </w:t>
      </w:r>
      <w:r>
        <w:t>the</w:t>
      </w:r>
      <w:r>
        <w:t xml:space="preserve"> estimate of linear relation</w:t>
      </w:r>
      <w:r w:rsidRPr="008C44F0">
        <w:t xml:space="preserve"> shows that for each 1 </w:t>
      </w:r>
      <w:r>
        <w:t xml:space="preserve">ppb </w:t>
      </w:r>
      <w:r w:rsidRPr="008C44F0">
        <w:t xml:space="preserve">rise in </w:t>
      </w:r>
      <w:r>
        <w:t>Arsenic</w:t>
      </w:r>
      <w:r w:rsidRPr="008C44F0">
        <w:t xml:space="preserve">, there is </w:t>
      </w:r>
      <w:r>
        <w:t>almost ten times in</w:t>
      </w:r>
      <w:r w:rsidRPr="008C44F0">
        <w:t>crease in the cumulative daily number of COVID-19 confirmed cases</w:t>
      </w:r>
      <w:r>
        <w:t xml:space="preserve"> and almost 1</w:t>
      </w:r>
      <w:r>
        <w:t xml:space="preserve">6 </w:t>
      </w:r>
      <w:r>
        <w:t xml:space="preserve">times increase </w:t>
      </w:r>
      <w:r w:rsidRPr="008C44F0">
        <w:t xml:space="preserve">in the cumulative daily number of COVID-19 confirmed </w:t>
      </w:r>
      <w:r>
        <w:t xml:space="preserve">deaths. </w:t>
      </w:r>
      <w:r w:rsidRPr="00091108">
        <w:t xml:space="preserve">Table </w:t>
      </w:r>
      <w:r>
        <w:t>2</w:t>
      </w:r>
      <w:r>
        <w:t xml:space="preserve"> also</w:t>
      </w:r>
      <w:r w:rsidRPr="00091108">
        <w:t xml:space="preserve"> summarizes the R-squared results. Findings suggest that these factors have a </w:t>
      </w:r>
      <w:r>
        <w:t>not shown good</w:t>
      </w:r>
      <w:r w:rsidRPr="00091108">
        <w:t xml:space="preserve"> contribution to explaining the behavior of the COVID-19</w:t>
      </w:r>
      <w:r>
        <w:t xml:space="preserve"> with district data</w:t>
      </w:r>
      <w:r w:rsidRPr="00091108">
        <w:t>.</w:t>
      </w:r>
    </w:p>
    <w:p w14:paraId="03581C18" w14:textId="77777777" w:rsidR="00CA65DE" w:rsidRDefault="00CA65DE" w:rsidP="00CA65DE">
      <w:pPr>
        <w:jc w:val="both"/>
      </w:pPr>
    </w:p>
    <w:p w14:paraId="25821FF1" w14:textId="78CFCF09" w:rsidR="00C33447" w:rsidRDefault="00C33447" w:rsidP="00CA65DE">
      <w:pPr>
        <w:jc w:val="both"/>
      </w:pPr>
      <w:r>
        <w:t xml:space="preserve">Figure 1: </w:t>
      </w:r>
      <w:r w:rsidR="005C1DE5">
        <w:t>Scatter plot with regression line between total cases and deaths</w:t>
      </w:r>
      <w:r w:rsidR="00176C70">
        <w:t xml:space="preserve"> with</w:t>
      </w:r>
      <w:r w:rsidR="005C1DE5">
        <w:t xml:space="preserve"> </w:t>
      </w:r>
      <w:r w:rsidR="00176C70">
        <w:t xml:space="preserve">Arsenic </w:t>
      </w:r>
      <w:r w:rsidR="005C1DE5">
        <w:t>rate.</w:t>
      </w:r>
    </w:p>
    <w:p w14:paraId="6EEF282D" w14:textId="63EF3099" w:rsidR="00C33447" w:rsidRDefault="00176C70" w:rsidP="00CA65DE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54EB118" wp14:editId="3DD30838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38C4" w14:textId="2416B995" w:rsidR="00176C70" w:rsidRDefault="00176C70" w:rsidP="00CA65DE">
      <w:pPr>
        <w:jc w:val="both"/>
        <w:rPr>
          <w:noProof/>
        </w:rPr>
      </w:pPr>
    </w:p>
    <w:p w14:paraId="73552969" w14:textId="77777777" w:rsidR="00CA65DE" w:rsidRDefault="00CA65DE" w:rsidP="00CA65DE">
      <w:pPr>
        <w:jc w:val="both"/>
      </w:pPr>
      <w:r>
        <w:br w:type="page"/>
      </w:r>
    </w:p>
    <w:p w14:paraId="03919BDE" w14:textId="7A8249C6" w:rsidR="00797903" w:rsidRDefault="00797903" w:rsidP="00CA65DE">
      <w:pPr>
        <w:jc w:val="both"/>
      </w:pPr>
      <w:r>
        <w:lastRenderedPageBreak/>
        <w:t xml:space="preserve">Table </w:t>
      </w:r>
      <w:r w:rsidR="00FC2720">
        <w:t>3</w:t>
      </w:r>
      <w:r>
        <w:t>:</w:t>
      </w:r>
      <w:r w:rsidRPr="005C1DE5">
        <w:t xml:space="preserve"> </w:t>
      </w:r>
      <w:r>
        <w:t>Relation between Noakhali District COVID-19 cases with Arsenic rate in Bangladesh</w:t>
      </w:r>
    </w:p>
    <w:tbl>
      <w:tblPr>
        <w:tblStyle w:val="TableGrid"/>
        <w:tblW w:w="5003" w:type="pct"/>
        <w:tblLook w:val="04A0" w:firstRow="1" w:lastRow="0" w:firstColumn="1" w:lastColumn="0" w:noHBand="0" w:noVBand="1"/>
      </w:tblPr>
      <w:tblGrid>
        <w:gridCol w:w="3096"/>
        <w:gridCol w:w="2274"/>
        <w:gridCol w:w="2019"/>
        <w:gridCol w:w="1967"/>
      </w:tblGrid>
      <w:tr w:rsidR="00797903" w14:paraId="5552A340" w14:textId="77777777" w:rsidTr="00797903">
        <w:tc>
          <w:tcPr>
            <w:tcW w:w="4997" w:type="pct"/>
            <w:gridSpan w:val="4"/>
          </w:tcPr>
          <w:p w14:paraId="04154854" w14:textId="77777777" w:rsidR="00797903" w:rsidRDefault="00797903" w:rsidP="00CA65DE">
            <w:pPr>
              <w:jc w:val="both"/>
            </w:pPr>
            <w:r>
              <w:t>Cases</w:t>
            </w:r>
          </w:p>
        </w:tc>
      </w:tr>
      <w:tr w:rsidR="00797903" w14:paraId="12D9E269" w14:textId="77777777" w:rsidTr="00797903">
        <w:tc>
          <w:tcPr>
            <w:tcW w:w="1655" w:type="pct"/>
          </w:tcPr>
          <w:p w14:paraId="5E4DA278" w14:textId="77777777" w:rsidR="00797903" w:rsidRDefault="00797903" w:rsidP="00CA65DE">
            <w:pPr>
              <w:jc w:val="both"/>
            </w:pPr>
            <w:r>
              <w:t>Estimate</w:t>
            </w:r>
          </w:p>
        </w:tc>
        <w:tc>
          <w:tcPr>
            <w:tcW w:w="2294" w:type="pct"/>
            <w:gridSpan w:val="2"/>
          </w:tcPr>
          <w:p w14:paraId="635EB5BA" w14:textId="77777777" w:rsidR="00797903" w:rsidRDefault="00797903" w:rsidP="00CA65DE">
            <w:pPr>
              <w:jc w:val="both"/>
            </w:pPr>
            <w:r>
              <w:t>95% CI</w:t>
            </w:r>
          </w:p>
        </w:tc>
        <w:tc>
          <w:tcPr>
            <w:tcW w:w="1049" w:type="pct"/>
          </w:tcPr>
          <w:p w14:paraId="436E7C22" w14:textId="77777777" w:rsidR="00797903" w:rsidRDefault="00797903" w:rsidP="00CA65DE">
            <w:pPr>
              <w:jc w:val="both"/>
            </w:pPr>
            <w:r>
              <w:t>P-value</w:t>
            </w:r>
          </w:p>
        </w:tc>
      </w:tr>
      <w:tr w:rsidR="00797903" w14:paraId="08437C02" w14:textId="77777777" w:rsidTr="00797903">
        <w:tc>
          <w:tcPr>
            <w:tcW w:w="1655" w:type="pct"/>
          </w:tcPr>
          <w:p w14:paraId="4BCFA335" w14:textId="5A938C71" w:rsidR="00797903" w:rsidRDefault="00797903" w:rsidP="00CA65DE">
            <w:pPr>
              <w:jc w:val="both"/>
            </w:pPr>
            <w:r>
              <w:t>6.15</w:t>
            </w:r>
          </w:p>
        </w:tc>
        <w:tc>
          <w:tcPr>
            <w:tcW w:w="2294" w:type="pct"/>
            <w:gridSpan w:val="2"/>
          </w:tcPr>
          <w:p w14:paraId="77B50E44" w14:textId="7D90C1AA" w:rsidR="00797903" w:rsidRDefault="00797903" w:rsidP="00CA65DE">
            <w:pPr>
              <w:jc w:val="both"/>
            </w:pPr>
            <w:r>
              <w:t>-7.97 to 20.28</w:t>
            </w:r>
          </w:p>
        </w:tc>
        <w:tc>
          <w:tcPr>
            <w:tcW w:w="1049" w:type="pct"/>
          </w:tcPr>
          <w:p w14:paraId="77F13F56" w14:textId="7D5044A5" w:rsidR="00797903" w:rsidRDefault="00797903" w:rsidP="00CA65DE">
            <w:pPr>
              <w:jc w:val="both"/>
            </w:pPr>
            <w:r>
              <w:t>0.421</w:t>
            </w:r>
          </w:p>
        </w:tc>
      </w:tr>
      <w:tr w:rsidR="00797903" w14:paraId="3426409D" w14:textId="77777777" w:rsidTr="00797903">
        <w:trPr>
          <w:trHeight w:val="143"/>
        </w:trPr>
        <w:tc>
          <w:tcPr>
            <w:tcW w:w="2870" w:type="pct"/>
            <w:gridSpan w:val="2"/>
          </w:tcPr>
          <w:p w14:paraId="1FF8FD12" w14:textId="17B4F7B3" w:rsidR="00797903" w:rsidRDefault="00797903" w:rsidP="00CA65DE">
            <w:pPr>
              <w:jc w:val="both"/>
            </w:pPr>
            <w:r>
              <w:t>Correlation Coefficient, r = 0.307</w:t>
            </w:r>
          </w:p>
        </w:tc>
        <w:tc>
          <w:tcPr>
            <w:tcW w:w="2130" w:type="pct"/>
            <w:gridSpan w:val="2"/>
          </w:tcPr>
          <w:p w14:paraId="2E1152B0" w14:textId="394C224F" w:rsidR="00797903" w:rsidRDefault="00797903" w:rsidP="00CA65DE">
            <w:pPr>
              <w:jc w:val="both"/>
            </w:pPr>
            <w:r>
              <w:t xml:space="preserve">R-squared = </w:t>
            </w:r>
            <w:r w:rsidR="00F95DEA">
              <w:t>9.43%</w:t>
            </w:r>
          </w:p>
        </w:tc>
      </w:tr>
    </w:tbl>
    <w:p w14:paraId="3A89A61F" w14:textId="77777777" w:rsidR="00797903" w:rsidRDefault="00797903" w:rsidP="00CA65DE">
      <w:pPr>
        <w:jc w:val="both"/>
      </w:pPr>
    </w:p>
    <w:p w14:paraId="2522A459" w14:textId="717E0435" w:rsidR="00CA65DE" w:rsidRDefault="00CA65DE" w:rsidP="00CA65DE">
      <w:pPr>
        <w:jc w:val="both"/>
      </w:pPr>
      <w:r w:rsidRPr="008C44F0">
        <w:t xml:space="preserve">Table </w:t>
      </w:r>
      <w:r w:rsidR="006428D7">
        <w:t>3</w:t>
      </w:r>
      <w:r w:rsidRPr="008C44F0">
        <w:t xml:space="preserve"> shows the Spearman's correlation coefficients among the total confirmed cases</w:t>
      </w:r>
      <w:r>
        <w:t xml:space="preserve"> </w:t>
      </w:r>
      <w:r w:rsidRPr="008C44F0">
        <w:t xml:space="preserve">of COVID-19 by </w:t>
      </w:r>
      <w:r w:rsidR="006428D7">
        <w:t>Noakhali sub-d</w:t>
      </w:r>
      <w:r>
        <w:t>istrict</w:t>
      </w:r>
      <w:r w:rsidR="006428D7">
        <w:t xml:space="preserve"> </w:t>
      </w:r>
      <w:r>
        <w:t>data</w:t>
      </w:r>
      <w:r w:rsidRPr="008C44F0">
        <w:t xml:space="preserve">. Total cases had </w:t>
      </w:r>
      <w:r>
        <w:t xml:space="preserve">lower </w:t>
      </w:r>
      <w:r w:rsidRPr="008C44F0">
        <w:t xml:space="preserve">significant </w:t>
      </w:r>
      <w:r>
        <w:t>positive</w:t>
      </w:r>
      <w:r w:rsidRPr="008C44F0">
        <w:t xml:space="preserve"> Spearman's correlations with </w:t>
      </w:r>
      <w:r>
        <w:t>Arsenic</w:t>
      </w:r>
      <w:r w:rsidRPr="008C44F0">
        <w:t xml:space="preserve"> (r = </w:t>
      </w:r>
      <w:r>
        <w:t>0.</w:t>
      </w:r>
      <w:r w:rsidR="006428D7">
        <w:t>307</w:t>
      </w:r>
      <w:r w:rsidRPr="008C44F0">
        <w:t>, p = 0.</w:t>
      </w:r>
      <w:r w:rsidR="006428D7">
        <w:t>421</w:t>
      </w:r>
      <w:r w:rsidRPr="008C44F0">
        <w:t>)</w:t>
      </w:r>
      <w:r>
        <w:t>. However, the estimate of linear relation</w:t>
      </w:r>
      <w:r w:rsidRPr="008C44F0">
        <w:t xml:space="preserve"> shows that for each 1 </w:t>
      </w:r>
      <w:r>
        <w:t xml:space="preserve">ppb </w:t>
      </w:r>
      <w:r w:rsidRPr="008C44F0">
        <w:t xml:space="preserve">rise in </w:t>
      </w:r>
      <w:r>
        <w:t>Arsenic</w:t>
      </w:r>
      <w:r w:rsidRPr="008C44F0">
        <w:t xml:space="preserve">, there is </w:t>
      </w:r>
      <w:r>
        <w:t xml:space="preserve">almost </w:t>
      </w:r>
      <w:r w:rsidR="006428D7">
        <w:t>six</w:t>
      </w:r>
      <w:r>
        <w:t xml:space="preserve"> times in</w:t>
      </w:r>
      <w:r w:rsidRPr="008C44F0">
        <w:t>crease in the cumulative daily number of COVID-19 confirmed cases</w:t>
      </w:r>
      <w:r w:rsidR="006428D7">
        <w:t xml:space="preserve">. </w:t>
      </w:r>
      <w:r w:rsidRPr="00091108">
        <w:t xml:space="preserve">Table </w:t>
      </w:r>
      <w:r>
        <w:t>2 also</w:t>
      </w:r>
      <w:r w:rsidRPr="00091108">
        <w:t xml:space="preserve"> summarizes the R-squared results. Findings suggest that these factors have a </w:t>
      </w:r>
      <w:r>
        <w:t>not shown good</w:t>
      </w:r>
      <w:r w:rsidRPr="00091108">
        <w:t xml:space="preserve"> contribution to explaining the behavior of the COVID-19</w:t>
      </w:r>
      <w:r>
        <w:t xml:space="preserve"> with </w:t>
      </w:r>
      <w:r w:rsidR="006428D7">
        <w:t>Noakhali sub-</w:t>
      </w:r>
      <w:r>
        <w:t>district data</w:t>
      </w:r>
      <w:r w:rsidRPr="00091108">
        <w:t>.</w:t>
      </w:r>
    </w:p>
    <w:p w14:paraId="4DB6B9FE" w14:textId="682CF9BE" w:rsidR="00797903" w:rsidRDefault="00797903" w:rsidP="00CA65DE">
      <w:pPr>
        <w:jc w:val="both"/>
      </w:pPr>
      <w:r>
        <w:t xml:space="preserve">Figure </w:t>
      </w:r>
      <w:r w:rsidR="00FC2720">
        <w:t>2</w:t>
      </w:r>
      <w:r>
        <w:t>: Scatter plot with regression line between total cases and deaths with Arsenic rate.</w:t>
      </w:r>
    </w:p>
    <w:p w14:paraId="16DA3EB5" w14:textId="25C2E28B" w:rsidR="00176C70" w:rsidRPr="00176C70" w:rsidRDefault="00240714" w:rsidP="00CA65DE">
      <w:pPr>
        <w:tabs>
          <w:tab w:val="left" w:pos="5987"/>
        </w:tabs>
        <w:jc w:val="both"/>
      </w:pPr>
      <w:r>
        <w:rPr>
          <w:noProof/>
        </w:rPr>
        <w:drawing>
          <wp:inline distT="0" distB="0" distL="0" distR="0" wp14:anchorId="07CAA5FB" wp14:editId="51B52F32">
            <wp:extent cx="6096000" cy="453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86" cy="453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C70" w:rsidRPr="0017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0F9D0" w14:textId="77777777" w:rsidR="004156AF" w:rsidRDefault="004156AF" w:rsidP="00CA65DE">
      <w:pPr>
        <w:spacing w:after="0" w:line="240" w:lineRule="auto"/>
      </w:pPr>
      <w:r>
        <w:separator/>
      </w:r>
    </w:p>
  </w:endnote>
  <w:endnote w:type="continuationSeparator" w:id="0">
    <w:p w14:paraId="6C2CE5F8" w14:textId="77777777" w:rsidR="004156AF" w:rsidRDefault="004156AF" w:rsidP="00CA6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AE3C" w14:textId="77777777" w:rsidR="004156AF" w:rsidRDefault="004156AF" w:rsidP="00CA65DE">
      <w:pPr>
        <w:spacing w:after="0" w:line="240" w:lineRule="auto"/>
      </w:pPr>
      <w:r>
        <w:separator/>
      </w:r>
    </w:p>
  </w:footnote>
  <w:footnote w:type="continuationSeparator" w:id="0">
    <w:p w14:paraId="4CACB698" w14:textId="77777777" w:rsidR="004156AF" w:rsidRDefault="004156AF" w:rsidP="00CA6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01"/>
    <w:rsid w:val="00091108"/>
    <w:rsid w:val="000A6DA6"/>
    <w:rsid w:val="000E4BB7"/>
    <w:rsid w:val="00152BDA"/>
    <w:rsid w:val="00162C7A"/>
    <w:rsid w:val="00163CF6"/>
    <w:rsid w:val="00171FEF"/>
    <w:rsid w:val="00176C70"/>
    <w:rsid w:val="001B3A3F"/>
    <w:rsid w:val="00240714"/>
    <w:rsid w:val="002432FA"/>
    <w:rsid w:val="00280B16"/>
    <w:rsid w:val="002B54BD"/>
    <w:rsid w:val="002C3E72"/>
    <w:rsid w:val="00333C2A"/>
    <w:rsid w:val="00334250"/>
    <w:rsid w:val="00384329"/>
    <w:rsid w:val="00405447"/>
    <w:rsid w:val="00405A71"/>
    <w:rsid w:val="004156AF"/>
    <w:rsid w:val="00475DFE"/>
    <w:rsid w:val="004900F2"/>
    <w:rsid w:val="00497A30"/>
    <w:rsid w:val="004A7430"/>
    <w:rsid w:val="004D7D78"/>
    <w:rsid w:val="004F6CD6"/>
    <w:rsid w:val="005142AD"/>
    <w:rsid w:val="00523978"/>
    <w:rsid w:val="00556E88"/>
    <w:rsid w:val="00561A7D"/>
    <w:rsid w:val="00581888"/>
    <w:rsid w:val="005B75A9"/>
    <w:rsid w:val="005C1DE5"/>
    <w:rsid w:val="00634259"/>
    <w:rsid w:val="006428D7"/>
    <w:rsid w:val="006A3BFC"/>
    <w:rsid w:val="006E5C08"/>
    <w:rsid w:val="00792077"/>
    <w:rsid w:val="00797903"/>
    <w:rsid w:val="00807276"/>
    <w:rsid w:val="00853A83"/>
    <w:rsid w:val="00891168"/>
    <w:rsid w:val="008A3A3C"/>
    <w:rsid w:val="008C44F0"/>
    <w:rsid w:val="00957271"/>
    <w:rsid w:val="009D591B"/>
    <w:rsid w:val="00A164FC"/>
    <w:rsid w:val="00A34F51"/>
    <w:rsid w:val="00AA0CFA"/>
    <w:rsid w:val="00AB1BF4"/>
    <w:rsid w:val="00AE1464"/>
    <w:rsid w:val="00AF7B1D"/>
    <w:rsid w:val="00B94FE4"/>
    <w:rsid w:val="00BC31BF"/>
    <w:rsid w:val="00C33301"/>
    <w:rsid w:val="00C33447"/>
    <w:rsid w:val="00C61D96"/>
    <w:rsid w:val="00CA65DE"/>
    <w:rsid w:val="00CC3FDC"/>
    <w:rsid w:val="00CC60AA"/>
    <w:rsid w:val="00CF7139"/>
    <w:rsid w:val="00E8723D"/>
    <w:rsid w:val="00EA4070"/>
    <w:rsid w:val="00ED741B"/>
    <w:rsid w:val="00F52D9A"/>
    <w:rsid w:val="00F86A89"/>
    <w:rsid w:val="00F95DEA"/>
    <w:rsid w:val="00F97B75"/>
    <w:rsid w:val="00FB4265"/>
    <w:rsid w:val="00FC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5426"/>
  <w15:chartTrackingRefBased/>
  <w15:docId w15:val="{70CC645E-A399-423B-AC1A-792FE17D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6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5DE"/>
  </w:style>
  <w:style w:type="paragraph" w:styleId="Footer">
    <w:name w:val="footer"/>
    <w:basedOn w:val="Normal"/>
    <w:link w:val="FooterChar"/>
    <w:uiPriority w:val="99"/>
    <w:unhideWhenUsed/>
    <w:rsid w:val="00CA6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Food for the Hungry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58</cp:revision>
  <dcterms:created xsi:type="dcterms:W3CDTF">2023-01-15T23:31:00Z</dcterms:created>
  <dcterms:modified xsi:type="dcterms:W3CDTF">2023-01-29T12:15:00Z</dcterms:modified>
</cp:coreProperties>
</file>