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05610" w14:textId="289557D8" w:rsidR="00385184" w:rsidRPr="00F645FC" w:rsidRDefault="00385184" w:rsidP="00F645FC">
      <w:pPr>
        <w:spacing w:after="0" w:line="480" w:lineRule="auto"/>
        <w:jc w:val="center"/>
        <w:rPr>
          <w:rFonts w:ascii="Times New Roman" w:hAnsi="Times New Roman" w:cs="Times New Roman"/>
          <w:b/>
          <w:sz w:val="24"/>
          <w:szCs w:val="24"/>
        </w:rPr>
      </w:pPr>
      <w:r w:rsidRPr="00F645FC">
        <w:rPr>
          <w:rFonts w:ascii="Times New Roman" w:hAnsi="Times New Roman" w:cs="Times New Roman"/>
          <w:b/>
          <w:sz w:val="24"/>
          <w:szCs w:val="24"/>
        </w:rPr>
        <w:t xml:space="preserve">Understanding the highly variable of </w:t>
      </w:r>
      <w:r w:rsidR="00A44B6E" w:rsidRPr="00F645FC">
        <w:rPr>
          <w:rFonts w:ascii="Times New Roman" w:hAnsi="Times New Roman" w:cs="Times New Roman"/>
          <w:b/>
          <w:sz w:val="24"/>
          <w:szCs w:val="24"/>
        </w:rPr>
        <w:t>Case Fatality Rate (CFR)</w:t>
      </w:r>
      <w:r w:rsidRPr="00F645FC">
        <w:rPr>
          <w:rFonts w:ascii="Times New Roman" w:hAnsi="Times New Roman" w:cs="Times New Roman"/>
          <w:b/>
          <w:sz w:val="24"/>
          <w:szCs w:val="24"/>
        </w:rPr>
        <w:t xml:space="preserve"> </w:t>
      </w:r>
      <w:r w:rsidR="00A44B6E" w:rsidRPr="00F645FC">
        <w:rPr>
          <w:rFonts w:ascii="Times New Roman" w:hAnsi="Times New Roman" w:cs="Times New Roman"/>
          <w:b/>
          <w:sz w:val="24"/>
          <w:szCs w:val="24"/>
        </w:rPr>
        <w:t>over the time</w:t>
      </w:r>
    </w:p>
    <w:p w14:paraId="67A28D16" w14:textId="77777777" w:rsidR="00385184" w:rsidRPr="00F645FC" w:rsidRDefault="00385184" w:rsidP="00F645FC">
      <w:pPr>
        <w:spacing w:after="0" w:line="480" w:lineRule="auto"/>
        <w:jc w:val="both"/>
        <w:rPr>
          <w:rFonts w:ascii="Times New Roman" w:hAnsi="Times New Roman" w:cs="Times New Roman"/>
          <w:b/>
          <w:sz w:val="24"/>
          <w:szCs w:val="24"/>
        </w:rPr>
      </w:pPr>
    </w:p>
    <w:p w14:paraId="620B66B2" w14:textId="2E448873" w:rsidR="00385184" w:rsidRPr="00F645FC" w:rsidRDefault="00385184" w:rsidP="00F645FC">
      <w:pPr>
        <w:spacing w:after="0" w:line="480" w:lineRule="auto"/>
        <w:jc w:val="both"/>
        <w:rPr>
          <w:rFonts w:ascii="Times New Roman" w:hAnsi="Times New Roman" w:cs="Times New Roman"/>
          <w:b/>
          <w:sz w:val="24"/>
          <w:szCs w:val="24"/>
        </w:rPr>
      </w:pPr>
      <w:r w:rsidRPr="00F645FC">
        <w:rPr>
          <w:rFonts w:ascii="Times New Roman" w:hAnsi="Times New Roman" w:cs="Times New Roman"/>
          <w:b/>
          <w:sz w:val="24"/>
          <w:szCs w:val="24"/>
        </w:rPr>
        <w:t>Abstract:</w:t>
      </w:r>
    </w:p>
    <w:p w14:paraId="2D2770DA" w14:textId="77777777" w:rsidR="00456FA6" w:rsidRPr="00F645FC" w:rsidRDefault="00456FA6" w:rsidP="00F645FC">
      <w:pPr>
        <w:spacing w:after="0" w:line="480" w:lineRule="auto"/>
        <w:jc w:val="both"/>
        <w:rPr>
          <w:rFonts w:ascii="Times New Roman" w:hAnsi="Times New Roman" w:cs="Times New Roman"/>
          <w:b/>
          <w:sz w:val="24"/>
          <w:szCs w:val="24"/>
        </w:rPr>
      </w:pPr>
      <w:r w:rsidRPr="00F645FC">
        <w:rPr>
          <w:rFonts w:ascii="Times New Roman" w:hAnsi="Times New Roman" w:cs="Times New Roman"/>
          <w:b/>
          <w:sz w:val="24"/>
          <w:szCs w:val="24"/>
        </w:rPr>
        <w:t>Background/objectives</w:t>
      </w:r>
    </w:p>
    <w:p w14:paraId="4632C4AE" w14:textId="77777777" w:rsidR="006A144E" w:rsidRDefault="006A144E" w:rsidP="00F645FC">
      <w:pPr>
        <w:spacing w:after="0" w:line="480" w:lineRule="auto"/>
        <w:jc w:val="both"/>
        <w:rPr>
          <w:rFonts w:ascii="Times New Roman" w:hAnsi="Times New Roman" w:cs="Times New Roman"/>
          <w:sz w:val="24"/>
          <w:szCs w:val="24"/>
        </w:rPr>
      </w:pPr>
      <w:r w:rsidRPr="006A144E">
        <w:rPr>
          <w:rFonts w:ascii="Times New Roman" w:hAnsi="Times New Roman" w:cs="Times New Roman"/>
          <w:sz w:val="24"/>
          <w:szCs w:val="24"/>
        </w:rPr>
        <w:t>The pandemic of COVID-19 caused 10.25 million cases with more than 505,322 deaths as of June 30th, 2020. The worldwide case-fatality rate (CFR) was 4.90% and this rate observed in different countries varies greatly over time. The objective of this study was to identify variable(s) that explains such a large variety of fatality rates across all over the countries.</w:t>
      </w:r>
    </w:p>
    <w:p w14:paraId="1B983578" w14:textId="1A6595DB" w:rsidR="00456FA6" w:rsidRPr="00F645FC" w:rsidRDefault="00456FA6" w:rsidP="00F645FC">
      <w:pPr>
        <w:spacing w:after="0" w:line="480" w:lineRule="auto"/>
        <w:jc w:val="both"/>
        <w:rPr>
          <w:rFonts w:ascii="Times New Roman" w:hAnsi="Times New Roman" w:cs="Times New Roman"/>
          <w:b/>
          <w:sz w:val="24"/>
          <w:szCs w:val="24"/>
        </w:rPr>
      </w:pPr>
      <w:r w:rsidRPr="00F645FC">
        <w:rPr>
          <w:rFonts w:ascii="Times New Roman" w:hAnsi="Times New Roman" w:cs="Times New Roman"/>
          <w:b/>
          <w:sz w:val="24"/>
          <w:szCs w:val="24"/>
        </w:rPr>
        <w:t>Methods</w:t>
      </w:r>
    </w:p>
    <w:p w14:paraId="7BBB6D83" w14:textId="77777777" w:rsidR="006A144E" w:rsidRDefault="006A144E" w:rsidP="00F645FC">
      <w:pPr>
        <w:spacing w:after="0" w:line="480" w:lineRule="auto"/>
        <w:jc w:val="both"/>
        <w:rPr>
          <w:rFonts w:ascii="Times New Roman" w:hAnsi="Times New Roman" w:cs="Times New Roman"/>
          <w:sz w:val="24"/>
          <w:szCs w:val="24"/>
        </w:rPr>
      </w:pPr>
      <w:r w:rsidRPr="006A144E">
        <w:rPr>
          <w:rFonts w:ascii="Times New Roman" w:hAnsi="Times New Roman" w:cs="Times New Roman"/>
          <w:sz w:val="24"/>
          <w:szCs w:val="24"/>
        </w:rPr>
        <w:t xml:space="preserve">We collected COVID-19 related data, including daily new cases, daily new deaths, total deaths, and total cases, from the WHO daily COVID-19 situation reports of 209 countries as of January 01 to June 30, 2020. Further, we collected exploratory variables for each country from United Nations or other reliable sources including population density, gross domestic product (GDP), worldwide governance indicator (WGI), Global Health Security Index (GHSI), the median age for the national population. We used negative beta regression models to investigate the association between the CFR of each country and other explanatory variables and reported incidence rate ratios (IRRs) adjusted with 95% confidence intervals (CIs). We adjusted the stage of the epidemic in each country by including a variable of interval (in days) between detection of first COVID-19 case in the country and last date of data collection, 30th May 2020.  </w:t>
      </w:r>
    </w:p>
    <w:p w14:paraId="38109CCE" w14:textId="0C88EB66" w:rsidR="00385184" w:rsidRPr="00F645FC" w:rsidRDefault="00385184" w:rsidP="00F645FC">
      <w:pPr>
        <w:spacing w:after="0" w:line="480" w:lineRule="auto"/>
        <w:jc w:val="both"/>
        <w:rPr>
          <w:rFonts w:ascii="Times New Roman" w:hAnsi="Times New Roman" w:cs="Times New Roman"/>
          <w:b/>
          <w:sz w:val="24"/>
          <w:szCs w:val="24"/>
        </w:rPr>
      </w:pPr>
      <w:r w:rsidRPr="00F645FC">
        <w:rPr>
          <w:rFonts w:ascii="Times New Roman" w:hAnsi="Times New Roman" w:cs="Times New Roman"/>
          <w:b/>
          <w:sz w:val="24"/>
          <w:szCs w:val="24"/>
        </w:rPr>
        <w:t>Results</w:t>
      </w:r>
    </w:p>
    <w:p w14:paraId="30FC7448" w14:textId="77777777" w:rsidR="006A144E" w:rsidRDefault="006A144E" w:rsidP="00F645FC">
      <w:pPr>
        <w:spacing w:after="0" w:line="480" w:lineRule="auto"/>
        <w:jc w:val="both"/>
        <w:rPr>
          <w:rFonts w:ascii="Times New Roman" w:hAnsi="Times New Roman" w:cs="Times New Roman"/>
          <w:sz w:val="24"/>
          <w:szCs w:val="24"/>
        </w:rPr>
      </w:pPr>
      <w:r w:rsidRPr="006A144E">
        <w:rPr>
          <w:rFonts w:ascii="Times New Roman" w:hAnsi="Times New Roman" w:cs="Times New Roman"/>
          <w:sz w:val="24"/>
          <w:szCs w:val="24"/>
        </w:rPr>
        <w:t xml:space="preserve">Out of 4.90% worldwide CFR, Yemen (26.95%), France (18.15%), Belgium (15.84%), Italy (14.45%), and Hungary (14.11%) had the most CFR due to COVID-19. Distribution of worldwide weekly CFR shows that after 17 epidemiological weeks of the pandemic, in comparison with </w:t>
      </w:r>
      <w:r w:rsidRPr="006A144E">
        <w:rPr>
          <w:rFonts w:ascii="Times New Roman" w:hAnsi="Times New Roman" w:cs="Times New Roman"/>
          <w:sz w:val="24"/>
          <w:szCs w:val="24"/>
        </w:rPr>
        <w:lastRenderedPageBreak/>
        <w:t>previous epidemiological week, the fatality rate was decreased. In WHO regions, the Western Pacific Region (WPRO) indicating the early spread of the virus before others. Almost all-region declines about to 15 – 20 weeks. When the EURO region started to decline their CFR rate, the world CFR also started to decline sharply. We found the median age, diabetes and GHSI the most important explanatory variable (IRR: 1.05, 95% CI: 1.02-1.07), (IRR: 0.91, 95% CI: 0.87-0.94) and (IRR: 0.98, 95% CI: 0.97-0.99) for the variation of fatality rate across the countries before peak week. Surprisingly, when CFR decreasing WGI was observed significantly correlate after peak week (IRR: 1.26 [95% CI: 1.07-1.50]) for COVID-19 CFR.</w:t>
      </w:r>
    </w:p>
    <w:p w14:paraId="721F4ABC" w14:textId="3FA17B1A" w:rsidR="00385184" w:rsidRPr="00F645FC" w:rsidRDefault="00385184" w:rsidP="00F645FC">
      <w:pPr>
        <w:spacing w:after="0" w:line="480" w:lineRule="auto"/>
        <w:jc w:val="both"/>
        <w:rPr>
          <w:rFonts w:ascii="Times New Roman" w:hAnsi="Times New Roman" w:cs="Times New Roman"/>
          <w:b/>
          <w:sz w:val="24"/>
          <w:szCs w:val="24"/>
        </w:rPr>
      </w:pPr>
      <w:r w:rsidRPr="00F645FC">
        <w:rPr>
          <w:rFonts w:ascii="Times New Roman" w:hAnsi="Times New Roman" w:cs="Times New Roman"/>
          <w:b/>
          <w:sz w:val="24"/>
          <w:szCs w:val="24"/>
        </w:rPr>
        <w:t>Conclusion</w:t>
      </w:r>
      <w:r w:rsidR="00456FA6" w:rsidRPr="00F645FC">
        <w:rPr>
          <w:rFonts w:ascii="Times New Roman" w:hAnsi="Times New Roman" w:cs="Times New Roman"/>
          <w:b/>
          <w:sz w:val="24"/>
          <w:szCs w:val="24"/>
        </w:rPr>
        <w:t>s</w:t>
      </w:r>
    </w:p>
    <w:p w14:paraId="67337A1B" w14:textId="00E79C7C" w:rsidR="00C34462" w:rsidRPr="00F645FC" w:rsidRDefault="006A144E" w:rsidP="00F645FC">
      <w:pPr>
        <w:spacing w:after="0" w:line="480" w:lineRule="auto"/>
        <w:jc w:val="both"/>
        <w:rPr>
          <w:rFonts w:ascii="Times New Roman" w:hAnsi="Times New Roman" w:cs="Times New Roman"/>
          <w:b/>
          <w:sz w:val="24"/>
          <w:szCs w:val="24"/>
        </w:rPr>
      </w:pPr>
      <w:r w:rsidRPr="006A144E">
        <w:rPr>
          <w:rFonts w:ascii="Times New Roman" w:hAnsi="Times New Roman" w:cs="Times New Roman"/>
          <w:sz w:val="24"/>
          <w:szCs w:val="24"/>
        </w:rPr>
        <w:t xml:space="preserve">The CFR can play a great role in establishing the public health threat of a given disease. Many factors associated with these CFR and the factor vary at the various stage to explained CFR. In our findings, all countries CFR increases overtime at the beginning of the pandemic and it begins to decreasing when most of the developed countries conduct extensive early testing of contacts to known cases (most of the countries of PAHO and EURO regions) are largely driven by differences in a fatality. An accurate assessment of these differences in the CFR over country and time is important to inform and determine appropriate control and mitigation interventions such as social constraints and mobility restrictions. </w:t>
      </w:r>
      <w:r w:rsidR="00E60165" w:rsidRPr="00F645FC">
        <w:rPr>
          <w:rFonts w:ascii="Times New Roman" w:hAnsi="Times New Roman" w:cs="Times New Roman"/>
          <w:b/>
          <w:sz w:val="24"/>
          <w:szCs w:val="24"/>
        </w:rPr>
        <w:br w:type="page"/>
      </w:r>
      <w:r w:rsidR="00C34462" w:rsidRPr="00F645FC">
        <w:rPr>
          <w:rFonts w:ascii="Times New Roman" w:hAnsi="Times New Roman" w:cs="Times New Roman"/>
          <w:b/>
          <w:bCs/>
          <w:sz w:val="24"/>
          <w:szCs w:val="24"/>
        </w:rPr>
        <w:lastRenderedPageBreak/>
        <w:t>Introduction</w:t>
      </w:r>
    </w:p>
    <w:p w14:paraId="4520925B" w14:textId="09013CFC" w:rsidR="00F645FC" w:rsidRPr="00F645FC" w:rsidRDefault="00DD5CF6"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 xml:space="preserve">In December 2019, </w:t>
      </w:r>
      <w:r w:rsidR="00002667" w:rsidRPr="00F645FC">
        <w:rPr>
          <w:rFonts w:ascii="Times New Roman" w:hAnsi="Times New Roman" w:cs="Times New Roman"/>
          <w:sz w:val="24"/>
          <w:szCs w:val="24"/>
        </w:rPr>
        <w:t>some cases of pneumonia of unknown cause</w:t>
      </w:r>
      <w:r w:rsidR="00BB45AD" w:rsidRPr="00F645FC">
        <w:rPr>
          <w:rFonts w:ascii="Times New Roman" w:hAnsi="Times New Roman" w:cs="Times New Roman"/>
          <w:sz w:val="24"/>
          <w:szCs w:val="24"/>
        </w:rPr>
        <w:t>s</w:t>
      </w:r>
      <w:r w:rsidR="00002667" w:rsidRPr="00F645FC">
        <w:rPr>
          <w:rFonts w:ascii="Times New Roman" w:hAnsi="Times New Roman" w:cs="Times New Roman"/>
          <w:sz w:val="24"/>
          <w:szCs w:val="24"/>
        </w:rPr>
        <w:t xml:space="preserve"> have been detected </w:t>
      </w:r>
      <w:r w:rsidRPr="00F645FC">
        <w:rPr>
          <w:rFonts w:ascii="Times New Roman" w:hAnsi="Times New Roman" w:cs="Times New Roman"/>
          <w:sz w:val="24"/>
          <w:szCs w:val="24"/>
        </w:rPr>
        <w:t>in the city of Wuhan</w:t>
      </w:r>
      <w:r w:rsidR="00002667" w:rsidRPr="00F645FC">
        <w:rPr>
          <w:rFonts w:ascii="Times New Roman" w:hAnsi="Times New Roman" w:cs="Times New Roman"/>
          <w:sz w:val="24"/>
          <w:szCs w:val="24"/>
        </w:rPr>
        <w:t>, China</w:t>
      </w:r>
      <w:r w:rsidRPr="00F645FC">
        <w:rPr>
          <w:rFonts w:ascii="Times New Roman" w:hAnsi="Times New Roman" w:cs="Times New Roman"/>
          <w:sz w:val="24"/>
          <w:szCs w:val="24"/>
        </w:rPr>
        <w:t xml:space="preserve"> </w:t>
      </w:r>
      <w:r w:rsidR="006E442F" w:rsidRPr="00F645FC">
        <w:rPr>
          <w:rFonts w:ascii="Times New Roman" w:hAnsi="Times New Roman" w:cs="Times New Roman"/>
          <w:sz w:val="24"/>
          <w:szCs w:val="24"/>
        </w:rPr>
        <w:t xml:space="preserve">and </w:t>
      </w:r>
      <w:r w:rsidR="00002667" w:rsidRPr="00F645FC">
        <w:rPr>
          <w:rFonts w:ascii="Times New Roman" w:hAnsi="Times New Roman" w:cs="Times New Roman"/>
          <w:sz w:val="24"/>
          <w:szCs w:val="24"/>
        </w:rPr>
        <w:t xml:space="preserve">it </w:t>
      </w:r>
      <w:r w:rsidRPr="00F645FC">
        <w:rPr>
          <w:rFonts w:ascii="Times New Roman" w:hAnsi="Times New Roman" w:cs="Times New Roman"/>
          <w:sz w:val="24"/>
          <w:szCs w:val="24"/>
        </w:rPr>
        <w:t xml:space="preserve">spread rapidly in </w:t>
      </w:r>
      <w:r w:rsidR="00BB45AD" w:rsidRPr="00F645FC">
        <w:rPr>
          <w:rFonts w:ascii="Times New Roman" w:hAnsi="Times New Roman" w:cs="Times New Roman"/>
          <w:sz w:val="24"/>
          <w:szCs w:val="24"/>
        </w:rPr>
        <w:t xml:space="preserve">the </w:t>
      </w:r>
      <w:r w:rsidRPr="00F645FC">
        <w:rPr>
          <w:rFonts w:ascii="Times New Roman" w:hAnsi="Times New Roman" w:cs="Times New Roman"/>
          <w:sz w:val="24"/>
          <w:szCs w:val="24"/>
        </w:rPr>
        <w:t>Hubei Province</w:t>
      </w:r>
      <w:r w:rsidR="00002667" w:rsidRPr="00F645FC">
        <w:rPr>
          <w:rFonts w:ascii="Times New Roman" w:hAnsi="Times New Roman" w:cs="Times New Roman"/>
          <w:sz w:val="24"/>
          <w:szCs w:val="24"/>
        </w:rPr>
        <w:t xml:space="preserve"> of China</w:t>
      </w:r>
      <w:r w:rsidR="000B6210"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DOI":"10.1016/S0140-6736(20)30185-9","ISSN":"1474547X","PMID":"31986257","author":[{"dropping-particle":"","family":"Wang","given":"Chen","non-dropping-particle":"","parse-names":false,"suffix":""},{"dropping-particle":"","family":"Horby","given":"Peter W.","non-dropping-particle":"","parse-names":false,"suffix":""},{"dropping-particle":"","family":"Hayden","given":"Frederick G.","non-dropping-particle":"","parse-names":false,"suffix":""},{"dropping-particle":"","family":"Gao","given":"George F.","non-dropping-particle":"","parse-names":false,"suffix":""}],"container-title":"The Lancet","id":"ITEM-1","issue":"10223","issued":{"date-parts":[["2020","2","15"]]},"page":"470-473","publisher":"Lancet Publishing Group","title":"A novel coronavirus outbreak of global health concern","type":"article","volume":"395"},"uris":["http://www.mendeley.com/documents/?uuid=c161d3c5-502e-3c65-9efd-2516a9fd748f"]}],"mendeley":{"formattedCitation":"&lt;sup&gt;1&lt;/sup&gt;","plainTextFormattedCitation":"1","previouslyFormattedCitation":"&lt;sup&gt;1&lt;/sup&gt;"},"properties":{"noteIndex":0},"schema":"https://github.com/citation-style-language/schema/raw/master/csl-citation.json"}</w:instrText>
      </w:r>
      <w:r w:rsidR="000B6210"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1</w:t>
      </w:r>
      <w:r w:rsidR="000B6210" w:rsidRPr="00F645FC">
        <w:rPr>
          <w:rFonts w:ascii="Times New Roman" w:hAnsi="Times New Roman" w:cs="Times New Roman"/>
          <w:sz w:val="24"/>
          <w:szCs w:val="24"/>
        </w:rPr>
        <w:fldChar w:fldCharType="end"/>
      </w:r>
      <w:r w:rsidR="00E16CA5" w:rsidRPr="00F645FC">
        <w:rPr>
          <w:rFonts w:ascii="Times New Roman" w:hAnsi="Times New Roman" w:cs="Times New Roman"/>
          <w:sz w:val="24"/>
          <w:szCs w:val="24"/>
        </w:rPr>
        <w:t xml:space="preserve">. </w:t>
      </w:r>
      <w:r w:rsidR="00002667" w:rsidRPr="00F645FC">
        <w:rPr>
          <w:rFonts w:ascii="Times New Roman" w:hAnsi="Times New Roman" w:cs="Times New Roman"/>
          <w:sz w:val="24"/>
          <w:szCs w:val="24"/>
        </w:rPr>
        <w:t>In a few weeks</w:t>
      </w:r>
      <w:r w:rsidRPr="00F645FC">
        <w:rPr>
          <w:rFonts w:ascii="Times New Roman" w:hAnsi="Times New Roman" w:cs="Times New Roman"/>
          <w:sz w:val="24"/>
          <w:szCs w:val="24"/>
        </w:rPr>
        <w:t xml:space="preserve">, </w:t>
      </w:r>
      <w:r w:rsidR="00E16CA5" w:rsidRPr="00F645FC">
        <w:rPr>
          <w:rFonts w:ascii="Times New Roman" w:hAnsi="Times New Roman" w:cs="Times New Roman"/>
          <w:sz w:val="24"/>
          <w:szCs w:val="24"/>
        </w:rPr>
        <w:t xml:space="preserve">the number of cases </w:t>
      </w:r>
      <w:r w:rsidR="00EA4257" w:rsidRPr="00F645FC">
        <w:rPr>
          <w:rFonts w:ascii="Times New Roman" w:hAnsi="Times New Roman" w:cs="Times New Roman"/>
          <w:sz w:val="24"/>
          <w:szCs w:val="24"/>
        </w:rPr>
        <w:t>was</w:t>
      </w:r>
      <w:r w:rsidRPr="00F645FC">
        <w:rPr>
          <w:rFonts w:ascii="Times New Roman" w:hAnsi="Times New Roman" w:cs="Times New Roman"/>
          <w:sz w:val="24"/>
          <w:szCs w:val="24"/>
        </w:rPr>
        <w:t xml:space="preserve"> dramatic</w:t>
      </w:r>
      <w:r w:rsidR="00E16CA5" w:rsidRPr="00F645FC">
        <w:rPr>
          <w:rFonts w:ascii="Times New Roman" w:hAnsi="Times New Roman" w:cs="Times New Roman"/>
          <w:sz w:val="24"/>
          <w:szCs w:val="24"/>
        </w:rPr>
        <w:t>ally</w:t>
      </w:r>
      <w:r w:rsidRPr="00F645FC">
        <w:rPr>
          <w:rFonts w:ascii="Times New Roman" w:hAnsi="Times New Roman" w:cs="Times New Roman"/>
          <w:sz w:val="24"/>
          <w:szCs w:val="24"/>
        </w:rPr>
        <w:t xml:space="preserve"> increase</w:t>
      </w:r>
      <w:r w:rsidR="00E16CA5" w:rsidRPr="00F645FC">
        <w:rPr>
          <w:rFonts w:ascii="Times New Roman" w:hAnsi="Times New Roman" w:cs="Times New Roman"/>
          <w:sz w:val="24"/>
          <w:szCs w:val="24"/>
        </w:rPr>
        <w:t>d</w:t>
      </w:r>
      <w:r w:rsidRPr="00F645FC">
        <w:rPr>
          <w:rFonts w:ascii="Times New Roman" w:hAnsi="Times New Roman" w:cs="Times New Roman"/>
          <w:sz w:val="24"/>
          <w:szCs w:val="24"/>
        </w:rPr>
        <w:t xml:space="preserve"> and subsequently </w:t>
      </w:r>
      <w:r w:rsidR="00E16CA5" w:rsidRPr="00F645FC">
        <w:rPr>
          <w:rFonts w:ascii="Times New Roman" w:hAnsi="Times New Roman" w:cs="Times New Roman"/>
          <w:sz w:val="24"/>
          <w:szCs w:val="24"/>
        </w:rPr>
        <w:t xml:space="preserve">spread </w:t>
      </w:r>
      <w:r w:rsidRPr="00F645FC">
        <w:rPr>
          <w:rFonts w:ascii="Times New Roman" w:hAnsi="Times New Roman" w:cs="Times New Roman"/>
          <w:sz w:val="24"/>
          <w:szCs w:val="24"/>
        </w:rPr>
        <w:t>around the world</w:t>
      </w:r>
      <w:r w:rsidR="00E84123"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DOI":"10.3760/CMA.J.ISSN.1001-0939.2020.0005","ISSN":"1001-0939","PMID":"32026671","author":[{"dropping-particle":"","family":"L","given":"Chen","non-dropping-particle":"","parse-names":false,"suffix":""},{"dropping-particle":"","family":"HG","given":"Liu","non-dropping-particle":"","parse-names":false,"suffix":""},{"dropping-particle":"","family":"W","given":"Liu","non-dropping-particle":"","parse-names":false,"suffix":""},{"dropping-particle":"","family":"J","given":"Liu","non-dropping-particle":"","parse-names":false,"suffix":""},{"dropping-particle":"","family":"K","given":"Liu","non-dropping-particle":"","parse-names":false,"suffix":""},{"dropping-particle":"","family":"J","given":"Shang","non-dropping-particle":"","parse-names":false,"suffix":""},{"dropping-particle":"","family":"Y","given":"Deng","non-dropping-particle":"","parse-names":false,"suffix":""},{"dropping-particle":"","family":"S","given":"Wei","non-dropping-particle":"","parse-names":false,"suffix":""}],"container-title":"Zhonghua jie he he hu xi za zhi = Zhonghua jiehe he huxi zazhi = Chinese journal of tuberculosis and respiratory diseases","id":"ITEM-1","issue":"0","issued":{"date-parts":[["2020"]]},"publisher":"Zhonghua Jie He He Hu Xi Za Zhi","title":"[Analysis of Clinical Features of 29 Patients With 2019 Novel Coronavirus Pneumonia]","type":"article-journal","volume":"43"},"uris":["http://www.mendeley.com/documents/?uuid=bdc26a4d-aa2d-3543-b759-d959329ff6d3"]},{"id":"ITEM-2","itemData":{"DOI":"10.1016/S0140-6736(20)30360-3","ISSN":"1474547X","PMID":"32151335","abstract":"Background: Previous studies on the pneumonia outbreak caused by the 2019 novel coronavirus disease (COVID-19) were based on information from the general population. Limited data are available for pregnant women with COVID-19 pneumonia. This study aimed to evaluate the clinical characteristics of COVID-19 in pregnancy and the intrauterine vertical transmission potential of COVID-19 infection. Methods: Clinical records, laboratory results, and chest CT scans were retrospectively reviewed for nine pregnant women with laboratory-confirmed COVID-19 pneumonia (ie, with maternal throat swab samples that were positive for severe acute respiratory syndrome coronavirus 2 [SARS-CoV-2]) who were admitted to Zhongnan Hospital of Wuhan University, Wuhan, China, from Jan 20 to Jan 31, 2020. Evidence of intrauterine vertical transmission was assessed by testing for the presence of SARS-CoV-2 in amniotic fluid, cord blood, and neonatal throat swab samples. Breastmilk samples were also collected and tested from patients after the first lactation. Findings: All nine patients had a caesarean section in their third trimester. Seven patients presented with a fever. Other symptoms, including cough (in four of nine patients), myalgia (in three), sore throat (in two), and malaise (in two), were also observed. Fetal distress was monitored in two cases. Five of nine patients had lymphopenia (&lt;1·0 × 10⁹ cells per L). Three patients had increased aminotransferase concentrations. None of the patients developed severe COVID-19 pneumonia or died, as of Feb 4, 2020. Nine livebirths were recorded. No neonatal asphyxia was observed in newborn babies. All nine livebirths had a 1-min Apgar score of 8–9 and a 5-min Apgar score of 9–10. Amniotic fluid, cord blood, neonatal throat swab, and breastmilk samples from six patients were tested for SARS-CoV-2, and all samples tested negative for the virus. Interpretation: The clinical characteristics of COVID-19 pneumonia in pregnant women were similar to those reported for non-pregnant adult patients who developed COVID-19 pneumonia. Findings from this small group of cases suggest that there is currently no evidence for intrauterine infection caused by vertical transmission in women who develop COVID-19 pneumonia in late pregnancy. Funding: Hubei Science and Technology Plan, Wuhan University Medical Development Plan.","author":[{"dropping-particle":"","family":"Chen","given":"Huijun","non-dropping-particle":"","parse-names":false,"suffix":""},{"dropping-particle":"","family":"Guo","given":"Juanjuan","non-dropping-particle":"","parse-names":false,"suffix":""},{"dropping-particle":"","family":"Wang","given":"Chen","non-dropping-particle":"","parse-names":false,"suffix":""},{"dropping-particle":"","family":"Luo","given":"Fan","non-dropping-particle":"","parse-names":false,"suffix":""},{"dropping-particle":"","family":"Yu","given":"Xuechen","non-dropping-particle":"","parse-names":false,"suffix":""},{"dropping-particle":"","family":"Zhang","given":"Wei","non-dropping-particle":"","parse-names":false,"suffix":""},{"dropping-particle":"","family":"Li","given":"Jiafu","non-dropping-particle":"","parse-names":false,"suffix":""},{"dropping-particle":"","family":"Zhao","given":"Dongchi","non-dropping-particle":"","parse-names":false,"suffix":""},{"dropping-particle":"","family":"Xu","given":"Dan","non-dropping-particle":"","parse-names":false,"suffix":""},{"dropping-particle":"","family":"Gong","given":"Qing","non-dropping-particle":"","parse-names":false,"suffix":""},{"dropping-particle":"","family":"Liao","given":"Jing","non-dropping-particle":"","parse-names":false,"suffix":""},{"dropping-particle":"","family":"Yang","given":"Huixia","non-dropping-particle":"","parse-names":false,"suffix":""},{"dropping-particle":"","family":"Hou","given":"Wei","non-dropping-particle":"","parse-names":false,"suffix":""},{"dropping-particle":"","family":"Zhang","given":"Yuanzhen","non-dropping-particle":"","parse-names":false,"suffix":""}],"container-title":"The Lancet","id":"ITEM-2","issue":"10226","issued":{"date-parts":[["2020","3","7"]]},"page":"809-815","publisher":"Lancet Publishing Group","title":"Clinical characteristics and intrauterine vertical transmission potential of COVID-19 infection in nine pregnant women: a retrospective review of medical records","type":"article-journal","volume":"395"},"uris":["http://www.mendeley.com/documents/?uuid=b23c9ade-1172-3f13-a915-3022a1f87db0"]},{"id":"ITEM-3","itemData":{"DOI":"10.3760/cma.j.cn112148-20200225-00123","ISSN":"02533758","PMID":"32141280","abstract":"Objective: To evaluate the cardiovascular damage of patients with COVID-19, and determine the correlation of serum N-terminal pro B-type natriuretic peptide (NT-proBNP) and cardiac troponin-I (cTnI) with the severity of COVID-19, and the impact of concomitant cardiovascular disease on severity of COVID-19 was also evaluated. Methods: A cross-sectional study was designed on 150 consecutive patients with COVID-19 in the fever clinic of Tongji Hospital in Wuhan from January to February in 2020, including 126 mild cases and 24 cases in critical care. Both univariate and multivariate logistic regression were used to analyze the correlation of past medical history including hypertension, diabetes and coronary heart disease (CHD) , as well as the levels of serum NT-proBNP and cTnI to the disease severity of COVID-19 patients. Results: Age, hypersensitive C-reactive protein(hs-CRP) and serum creatinine levels of the patients were higher in critical care cases than in mild cases(all P&lt;0.05). Prevalence of male, elevated NT-proBNP and cTnI, hypertension and coronary heart disease were significantly higher in critical cases care patients than in the mild cases(all P&lt;0.05). Univariate logistic regression analysis showed that age, male, elevated NT-proBNP, elevated cTnI, elevated hs-CRP, elevated serum creatinine, hypertension, and CHD were significantly correlated with critical disease status(all P&lt;0.05). Multivariate logistic regression analysis showed that elevated cTnI(OR=26.909, 95%CI 4.086-177.226, P=0.001) and CHD (OR=16.609, 95%CI 2.288-120.577, P=0.005) were the independent risk factors of critical disease status. Conclusions: COVID-19 can significantly affect the heart function and lead to myocardial injury. The past medical history of CHD and increased level of cTnI are two independent determinants of clinical disease status in patients with COVID-19.","author":[{"dropping-particle":"","family":"Chen","given":"C.","non-dropping-particle":"","parse-names":false,"suffix":""},{"dropping-particle":"","family":"Yan","given":"J. T.","non-dropping-particle":"","parse-names":false,"suffix":""},{"dropping-particle":"","family":"Zhou","given":"N.","non-dropping-particle":"","parse-names":false,"suffix":""},{"dropping-particle":"","family":"Zhao","given":"J. P.","non-dropping-particle":"","parse-names":false,"suffix":""},{"dropping-particle":"","family":"Wang","given":"D. W.","non-dropping-particle":"","parse-names":false,"suffix":""}],"container-title":"Zhonghua xin xue guan bing za zhi","id":"ITEM-3","issue":"0","issued":{"date-parts":[["2020","3","6"]]},"page":"E008","publisher":"NLM (Medline)","title":"Analysis of myocardial injury in patients with COVID-19 and association between concomitant cardiovascular diseases and severity of COVID-19","type":"article-journal","volume":"48"},"uris":["http://www.mendeley.com/documents/?uuid=890c3622-90ce-307b-a14d-b289eb3d787b"]},{"id":"ITEM-4","itemData":{"DOI":"10.1093/cid/ciaa198","ISSN":"15376591","PMID":"32112072","abstract":"We first described the 2019 novel coronavirus infection in 10 children occurring in areas other than Wuhan. The coronavirus diseases in children are usually mild and epidemiological exposure is a key clue to recognize pediatric case. Prolonged virus shedding is observed in respiratory tract and feces at the convalescent stage.","author":[{"dropping-particle":"","family":"Cai","given":"Jiehao","non-dropping-particle":"","parse-names":false,"suffix":""},{"dropping-particle":"","family":"Xu","given":"Jing","non-dropping-particle":"","parse-names":false,"suffix":""},{"dropping-particle":"","family":"Lin","given":"Daojiong","non-dropping-particle":"","parse-names":false,"suffix":""},{"dropping-particle":"","family":"Yang","given":"Zhi","non-dropping-particle":"","parse-names":false,"suffix":""},{"dropping-particle":"","family":"Xu","given":"Lei","non-dropping-particle":"","parse-names":false,"suffix":""},{"dropping-particle":"","family":"Qu","given":"Zhenghai","non-dropping-particle":"","parse-names":false,"suffix":""},{"dropping-particle":"","family":"Zhang","given":"Yuehua","non-dropping-particle":"","parse-names":false,"suffix":""},{"dropping-particle":"","family":"Zhang","given":"Hua","non-dropping-particle":"","parse-names":false,"suffix":""},{"dropping-particle":"","family":"Jia","given":"Ran","non-dropping-particle":"","parse-names":false,"suffix":""},{"dropping-particle":"","family":"Liu","given":"Pengcheng","non-dropping-particle":"","parse-names":false,"suffix":""},{"dropping-particle":"","family":"Wang","given":"Xiangshi","non-dropping-particle":"","parse-names":false,"suffix":""},{"dropping-particle":"","family":"Ge","given":"Yanling","non-dropping-particle":"","parse-names":false,"suffix":""},{"dropping-particle":"","family":"Xia","given":"Aimei","non-dropping-particle":"","parse-names":false,"suffix":""},{"dropping-particle":"","family":"Tian","given":"He","non-dropping-particle":"","parse-names":false,"suffix":""},{"dropping-particle":"","family":"Chang","given":"Hailing","non-dropping-particle":"","parse-names":false,"suffix":""},{"dropping-particle":"","family":"Wang","given":"Chuning","non-dropping-particle":"","parse-names":false,"suffix":""},{"dropping-particle":"","family":"Li","given":"Jingjing","non-dropping-particle":"","parse-names":false,"suffix":""},{"dropping-particle":"","family":"Wang","given":"Jianshe","non-dropping-particle":"","parse-names":false,"suffix":""},{"dropping-particle":"","family":"Zeng","given":"Mei","non-dropping-particle":"","parse-names":false,"suffix":""}],"container-title":"Clinical infectious diseases : an official publication of the Infectious Diseases Society of America","id":"ITEM-4","issued":{"date-parts":[["2020"]]},"title":"A Case Series of children with 2019 novel coronavirus infection: clinical and epidemiological features","type":"article-journal"},"uris":["http://www.mendeley.com/documents/?uuid=945dcd3d-1b1f-3d65-ba22-9c8eb2ad1510"]}],"mendeley":{"formattedCitation":"&lt;sup&gt;2–5&lt;/sup&gt;","plainTextFormattedCitation":"2–5","previouslyFormattedCitation":"&lt;sup&gt;2–5&lt;/sup&gt;"},"properties":{"noteIndex":0},"schema":"https://github.com/citation-style-language/schema/raw/master/csl-citation.json"}</w:instrText>
      </w:r>
      <w:r w:rsidR="00E84123"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2–5</w:t>
      </w:r>
      <w:r w:rsidR="00E84123" w:rsidRPr="00F645FC">
        <w:rPr>
          <w:rFonts w:ascii="Times New Roman" w:hAnsi="Times New Roman" w:cs="Times New Roman"/>
          <w:sz w:val="24"/>
          <w:szCs w:val="24"/>
        </w:rPr>
        <w:fldChar w:fldCharType="end"/>
      </w:r>
      <w:r w:rsidR="00443EDB" w:rsidRPr="00F645FC">
        <w:rPr>
          <w:rFonts w:ascii="Times New Roman" w:hAnsi="Times New Roman" w:cs="Times New Roman"/>
          <w:sz w:val="24"/>
          <w:szCs w:val="24"/>
        </w:rPr>
        <w:t xml:space="preserve">. </w:t>
      </w:r>
      <w:r w:rsidR="00EB5FDC">
        <w:rPr>
          <w:rFonts w:ascii="Times New Roman" w:hAnsi="Times New Roman" w:cs="Times New Roman"/>
          <w:sz w:val="24"/>
          <w:szCs w:val="24"/>
        </w:rPr>
        <w:t xml:space="preserve"> </w:t>
      </w:r>
      <w:r w:rsidR="00891509" w:rsidRPr="00891509">
        <w:rPr>
          <w:rFonts w:ascii="Times New Roman" w:hAnsi="Times New Roman" w:cs="Times New Roman"/>
          <w:sz w:val="24"/>
          <w:szCs w:val="24"/>
        </w:rPr>
        <w:t>In January 2020, the World Health Organization (WHO) named the virus as Severe Acute Respiratory Syndrome Coronavirus 2 (SARS-Co</w:t>
      </w:r>
      <w:r w:rsidR="00891509">
        <w:rPr>
          <w:rFonts w:ascii="Times New Roman" w:hAnsi="Times New Roman" w:cs="Times New Roman"/>
          <w:sz w:val="24"/>
          <w:szCs w:val="24"/>
        </w:rPr>
        <w:t>V</w:t>
      </w:r>
      <w:r w:rsidR="00891509" w:rsidRPr="00891509">
        <w:rPr>
          <w:rFonts w:ascii="Times New Roman" w:hAnsi="Times New Roman" w:cs="Times New Roman"/>
          <w:sz w:val="24"/>
          <w:szCs w:val="24"/>
        </w:rPr>
        <w:t xml:space="preserve">-2) and </w:t>
      </w:r>
      <w:r w:rsidR="00891509">
        <w:rPr>
          <w:rFonts w:ascii="Times New Roman" w:hAnsi="Times New Roman" w:cs="Times New Roman"/>
          <w:sz w:val="24"/>
          <w:szCs w:val="24"/>
        </w:rPr>
        <w:t xml:space="preserve">designated as </w:t>
      </w:r>
      <w:r w:rsidR="00891509" w:rsidRPr="00891509">
        <w:rPr>
          <w:rFonts w:ascii="Times New Roman" w:hAnsi="Times New Roman" w:cs="Times New Roman"/>
          <w:sz w:val="24"/>
          <w:szCs w:val="24"/>
        </w:rPr>
        <w:t>Coronavirus Disease 2019 (COVID-19).</w:t>
      </w:r>
      <w:r w:rsidR="00811D82">
        <w:rPr>
          <w:rFonts w:ascii="Times New Roman" w:hAnsi="Times New Roman" w:cs="Times New Roman"/>
          <w:sz w:val="24"/>
          <w:szCs w:val="24"/>
        </w:rPr>
        <w:t xml:space="preserve"> </w:t>
      </w:r>
      <w:r w:rsidR="009A5F13" w:rsidRPr="00F645FC">
        <w:rPr>
          <w:rFonts w:ascii="Times New Roman" w:hAnsi="Times New Roman" w:cs="Times New Roman"/>
          <w:sz w:val="24"/>
          <w:szCs w:val="24"/>
        </w:rPr>
        <w:t>On</w:t>
      </w:r>
      <w:r w:rsidR="00341A28" w:rsidRPr="00F645FC">
        <w:rPr>
          <w:rFonts w:ascii="Times New Roman" w:hAnsi="Times New Roman" w:cs="Times New Roman"/>
          <w:sz w:val="24"/>
          <w:szCs w:val="24"/>
        </w:rPr>
        <w:t xml:space="preserve"> March 11, 2020, the WHO declared </w:t>
      </w:r>
      <w:r w:rsidR="00435F0A" w:rsidRPr="00F645FC">
        <w:rPr>
          <w:rFonts w:ascii="Times New Roman" w:hAnsi="Times New Roman" w:cs="Times New Roman"/>
          <w:sz w:val="24"/>
          <w:szCs w:val="24"/>
        </w:rPr>
        <w:t xml:space="preserve">the </w:t>
      </w:r>
      <w:r w:rsidR="00341A28" w:rsidRPr="00F645FC">
        <w:rPr>
          <w:rFonts w:ascii="Times New Roman" w:hAnsi="Times New Roman" w:cs="Times New Roman"/>
          <w:sz w:val="24"/>
          <w:szCs w:val="24"/>
        </w:rPr>
        <w:t xml:space="preserve">COVID-19 </w:t>
      </w:r>
      <w:r w:rsidR="00435F0A" w:rsidRPr="00F645FC">
        <w:rPr>
          <w:rFonts w:ascii="Times New Roman" w:hAnsi="Times New Roman" w:cs="Times New Roman"/>
          <w:sz w:val="24"/>
          <w:szCs w:val="24"/>
        </w:rPr>
        <w:t>outbreak a global pandemic</w:t>
      </w:r>
      <w:r w:rsidR="00A27E87"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{"citationItems":[{"id":"ITEM-1","itemData":{"abstract":"Official names have been announced for the virus responsible for COVID-19 (previously known as “2019 novel coronavirus”) and the disease it causes. The official names are: Disease coronavirus disease (COVID-19) Virus severe acute respiratory syndrome coronavirus 2 (SARS-CoV-2) Why do the virus and the disease have different names? Viruses, and the diseases they cause, often have different names. For example, HIV is the virus that causes AIDS. People often know the name of a disease, such as measles, but not the name of the virus that causes it (rubeola). There are different processes, and purposes, for naming viruses and diseases. Viruses are named based on their genetic structure to facilitate the development of diagnostic tests, vaccines and medicines. Virologists and the wider scientific community do this work, so viruses are named by the International Committee on Taxonomy of Viruses (ICTV). Diseases are named to enable discussion on disease prevention, spread, transmissibility, severity and treatment. Human disease preparedness and response is WHO’s role, so diseases are officially named by WHO in the International Classification of Diseases (ICD). ICTV announced “severe acute respiratory syndrome coronavirus 2 (SARS-CoV-2)” as the name of the new virus on 11 February 2020. This name was chosen because the virus is genetically related to the coronavirus responsible for the SARS outbreak of 2003. While related, the two viruses are different. WHO announced “COVID-19” as the name of this new disease on 11 February 2020, following guidelines previously developed with the World Organisation for Animal Health (OIE) and the Food and Agriculture Organization of the United Nations (FAO).","author":[{"dropping-particle":"","family":"World Health Organization","given":"","non-dropping-particle":"","parse-names":false,"suffix":""}],"container-title":"World Health Organization","id":"ITEM-1","issued":{"date-parts":[["2020"]]},"page":"1","title":"Naming the coronavirus disease (COVID-19) and the virus that causes it","type":"article"},"uris":["http://www.mendeley.com/documents/?uuid=bc6091aa-af84-325f-8190-ce57a0494a2c"]}],"mendeley":{"formattedCitation":"&lt;sup&gt;6&lt;/sup&gt;","plainTextFormattedCitation":"6","previouslyFormattedCitation":"&lt;sup&gt;6&lt;/sup&gt;"},"properties":{"noteIndex":0},"schema":"https://github.com/citation-style-language/schema/raw/master/csl-citation.json"}</w:instrText>
      </w:r>
      <w:r w:rsidR="00A27E87"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6</w:t>
      </w:r>
      <w:r w:rsidR="00A27E87" w:rsidRPr="00F645FC">
        <w:rPr>
          <w:rFonts w:ascii="Times New Roman" w:hAnsi="Times New Roman" w:cs="Times New Roman"/>
          <w:sz w:val="24"/>
          <w:szCs w:val="24"/>
        </w:rPr>
        <w:fldChar w:fldCharType="end"/>
      </w:r>
      <w:r w:rsidR="00EA543D" w:rsidRPr="00F645FC">
        <w:rPr>
          <w:rFonts w:ascii="Times New Roman" w:hAnsi="Times New Roman" w:cs="Times New Roman"/>
          <w:sz w:val="24"/>
          <w:szCs w:val="24"/>
        </w:rPr>
        <w:t>.</w:t>
      </w:r>
      <w:r w:rsidR="00A428E5" w:rsidRPr="00F645FC">
        <w:rPr>
          <w:rFonts w:ascii="Times New Roman" w:hAnsi="Times New Roman" w:cs="Times New Roman"/>
          <w:sz w:val="24"/>
          <w:szCs w:val="24"/>
        </w:rPr>
        <w:t xml:space="preserve"> According to the </w:t>
      </w:r>
      <w:proofErr w:type="spellStart"/>
      <w:r w:rsidR="00A428E5" w:rsidRPr="00F645FC">
        <w:rPr>
          <w:rFonts w:ascii="Times New Roman" w:hAnsi="Times New Roman" w:cs="Times New Roman"/>
          <w:sz w:val="24"/>
          <w:szCs w:val="24"/>
        </w:rPr>
        <w:t>Worldometer</w:t>
      </w:r>
      <w:proofErr w:type="spellEnd"/>
      <w:r w:rsidR="00A428E5" w:rsidRPr="00F645FC">
        <w:rPr>
          <w:rFonts w:ascii="Times New Roman" w:hAnsi="Times New Roman" w:cs="Times New Roman"/>
          <w:sz w:val="24"/>
          <w:szCs w:val="24"/>
        </w:rPr>
        <w:t xml:space="preserve">, as of </w:t>
      </w:r>
      <w:r w:rsidR="00A83A8F" w:rsidRPr="00F645FC">
        <w:rPr>
          <w:rFonts w:ascii="Times New Roman" w:hAnsi="Times New Roman" w:cs="Times New Roman"/>
          <w:sz w:val="24"/>
          <w:szCs w:val="24"/>
        </w:rPr>
        <w:t>June</w:t>
      </w:r>
      <w:r w:rsidR="00A428E5" w:rsidRPr="00F645FC">
        <w:rPr>
          <w:rFonts w:ascii="Times New Roman" w:hAnsi="Times New Roman" w:cs="Times New Roman"/>
          <w:sz w:val="24"/>
          <w:szCs w:val="24"/>
        </w:rPr>
        <w:t xml:space="preserve"> </w:t>
      </w:r>
      <w:r w:rsidR="002C5142" w:rsidRPr="00F645FC">
        <w:rPr>
          <w:rFonts w:ascii="Times New Roman" w:hAnsi="Times New Roman" w:cs="Times New Roman"/>
          <w:sz w:val="24"/>
          <w:szCs w:val="24"/>
        </w:rPr>
        <w:t>30</w:t>
      </w:r>
      <w:r w:rsidR="002C5142" w:rsidRPr="00F645FC">
        <w:rPr>
          <w:rFonts w:ascii="Times New Roman" w:hAnsi="Times New Roman" w:cs="Times New Roman"/>
          <w:sz w:val="24"/>
          <w:szCs w:val="24"/>
          <w:vertAlign w:val="superscript"/>
        </w:rPr>
        <w:t>th</w:t>
      </w:r>
      <w:r w:rsidR="00A83A8F" w:rsidRPr="00F645FC">
        <w:rPr>
          <w:rFonts w:ascii="Times New Roman" w:hAnsi="Times New Roman" w:cs="Times New Roman"/>
          <w:sz w:val="24"/>
          <w:szCs w:val="24"/>
        </w:rPr>
        <w:t>,</w:t>
      </w:r>
      <w:r w:rsidR="00A428E5" w:rsidRPr="00F645FC">
        <w:rPr>
          <w:rFonts w:ascii="Times New Roman" w:hAnsi="Times New Roman" w:cs="Times New Roman"/>
          <w:sz w:val="24"/>
          <w:szCs w:val="24"/>
        </w:rPr>
        <w:t xml:space="preserve"> 2020, there are over </w:t>
      </w:r>
      <w:r w:rsidR="002C5142" w:rsidRPr="00F645FC">
        <w:rPr>
          <w:rFonts w:ascii="Times New Roman" w:hAnsi="Times New Roman" w:cs="Times New Roman"/>
          <w:sz w:val="24"/>
          <w:szCs w:val="24"/>
        </w:rPr>
        <w:t>10.25</w:t>
      </w:r>
      <w:r w:rsidR="00A83A8F" w:rsidRPr="00F645FC">
        <w:rPr>
          <w:rFonts w:ascii="Times New Roman" w:hAnsi="Times New Roman" w:cs="Times New Roman"/>
          <w:sz w:val="24"/>
          <w:szCs w:val="24"/>
        </w:rPr>
        <w:t xml:space="preserve"> million</w:t>
      </w:r>
      <w:r w:rsidR="00A27E87" w:rsidRPr="00F645FC">
        <w:rPr>
          <w:rFonts w:ascii="Times New Roman" w:hAnsi="Times New Roman" w:cs="Times New Roman"/>
          <w:sz w:val="24"/>
          <w:szCs w:val="24"/>
        </w:rPr>
        <w:t xml:space="preserve"> </w:t>
      </w:r>
      <w:r w:rsidR="00A428E5" w:rsidRPr="00F645FC">
        <w:rPr>
          <w:rFonts w:ascii="Times New Roman" w:hAnsi="Times New Roman" w:cs="Times New Roman"/>
          <w:sz w:val="24"/>
          <w:szCs w:val="24"/>
        </w:rPr>
        <w:t>identified cases</w:t>
      </w:r>
      <w:r w:rsidR="00A27E87" w:rsidRPr="00F645FC">
        <w:rPr>
          <w:rFonts w:ascii="Times New Roman" w:hAnsi="Times New Roman" w:cs="Times New Roman"/>
          <w:sz w:val="24"/>
          <w:szCs w:val="24"/>
        </w:rPr>
        <w:t xml:space="preserve"> and </w:t>
      </w:r>
      <w:r w:rsidR="00376E10" w:rsidRPr="00F645FC">
        <w:rPr>
          <w:rFonts w:ascii="Times New Roman" w:hAnsi="Times New Roman" w:cs="Times New Roman"/>
          <w:sz w:val="24"/>
          <w:szCs w:val="24"/>
        </w:rPr>
        <w:t>505</w:t>
      </w:r>
      <w:r w:rsidR="006A390B" w:rsidRPr="00F645FC">
        <w:rPr>
          <w:rFonts w:ascii="Times New Roman" w:hAnsi="Times New Roman" w:cs="Times New Roman"/>
          <w:sz w:val="24"/>
          <w:szCs w:val="24"/>
        </w:rPr>
        <w:t>,</w:t>
      </w:r>
      <w:r w:rsidR="00376E10" w:rsidRPr="00F645FC">
        <w:rPr>
          <w:rFonts w:ascii="Times New Roman" w:hAnsi="Times New Roman" w:cs="Times New Roman"/>
          <w:sz w:val="24"/>
          <w:szCs w:val="24"/>
        </w:rPr>
        <w:t>318</w:t>
      </w:r>
      <w:r w:rsidR="006A390B" w:rsidRPr="00F645FC">
        <w:rPr>
          <w:rFonts w:ascii="Times New Roman" w:hAnsi="Times New Roman" w:cs="Times New Roman"/>
          <w:sz w:val="24"/>
          <w:szCs w:val="24"/>
        </w:rPr>
        <w:t xml:space="preserve"> deaths</w:t>
      </w:r>
      <w:r w:rsidR="00A428E5" w:rsidRPr="00F645FC">
        <w:rPr>
          <w:rFonts w:ascii="Times New Roman" w:hAnsi="Times New Roman" w:cs="Times New Roman"/>
          <w:sz w:val="24"/>
          <w:szCs w:val="24"/>
        </w:rPr>
        <w:t xml:space="preserve"> of COVID-19 worldwide in </w:t>
      </w:r>
      <w:r w:rsidR="00A27E87" w:rsidRPr="00F645FC">
        <w:rPr>
          <w:rFonts w:ascii="Times New Roman" w:hAnsi="Times New Roman" w:cs="Times New Roman"/>
          <w:sz w:val="24"/>
          <w:szCs w:val="24"/>
        </w:rPr>
        <w:t>213</w:t>
      </w:r>
      <w:r w:rsidR="00A428E5" w:rsidRPr="00F645FC">
        <w:rPr>
          <w:rFonts w:ascii="Times New Roman" w:hAnsi="Times New Roman" w:cs="Times New Roman"/>
          <w:sz w:val="24"/>
          <w:szCs w:val="24"/>
        </w:rPr>
        <w:t xml:space="preserve"> countries and territories</w:t>
      </w:r>
      <w:r w:rsidR="006A390B"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DOI":"10.1101/2020.01.23.20018549V2","author":[{"dropping-particle":"","family":"Worldometer","given":"","non-dropping-particle":"","parse-names":false,"suffix":""}],"container-title":"Worldometer","id":"ITEM-1","issued":{"date-parts":[["2020"]]},"page":"1-22","title":"Coronavirus Cases","type":"article"},"uris":["http://www.mendeley.com/documents/?uuid=fa44c158-3195-3c64-85d2-889356a0d2d5"]}],"mendeley":{"formattedCitation":"&lt;sup&gt;7&lt;/sup&gt;","plainTextFormattedCitation":"7","previouslyFormattedCitation":"&lt;sup&gt;7&lt;/sup&gt;"},"properties":{"noteIndex":0},"schema":"https://github.com/citation-style-language/schema/raw/master/csl-citation.json"}</w:instrText>
      </w:r>
      <w:r w:rsidR="006A390B"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7</w:t>
      </w:r>
      <w:r w:rsidR="006A390B" w:rsidRPr="00F645FC">
        <w:rPr>
          <w:rFonts w:ascii="Times New Roman" w:hAnsi="Times New Roman" w:cs="Times New Roman"/>
          <w:sz w:val="24"/>
          <w:szCs w:val="24"/>
        </w:rPr>
        <w:fldChar w:fldCharType="end"/>
      </w:r>
      <w:r w:rsidR="00A428E5" w:rsidRPr="00F645FC">
        <w:rPr>
          <w:rFonts w:ascii="Times New Roman" w:hAnsi="Times New Roman" w:cs="Times New Roman"/>
          <w:sz w:val="24"/>
          <w:szCs w:val="24"/>
        </w:rPr>
        <w:t xml:space="preserve">. Of these </w:t>
      </w:r>
      <w:r w:rsidR="006A390B" w:rsidRPr="00F645FC">
        <w:rPr>
          <w:rFonts w:ascii="Times New Roman" w:hAnsi="Times New Roman" w:cs="Times New Roman"/>
          <w:sz w:val="24"/>
          <w:szCs w:val="24"/>
        </w:rPr>
        <w:t>213</w:t>
      </w:r>
      <w:r w:rsidR="00A428E5" w:rsidRPr="00F645FC">
        <w:rPr>
          <w:rFonts w:ascii="Times New Roman" w:hAnsi="Times New Roman" w:cs="Times New Roman"/>
          <w:sz w:val="24"/>
          <w:szCs w:val="24"/>
        </w:rPr>
        <w:t xml:space="preserve"> countries, </w:t>
      </w:r>
      <w:r w:rsidR="004E740D" w:rsidRPr="00F645FC">
        <w:rPr>
          <w:rFonts w:ascii="Times New Roman" w:hAnsi="Times New Roman" w:cs="Times New Roman"/>
          <w:sz w:val="24"/>
          <w:szCs w:val="24"/>
        </w:rPr>
        <w:t>India</w:t>
      </w:r>
      <w:r w:rsidR="00C25120" w:rsidRPr="00F645FC">
        <w:rPr>
          <w:rFonts w:ascii="Times New Roman" w:hAnsi="Times New Roman" w:cs="Times New Roman"/>
          <w:sz w:val="24"/>
          <w:szCs w:val="24"/>
        </w:rPr>
        <w:t>,</w:t>
      </w:r>
      <w:r w:rsidR="00A428E5" w:rsidRPr="00F645FC">
        <w:rPr>
          <w:rFonts w:ascii="Times New Roman" w:hAnsi="Times New Roman" w:cs="Times New Roman"/>
          <w:sz w:val="24"/>
          <w:szCs w:val="24"/>
        </w:rPr>
        <w:t xml:space="preserve"> Iran (outside of China)</w:t>
      </w:r>
      <w:r w:rsidR="006344CC">
        <w:rPr>
          <w:rFonts w:ascii="Times New Roman" w:hAnsi="Times New Roman" w:cs="Times New Roman"/>
          <w:sz w:val="24"/>
          <w:szCs w:val="24"/>
        </w:rPr>
        <w:t>,</w:t>
      </w:r>
      <w:r w:rsidR="00C25120" w:rsidRPr="00F645FC">
        <w:rPr>
          <w:rFonts w:ascii="Times New Roman" w:hAnsi="Times New Roman" w:cs="Times New Roman"/>
          <w:sz w:val="24"/>
          <w:szCs w:val="24"/>
        </w:rPr>
        <w:t xml:space="preserve"> and Pakistan</w:t>
      </w:r>
      <w:r w:rsidR="00A428E5" w:rsidRPr="00F645FC">
        <w:rPr>
          <w:rFonts w:ascii="Times New Roman" w:hAnsi="Times New Roman" w:cs="Times New Roman"/>
          <w:sz w:val="24"/>
          <w:szCs w:val="24"/>
        </w:rPr>
        <w:t xml:space="preserve"> have the largest epidemic of COVID-19</w:t>
      </w:r>
      <w:r w:rsidR="00B1564F" w:rsidRPr="00F645FC">
        <w:rPr>
          <w:rFonts w:ascii="Times New Roman" w:hAnsi="Times New Roman" w:cs="Times New Roman"/>
          <w:sz w:val="24"/>
          <w:szCs w:val="24"/>
        </w:rPr>
        <w:t xml:space="preserve"> in </w:t>
      </w:r>
      <w:r w:rsidR="006309CD" w:rsidRPr="00F645FC">
        <w:rPr>
          <w:rFonts w:ascii="Times New Roman" w:hAnsi="Times New Roman" w:cs="Times New Roman"/>
          <w:sz w:val="24"/>
          <w:szCs w:val="24"/>
        </w:rPr>
        <w:t>A</w:t>
      </w:r>
      <w:r w:rsidR="00B1564F" w:rsidRPr="00F645FC">
        <w:rPr>
          <w:rFonts w:ascii="Times New Roman" w:hAnsi="Times New Roman" w:cs="Times New Roman"/>
          <w:sz w:val="24"/>
          <w:szCs w:val="24"/>
        </w:rPr>
        <w:t>sia</w:t>
      </w:r>
      <w:r w:rsidR="009A5F13" w:rsidRPr="00F645FC">
        <w:rPr>
          <w:rFonts w:ascii="Times New Roman" w:hAnsi="Times New Roman" w:cs="Times New Roman"/>
          <w:sz w:val="24"/>
          <w:szCs w:val="24"/>
        </w:rPr>
        <w:t>.</w:t>
      </w:r>
      <w:r w:rsidR="00A428E5" w:rsidRPr="00F645FC">
        <w:rPr>
          <w:rFonts w:ascii="Times New Roman" w:hAnsi="Times New Roman" w:cs="Times New Roman"/>
          <w:sz w:val="24"/>
          <w:szCs w:val="24"/>
        </w:rPr>
        <w:t xml:space="preserve"> </w:t>
      </w:r>
      <w:r w:rsidR="004D5787" w:rsidRPr="00F645FC">
        <w:rPr>
          <w:rFonts w:ascii="Times New Roman" w:hAnsi="Times New Roman" w:cs="Times New Roman"/>
          <w:sz w:val="24"/>
          <w:szCs w:val="24"/>
        </w:rPr>
        <w:t>Russia</w:t>
      </w:r>
      <w:r w:rsidR="00A428E5" w:rsidRPr="00F645FC">
        <w:rPr>
          <w:rFonts w:ascii="Times New Roman" w:hAnsi="Times New Roman" w:cs="Times New Roman"/>
          <w:sz w:val="24"/>
          <w:szCs w:val="24"/>
        </w:rPr>
        <w:t xml:space="preserve">, </w:t>
      </w:r>
      <w:r w:rsidR="004D5787" w:rsidRPr="00F645FC">
        <w:rPr>
          <w:rFonts w:ascii="Times New Roman" w:hAnsi="Times New Roman" w:cs="Times New Roman"/>
          <w:sz w:val="24"/>
          <w:szCs w:val="24"/>
        </w:rPr>
        <w:t>Italy</w:t>
      </w:r>
      <w:r w:rsidR="009A5F13" w:rsidRPr="00F645FC">
        <w:rPr>
          <w:rFonts w:ascii="Times New Roman" w:hAnsi="Times New Roman" w:cs="Times New Roman"/>
          <w:sz w:val="24"/>
          <w:szCs w:val="24"/>
        </w:rPr>
        <w:t>,</w:t>
      </w:r>
      <w:r w:rsidR="00A428E5" w:rsidRPr="00F645FC">
        <w:rPr>
          <w:rFonts w:ascii="Times New Roman" w:hAnsi="Times New Roman" w:cs="Times New Roman"/>
          <w:sz w:val="24"/>
          <w:szCs w:val="24"/>
        </w:rPr>
        <w:t xml:space="preserve"> and Spain are the countries with a major epidemic of COVID-19 in Europe</w:t>
      </w:r>
      <w:r w:rsidR="00981E28"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{"citationItems":[{"id":"ITEM-1","itemData":{"URL":"https://www.who.int/docs/default-source/coronaviruse/situation-reports/20200426-sitrep-97-covid-19.pdf?sfvrsn=d1c3e800_6","accessed":{"date-parts":[["2020","5","25"]]},"author":[{"dropping-particle":"","family":"World Health Organization","given":"","non-dropping-particle":"","parse-names":false,"suffix":""}],"id":"ITEM-1","issued":{"date-parts":[["2020"]]},"title":"Coronavirus disease 2019 (COVID-19) Situation Report – 97","type":"webpage"},"uris":["http://www.mendeley.com/documents/?uuid=338308f2-f5c7-32de-bd0f-7dcaf75f4994"]}],"mendeley":{"formattedCitation":"&lt;sup&gt;8&lt;/sup&gt;","plainTextFormattedCitation":"8","previouslyFormattedCitation":"&lt;sup&gt;8&lt;/sup&gt;"},"properties":{"noteIndex":0},"schema":"https://github.com/citation-style-language/schema/raw/master/csl-citation.json"}</w:instrText>
      </w:r>
      <w:r w:rsidR="00981E28"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8</w:t>
      </w:r>
      <w:r w:rsidR="00981E28" w:rsidRPr="00F645FC">
        <w:rPr>
          <w:rFonts w:ascii="Times New Roman" w:hAnsi="Times New Roman" w:cs="Times New Roman"/>
          <w:sz w:val="24"/>
          <w:szCs w:val="24"/>
        </w:rPr>
        <w:fldChar w:fldCharType="end"/>
      </w:r>
      <w:r w:rsidR="00A428E5" w:rsidRPr="00F645FC">
        <w:rPr>
          <w:rFonts w:ascii="Times New Roman" w:hAnsi="Times New Roman" w:cs="Times New Roman"/>
          <w:sz w:val="24"/>
          <w:szCs w:val="24"/>
        </w:rPr>
        <w:t>.</w:t>
      </w:r>
      <w:r w:rsidR="00BF4286" w:rsidRPr="00F645FC">
        <w:rPr>
          <w:rFonts w:ascii="Times New Roman" w:hAnsi="Times New Roman" w:cs="Times New Roman"/>
          <w:sz w:val="24"/>
          <w:szCs w:val="24"/>
        </w:rPr>
        <w:t xml:space="preserve"> </w:t>
      </w:r>
      <w:r w:rsidR="00814EDA" w:rsidRPr="00F645FC">
        <w:rPr>
          <w:rFonts w:ascii="Times New Roman" w:hAnsi="Times New Roman" w:cs="Times New Roman"/>
          <w:sz w:val="24"/>
          <w:szCs w:val="24"/>
        </w:rPr>
        <w:t>As t</w:t>
      </w:r>
      <w:r w:rsidR="0015229B" w:rsidRPr="00F645FC">
        <w:rPr>
          <w:rFonts w:ascii="Times New Roman" w:hAnsi="Times New Roman" w:cs="Times New Roman"/>
          <w:sz w:val="24"/>
          <w:szCs w:val="24"/>
        </w:rPr>
        <w:t xml:space="preserve">he virus and its clinical course are </w:t>
      </w:r>
      <w:r w:rsidR="00814EDA" w:rsidRPr="00F645FC">
        <w:rPr>
          <w:rFonts w:ascii="Times New Roman" w:hAnsi="Times New Roman" w:cs="Times New Roman"/>
          <w:sz w:val="24"/>
          <w:szCs w:val="24"/>
        </w:rPr>
        <w:t>still investigating</w:t>
      </w:r>
      <w:r w:rsidR="0015229B" w:rsidRPr="00F645FC">
        <w:rPr>
          <w:rFonts w:ascii="Times New Roman" w:hAnsi="Times New Roman" w:cs="Times New Roman"/>
          <w:sz w:val="24"/>
          <w:szCs w:val="24"/>
        </w:rPr>
        <w:t xml:space="preserve">, we have little information about </w:t>
      </w:r>
      <w:r w:rsidR="00814EDA" w:rsidRPr="00F645FC">
        <w:rPr>
          <w:rFonts w:ascii="Times New Roman" w:hAnsi="Times New Roman" w:cs="Times New Roman"/>
          <w:sz w:val="24"/>
          <w:szCs w:val="24"/>
        </w:rPr>
        <w:t>the transmission and control of the disease</w:t>
      </w:r>
      <w:r w:rsidR="00456E7C"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{"citationItems":[{"id":"ITEM-1","itemData":{"DOI":"10.14744/etd.2020.99836","ISSN":"21492247","author":[{"dropping-particle":"","family":"Özdemir","given":"Öner","non-dropping-particle":"","parse-names":false,"suffix":""}],"container-title":"Erciyes Medical Journal","id":"ITEM-1","issued":{"date-parts":[["2020"]]},"title":"Coronavirus Disease 2019 (COVID-19): Diagnosis and Management (narrative review)","type":"article-journal"},"uris":["http://www.mendeley.com/documents/?uuid=45aaa8c1-6133-3d27-9993-2955246a7992"]}],"mendeley":{"formattedCitation":"&lt;sup&gt;9&lt;/sup&gt;","plainTextFormattedCitation":"9","previouslyFormattedCitation":"&lt;sup&gt;9&lt;/sup&gt;"},"properties":{"noteIndex":0},"schema":"https://github.com/citation-style-language/schema/raw/master/csl-citation.json"}</w:instrText>
      </w:r>
      <w:r w:rsidR="00456E7C"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9</w:t>
      </w:r>
      <w:r w:rsidR="00456E7C" w:rsidRPr="00F645FC">
        <w:rPr>
          <w:rFonts w:ascii="Times New Roman" w:hAnsi="Times New Roman" w:cs="Times New Roman"/>
          <w:sz w:val="24"/>
          <w:szCs w:val="24"/>
        </w:rPr>
        <w:fldChar w:fldCharType="end"/>
      </w:r>
      <w:r w:rsidR="0015229B" w:rsidRPr="00F645FC">
        <w:rPr>
          <w:rFonts w:ascii="Times New Roman" w:hAnsi="Times New Roman" w:cs="Times New Roman"/>
          <w:sz w:val="24"/>
          <w:szCs w:val="24"/>
        </w:rPr>
        <w:t>. Health care capacity and capability factors, including the availability of healthcare workers, resources, facilities, and preparedness, also affect outcomes</w:t>
      </w:r>
      <w:r w:rsidR="000A2641" w:rsidRPr="00F645FC">
        <w:rPr>
          <w:rFonts w:ascii="Times New Roman" w:hAnsi="Times New Roman" w:cs="Times New Roman"/>
          <w:sz w:val="24"/>
          <w:szCs w:val="24"/>
        </w:rPr>
        <w:t xml:space="preserve"> of disease</w:t>
      </w:r>
      <w:r w:rsidR="00456E7C"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{"citationItems":[{"id":"ITEM-1","itemData":{"DOI":"10.1101/2020.03.27.20043752","abstract":"Key Points Question: Assuming social distancing measures are maintained, what are the forecasted gaps in available health service resources and number of deaths from the COVID-19 pandemic for each state in the United States? Findings: Using a statistical model, we predict excess demand will be 64,175 (95% UI 7,977 to 251,059) total beds and 17,380 (95% UI 2,432 to 57,955) ICU beds at the peak of COVID-19. Peak ventilator use is predicted to be 19,481 (95% UI 9,767 to 39,674) ventilators. Peak demand will be in the second week of April. We estimate 81,114 (95% UI 38,242 to 162,106) deaths in the United States from COVID-19 over the next 4 months. Meaning: Even with social distancing measures enacted and sustained, the peak demand for hospital services due to the COVID-19 pandemic is likely going to exceed capacity substantially. Alongside the implementation and enforcement of social distancing measures, there is an urgent need to develop and implement plans to reduce non-COVID-19 demand for and temporarily increase capacity of health facilities. Abstract Importance: This study presents the first set of estimates of predicted health service utilization and deaths due to COVID-19 by day for the next 4 months for each state in the US. Objective: To determine the extent and timing of deaths and excess demand for hospital services due to COVID-19 in the US. Design, Setting, and Participants: This study used data on confirmed COVID-19 deaths by day from WHO websites and local and national governments; data on hospital capacity and utilization for US states; and observed COVID-19 utilization data from select locations to develop a statistical model forecasting deaths and hospital utilization against capacity by state for the US over the next 4 months. Exposure(s): COVID-19. Main outcome(s) and measure(s): Deaths, bed and ICU occupancy, and ventilator use. Results: Compared to licensed capacity and average annual occupancy rates, excess demand from COVID-19 at the peak of the pandemic in the second week of April is predicted to be 64,175 (95% UI 7,977 to 251,059) total beds and 17,380 (95% UI 2,432 to 57,955) ICU beds. At the peak of the pandemic, ventilator use is predicted to be 19,481 (95% UI 9,767 to 39,674). The date of peak excess demand by state varies from the second week of April through May. We estimate that there will a total of 81,114 (95% UI 38,242 to 162,106) deaths from COVID-19 over the next 4 months in the US. Deaths from COVID-19 are estimated …","author":[{"dropping-particle":"","family":"team","given":"IHME COVID-19 health service utilization forecasting","non-dropping-particle":"","parse-names":false,"suffix":""},{"dropping-particle":"","family":"Murray","given":"Christopher JL","non-dropping-particle":"","parse-names":false,"suffix":""}],"container-title":"medRxiv","id":"ITEM-1","issued":{"date-parts":[["2020","3","30"]]},"page":"2020.03.27.20043752","publisher":"Cold Spring Harbor Laboratory Press","title":"Forecasting COVID-19 impact on hospital bed-days, ICU-days, ventilator-days and deaths by US state in the next 4 months","type":"article-journal","volume":"114"},"uris":["http://www.mendeley.com/documents/?uuid=10ceb80d-81bc-31d4-a05f-197238549ab9"]}],"mendeley":{"formattedCitation":"&lt;sup&gt;10&lt;/sup&gt;","plainTextFormattedCitation":"10","previouslyFormattedCitation":"&lt;sup&gt;10&lt;/sup&gt;"},"properties":{"noteIndex":0},"schema":"https://github.com/citation-style-language/schema/raw/master/csl-citation.json"}</w:instrText>
      </w:r>
      <w:r w:rsidR="00456E7C"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10</w:t>
      </w:r>
      <w:r w:rsidR="00456E7C" w:rsidRPr="00F645FC">
        <w:rPr>
          <w:rFonts w:ascii="Times New Roman" w:hAnsi="Times New Roman" w:cs="Times New Roman"/>
          <w:sz w:val="24"/>
          <w:szCs w:val="24"/>
        </w:rPr>
        <w:fldChar w:fldCharType="end"/>
      </w:r>
      <w:r w:rsidR="0015229B" w:rsidRPr="00F645FC">
        <w:rPr>
          <w:rFonts w:ascii="Times New Roman" w:hAnsi="Times New Roman" w:cs="Times New Roman"/>
          <w:sz w:val="24"/>
          <w:szCs w:val="24"/>
        </w:rPr>
        <w:t xml:space="preserve">. </w:t>
      </w:r>
      <w:r w:rsidR="001B0999" w:rsidRPr="00F645FC">
        <w:rPr>
          <w:rFonts w:ascii="Times New Roman" w:hAnsi="Times New Roman" w:cs="Times New Roman"/>
          <w:sz w:val="24"/>
          <w:szCs w:val="24"/>
        </w:rPr>
        <w:t>For example, some countries</w:t>
      </w:r>
      <w:r w:rsidR="000A2641" w:rsidRPr="00F645FC">
        <w:rPr>
          <w:rFonts w:ascii="Times New Roman" w:hAnsi="Times New Roman" w:cs="Times New Roman"/>
          <w:sz w:val="24"/>
          <w:szCs w:val="24"/>
        </w:rPr>
        <w:t xml:space="preserve"> (e</w:t>
      </w:r>
      <w:r w:rsidR="00456E7C" w:rsidRPr="00F645FC">
        <w:rPr>
          <w:rFonts w:ascii="Times New Roman" w:hAnsi="Times New Roman" w:cs="Times New Roman"/>
          <w:sz w:val="24"/>
          <w:szCs w:val="24"/>
        </w:rPr>
        <w:t xml:space="preserve">.g. </w:t>
      </w:r>
      <w:r w:rsidR="00A34608" w:rsidRPr="00F645FC">
        <w:rPr>
          <w:rFonts w:ascii="Times New Roman" w:hAnsi="Times New Roman" w:cs="Times New Roman"/>
          <w:sz w:val="24"/>
          <w:szCs w:val="24"/>
        </w:rPr>
        <w:t>Canada</w:t>
      </w:r>
      <w:r w:rsidR="007C542E" w:rsidRPr="00F645FC">
        <w:rPr>
          <w:rFonts w:ascii="Times New Roman" w:hAnsi="Times New Roman" w:cs="Times New Roman"/>
          <w:sz w:val="24"/>
          <w:szCs w:val="24"/>
        </w:rPr>
        <w:t xml:space="preserve">, </w:t>
      </w:r>
      <w:r w:rsidR="00456E7C" w:rsidRPr="00F645FC">
        <w:rPr>
          <w:rFonts w:ascii="Times New Roman" w:hAnsi="Times New Roman" w:cs="Times New Roman"/>
          <w:sz w:val="24"/>
          <w:szCs w:val="24"/>
        </w:rPr>
        <w:t>South Korea</w:t>
      </w:r>
      <w:r w:rsidR="007C542E" w:rsidRPr="00F645FC">
        <w:rPr>
          <w:rFonts w:ascii="Times New Roman" w:hAnsi="Times New Roman" w:cs="Times New Roman"/>
          <w:sz w:val="24"/>
          <w:szCs w:val="24"/>
        </w:rPr>
        <w:t xml:space="preserve">, </w:t>
      </w:r>
      <w:r w:rsidR="00456E7C" w:rsidRPr="00F645FC">
        <w:rPr>
          <w:rFonts w:ascii="Times New Roman" w:hAnsi="Times New Roman" w:cs="Times New Roman"/>
          <w:sz w:val="24"/>
          <w:szCs w:val="24"/>
        </w:rPr>
        <w:t>France</w:t>
      </w:r>
      <w:r w:rsidR="00960087" w:rsidRPr="00F645FC">
        <w:rPr>
          <w:rFonts w:ascii="Times New Roman" w:hAnsi="Times New Roman" w:cs="Times New Roman"/>
          <w:sz w:val="24"/>
          <w:szCs w:val="24"/>
        </w:rPr>
        <w:t>,</w:t>
      </w:r>
      <w:r w:rsidR="007C542E" w:rsidRPr="00F645FC">
        <w:rPr>
          <w:rFonts w:ascii="Times New Roman" w:hAnsi="Times New Roman" w:cs="Times New Roman"/>
          <w:sz w:val="24"/>
          <w:szCs w:val="24"/>
        </w:rPr>
        <w:t xml:space="preserve"> etc</w:t>
      </w:r>
      <w:r w:rsidR="000A2641" w:rsidRPr="00F645FC">
        <w:rPr>
          <w:rFonts w:ascii="Times New Roman" w:hAnsi="Times New Roman" w:cs="Times New Roman"/>
          <w:sz w:val="24"/>
          <w:szCs w:val="24"/>
        </w:rPr>
        <w:t>)</w:t>
      </w:r>
      <w:r w:rsidR="001B0999" w:rsidRPr="00F645FC">
        <w:rPr>
          <w:rFonts w:ascii="Times New Roman" w:hAnsi="Times New Roman" w:cs="Times New Roman"/>
          <w:sz w:val="24"/>
          <w:szCs w:val="24"/>
        </w:rPr>
        <w:t xml:space="preserve"> </w:t>
      </w:r>
      <w:r w:rsidR="000A2641" w:rsidRPr="00F645FC">
        <w:rPr>
          <w:rFonts w:ascii="Times New Roman" w:hAnsi="Times New Roman" w:cs="Times New Roman"/>
          <w:sz w:val="24"/>
          <w:szCs w:val="24"/>
        </w:rPr>
        <w:t>can</w:t>
      </w:r>
      <w:r w:rsidR="001B0999" w:rsidRPr="00F645FC">
        <w:rPr>
          <w:rFonts w:ascii="Times New Roman" w:hAnsi="Times New Roman" w:cs="Times New Roman"/>
          <w:sz w:val="24"/>
          <w:szCs w:val="24"/>
        </w:rPr>
        <w:t xml:space="preserve"> </w:t>
      </w:r>
      <w:r w:rsidR="000C2DE1" w:rsidRPr="00F645FC">
        <w:rPr>
          <w:rFonts w:ascii="Times New Roman" w:hAnsi="Times New Roman" w:cs="Times New Roman"/>
          <w:sz w:val="24"/>
          <w:szCs w:val="24"/>
        </w:rPr>
        <w:t>invest</w:t>
      </w:r>
      <w:r w:rsidR="001B0999" w:rsidRPr="00F645FC">
        <w:rPr>
          <w:rFonts w:ascii="Times New Roman" w:hAnsi="Times New Roman" w:cs="Times New Roman"/>
          <w:sz w:val="24"/>
          <w:szCs w:val="24"/>
        </w:rPr>
        <w:t xml:space="preserve"> resources for </w:t>
      </w:r>
      <w:r w:rsidR="000C2DE1" w:rsidRPr="00F645FC">
        <w:rPr>
          <w:rFonts w:ascii="Times New Roman" w:hAnsi="Times New Roman" w:cs="Times New Roman"/>
          <w:sz w:val="24"/>
          <w:szCs w:val="24"/>
        </w:rPr>
        <w:t>contact tracing</w:t>
      </w:r>
      <w:r w:rsidR="001B0999" w:rsidRPr="00F645FC">
        <w:rPr>
          <w:rFonts w:ascii="Times New Roman" w:hAnsi="Times New Roman" w:cs="Times New Roman"/>
          <w:sz w:val="24"/>
          <w:szCs w:val="24"/>
        </w:rPr>
        <w:t xml:space="preserve"> and </w:t>
      </w:r>
      <w:r w:rsidR="000C2DE1" w:rsidRPr="00F645FC">
        <w:rPr>
          <w:rFonts w:ascii="Times New Roman" w:hAnsi="Times New Roman" w:cs="Times New Roman"/>
          <w:sz w:val="24"/>
          <w:szCs w:val="24"/>
        </w:rPr>
        <w:t>containing the</w:t>
      </w:r>
      <w:r w:rsidR="001B0999" w:rsidRPr="00F645FC">
        <w:rPr>
          <w:rFonts w:ascii="Times New Roman" w:hAnsi="Times New Roman" w:cs="Times New Roman"/>
          <w:sz w:val="24"/>
          <w:szCs w:val="24"/>
        </w:rPr>
        <w:t xml:space="preserve"> spread through </w:t>
      </w:r>
      <w:r w:rsidR="000C2DE1" w:rsidRPr="00F645FC">
        <w:rPr>
          <w:rFonts w:ascii="Times New Roman" w:hAnsi="Times New Roman" w:cs="Times New Roman"/>
          <w:sz w:val="24"/>
          <w:szCs w:val="24"/>
        </w:rPr>
        <w:t>quarantine</w:t>
      </w:r>
      <w:r w:rsidR="001B0999" w:rsidRPr="00F645FC">
        <w:rPr>
          <w:rFonts w:ascii="Times New Roman" w:hAnsi="Times New Roman" w:cs="Times New Roman"/>
          <w:sz w:val="24"/>
          <w:szCs w:val="24"/>
        </w:rPr>
        <w:t xml:space="preserve"> and </w:t>
      </w:r>
      <w:r w:rsidR="000C2DE1" w:rsidRPr="00F645FC">
        <w:rPr>
          <w:rFonts w:ascii="Times New Roman" w:hAnsi="Times New Roman" w:cs="Times New Roman"/>
          <w:sz w:val="24"/>
          <w:szCs w:val="24"/>
        </w:rPr>
        <w:t>isolation</w:t>
      </w:r>
      <w:r w:rsidR="001B0999" w:rsidRPr="00F645FC">
        <w:rPr>
          <w:rFonts w:ascii="Times New Roman" w:hAnsi="Times New Roman" w:cs="Times New Roman"/>
          <w:sz w:val="24"/>
          <w:szCs w:val="24"/>
        </w:rPr>
        <w:t xml:space="preserve"> in infected or suspected cases</w:t>
      </w:r>
      <w:r w:rsidR="00A34608" w:rsidRPr="00F645FC">
        <w:rPr>
          <w:rFonts w:ascii="Times New Roman" w:hAnsi="Times New Roman" w:cs="Times New Roman"/>
          <w:sz w:val="24"/>
          <w:szCs w:val="24"/>
        </w:rPr>
        <w:fldChar w:fldCharType="begin" w:fldLock="1"/>
      </w:r>
      <w:r w:rsidR="00E25217" w:rsidRPr="00F645FC">
        <w:rPr>
          <w:rFonts w:ascii="Times New Roman" w:hAnsi="Times New Roman" w:cs="Times New Roman"/>
          <w:sz w:val="24"/>
          <w:szCs w:val="24"/>
        </w:rPr>
        <w:instrText>ADDIN CSL_CITATION {"citationItems":[{"id":"ITEM-1","itemData":{"DOI":"10.1093/cid/ciaa501","ISSN":"15376591","PMID":"32339245","abstract":"SARS-CoV2 testing and contact tracing have been proposed as critical components of a safe and effective COVID-19 public health strategy. We argue that COVID-19 contact tracing may provide a unique opportunity to also conduct widespread HIV testing, among other health promotion activities.","author":[{"dropping-particle":"","family":"Nosyk","given":"Bohdan","non-dropping-particle":"","parse-names":false,"suffix":""},{"dropping-particle":"","family":"Armstrong","given":"Wendy S","non-dropping-particle":"","parse-names":false,"suffix":""},{"dropping-particle":"","family":"Rio","given":"Carlos","non-dropping-particle":"Del","parse-names":false,"suffix":""}],"container-title":"Clinical infectious diseases : an official publication of the Infectious Diseases Society of America","id":"ITEM-1","issued":{"date-parts":[["2020"]]},"title":"Contact tracing for COVID-19: An opportunity to reduce health disparities and End the HIV/AIDS Epidemic in the US","type":"article-journal"},"uris":["http://www.mendeley.com/documents/?uuid=54fd988c-3072-303a-acb0-9a129b0becdc"]}],"mendeley":{"formattedCitation":"&lt;sup&gt;11&lt;/sup&gt;","plainTextFormattedCitation":"11","previouslyFormattedCitation":"&lt;sup&gt;11&lt;/sup&gt;"},"properties":{"noteIndex":0},"schema":"https://github.com/citation-style-language/schema/raw/master/csl-citation.json"}</w:instrText>
      </w:r>
      <w:r w:rsidR="00A34608" w:rsidRPr="00F645FC">
        <w:rPr>
          <w:rFonts w:ascii="Times New Roman" w:hAnsi="Times New Roman" w:cs="Times New Roman"/>
          <w:sz w:val="24"/>
          <w:szCs w:val="24"/>
        </w:rPr>
        <w:fldChar w:fldCharType="separate"/>
      </w:r>
      <w:r w:rsidR="000B6210" w:rsidRPr="00F645FC">
        <w:rPr>
          <w:rFonts w:ascii="Times New Roman" w:hAnsi="Times New Roman" w:cs="Times New Roman"/>
          <w:noProof/>
          <w:sz w:val="24"/>
          <w:szCs w:val="24"/>
          <w:vertAlign w:val="superscript"/>
        </w:rPr>
        <w:t>11</w:t>
      </w:r>
      <w:r w:rsidR="00A34608" w:rsidRPr="00F645FC">
        <w:rPr>
          <w:rFonts w:ascii="Times New Roman" w:hAnsi="Times New Roman" w:cs="Times New Roman"/>
          <w:sz w:val="24"/>
          <w:szCs w:val="24"/>
        </w:rPr>
        <w:fldChar w:fldCharType="end"/>
      </w:r>
      <w:r w:rsidR="001B0999" w:rsidRPr="00F645FC">
        <w:rPr>
          <w:rFonts w:ascii="Times New Roman" w:hAnsi="Times New Roman" w:cs="Times New Roman"/>
          <w:sz w:val="24"/>
          <w:szCs w:val="24"/>
        </w:rPr>
        <w:t>.</w:t>
      </w:r>
    </w:p>
    <w:p w14:paraId="47ED4C10" w14:textId="1F5F95FC" w:rsidR="00111D51" w:rsidRPr="006A507E" w:rsidRDefault="00EF41C7" w:rsidP="00F645FC">
      <w:pPr>
        <w:spacing w:after="0" w:line="480" w:lineRule="auto"/>
        <w:jc w:val="both"/>
        <w:rPr>
          <w:rFonts w:ascii="Times New Roman" w:hAnsi="Times New Roman" w:cs="Times New Roman"/>
          <w:color w:val="000000"/>
          <w:sz w:val="24"/>
          <w:szCs w:val="24"/>
          <w:shd w:val="clear" w:color="auto" w:fill="FFFFFF"/>
        </w:rPr>
      </w:pPr>
      <w:r w:rsidRPr="00F645FC">
        <w:rPr>
          <w:rFonts w:ascii="Times New Roman" w:hAnsi="Times New Roman" w:cs="Times New Roman"/>
          <w:color w:val="000000"/>
          <w:sz w:val="24"/>
          <w:szCs w:val="24"/>
          <w:shd w:val="clear" w:color="auto" w:fill="FFFFFF"/>
        </w:rPr>
        <w:t>The case fatality rate (CFR), is a measure of the ability of a pathogen or virus to infect or damage a host in infectious disease</w:t>
      </w:r>
      <w:r w:rsidR="00D32201">
        <w:rPr>
          <w:rFonts w:ascii="Times New Roman" w:hAnsi="Times New Roman" w:cs="Times New Roman"/>
          <w:color w:val="000000"/>
          <w:sz w:val="24"/>
          <w:szCs w:val="24"/>
          <w:shd w:val="clear" w:color="auto" w:fill="FFFFFF"/>
        </w:rPr>
        <w:t>.</w:t>
      </w:r>
      <w:r w:rsidR="006A507E">
        <w:rPr>
          <w:rFonts w:ascii="Times New Roman" w:hAnsi="Times New Roman" w:cs="Times New Roman"/>
          <w:color w:val="000000"/>
          <w:sz w:val="24"/>
          <w:szCs w:val="24"/>
          <w:shd w:val="clear" w:color="auto" w:fill="FFFFFF"/>
        </w:rPr>
        <w:t xml:space="preserve"> </w:t>
      </w:r>
      <w:r w:rsidR="004E6495" w:rsidRPr="004E6495">
        <w:rPr>
          <w:rFonts w:ascii="Times New Roman" w:hAnsi="Times New Roman" w:cs="Times New Roman"/>
          <w:color w:val="000000"/>
          <w:sz w:val="24"/>
          <w:szCs w:val="24"/>
          <w:shd w:val="clear" w:color="auto" w:fill="FFFFFF"/>
        </w:rPr>
        <w:t>CFR is a degree of the capability of a virus to infect a host in infectious disease</w:t>
      </w:r>
      <w:r w:rsidRPr="00F645FC">
        <w:rPr>
          <w:rFonts w:ascii="Times New Roman" w:hAnsi="Times New Roman" w:cs="Times New Roman"/>
          <w:color w:val="000000"/>
          <w:sz w:val="24"/>
          <w:szCs w:val="24"/>
          <w:shd w:val="clear" w:color="auto" w:fill="FFFFFF"/>
        </w:rPr>
        <w:t xml:space="preserve"> and is described as the </w:t>
      </w:r>
      <w:r w:rsidR="006220B4">
        <w:rPr>
          <w:rFonts w:ascii="Times New Roman" w:hAnsi="Times New Roman" w:cs="Times New Roman"/>
          <w:color w:val="000000"/>
          <w:sz w:val="24"/>
          <w:szCs w:val="24"/>
          <w:shd w:val="clear" w:color="auto" w:fill="FFFFFF"/>
        </w:rPr>
        <w:t xml:space="preserve">ratio </w:t>
      </w:r>
      <w:r w:rsidRPr="00F645FC">
        <w:rPr>
          <w:rFonts w:ascii="Times New Roman" w:hAnsi="Times New Roman" w:cs="Times New Roman"/>
          <w:color w:val="000000"/>
          <w:sz w:val="24"/>
          <w:szCs w:val="24"/>
          <w:shd w:val="clear" w:color="auto" w:fill="FFFFFF"/>
        </w:rPr>
        <w:t xml:space="preserve">of deaths within the percentage of cases that result in </w:t>
      </w:r>
      <w:r w:rsidR="006220B4">
        <w:rPr>
          <w:rFonts w:ascii="Times New Roman" w:hAnsi="Times New Roman" w:cs="Times New Roman"/>
          <w:color w:val="000000"/>
          <w:sz w:val="24"/>
          <w:szCs w:val="24"/>
          <w:shd w:val="clear" w:color="auto" w:fill="FFFFFF"/>
        </w:rPr>
        <w:t>deaths</w:t>
      </w:r>
      <w:r w:rsidR="009C7F77">
        <w:rPr>
          <w:rFonts w:ascii="Times New Roman" w:hAnsi="Times New Roman" w:cs="Times New Roman"/>
          <w:color w:val="000000"/>
          <w:sz w:val="24"/>
          <w:szCs w:val="24"/>
          <w:shd w:val="clear" w:color="auto" w:fill="FFFFFF"/>
        </w:rPr>
        <w:fldChar w:fldCharType="begin" w:fldLock="1"/>
      </w:r>
      <w:r w:rsidR="009C7F77">
        <w:rPr>
          <w:rFonts w:ascii="Times New Roman" w:hAnsi="Times New Roman" w:cs="Times New Roman"/>
          <w:color w:val="000000"/>
          <w:sz w:val="24"/>
          <w:szCs w:val="24"/>
          <w:shd w:val="clear" w:color="auto" w:fill="FFFFFF"/>
        </w:rPr>
        <w:instrText>ADDIN CSL_CITATION {"citationItems":[{"id":"ITEM-1","itemData":{"DOI":"10.24171/j.phrp.2020.11.2.03","ISSN":"22336052","abstract":"Objectives: Case fatality rates (CFR) and recovery rates are important readouts during epidemics and pandemics. In this article, an international analysis was performed on the ongoing coronavirus disease 2019 (COVID-19) pandemic. Methods: Data were retrieved from accurate databases according to the user's guide of data sources for patient registries, CFR and recovery rates were calculated for each country. A comparison of CFR between countries with total cases ≥ 1,000 was observed for 12th and 23rd March. Results: Italy's CFR was the highest of all countries studied for both time points (12th March, 6.22% versus 23rd March, 9.26%). The data showed that even though Italy was the only European country reported on 12rd March, Spain and France had the highest CFR of 6.16 and 4.21%, respectively, on 23rd March, which was strikingly higher than the overall CFR of 3.61%. Conclusion: Obtaining detailed and accurate medical history from COVID-19 patients, and analyzing CFR alongside the recovery rate, may enable the identification of the highest risk areas so that efficient medical care may be provided. This may lead to the development of point-of-care tools to help clinicians in stratifying patients based on possible requirements in the level of care, to increase the probabilities of survival from COVID-19 disease.","author":[{"dropping-particle":"","family":"Khafaie","given":"Morteza Abdullatif","non-dropping-particle":"","parse-names":false,"suffix":""},{"dropping-particle":"","family":"Rahim","given":"Fakher","non-dropping-particle":"","parse-names":false,"suffix":""}],"container-title":"Osong Public Health and Research Perspectives","id":"ITEM-1","issue":"2","issued":{"date-parts":[["2020","4","1"]]},"page":"74-80","publisher":"Korea Centers for Disease Control and Prevention","title":"Cross-country comparison of case fatality rates of Covid-19/SARS-CoV-2","type":"article-journal","volume":"11"},"uris":["http://www.mendeley.com/documents/?uuid=d408bf86-d0ed-37d8-a454-9d38c3ae1bd2"]}],"mendeley":{"formattedCitation":"&lt;sup&gt;12&lt;/sup&gt;","plainTextFormattedCitation":"12","previouslyFormattedCitation":"&lt;sup&gt;12&lt;/sup&gt;"},"properties":{"noteIndex":0},"schema":"https://github.com/citation-style-language/schema/raw/master/csl-citation.json"}</w:instrText>
      </w:r>
      <w:r w:rsidR="009C7F77">
        <w:rPr>
          <w:rFonts w:ascii="Times New Roman" w:hAnsi="Times New Roman" w:cs="Times New Roman"/>
          <w:color w:val="000000"/>
          <w:sz w:val="24"/>
          <w:szCs w:val="24"/>
          <w:shd w:val="clear" w:color="auto" w:fill="FFFFFF"/>
        </w:rPr>
        <w:fldChar w:fldCharType="separate"/>
      </w:r>
      <w:r w:rsidR="009C7F77" w:rsidRPr="009C7F77">
        <w:rPr>
          <w:rFonts w:ascii="Times New Roman" w:hAnsi="Times New Roman" w:cs="Times New Roman"/>
          <w:noProof/>
          <w:color w:val="000000"/>
          <w:sz w:val="24"/>
          <w:szCs w:val="24"/>
          <w:shd w:val="clear" w:color="auto" w:fill="FFFFFF"/>
          <w:vertAlign w:val="superscript"/>
        </w:rPr>
        <w:t>12</w:t>
      </w:r>
      <w:r w:rsidR="009C7F77">
        <w:rPr>
          <w:rFonts w:ascii="Times New Roman" w:hAnsi="Times New Roman" w:cs="Times New Roman"/>
          <w:color w:val="000000"/>
          <w:sz w:val="24"/>
          <w:szCs w:val="24"/>
          <w:shd w:val="clear" w:color="auto" w:fill="FFFFFF"/>
        </w:rPr>
        <w:fldChar w:fldCharType="end"/>
      </w:r>
      <w:r w:rsidR="006220B4">
        <w:rPr>
          <w:rFonts w:ascii="Times New Roman" w:hAnsi="Times New Roman" w:cs="Times New Roman"/>
          <w:color w:val="000000"/>
          <w:sz w:val="24"/>
          <w:szCs w:val="24"/>
          <w:shd w:val="clear" w:color="auto" w:fill="FFFFFF"/>
        </w:rPr>
        <w:t>.</w:t>
      </w:r>
      <w:r w:rsidR="00193A9C">
        <w:rPr>
          <w:rFonts w:ascii="Times New Roman" w:hAnsi="Times New Roman" w:cs="Times New Roman"/>
          <w:color w:val="000000"/>
          <w:sz w:val="24"/>
          <w:szCs w:val="24"/>
          <w:shd w:val="clear" w:color="auto" w:fill="FFFFFF"/>
        </w:rPr>
        <w:t xml:space="preserve"> </w:t>
      </w:r>
      <w:r w:rsidR="00DA1A98" w:rsidRPr="00DA1A98">
        <w:rPr>
          <w:rFonts w:ascii="Times New Roman" w:hAnsi="Times New Roman" w:cs="Times New Roman"/>
          <w:sz w:val="24"/>
          <w:szCs w:val="24"/>
        </w:rPr>
        <w:t>CFRs provide the extent and need for disease severity to prioritize public health in interventions aimed at reducing the severity of risks</w:t>
      </w:r>
      <w:r w:rsidRPr="00F645FC">
        <w:rPr>
          <w:rFonts w:ascii="Times New Roman" w:hAnsi="Times New Roman" w:cs="Times New Roman"/>
          <w:color w:val="000000"/>
          <w:sz w:val="24"/>
          <w:szCs w:val="24"/>
          <w:shd w:val="clear" w:color="auto" w:fill="FFFFFF"/>
        </w:rPr>
        <w:fldChar w:fldCharType="begin" w:fldLock="1"/>
      </w:r>
      <w:r w:rsidR="009C7F77">
        <w:rPr>
          <w:rFonts w:ascii="Times New Roman" w:hAnsi="Times New Roman" w:cs="Times New Roman"/>
          <w:color w:val="000000"/>
          <w:sz w:val="24"/>
          <w:szCs w:val="24"/>
          <w:shd w:val="clear" w:color="auto" w:fill="FFFFFF"/>
        </w:rPr>
        <w:instrText>ADDIN CSL_CITATION {"citationItems":[{"id":"ITEM-1","itemData":{"DOI":"10.24171/j.phrp.2020.11.2.03","ISSN":"22336052","abstract":"Objectives: Case fatality rates (CFR) and recovery rates are important readouts during epidemics and pandemics. In this article, an international analysis was performed on the ongoing coronavirus disease 2019 (COVID-19) pandemic. Methods: Data were retrieved from accurate databases according to the user's guide of data sources for patient registries, CFR and recovery rates were calculated for each country. A comparison of CFR between countries with total cases ≥ 1,000 was observed for 12th and 23rd March. Results: Italy's CFR was the highest of all countries studied for both time points (12th March, 6.22% versus 23rd March, 9.26%). The data showed that even though Italy was the only European country reported on 12rd March, Spain and France had the highest CFR of 6.16 and 4.21%, respectively, on 23rd March, which was strikingly higher than the overall CFR of 3.61%. Conclusion: Obtaining detailed and accurate medical history from COVID-19 patients, and analyzing CFR alongside the recovery rate, may enable the identification of the highest risk areas so that efficient medical care may be provided. This may lead to the development of point-of-care tools to help clinicians in stratifying patients based on possible requirements in the level of care, to increase the probabilities of survival from COVID-19 disease.","author":[{"dropping-particle":"","family":"Khafaie","given":"Morteza Abdullatif","non-dropping-particle":"","parse-names":false,"suffix":""},{"dropping-particle":"","family":"Rahim","given":"Fakher","non-dropping-particle":"","parse-names":false,"suffix":""}],"container-title":"Osong Public Health and Research Perspectives","id":"ITEM-1","issue":"2","issued":{"date-parts":[["2020","4","1"]]},"page":"74-80","publisher":"Korea Centers for Disease Control and Prevention","title":"Cross-country comparison of case fatality rates of Covid-19/SARS-CoV-2","type":"article-journal","volume":"11"},"uris":["http://www.mendeley.com/documents/?uuid=bde5bbea-c2a4-3287-84be-9474ee73a000"]}],"mendeley":{"formattedCitation":"&lt;sup&gt;13&lt;/sup&gt;","plainTextFormattedCitation":"13","previouslyFormattedCitation":"&lt;sup&gt;13&lt;/sup&gt;"},"properties":{"noteIndex":0},"schema":"https://github.com/citation-style-language/schema/raw/master/csl-citation.json"}</w:instrText>
      </w:r>
      <w:r w:rsidRPr="00F645FC">
        <w:rPr>
          <w:rFonts w:ascii="Times New Roman" w:hAnsi="Times New Roman" w:cs="Times New Roman"/>
          <w:color w:val="000000"/>
          <w:sz w:val="24"/>
          <w:szCs w:val="24"/>
          <w:shd w:val="clear" w:color="auto" w:fill="FFFFFF"/>
        </w:rPr>
        <w:fldChar w:fldCharType="separate"/>
      </w:r>
      <w:r w:rsidR="009C7F77" w:rsidRPr="009C7F77">
        <w:rPr>
          <w:rFonts w:ascii="Times New Roman" w:hAnsi="Times New Roman" w:cs="Times New Roman"/>
          <w:noProof/>
          <w:color w:val="000000"/>
          <w:sz w:val="24"/>
          <w:szCs w:val="24"/>
          <w:shd w:val="clear" w:color="auto" w:fill="FFFFFF"/>
          <w:vertAlign w:val="superscript"/>
        </w:rPr>
        <w:t>13</w:t>
      </w:r>
      <w:r w:rsidRPr="00F645FC">
        <w:rPr>
          <w:rFonts w:ascii="Times New Roman" w:hAnsi="Times New Roman" w:cs="Times New Roman"/>
          <w:color w:val="000000"/>
          <w:sz w:val="24"/>
          <w:szCs w:val="24"/>
          <w:shd w:val="clear" w:color="auto" w:fill="FFFFFF"/>
        </w:rPr>
        <w:fldChar w:fldCharType="end"/>
      </w:r>
      <w:r w:rsidRPr="00F645FC">
        <w:rPr>
          <w:rFonts w:ascii="Times New Roman" w:hAnsi="Times New Roman" w:cs="Times New Roman"/>
          <w:color w:val="000000"/>
          <w:sz w:val="24"/>
          <w:szCs w:val="24"/>
          <w:shd w:val="clear" w:color="auto" w:fill="FFFFFF"/>
        </w:rPr>
        <w:t xml:space="preserve">. </w:t>
      </w:r>
      <w:r w:rsidR="00111D51" w:rsidRPr="00111D51">
        <w:rPr>
          <w:rFonts w:ascii="Times New Roman" w:hAnsi="Times New Roman" w:cs="Times New Roman"/>
          <w:sz w:val="24"/>
          <w:szCs w:val="24"/>
        </w:rPr>
        <w:t xml:space="preserve">A wide-ranging body of literature </w:t>
      </w:r>
      <w:r w:rsidR="00111D51" w:rsidRPr="00F645FC">
        <w:rPr>
          <w:rFonts w:ascii="Times New Roman" w:hAnsi="Times New Roman" w:cs="Times New Roman"/>
          <w:sz w:val="24"/>
          <w:szCs w:val="24"/>
        </w:rPr>
        <w:t xml:space="preserve">that emerged since the outset </w:t>
      </w:r>
      <w:r w:rsidR="00111D51">
        <w:rPr>
          <w:rFonts w:ascii="Times New Roman" w:hAnsi="Times New Roman" w:cs="Times New Roman"/>
          <w:sz w:val="24"/>
          <w:szCs w:val="24"/>
        </w:rPr>
        <w:t xml:space="preserve">of the </w:t>
      </w:r>
      <w:r w:rsidR="00111D51" w:rsidRPr="00111D51">
        <w:rPr>
          <w:rFonts w:ascii="Times New Roman" w:hAnsi="Times New Roman" w:cs="Times New Roman"/>
          <w:sz w:val="24"/>
          <w:szCs w:val="24"/>
        </w:rPr>
        <w:t xml:space="preserve">epidemic in China has examined the rate of </w:t>
      </w:r>
      <w:r w:rsidR="00D313B5" w:rsidRPr="00F645FC">
        <w:rPr>
          <w:rFonts w:ascii="Times New Roman" w:hAnsi="Times New Roman" w:cs="Times New Roman"/>
          <w:sz w:val="24"/>
          <w:szCs w:val="24"/>
        </w:rPr>
        <w:t>severe</w:t>
      </w:r>
      <w:r w:rsidR="00111D51" w:rsidRPr="00111D51">
        <w:rPr>
          <w:rFonts w:ascii="Times New Roman" w:hAnsi="Times New Roman" w:cs="Times New Roman"/>
          <w:sz w:val="24"/>
          <w:szCs w:val="24"/>
        </w:rPr>
        <w:t xml:space="preserve"> and critically </w:t>
      </w:r>
      <w:r w:rsidR="00D313B5" w:rsidRPr="00F645FC">
        <w:rPr>
          <w:rFonts w:ascii="Times New Roman" w:hAnsi="Times New Roman" w:cs="Times New Roman"/>
          <w:sz w:val="24"/>
          <w:szCs w:val="24"/>
        </w:rPr>
        <w:t>severe</w:t>
      </w:r>
      <w:r w:rsidR="00111D51" w:rsidRPr="00111D51">
        <w:rPr>
          <w:rFonts w:ascii="Times New Roman" w:hAnsi="Times New Roman" w:cs="Times New Roman"/>
          <w:sz w:val="24"/>
          <w:szCs w:val="24"/>
        </w:rPr>
        <w:t xml:space="preserve"> illnesses, as well as the death rate </w:t>
      </w:r>
      <w:r w:rsidR="002E6C32" w:rsidRPr="00F645FC">
        <w:rPr>
          <w:rFonts w:ascii="Times New Roman" w:hAnsi="Times New Roman" w:cs="Times New Roman"/>
          <w:sz w:val="24"/>
          <w:szCs w:val="24"/>
        </w:rPr>
        <w:t>case fatality associated with COVID-19</w:t>
      </w:r>
      <w:r w:rsidR="002E6C32"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{"citationItems":[{"id":"ITEM-1","itemData":{"DOI":"10.1101/2020.04.01.20050476","abstract":"Background: Estimating the prevalence of severe or critical illness and case fatality of COVID-19 outbreak in December, 2019 remains a challenge due to biases associated with surveillance, data synthesis and reporting. We aimed to address this limitation in a systematic review and meta-analysis and to examine the clinical, biochemical and radiological risk factors in a meta-regression. Methods: PRISMA guidelines were followed. PubMed, Scopus and Web of Science were searched using pre-specified keywords on March 07, 2020. Peer-reviewed empirical studies examining rates of severe illness, critical illness and case fatality among COVID-19 patients were examined. Numerators and denominators to compute the prevalence rates and risk factors were extracted. Random-effects meta-analyses were performed. Results were corrected for publication bias. Meta-regression analyses examined the moderator effects of potential risk factors. Results: The meta-analysis included 29 studies representing 2,090 individuals. Pooled rates of severe illness, critical illness and case fatality among COVID-19 patients were 15%, 5% and 0.8% respectively. Adjusting for potential underreporting and publication bias, increased these estimates to 26%, 16% and 7.4% respectively. Increasing age and elevated LDH consistently predicted severe / critical disease and case fatality. Hypertension; fever and dyspnea at presentation; and elevated CRP predicted increased severity. Conclusions: Risk factors that emerged in our analyses predicting severity and case fatality should inform clinicians to define endophenotypes possessing a greater risk. Estimated case fatality rate of 7.4% after correcting for publication bias underscores the importance of strict adherence to preventive measures, case detection, surveillance and reporting.Competing Interest StatementThe authors have declared no competing interest.Clinical TrialNot applicableFunding StatementThe study was not funded. The authors have no potential conflicts of interest to declare.Author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regis…","author":[{"dropping-particle":"","family":"Kahathuduwa","given":"Chanaka N","non-dropping-particle":"","parse-names":false,"suffix":""},{"dropping-particle":"","family":"Dhanasekara","given":"Chathurika S","non-dropping-particle":"","parse-names":false,"suffix":""},{"dropping-particle":"","family":"Chin","given":"Shao-Hua","non-dropping-particle":"","parse-names":false,"suffix":""}],"container-title":"medRxiv","id":"ITEM-1","issued":{"date-parts":[["2020"]]},"page":"2020.04.01.20050476","title":"Case fatality rate in COVID-19: a systematic review and meta-analysis","type":"article-journal"},"uris":["http://www.mendeley.com/documents/?uuid=940fdb6d-d138-3e2b-acc3-0b1ca36b42b7"]}],"mendeley":{"formattedCitation":"&lt;sup&gt;14&lt;/sup&gt;","plainTextFormattedCitation":"14","previouslyFormattedCitation":"&lt;sup&gt;14&lt;/sup&gt;"},"properties":{"noteIndex":0},"schema":"https://github.com/citation-style-language/schema/raw/master/csl-citation.json"}</w:instrText>
      </w:r>
      <w:r w:rsidR="002E6C32"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14</w:t>
      </w:r>
      <w:r w:rsidR="002E6C32" w:rsidRPr="00F645FC">
        <w:rPr>
          <w:rFonts w:ascii="Times New Roman" w:hAnsi="Times New Roman" w:cs="Times New Roman"/>
          <w:sz w:val="24"/>
          <w:szCs w:val="24"/>
        </w:rPr>
        <w:fldChar w:fldCharType="end"/>
      </w:r>
      <w:r w:rsidR="002E6C32">
        <w:rPr>
          <w:rFonts w:ascii="Times New Roman" w:hAnsi="Times New Roman" w:cs="Times New Roman"/>
          <w:sz w:val="24"/>
          <w:szCs w:val="24"/>
        </w:rPr>
        <w:t>.</w:t>
      </w:r>
    </w:p>
    <w:p w14:paraId="1A90E947" w14:textId="579F4583" w:rsidR="00276564" w:rsidRDefault="00EF41C7"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lastRenderedPageBreak/>
        <w:t>The mortality varies greatly reported by various countries</w:t>
      </w:r>
      <w:r w:rsidR="007F0E84">
        <w:rPr>
          <w:rFonts w:ascii="Times New Roman" w:hAnsi="Times New Roman" w:cs="Times New Roman"/>
          <w:sz w:val="24"/>
          <w:szCs w:val="24"/>
        </w:rPr>
        <w:t xml:space="preserve"> over time</w:t>
      </w:r>
      <w:r w:rsidRPr="00F645FC">
        <w:rPr>
          <w:rFonts w:ascii="Times New Roman" w:hAnsi="Times New Roman" w:cs="Times New Roman"/>
          <w:sz w:val="24"/>
          <w:szCs w:val="24"/>
        </w:rPr>
        <w:t xml:space="preserve">. </w:t>
      </w:r>
      <w:r w:rsidR="00BC3C72" w:rsidRPr="00F645FC">
        <w:rPr>
          <w:rFonts w:ascii="Times New Roman" w:hAnsi="Times New Roman" w:cs="Times New Roman"/>
          <w:sz w:val="24"/>
          <w:szCs w:val="24"/>
        </w:rPr>
        <w:t xml:space="preserve">As of </w:t>
      </w:r>
      <w:r w:rsidR="00B624C6" w:rsidRPr="00F645FC">
        <w:rPr>
          <w:rFonts w:ascii="Times New Roman" w:hAnsi="Times New Roman" w:cs="Times New Roman"/>
          <w:sz w:val="24"/>
          <w:szCs w:val="24"/>
        </w:rPr>
        <w:t>June</w:t>
      </w:r>
      <w:r w:rsidR="00BC3C72" w:rsidRPr="00F645FC">
        <w:rPr>
          <w:rFonts w:ascii="Times New Roman" w:hAnsi="Times New Roman" w:cs="Times New Roman"/>
          <w:sz w:val="24"/>
          <w:szCs w:val="24"/>
        </w:rPr>
        <w:t xml:space="preserve"> </w:t>
      </w:r>
      <w:r w:rsidR="00B624C6" w:rsidRPr="00F645FC">
        <w:rPr>
          <w:rFonts w:ascii="Times New Roman" w:hAnsi="Times New Roman" w:cs="Times New Roman"/>
          <w:sz w:val="24"/>
          <w:szCs w:val="24"/>
        </w:rPr>
        <w:t>30</w:t>
      </w:r>
      <w:r w:rsidR="00BC3C72" w:rsidRPr="00F645FC">
        <w:rPr>
          <w:rFonts w:ascii="Times New Roman" w:hAnsi="Times New Roman" w:cs="Times New Roman"/>
          <w:sz w:val="24"/>
          <w:szCs w:val="24"/>
        </w:rPr>
        <w:t xml:space="preserve">, 2020, worldwide with a case-fatality rate of </w:t>
      </w:r>
      <w:r w:rsidR="00CE0205" w:rsidRPr="00F645FC">
        <w:rPr>
          <w:rFonts w:ascii="Times New Roman" w:hAnsi="Times New Roman" w:cs="Times New Roman"/>
          <w:sz w:val="24"/>
          <w:szCs w:val="24"/>
        </w:rPr>
        <w:t>4.90</w:t>
      </w:r>
      <w:r w:rsidR="00BC3C72" w:rsidRPr="00F645FC">
        <w:rPr>
          <w:rFonts w:ascii="Times New Roman" w:hAnsi="Times New Roman" w:cs="Times New Roman"/>
          <w:sz w:val="24"/>
          <w:szCs w:val="24"/>
        </w:rPr>
        <w:t>%. The United States of America (</w:t>
      </w:r>
      <w:r w:rsidR="00437613" w:rsidRPr="00F645FC">
        <w:rPr>
          <w:rFonts w:ascii="Times New Roman" w:hAnsi="Times New Roman" w:cs="Times New Roman"/>
          <w:sz w:val="24"/>
          <w:szCs w:val="24"/>
        </w:rPr>
        <w:t>2.59 million</w:t>
      </w:r>
      <w:r w:rsidR="00BC3C72" w:rsidRPr="00F645FC">
        <w:rPr>
          <w:rFonts w:ascii="Times New Roman" w:hAnsi="Times New Roman" w:cs="Times New Roman"/>
          <w:sz w:val="24"/>
          <w:szCs w:val="24"/>
        </w:rPr>
        <w:t xml:space="preserve"> cases), Brazil (</w:t>
      </w:r>
      <w:r w:rsidR="006232FB" w:rsidRPr="00F645FC">
        <w:rPr>
          <w:rFonts w:ascii="Times New Roman" w:hAnsi="Times New Roman" w:cs="Times New Roman"/>
          <w:sz w:val="24"/>
          <w:szCs w:val="24"/>
        </w:rPr>
        <w:t xml:space="preserve">1.37 million </w:t>
      </w:r>
      <w:r w:rsidR="00BC3C72" w:rsidRPr="00F645FC">
        <w:rPr>
          <w:rFonts w:ascii="Times New Roman" w:hAnsi="Times New Roman" w:cs="Times New Roman"/>
          <w:sz w:val="24"/>
          <w:szCs w:val="24"/>
        </w:rPr>
        <w:t>cases), Russia (</w:t>
      </w:r>
      <w:r w:rsidR="00082419" w:rsidRPr="00F645FC">
        <w:rPr>
          <w:rFonts w:ascii="Times New Roman" w:hAnsi="Times New Roman" w:cs="Times New Roman"/>
          <w:sz w:val="24"/>
          <w:szCs w:val="24"/>
        </w:rPr>
        <w:t>641,156</w:t>
      </w:r>
      <w:r w:rsidR="00BC3C72" w:rsidRPr="00F645FC">
        <w:rPr>
          <w:rFonts w:ascii="Times New Roman" w:hAnsi="Times New Roman" w:cs="Times New Roman"/>
          <w:sz w:val="24"/>
          <w:szCs w:val="24"/>
        </w:rPr>
        <w:t xml:space="preserve"> cases), Spain (</w:t>
      </w:r>
      <w:r w:rsidR="005F1237" w:rsidRPr="00F645FC">
        <w:rPr>
          <w:rFonts w:ascii="Times New Roman" w:hAnsi="Times New Roman" w:cs="Times New Roman"/>
          <w:sz w:val="24"/>
          <w:szCs w:val="24"/>
        </w:rPr>
        <w:t>249,271</w:t>
      </w:r>
      <w:r w:rsidR="00BC3C72" w:rsidRPr="00F645FC">
        <w:rPr>
          <w:rFonts w:ascii="Times New Roman" w:hAnsi="Times New Roman" w:cs="Times New Roman"/>
          <w:sz w:val="24"/>
          <w:szCs w:val="24"/>
        </w:rPr>
        <w:t xml:space="preserve"> cases), and </w:t>
      </w:r>
      <w:r w:rsidR="00960087" w:rsidRPr="00F645FC">
        <w:rPr>
          <w:rFonts w:ascii="Times New Roman" w:hAnsi="Times New Roman" w:cs="Times New Roman"/>
          <w:sz w:val="24"/>
          <w:szCs w:val="24"/>
        </w:rPr>
        <w:t xml:space="preserve">the </w:t>
      </w:r>
      <w:r w:rsidR="00BC3C72" w:rsidRPr="00F645FC">
        <w:rPr>
          <w:rFonts w:ascii="Times New Roman" w:hAnsi="Times New Roman" w:cs="Times New Roman"/>
          <w:sz w:val="24"/>
          <w:szCs w:val="24"/>
        </w:rPr>
        <w:t>United Kingdom (UK) (</w:t>
      </w:r>
      <w:r w:rsidR="005F1237" w:rsidRPr="00F645FC">
        <w:rPr>
          <w:rFonts w:ascii="Times New Roman" w:hAnsi="Times New Roman" w:cs="Times New Roman"/>
          <w:sz w:val="24"/>
          <w:szCs w:val="24"/>
        </w:rPr>
        <w:t>283</w:t>
      </w:r>
      <w:r w:rsidR="00BC3C72" w:rsidRPr="00F645FC">
        <w:rPr>
          <w:rFonts w:ascii="Times New Roman" w:hAnsi="Times New Roman" w:cs="Times New Roman"/>
          <w:sz w:val="24"/>
          <w:szCs w:val="24"/>
        </w:rPr>
        <w:t>,</w:t>
      </w:r>
      <w:r w:rsidR="005F1237" w:rsidRPr="00F645FC">
        <w:rPr>
          <w:rFonts w:ascii="Times New Roman" w:hAnsi="Times New Roman" w:cs="Times New Roman"/>
          <w:sz w:val="24"/>
          <w:szCs w:val="24"/>
        </w:rPr>
        <w:t>541</w:t>
      </w:r>
      <w:r w:rsidR="00BC3C72" w:rsidRPr="00F645FC">
        <w:rPr>
          <w:rFonts w:ascii="Times New Roman" w:hAnsi="Times New Roman" w:cs="Times New Roman"/>
          <w:sz w:val="24"/>
          <w:szCs w:val="24"/>
        </w:rPr>
        <w:t xml:space="preserve"> cases) are the top most-affected counties in terms of confirmed cases. France (2</w:t>
      </w:r>
      <w:r w:rsidR="001A2BBF" w:rsidRPr="00F645FC">
        <w:rPr>
          <w:rFonts w:ascii="Times New Roman" w:hAnsi="Times New Roman" w:cs="Times New Roman"/>
          <w:sz w:val="24"/>
          <w:szCs w:val="24"/>
        </w:rPr>
        <w:t>9,813</w:t>
      </w:r>
      <w:r w:rsidR="00BC3C72" w:rsidRPr="00F645FC">
        <w:rPr>
          <w:rFonts w:ascii="Times New Roman" w:hAnsi="Times New Roman" w:cs="Times New Roman"/>
          <w:sz w:val="24"/>
          <w:szCs w:val="24"/>
        </w:rPr>
        <w:t xml:space="preserve"> deaths, 1</w:t>
      </w:r>
      <w:r w:rsidR="002A75D8" w:rsidRPr="00F645FC">
        <w:rPr>
          <w:rFonts w:ascii="Times New Roman" w:hAnsi="Times New Roman" w:cs="Times New Roman"/>
          <w:sz w:val="24"/>
          <w:szCs w:val="24"/>
        </w:rPr>
        <w:t>8.1</w:t>
      </w:r>
      <w:r w:rsidR="00BC3C72" w:rsidRPr="00F645FC">
        <w:rPr>
          <w:rFonts w:ascii="Times New Roman" w:hAnsi="Times New Roman" w:cs="Times New Roman"/>
          <w:sz w:val="24"/>
          <w:szCs w:val="24"/>
        </w:rPr>
        <w:t>%), Italy (</w:t>
      </w:r>
      <w:r w:rsidR="001A2BBF" w:rsidRPr="00F645FC">
        <w:rPr>
          <w:rFonts w:ascii="Times New Roman" w:hAnsi="Times New Roman" w:cs="Times New Roman"/>
          <w:sz w:val="24"/>
          <w:szCs w:val="24"/>
        </w:rPr>
        <w:t>34</w:t>
      </w:r>
      <w:r w:rsidR="00BC3C72" w:rsidRPr="00F645FC">
        <w:rPr>
          <w:rFonts w:ascii="Times New Roman" w:hAnsi="Times New Roman" w:cs="Times New Roman"/>
          <w:sz w:val="24"/>
          <w:szCs w:val="24"/>
        </w:rPr>
        <w:t>,</w:t>
      </w:r>
      <w:r w:rsidR="001A2BBF" w:rsidRPr="00F645FC">
        <w:rPr>
          <w:rFonts w:ascii="Times New Roman" w:hAnsi="Times New Roman" w:cs="Times New Roman"/>
          <w:sz w:val="24"/>
          <w:szCs w:val="24"/>
        </w:rPr>
        <w:t>744</w:t>
      </w:r>
      <w:r w:rsidR="00BC3C72" w:rsidRPr="00F645FC">
        <w:rPr>
          <w:rFonts w:ascii="Times New Roman" w:hAnsi="Times New Roman" w:cs="Times New Roman"/>
          <w:sz w:val="24"/>
          <w:szCs w:val="24"/>
        </w:rPr>
        <w:t xml:space="preserve"> deaths, 1</w:t>
      </w:r>
      <w:r w:rsidR="002A75D8" w:rsidRPr="00F645FC">
        <w:rPr>
          <w:rFonts w:ascii="Times New Roman" w:hAnsi="Times New Roman" w:cs="Times New Roman"/>
          <w:sz w:val="24"/>
          <w:szCs w:val="24"/>
        </w:rPr>
        <w:t>4.5</w:t>
      </w:r>
      <w:r w:rsidR="00BC3C72" w:rsidRPr="00F645FC">
        <w:rPr>
          <w:rFonts w:ascii="Times New Roman" w:hAnsi="Times New Roman" w:cs="Times New Roman"/>
          <w:sz w:val="24"/>
          <w:szCs w:val="24"/>
        </w:rPr>
        <w:t>%) and Spain (28,</w:t>
      </w:r>
      <w:r w:rsidR="001A2BBF" w:rsidRPr="00F645FC">
        <w:rPr>
          <w:rFonts w:ascii="Times New Roman" w:hAnsi="Times New Roman" w:cs="Times New Roman"/>
          <w:sz w:val="24"/>
          <w:szCs w:val="24"/>
        </w:rPr>
        <w:t>355</w:t>
      </w:r>
      <w:r w:rsidR="00BC3C72" w:rsidRPr="00F645FC">
        <w:rPr>
          <w:rFonts w:ascii="Times New Roman" w:hAnsi="Times New Roman" w:cs="Times New Roman"/>
          <w:sz w:val="24"/>
          <w:szCs w:val="24"/>
        </w:rPr>
        <w:t xml:space="preserve"> deaths, 1</w:t>
      </w:r>
      <w:r w:rsidR="002A75D8" w:rsidRPr="00F645FC">
        <w:rPr>
          <w:rFonts w:ascii="Times New Roman" w:hAnsi="Times New Roman" w:cs="Times New Roman"/>
          <w:sz w:val="24"/>
          <w:szCs w:val="24"/>
        </w:rPr>
        <w:t>1.4</w:t>
      </w:r>
      <w:r w:rsidR="00BC3C72" w:rsidRPr="00F645FC">
        <w:rPr>
          <w:rFonts w:ascii="Times New Roman" w:hAnsi="Times New Roman" w:cs="Times New Roman"/>
          <w:sz w:val="24"/>
          <w:szCs w:val="24"/>
        </w:rPr>
        <w:t>%) and UK (</w:t>
      </w:r>
      <w:r w:rsidR="001A2BBF" w:rsidRPr="00F645FC">
        <w:rPr>
          <w:rFonts w:ascii="Times New Roman" w:hAnsi="Times New Roman" w:cs="Times New Roman"/>
          <w:sz w:val="24"/>
          <w:szCs w:val="24"/>
        </w:rPr>
        <w:t>43</w:t>
      </w:r>
      <w:r w:rsidR="00BC3C72" w:rsidRPr="00F645FC">
        <w:rPr>
          <w:rFonts w:ascii="Times New Roman" w:hAnsi="Times New Roman" w:cs="Times New Roman"/>
          <w:sz w:val="24"/>
          <w:szCs w:val="24"/>
        </w:rPr>
        <w:t>,</w:t>
      </w:r>
      <w:r w:rsidR="001A2BBF" w:rsidRPr="00F645FC">
        <w:rPr>
          <w:rFonts w:ascii="Times New Roman" w:hAnsi="Times New Roman" w:cs="Times New Roman"/>
          <w:sz w:val="24"/>
          <w:szCs w:val="24"/>
        </w:rPr>
        <w:t>575</w:t>
      </w:r>
      <w:r w:rsidR="00BC3C72" w:rsidRPr="00F645FC">
        <w:rPr>
          <w:rFonts w:ascii="Times New Roman" w:hAnsi="Times New Roman" w:cs="Times New Roman"/>
          <w:sz w:val="24"/>
          <w:szCs w:val="24"/>
        </w:rPr>
        <w:t xml:space="preserve"> deaths, </w:t>
      </w:r>
      <w:r w:rsidR="002A75D8" w:rsidRPr="00F645FC">
        <w:rPr>
          <w:rFonts w:ascii="Times New Roman" w:hAnsi="Times New Roman" w:cs="Times New Roman"/>
          <w:sz w:val="24"/>
          <w:szCs w:val="24"/>
        </w:rPr>
        <w:t>1</w:t>
      </w:r>
      <w:r w:rsidR="00BC3C72" w:rsidRPr="00F645FC">
        <w:rPr>
          <w:rFonts w:ascii="Times New Roman" w:hAnsi="Times New Roman" w:cs="Times New Roman"/>
          <w:sz w:val="24"/>
          <w:szCs w:val="24"/>
        </w:rPr>
        <w:t>5.</w:t>
      </w:r>
      <w:r w:rsidR="002A75D8" w:rsidRPr="00F645FC">
        <w:rPr>
          <w:rFonts w:ascii="Times New Roman" w:hAnsi="Times New Roman" w:cs="Times New Roman"/>
          <w:sz w:val="24"/>
          <w:szCs w:val="24"/>
        </w:rPr>
        <w:t>4</w:t>
      </w:r>
      <w:r w:rsidR="00BC3C72" w:rsidRPr="00F645FC">
        <w:rPr>
          <w:rFonts w:ascii="Times New Roman" w:hAnsi="Times New Roman" w:cs="Times New Roman"/>
          <w:sz w:val="24"/>
          <w:szCs w:val="24"/>
        </w:rPr>
        <w:t>%) are leading the list in terms of case- fatality rates</w:t>
      </w:r>
      <w:r w:rsidR="00BC3C72"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URL":"https://ourworldindata.org/grapher/coronavirus-cfr?time=..","accessed":{"date-parts":[["2020","5","26"]]},"author":[{"dropping-particle":"","family":"Roser","given":"Max","non-dropping-particle":"","parse-names":false,"suffix":""},{"dropping-particle":"","family":"Ritchie","given":"Hannah","non-dropping-particle":"","parse-names":false,"suffix":""},{"dropping-particle":"","family":"Ortiz-Ospina","given":"Esteban","non-dropping-particle":"","parse-names":false,"suffix":""}],"container-title":"Our World in Data","id":"ITEM-1","issued":{"date-parts":[["2020"]]},"title":"Case fatality rate of the ongoing COVID-19 pandemic","type":"webpage"},"uris":["http://www.mendeley.com/documents/?uuid=0a20b318-2b40-39d4-b8cb-f22246107eb5"]}],"mendeley":{"formattedCitation":"&lt;sup&gt;15&lt;/sup&gt;","plainTextFormattedCitation":"15","previouslyFormattedCitation":"&lt;sup&gt;15&lt;/sup&gt;"},"properties":{"noteIndex":0},"schema":"https://github.com/citation-style-language/schema/raw/master/csl-citation.json"}</w:instrText>
      </w:r>
      <w:r w:rsidR="00BC3C72"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15</w:t>
      </w:r>
      <w:r w:rsidR="00BC3C72" w:rsidRPr="00F645FC">
        <w:rPr>
          <w:rFonts w:ascii="Times New Roman" w:hAnsi="Times New Roman" w:cs="Times New Roman"/>
          <w:sz w:val="24"/>
          <w:szCs w:val="24"/>
        </w:rPr>
        <w:fldChar w:fldCharType="end"/>
      </w:r>
      <w:r w:rsidR="00BC3C72" w:rsidRPr="00F645FC">
        <w:rPr>
          <w:rFonts w:ascii="Times New Roman" w:hAnsi="Times New Roman" w:cs="Times New Roman"/>
          <w:sz w:val="24"/>
          <w:szCs w:val="24"/>
        </w:rPr>
        <w:t xml:space="preserve">. </w:t>
      </w:r>
      <w:r w:rsidR="00FA2441" w:rsidRPr="00F645FC">
        <w:rPr>
          <w:rFonts w:ascii="Times New Roman" w:hAnsi="Times New Roman" w:cs="Times New Roman"/>
          <w:sz w:val="24"/>
          <w:szCs w:val="24"/>
        </w:rPr>
        <w:t xml:space="preserve"> </w:t>
      </w:r>
    </w:p>
    <w:p w14:paraId="07689FC3" w14:textId="1D79C0BB" w:rsidR="00C87BEC" w:rsidRPr="00F645FC" w:rsidRDefault="00BC3C72"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Some study indicated that variation in prevalence could be due to</w:t>
      </w:r>
      <w:r w:rsidR="00D014D4" w:rsidRPr="00F645FC">
        <w:rPr>
          <w:rFonts w:ascii="Times New Roman" w:hAnsi="Times New Roman" w:cs="Times New Roman"/>
          <w:sz w:val="24"/>
          <w:szCs w:val="24"/>
        </w:rPr>
        <w:t xml:space="preserve"> differences in transmission, migration rates, social habits, a greater susceptibility of the population, the presence of “super-spreaders”, delayed implementation of measures intended to stop the spread of infectious disease such as social distancing and closure of public areas</w:t>
      </w:r>
      <w:r w:rsidR="00D014D4"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{"citationItems":[{"id":"ITEM-1","itemData":{"DOI":"10.4414/smw.2020.20224","ISSN":"14243997","PMID":"32176808","abstract":"A novel coronavirus (SARS-CoV-2) first detected in Wuhan, China, has spread rapidly since December 2019, causing more than 100,000 confirmed infections and 4000 fatalities (as of 10 March 2020). The outbreak has been declared a pandemic by the WHO on Mar 11, 2020. Here, we explore how seasonal variation in transmissibility could modulate a SARS-CoV-2 pandemic. Data from routine diagnostics show a strong and consistent seasonal variation of the four endemic coronaviruses (229E, HKU1, NL63, OC43) and we parameterise our model for SARS-CoV-2 using these data. The model allows for many subpopulations of different size with variable parameters. Simulations of different scenarios show that plausible parameters result in a small peak in early 2020 in temperate regions of the Northern Hemisphere and a larger peak in winter 2020/2021. Variation in transmission and migration rates can result in substantial variation in prevalence between regions. While the uncertainty in parameters is large, the scenarios we explore show that transient reductions in the incidence rate might be due to a combination of seasonal variation and infection control efforts but do not necessarily mean the epidemic is contained. Seasonal forcing on SARS-CoV-2 should thus be taken into account in the further monitoring of the global transmission. The likely aggregated effect of seasonal variation, infection control measures, and transmission rate variation is a prolonged pandemic wave with lower prevalence at any given time, thereby providing a window of opportunity for better preparation of health care systems.","author":[{"dropping-particle":"","family":"Neher","given":"Richard A.","non-dropping-particle":"","parse-names":false,"suffix":""},{"dropping-particle":"","family":"Dyrdak","given":"Robert","non-dropping-particle":"","parse-names":false,"suffix":""},{"dropping-particle":"","family":"Druelle","given":"Valentin","non-dropping-particle":"","parse-names":false,"suffix":""},{"dropping-particle":"","family":"Hodcroft","given":"Emma B.","non-dropping-particle":"","parse-names":false,"suffix":""},{"dropping-particle":"","family":"Albert","given":"Jan","non-dropping-particle":"","parse-names":false,"suffix":""}],"container-title":"Swiss medical weekly","id":"ITEM-1","issue":"1112","issued":{"date-parts":[["2020","3","9"]]},"page":"w20224","publisher":"NLM (Medline)","title":"Potential impact of seasonal forcing on a SARS-CoV-2 pandemic","type":"article-journal","volume":"150"},"uris":["http://www.mendeley.com/documents/?uuid=f84a5c0b-e901-3c2b-b88f-058ea7cff75a"]},{"id":"ITEM-2","itemData":{"DOI":"10.1016/j.jhin.2020.04.002","ISSN":"01956701","author":[{"dropping-particle":"","family":"Al-Tawfiq","given":"J.A.","non-dropping-particle":"","parse-names":false,"suffix":""},{"dropping-particle":"","family":"Rodriguez-Morales","given":"A.J.","non-dropping-particle":"","parse-names":false,"suffix":""}],"container-title":"Journal of Hospital Infection","id":"ITEM-2","issue":"2","issued":{"date-parts":[["2020","6"]]},"page":"111-112","publisher":"Elsevier BV","title":"Super-spreading events and contribution to transmission of MERS, SARS, and SARS-CoV-2 (COVID-19)","type":"article-journal","volume":"105"},"uris":["http://www.mendeley.com/documents/?uuid=0c38a19c-0605-3295-913e-fa94745a2db3"]},{"id":"ITEM-3","itemData":{"DOI":"10.1016/j.tmaid.2020.101711","ISSN":"18730442","PMID":"32360326","author":[{"dropping-particle":"","family":"Al-Tawfiq","given":"Jaffar A.","non-dropping-particle":"","parse-names":false,"suffix":""},{"dropping-particle":"","family":"Leonardi","given":"Roberto","non-dropping-particle":"","parse-names":false,"suffix":""},{"dropping-particle":"","family":"Fasoli","given":"Gino","non-dropping-particle":"","parse-names":false,"suffix":""},{"dropping-particle":"","family":"Rigamonti","given":"Daniele","non-dropping-particle":"","parse-names":false,"suffix":""}],"container-title":"Travel Medicine and Infectious Disease","id":"ITEM-3","issued":{"date-parts":[["2020"]]},"publisher":"Elsevier USA","title":"Prevalence and fatality rates of COVID-19: What are the reasons for the wide variations worldwide?","type":"article"},"uris":["http://www.mendeley.com/documents/?uuid=6e96f818-5e07-31ff-a345-9cf961dffa41"]}],"mendeley":{"formattedCitation":"&lt;sup&gt;16–18&lt;/sup&gt;","plainTextFormattedCitation":"16–18","previouslyFormattedCitation":"&lt;sup&gt;16–18&lt;/sup&gt;"},"properties":{"noteIndex":0},"schema":"https://github.com/citation-style-language/schema/raw/master/csl-citation.json"}</w:instrText>
      </w:r>
      <w:r w:rsidR="00D014D4"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16–18</w:t>
      </w:r>
      <w:r w:rsidR="00D014D4" w:rsidRPr="00F645FC">
        <w:rPr>
          <w:rFonts w:ascii="Times New Roman" w:hAnsi="Times New Roman" w:cs="Times New Roman"/>
          <w:sz w:val="24"/>
          <w:szCs w:val="24"/>
        </w:rPr>
        <w:fldChar w:fldCharType="end"/>
      </w:r>
      <w:r w:rsidR="00D014D4" w:rsidRPr="00F645FC">
        <w:rPr>
          <w:rFonts w:ascii="Times New Roman" w:hAnsi="Times New Roman" w:cs="Times New Roman"/>
          <w:sz w:val="24"/>
          <w:szCs w:val="24"/>
        </w:rPr>
        <w:t>.</w:t>
      </w:r>
      <w:r w:rsidR="00FA2441" w:rsidRPr="00F645FC">
        <w:rPr>
          <w:rFonts w:ascii="Times New Roman" w:hAnsi="Times New Roman" w:cs="Times New Roman"/>
          <w:sz w:val="24"/>
          <w:szCs w:val="24"/>
        </w:rPr>
        <w:t xml:space="preserve"> </w:t>
      </w:r>
      <w:r w:rsidR="004E5951">
        <w:rPr>
          <w:rFonts w:ascii="Times New Roman" w:hAnsi="Times New Roman" w:cs="Times New Roman"/>
          <w:sz w:val="24"/>
          <w:szCs w:val="24"/>
        </w:rPr>
        <w:t>V</w:t>
      </w:r>
      <w:r w:rsidR="00FA2441" w:rsidRPr="00F645FC">
        <w:rPr>
          <w:rFonts w:ascii="Times New Roman" w:hAnsi="Times New Roman" w:cs="Times New Roman"/>
          <w:sz w:val="24"/>
          <w:szCs w:val="24"/>
        </w:rPr>
        <w:t>ery low published studies have assessed the epidemiological status of COVID-19 infection</w:t>
      </w:r>
      <w:r w:rsidR="00724AEF">
        <w:rPr>
          <w:rFonts w:ascii="Times New Roman" w:hAnsi="Times New Roman" w:cs="Times New Roman"/>
          <w:sz w:val="24"/>
          <w:szCs w:val="24"/>
        </w:rPr>
        <w:t xml:space="preserve"> over time</w:t>
      </w:r>
      <w:r w:rsidR="00FA2441" w:rsidRPr="00F645FC">
        <w:rPr>
          <w:rFonts w:ascii="Times New Roman" w:hAnsi="Times New Roman" w:cs="Times New Roman"/>
          <w:sz w:val="24"/>
          <w:szCs w:val="24"/>
        </w:rPr>
        <w:t xml:space="preserve">. However, the </w:t>
      </w:r>
      <w:r w:rsidR="000626A5" w:rsidRPr="00F645FC">
        <w:rPr>
          <w:rFonts w:ascii="Times New Roman" w:hAnsi="Times New Roman" w:cs="Times New Roman"/>
          <w:sz w:val="24"/>
          <w:szCs w:val="24"/>
        </w:rPr>
        <w:t>variation of this fatality</w:t>
      </w:r>
      <w:r w:rsidR="00FA2441" w:rsidRPr="00F645FC">
        <w:rPr>
          <w:rFonts w:ascii="Times New Roman" w:hAnsi="Times New Roman" w:cs="Times New Roman"/>
          <w:sz w:val="24"/>
          <w:szCs w:val="24"/>
        </w:rPr>
        <w:t xml:space="preserve"> and associated risk factors of </w:t>
      </w:r>
      <w:r w:rsidR="000626A5" w:rsidRPr="00F645FC">
        <w:rPr>
          <w:rFonts w:ascii="Times New Roman" w:hAnsi="Times New Roman" w:cs="Times New Roman"/>
          <w:sz w:val="24"/>
          <w:szCs w:val="24"/>
        </w:rPr>
        <w:t>COVID-19 overtime</w:t>
      </w:r>
      <w:r w:rsidR="00FA2441" w:rsidRPr="00F645FC">
        <w:rPr>
          <w:rFonts w:ascii="Times New Roman" w:hAnsi="Times New Roman" w:cs="Times New Roman"/>
          <w:sz w:val="24"/>
          <w:szCs w:val="24"/>
        </w:rPr>
        <w:t xml:space="preserve"> at the global level remain unanswered.</w:t>
      </w:r>
      <w:r w:rsidR="006B668F">
        <w:rPr>
          <w:rFonts w:ascii="Times New Roman" w:hAnsi="Times New Roman" w:cs="Times New Roman"/>
          <w:sz w:val="24"/>
          <w:szCs w:val="24"/>
        </w:rPr>
        <w:t xml:space="preserve"> </w:t>
      </w:r>
      <w:r w:rsidR="001B6025" w:rsidRPr="00F645FC">
        <w:rPr>
          <w:rFonts w:ascii="Times New Roman" w:hAnsi="Times New Roman" w:cs="Times New Roman"/>
          <w:sz w:val="24"/>
          <w:szCs w:val="24"/>
        </w:rPr>
        <w:t xml:space="preserve">In this study, we tried to figure out the </w:t>
      </w:r>
      <w:r w:rsidR="00EF425C" w:rsidRPr="00F645FC">
        <w:rPr>
          <w:rFonts w:ascii="Times New Roman" w:hAnsi="Times New Roman" w:cs="Times New Roman"/>
          <w:sz w:val="24"/>
          <w:szCs w:val="24"/>
        </w:rPr>
        <w:t xml:space="preserve">reason </w:t>
      </w:r>
      <w:r w:rsidR="004E5951">
        <w:rPr>
          <w:rFonts w:ascii="Times New Roman" w:hAnsi="Times New Roman" w:cs="Times New Roman"/>
          <w:sz w:val="24"/>
          <w:szCs w:val="24"/>
        </w:rPr>
        <w:t xml:space="preserve">for </w:t>
      </w:r>
      <w:r w:rsidR="009D7511">
        <w:rPr>
          <w:rFonts w:ascii="Times New Roman" w:hAnsi="Times New Roman" w:cs="Times New Roman"/>
          <w:sz w:val="24"/>
          <w:szCs w:val="24"/>
        </w:rPr>
        <w:t xml:space="preserve">the </w:t>
      </w:r>
      <w:r w:rsidR="00EF425C" w:rsidRPr="00F645FC">
        <w:rPr>
          <w:rFonts w:ascii="Times New Roman" w:hAnsi="Times New Roman" w:cs="Times New Roman"/>
          <w:sz w:val="24"/>
          <w:szCs w:val="24"/>
        </w:rPr>
        <w:t>high variability of CFRs</w:t>
      </w:r>
      <w:r w:rsidR="001227AC" w:rsidRPr="00F645FC">
        <w:rPr>
          <w:rFonts w:ascii="Times New Roman" w:hAnsi="Times New Roman" w:cs="Times New Roman"/>
          <w:sz w:val="24"/>
          <w:szCs w:val="24"/>
        </w:rPr>
        <w:t xml:space="preserve"> and </w:t>
      </w:r>
      <w:r w:rsidR="00BC11E7" w:rsidRPr="00F645FC">
        <w:rPr>
          <w:rFonts w:ascii="Times New Roman" w:hAnsi="Times New Roman" w:cs="Times New Roman"/>
          <w:sz w:val="24"/>
          <w:szCs w:val="24"/>
        </w:rPr>
        <w:t>its</w:t>
      </w:r>
      <w:r w:rsidR="001227AC" w:rsidRPr="00F645FC">
        <w:rPr>
          <w:rFonts w:ascii="Times New Roman" w:hAnsi="Times New Roman" w:cs="Times New Roman"/>
          <w:sz w:val="24"/>
          <w:szCs w:val="24"/>
        </w:rPr>
        <w:t xml:space="preserve"> </w:t>
      </w:r>
      <w:r w:rsidR="001B6025" w:rsidRPr="00F645FC">
        <w:rPr>
          <w:rFonts w:ascii="Times New Roman" w:hAnsi="Times New Roman" w:cs="Times New Roman"/>
          <w:sz w:val="24"/>
          <w:szCs w:val="24"/>
        </w:rPr>
        <w:t>association between various factors</w:t>
      </w:r>
      <w:r w:rsidR="001227AC" w:rsidRPr="00F645FC">
        <w:rPr>
          <w:rFonts w:ascii="Times New Roman" w:hAnsi="Times New Roman" w:cs="Times New Roman"/>
          <w:sz w:val="24"/>
          <w:szCs w:val="24"/>
        </w:rPr>
        <w:t xml:space="preserve"> </w:t>
      </w:r>
      <w:r w:rsidR="00EF425C" w:rsidRPr="00F645FC">
        <w:rPr>
          <w:rFonts w:ascii="Times New Roman" w:hAnsi="Times New Roman" w:cs="Times New Roman"/>
          <w:sz w:val="24"/>
          <w:szCs w:val="24"/>
        </w:rPr>
        <w:t>over different stage</w:t>
      </w:r>
      <w:r w:rsidR="00EB2274">
        <w:rPr>
          <w:rFonts w:ascii="Times New Roman" w:hAnsi="Times New Roman" w:cs="Times New Roman"/>
          <w:sz w:val="24"/>
          <w:szCs w:val="24"/>
        </w:rPr>
        <w:t>s</w:t>
      </w:r>
      <w:r w:rsidR="00EF425C" w:rsidRPr="00F645FC">
        <w:rPr>
          <w:rFonts w:ascii="Times New Roman" w:hAnsi="Times New Roman" w:cs="Times New Roman"/>
          <w:sz w:val="24"/>
          <w:szCs w:val="24"/>
        </w:rPr>
        <w:t xml:space="preserve"> of the pandemic</w:t>
      </w:r>
      <w:r w:rsidR="001B6025" w:rsidRPr="00F645FC">
        <w:rPr>
          <w:rFonts w:ascii="Times New Roman" w:hAnsi="Times New Roman" w:cs="Times New Roman"/>
          <w:sz w:val="24"/>
          <w:szCs w:val="24"/>
        </w:rPr>
        <w:t xml:space="preserve">, </w:t>
      </w:r>
      <w:r w:rsidR="00EB1498" w:rsidRPr="00F645FC">
        <w:rPr>
          <w:rFonts w:ascii="Times New Roman" w:hAnsi="Times New Roman" w:cs="Times New Roman"/>
          <w:sz w:val="24"/>
          <w:szCs w:val="24"/>
        </w:rPr>
        <w:t xml:space="preserve">which may help to </w:t>
      </w:r>
      <w:r w:rsidR="00390111" w:rsidRPr="00F645FC">
        <w:rPr>
          <w:rFonts w:ascii="Times New Roman" w:hAnsi="Times New Roman" w:cs="Times New Roman"/>
          <w:sz w:val="24"/>
          <w:szCs w:val="24"/>
        </w:rPr>
        <w:t>intervene</w:t>
      </w:r>
      <w:r w:rsidR="00EB1498" w:rsidRPr="00F645FC">
        <w:rPr>
          <w:rFonts w:ascii="Times New Roman" w:hAnsi="Times New Roman" w:cs="Times New Roman"/>
          <w:sz w:val="24"/>
          <w:szCs w:val="24"/>
        </w:rPr>
        <w:t xml:space="preserve"> to control the disease and reduce the death</w:t>
      </w:r>
      <w:r w:rsidR="00E21F7D" w:rsidRPr="00F645FC">
        <w:rPr>
          <w:rFonts w:ascii="Times New Roman" w:hAnsi="Times New Roman" w:cs="Times New Roman"/>
          <w:sz w:val="24"/>
          <w:szCs w:val="24"/>
        </w:rPr>
        <w:t xml:space="preserve">. </w:t>
      </w:r>
      <w:r w:rsidR="00BE1775" w:rsidRPr="00F645FC">
        <w:rPr>
          <w:rFonts w:ascii="Times New Roman" w:hAnsi="Times New Roman" w:cs="Times New Roman"/>
          <w:sz w:val="24"/>
          <w:szCs w:val="24"/>
        </w:rPr>
        <w:t xml:space="preserve">Therefore, </w:t>
      </w:r>
      <w:r w:rsidR="00EB1498" w:rsidRPr="00F645FC">
        <w:rPr>
          <w:rFonts w:ascii="Times New Roman" w:hAnsi="Times New Roman" w:cs="Times New Roman"/>
          <w:sz w:val="24"/>
          <w:szCs w:val="24"/>
        </w:rPr>
        <w:t>our</w:t>
      </w:r>
      <w:r w:rsidR="00BF4286" w:rsidRPr="00F645FC">
        <w:rPr>
          <w:rFonts w:ascii="Times New Roman" w:hAnsi="Times New Roman" w:cs="Times New Roman"/>
          <w:sz w:val="24"/>
          <w:szCs w:val="24"/>
        </w:rPr>
        <w:t xml:space="preserve"> objective was to identify variable(s) </w:t>
      </w:r>
      <w:r w:rsidR="00EB1498" w:rsidRPr="00F645FC">
        <w:rPr>
          <w:rFonts w:ascii="Times New Roman" w:hAnsi="Times New Roman" w:cs="Times New Roman"/>
          <w:sz w:val="24"/>
          <w:szCs w:val="24"/>
        </w:rPr>
        <w:t xml:space="preserve">that </w:t>
      </w:r>
      <w:r w:rsidR="00BF4286" w:rsidRPr="00F645FC">
        <w:rPr>
          <w:rFonts w:ascii="Times New Roman" w:hAnsi="Times New Roman" w:cs="Times New Roman"/>
          <w:sz w:val="24"/>
          <w:szCs w:val="24"/>
        </w:rPr>
        <w:t xml:space="preserve">explains such a large variation of </w:t>
      </w:r>
      <w:r w:rsidR="00BC11E7" w:rsidRPr="00F645FC">
        <w:rPr>
          <w:rFonts w:ascii="Times New Roman" w:hAnsi="Times New Roman" w:cs="Times New Roman"/>
          <w:sz w:val="24"/>
          <w:szCs w:val="24"/>
        </w:rPr>
        <w:t>CFRs</w:t>
      </w:r>
      <w:r w:rsidR="00BF4286" w:rsidRPr="00F645FC">
        <w:rPr>
          <w:rFonts w:ascii="Times New Roman" w:hAnsi="Times New Roman" w:cs="Times New Roman"/>
          <w:sz w:val="24"/>
          <w:szCs w:val="24"/>
        </w:rPr>
        <w:t xml:space="preserve"> across countries</w:t>
      </w:r>
      <w:r w:rsidR="00BC11E7" w:rsidRPr="00F645FC">
        <w:rPr>
          <w:rFonts w:ascii="Times New Roman" w:hAnsi="Times New Roman" w:cs="Times New Roman"/>
          <w:sz w:val="24"/>
          <w:szCs w:val="24"/>
        </w:rPr>
        <w:t xml:space="preserve"> over time</w:t>
      </w:r>
      <w:r w:rsidR="00BF4286" w:rsidRPr="00F645FC">
        <w:rPr>
          <w:rFonts w:ascii="Times New Roman" w:hAnsi="Times New Roman" w:cs="Times New Roman"/>
          <w:sz w:val="24"/>
          <w:szCs w:val="24"/>
        </w:rPr>
        <w:t>.</w:t>
      </w:r>
    </w:p>
    <w:p w14:paraId="74BB2825" w14:textId="77777777" w:rsidR="0006147B" w:rsidRPr="00F645FC" w:rsidRDefault="0006147B" w:rsidP="00F645FC">
      <w:pPr>
        <w:spacing w:after="0" w:line="480" w:lineRule="auto"/>
        <w:jc w:val="both"/>
        <w:rPr>
          <w:rFonts w:ascii="Times New Roman" w:hAnsi="Times New Roman" w:cs="Times New Roman"/>
          <w:sz w:val="24"/>
          <w:szCs w:val="24"/>
        </w:rPr>
      </w:pPr>
    </w:p>
    <w:p w14:paraId="7A8A1A27" w14:textId="77777777" w:rsidR="00B25ACB" w:rsidRPr="00F645FC" w:rsidRDefault="00B25ACB" w:rsidP="00F645FC">
      <w:pPr>
        <w:spacing w:after="0" w:line="480" w:lineRule="auto"/>
        <w:jc w:val="both"/>
        <w:rPr>
          <w:rFonts w:ascii="Times New Roman" w:hAnsi="Times New Roman" w:cs="Times New Roman"/>
          <w:b/>
          <w:bCs/>
          <w:sz w:val="24"/>
          <w:szCs w:val="24"/>
        </w:rPr>
      </w:pPr>
      <w:r w:rsidRPr="00F645FC">
        <w:rPr>
          <w:rFonts w:ascii="Times New Roman" w:hAnsi="Times New Roman" w:cs="Times New Roman"/>
          <w:b/>
          <w:bCs/>
          <w:sz w:val="24"/>
          <w:szCs w:val="24"/>
        </w:rPr>
        <w:t>Methods</w:t>
      </w:r>
    </w:p>
    <w:p w14:paraId="1F1A340B" w14:textId="34A8657A" w:rsidR="00B25ACB" w:rsidRPr="00F645FC" w:rsidRDefault="005A64CA" w:rsidP="00F645FC">
      <w:pPr>
        <w:spacing w:after="0" w:line="480" w:lineRule="auto"/>
        <w:jc w:val="both"/>
        <w:rPr>
          <w:rFonts w:ascii="Times New Roman" w:hAnsi="Times New Roman" w:cs="Times New Roman"/>
          <w:b/>
          <w:bCs/>
          <w:sz w:val="24"/>
          <w:szCs w:val="24"/>
        </w:rPr>
      </w:pPr>
      <w:r w:rsidRPr="00F645FC">
        <w:rPr>
          <w:rFonts w:ascii="Times New Roman" w:hAnsi="Times New Roman" w:cs="Times New Roman"/>
          <w:b/>
          <w:bCs/>
          <w:sz w:val="24"/>
          <w:szCs w:val="24"/>
        </w:rPr>
        <w:t>COVID-19 Data</w:t>
      </w:r>
    </w:p>
    <w:p w14:paraId="7F3E8FBA" w14:textId="1C65433A" w:rsidR="005A64CA" w:rsidRPr="00F645FC" w:rsidRDefault="00B25ACB"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 xml:space="preserve">We </w:t>
      </w:r>
      <w:r w:rsidR="005A64CA" w:rsidRPr="00F645FC">
        <w:rPr>
          <w:rFonts w:ascii="Times New Roman" w:hAnsi="Times New Roman" w:cs="Times New Roman"/>
          <w:sz w:val="24"/>
          <w:szCs w:val="24"/>
        </w:rPr>
        <w:t>collected COVID-19 related data, including daily new cases, daily new deaths, total deaths, death per million</w:t>
      </w:r>
      <w:r w:rsidR="00390111" w:rsidRPr="00F645FC">
        <w:rPr>
          <w:rFonts w:ascii="Times New Roman" w:hAnsi="Times New Roman" w:cs="Times New Roman"/>
          <w:sz w:val="24"/>
          <w:szCs w:val="24"/>
        </w:rPr>
        <w:t>,</w:t>
      </w:r>
      <w:r w:rsidR="005A64CA" w:rsidRPr="00F645FC">
        <w:rPr>
          <w:rFonts w:ascii="Times New Roman" w:hAnsi="Times New Roman" w:cs="Times New Roman"/>
          <w:sz w:val="24"/>
          <w:szCs w:val="24"/>
        </w:rPr>
        <w:t xml:space="preserve"> and total cases, from the WHO daily COVID-19 situation reports of 20</w:t>
      </w:r>
      <w:r w:rsidR="000028A5">
        <w:rPr>
          <w:rFonts w:ascii="Times New Roman" w:hAnsi="Times New Roman" w:cs="Times New Roman"/>
          <w:sz w:val="24"/>
          <w:szCs w:val="24"/>
        </w:rPr>
        <w:t>9</w:t>
      </w:r>
      <w:r w:rsidR="005A64CA" w:rsidRPr="00F645FC">
        <w:rPr>
          <w:rFonts w:ascii="Times New Roman" w:hAnsi="Times New Roman" w:cs="Times New Roman"/>
          <w:sz w:val="24"/>
          <w:szCs w:val="24"/>
        </w:rPr>
        <w:t xml:space="preserve"> countries as of January 01 to </w:t>
      </w:r>
      <w:r w:rsidR="000028A5">
        <w:rPr>
          <w:rFonts w:ascii="Times New Roman" w:hAnsi="Times New Roman" w:cs="Times New Roman"/>
          <w:sz w:val="24"/>
          <w:szCs w:val="24"/>
        </w:rPr>
        <w:t>June</w:t>
      </w:r>
      <w:r w:rsidR="005A64CA" w:rsidRPr="00F645FC">
        <w:rPr>
          <w:rFonts w:ascii="Times New Roman" w:hAnsi="Times New Roman" w:cs="Times New Roman"/>
          <w:sz w:val="24"/>
          <w:szCs w:val="24"/>
        </w:rPr>
        <w:t xml:space="preserve"> 3</w:t>
      </w:r>
      <w:r w:rsidR="000028A5">
        <w:rPr>
          <w:rFonts w:ascii="Times New Roman" w:hAnsi="Times New Roman" w:cs="Times New Roman"/>
          <w:sz w:val="24"/>
          <w:szCs w:val="24"/>
        </w:rPr>
        <w:t>0</w:t>
      </w:r>
      <w:r w:rsidR="005A64CA" w:rsidRPr="00F645FC">
        <w:rPr>
          <w:rFonts w:ascii="Times New Roman" w:hAnsi="Times New Roman" w:cs="Times New Roman"/>
          <w:sz w:val="24"/>
          <w:szCs w:val="24"/>
        </w:rPr>
        <w:t>, 2020</w:t>
      </w:r>
      <w:r w:rsidR="005A64CA"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{"citationItems":[{"id":"ITEM-1","itemData":{"URL":"https://ourworldindata.org/coronavirus","accessed":{"date-parts":[["2020","6","2"]]},"author":[{"dropping-particle":"","family":"Max Roser, Hannah Ritchie","given":"Esteban Ortiz-Ospina and Joe Hasell","non-dropping-particle":"","parse-names":false,"suffix":""}],"id":"ITEM-1","issued":{"date-parts":[["2020"]]},"title":"Coronavirus Pandemic (COVID-19) - Statistics and Research - Our World in Data","type":"webpage"},"uris":["http://www.mendeley.com/documents/?uuid=57324342-c726-375c-8eb0-39ce02b0c2ce"]}],"mendeley":{"formattedCitation":"&lt;sup&gt;19&lt;/sup&gt;","plainTextFormattedCitation":"19","previouslyFormattedCitation":"&lt;sup&gt;19&lt;/sup&gt;"},"properties":{"noteIndex":0},"schema":"https://github.com/citation-style-language/schema/raw/master/csl-citation.json"}</w:instrText>
      </w:r>
      <w:r w:rsidR="005A64CA"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19</w:t>
      </w:r>
      <w:r w:rsidR="005A64CA" w:rsidRPr="00F645FC">
        <w:rPr>
          <w:rFonts w:ascii="Times New Roman" w:hAnsi="Times New Roman" w:cs="Times New Roman"/>
          <w:sz w:val="24"/>
          <w:szCs w:val="24"/>
        </w:rPr>
        <w:fldChar w:fldCharType="end"/>
      </w:r>
      <w:r w:rsidR="005A64CA" w:rsidRPr="00F645FC">
        <w:rPr>
          <w:rFonts w:ascii="Times New Roman" w:hAnsi="Times New Roman" w:cs="Times New Roman"/>
          <w:sz w:val="24"/>
          <w:szCs w:val="24"/>
        </w:rPr>
        <w:t xml:space="preserve">. </w:t>
      </w:r>
    </w:p>
    <w:p w14:paraId="244DB0EB" w14:textId="77777777" w:rsidR="00B25ACB" w:rsidRPr="00F645FC" w:rsidRDefault="00B25ACB" w:rsidP="00F645FC">
      <w:pPr>
        <w:spacing w:after="0" w:line="480" w:lineRule="auto"/>
        <w:jc w:val="both"/>
        <w:rPr>
          <w:rFonts w:ascii="Times New Roman" w:hAnsi="Times New Roman" w:cs="Times New Roman"/>
          <w:b/>
          <w:bCs/>
          <w:sz w:val="24"/>
          <w:szCs w:val="24"/>
        </w:rPr>
      </w:pPr>
      <w:r w:rsidRPr="00F645FC">
        <w:rPr>
          <w:rFonts w:ascii="Times New Roman" w:hAnsi="Times New Roman" w:cs="Times New Roman"/>
          <w:b/>
          <w:bCs/>
          <w:sz w:val="24"/>
          <w:szCs w:val="24"/>
        </w:rPr>
        <w:t>Outcome variable</w:t>
      </w:r>
    </w:p>
    <w:p w14:paraId="3775173E" w14:textId="7B3F89EE" w:rsidR="00711720" w:rsidRPr="00F645FC" w:rsidRDefault="00B25ACB" w:rsidP="00F645FC">
      <w:pPr>
        <w:spacing w:after="0" w:line="480" w:lineRule="auto"/>
        <w:jc w:val="both"/>
        <w:rPr>
          <w:rFonts w:ascii="Times New Roman" w:hAnsi="Times New Roman" w:cs="Times New Roman"/>
          <w:color w:val="000000"/>
          <w:sz w:val="24"/>
          <w:szCs w:val="24"/>
          <w:shd w:val="clear" w:color="auto" w:fill="FFFFFF"/>
        </w:rPr>
      </w:pPr>
      <w:r w:rsidRPr="00F645FC">
        <w:rPr>
          <w:rFonts w:ascii="Times New Roman" w:hAnsi="Times New Roman" w:cs="Times New Roman"/>
          <w:sz w:val="24"/>
          <w:szCs w:val="24"/>
        </w:rPr>
        <w:lastRenderedPageBreak/>
        <w:t xml:space="preserve">In this study, </w:t>
      </w:r>
      <w:r w:rsidR="00A66AB7" w:rsidRPr="00F645FC">
        <w:rPr>
          <w:rFonts w:ascii="Times New Roman" w:hAnsi="Times New Roman" w:cs="Times New Roman"/>
          <w:sz w:val="24"/>
          <w:szCs w:val="24"/>
        </w:rPr>
        <w:t>CFR</w:t>
      </w:r>
      <w:r w:rsidRPr="00F645FC">
        <w:rPr>
          <w:rFonts w:ascii="Times New Roman" w:hAnsi="Times New Roman" w:cs="Times New Roman"/>
          <w:sz w:val="24"/>
          <w:szCs w:val="24"/>
        </w:rPr>
        <w:t xml:space="preserve"> w</w:t>
      </w:r>
      <w:r w:rsidR="00EB2274">
        <w:rPr>
          <w:rFonts w:ascii="Times New Roman" w:hAnsi="Times New Roman" w:cs="Times New Roman"/>
          <w:sz w:val="24"/>
          <w:szCs w:val="24"/>
        </w:rPr>
        <w:t>as</w:t>
      </w:r>
      <w:r w:rsidRPr="00F645FC">
        <w:rPr>
          <w:rFonts w:ascii="Times New Roman" w:hAnsi="Times New Roman" w:cs="Times New Roman"/>
          <w:sz w:val="24"/>
          <w:szCs w:val="24"/>
        </w:rPr>
        <w:t xml:space="preserve"> taken as </w:t>
      </w:r>
      <w:r w:rsidR="00390111" w:rsidRPr="00F645FC">
        <w:rPr>
          <w:rFonts w:ascii="Times New Roman" w:hAnsi="Times New Roman" w:cs="Times New Roman"/>
          <w:sz w:val="24"/>
          <w:szCs w:val="24"/>
        </w:rPr>
        <w:t>the</w:t>
      </w:r>
      <w:r w:rsidR="005A64CA" w:rsidRPr="00F645FC">
        <w:rPr>
          <w:rFonts w:ascii="Times New Roman" w:hAnsi="Times New Roman" w:cs="Times New Roman"/>
          <w:sz w:val="24"/>
          <w:szCs w:val="24"/>
        </w:rPr>
        <w:t xml:space="preserve"> main </w:t>
      </w:r>
      <w:r w:rsidRPr="00F645FC">
        <w:rPr>
          <w:rFonts w:ascii="Times New Roman" w:hAnsi="Times New Roman" w:cs="Times New Roman"/>
          <w:sz w:val="24"/>
          <w:szCs w:val="24"/>
        </w:rPr>
        <w:t>outcome variable.</w:t>
      </w:r>
      <w:r w:rsidR="00EF41C7" w:rsidRPr="00F645FC">
        <w:rPr>
          <w:rFonts w:ascii="Times New Roman" w:hAnsi="Times New Roman" w:cs="Times New Roman"/>
          <w:color w:val="000000"/>
          <w:sz w:val="24"/>
          <w:szCs w:val="24"/>
          <w:shd w:val="clear" w:color="auto" w:fill="FFFFFF"/>
        </w:rPr>
        <w:t xml:space="preserve"> </w:t>
      </w:r>
      <w:r w:rsidR="00E4600C" w:rsidRPr="00F645FC">
        <w:rPr>
          <w:rFonts w:ascii="Times New Roman" w:hAnsi="Times New Roman" w:cs="Times New Roman"/>
          <w:color w:val="000000"/>
          <w:sz w:val="24"/>
          <w:szCs w:val="24"/>
          <w:shd w:val="clear" w:color="auto" w:fill="FFFFFF"/>
        </w:rPr>
        <w:t xml:space="preserve">As </w:t>
      </w:r>
      <w:r w:rsidR="00EB2274">
        <w:rPr>
          <w:rFonts w:ascii="Times New Roman" w:hAnsi="Times New Roman" w:cs="Times New Roman"/>
          <w:color w:val="000000"/>
          <w:sz w:val="24"/>
          <w:szCs w:val="24"/>
          <w:shd w:val="clear" w:color="auto" w:fill="FFFFFF"/>
        </w:rPr>
        <w:t xml:space="preserve">a </w:t>
      </w:r>
      <w:r w:rsidR="00E4600C" w:rsidRPr="00F645FC">
        <w:rPr>
          <w:rFonts w:ascii="Times New Roman" w:hAnsi="Times New Roman" w:cs="Times New Roman"/>
          <w:color w:val="000000"/>
          <w:sz w:val="24"/>
          <w:szCs w:val="24"/>
          <w:shd w:val="clear" w:color="auto" w:fill="FFFFFF"/>
        </w:rPr>
        <w:t>definition, t</w:t>
      </w:r>
      <w:r w:rsidR="00711720" w:rsidRPr="00F645FC">
        <w:rPr>
          <w:rFonts w:ascii="Times New Roman" w:hAnsi="Times New Roman" w:cs="Times New Roman"/>
          <w:color w:val="000000"/>
          <w:sz w:val="24"/>
          <w:szCs w:val="24"/>
          <w:shd w:val="clear" w:color="auto" w:fill="FFFFFF"/>
        </w:rPr>
        <w:t>he formulas below were used to measure CFR</w:t>
      </w:r>
      <w:r w:rsidR="00D31D69" w:rsidRPr="00F645FC">
        <w:rPr>
          <w:rFonts w:ascii="Times New Roman" w:hAnsi="Times New Roman" w:cs="Times New Roman"/>
          <w:color w:val="000000"/>
          <w:sz w:val="24"/>
          <w:szCs w:val="24"/>
          <w:shd w:val="clear" w:color="auto" w:fill="FFFFFF"/>
        </w:rPr>
        <w:t xml:space="preserve"> in this study</w:t>
      </w:r>
      <w:r w:rsidR="00711720" w:rsidRPr="00F645FC">
        <w:rPr>
          <w:rFonts w:ascii="Times New Roman" w:hAnsi="Times New Roman" w:cs="Times New Roman"/>
          <w:color w:val="000000"/>
          <w:sz w:val="24"/>
          <w:szCs w:val="24"/>
          <w:shd w:val="clear" w:color="auto" w:fill="FFFFFF"/>
        </w:rPr>
        <w:t>.</w:t>
      </w:r>
    </w:p>
    <w:p w14:paraId="5388F4EC" w14:textId="0AD78A2A" w:rsidR="00B25ACB" w:rsidRPr="00F645FC" w:rsidRDefault="00A078CD" w:rsidP="00F645FC">
      <w:pPr>
        <w:spacing w:after="0" w:line="480" w:lineRule="auto"/>
        <w:jc w:val="both"/>
        <w:rPr>
          <w:rFonts w:ascii="Times New Roman" w:hAnsi="Times New Roman" w:cs="Times New Roman"/>
          <w:color w:val="000000"/>
          <w:sz w:val="24"/>
          <w:szCs w:val="24"/>
          <w:shd w:val="clear" w:color="auto" w:fill="FFFFFF"/>
        </w:rPr>
      </w:pPr>
      <m:oMathPara>
        <m:oMath>
          <m:r>
            <m:rPr>
              <m:sty m:val="p"/>
            </m:rPr>
            <w:rPr>
              <w:rFonts w:ascii="Cambria Math" w:hAnsi="Cambria Math" w:cs="Times New Roman"/>
              <w:color w:val="000000"/>
              <w:sz w:val="24"/>
              <w:szCs w:val="24"/>
              <w:shd w:val="clear" w:color="auto" w:fill="FFFFFF"/>
            </w:rPr>
            <m:t>CFR </m:t>
          </m:r>
          <m:d>
            <m:dPr>
              <m:ctrlPr>
                <w:rPr>
                  <w:rFonts w:ascii="Cambria Math" w:hAnsi="Cambria Math" w:cs="Times New Roman"/>
                  <w:color w:val="000000"/>
                  <w:sz w:val="24"/>
                  <w:szCs w:val="24"/>
                  <w:shd w:val="clear" w:color="auto" w:fill="FFFFFF"/>
                </w:rPr>
              </m:ctrlPr>
            </m:dPr>
            <m:e>
              <m:r>
                <m:rPr>
                  <m:sty m:val="p"/>
                </m:rPr>
                <w:rPr>
                  <w:rFonts w:ascii="Cambria Math" w:hAnsi="Cambria Math" w:cs="Times New Roman"/>
                  <w:color w:val="000000"/>
                  <w:sz w:val="24"/>
                  <w:szCs w:val="24"/>
                  <w:shd w:val="clear" w:color="auto" w:fill="FFFFFF"/>
                </w:rPr>
                <m:t>%</m:t>
              </m:r>
            </m:e>
          </m:d>
          <m:r>
            <m:rPr>
              <m:sty m:val="p"/>
            </m:rPr>
            <w:rPr>
              <w:rFonts w:ascii="Cambria Math" w:hAnsi="Cambria Math" w:cs="Times New Roman"/>
              <w:color w:val="000000"/>
              <w:sz w:val="24"/>
              <w:szCs w:val="24"/>
              <w:shd w:val="clear" w:color="auto" w:fill="FFFFFF"/>
            </w:rPr>
            <m:t xml:space="preserve">= </m:t>
          </m:r>
          <m:f>
            <m:fPr>
              <m:ctrlPr>
                <w:rPr>
                  <w:rFonts w:ascii="Cambria Math" w:hAnsi="Cambria Math" w:cs="Times New Roman"/>
                  <w:i/>
                  <w:color w:val="000000"/>
                  <w:sz w:val="24"/>
                  <w:szCs w:val="24"/>
                  <w:shd w:val="clear" w:color="auto" w:fill="FFFFFF"/>
                </w:rPr>
              </m:ctrlPr>
            </m:fPr>
            <m:num>
              <m:r>
                <m:rPr>
                  <m:sty m:val="p"/>
                </m:rPr>
                <w:rPr>
                  <w:rFonts w:ascii="Cambria Math" w:hAnsi="Cambria Math" w:cs="Times New Roman"/>
                  <w:color w:val="000000"/>
                  <w:sz w:val="24"/>
                  <w:szCs w:val="24"/>
                  <w:shd w:val="clear" w:color="auto" w:fill="FFFFFF"/>
                </w:rPr>
                <m:t>Number of deaths due to COVID-19</m:t>
              </m:r>
            </m:num>
            <m:den>
              <m:r>
                <m:rPr>
                  <m:sty m:val="p"/>
                </m:rPr>
                <w:rPr>
                  <w:rFonts w:ascii="Cambria Math" w:hAnsi="Cambria Math" w:cs="Times New Roman"/>
                  <w:color w:val="000000"/>
                  <w:sz w:val="24"/>
                  <w:szCs w:val="24"/>
                  <w:shd w:val="clear" w:color="auto" w:fill="FFFFFF"/>
                </w:rPr>
                <m:t>Number of cases of COVID-19</m:t>
              </m:r>
            </m:den>
          </m:f>
          <m:r>
            <w:rPr>
              <w:rFonts w:ascii="Cambria Math" w:hAnsi="Cambria Math" w:cs="Times New Roman"/>
              <w:color w:val="000000"/>
              <w:sz w:val="24"/>
              <w:szCs w:val="24"/>
              <w:shd w:val="clear" w:color="auto" w:fill="FFFFFF"/>
            </w:rPr>
            <m:t xml:space="preserve"> </m:t>
          </m:r>
          <m:r>
            <m:rPr>
              <m:sty m:val="p"/>
            </m:rPr>
            <w:rPr>
              <w:rFonts w:ascii="Cambria Math" w:hAnsi="Cambria Math" w:cs="Times New Roman"/>
              <w:color w:val="000000"/>
              <w:sz w:val="24"/>
              <w:szCs w:val="24"/>
              <w:shd w:val="clear" w:color="auto" w:fill="FFFFFF"/>
            </w:rPr>
            <m:t>×100</m:t>
          </m:r>
        </m:oMath>
      </m:oMathPara>
    </w:p>
    <w:p w14:paraId="4828DB80" w14:textId="77777777" w:rsidR="00B25ACB" w:rsidRPr="00F645FC" w:rsidRDefault="00B25ACB" w:rsidP="00F645FC">
      <w:pPr>
        <w:spacing w:after="0" w:line="480" w:lineRule="auto"/>
        <w:jc w:val="both"/>
        <w:rPr>
          <w:rFonts w:ascii="Times New Roman" w:hAnsi="Times New Roman" w:cs="Times New Roman"/>
          <w:b/>
          <w:bCs/>
          <w:sz w:val="24"/>
          <w:szCs w:val="24"/>
        </w:rPr>
      </w:pPr>
      <w:r w:rsidRPr="00F645FC">
        <w:rPr>
          <w:rFonts w:ascii="Times New Roman" w:hAnsi="Times New Roman" w:cs="Times New Roman"/>
          <w:b/>
          <w:bCs/>
          <w:sz w:val="24"/>
          <w:szCs w:val="24"/>
        </w:rPr>
        <w:t>Predictor variables</w:t>
      </w:r>
    </w:p>
    <w:p w14:paraId="62798834" w14:textId="3B84BAC2" w:rsidR="00B25ACB" w:rsidRPr="00F645FC" w:rsidRDefault="00B7761D"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Seven</w:t>
      </w:r>
      <w:r w:rsidR="00B00B21" w:rsidRPr="00F645FC">
        <w:rPr>
          <w:rFonts w:ascii="Times New Roman" w:hAnsi="Times New Roman" w:cs="Times New Roman"/>
          <w:sz w:val="24"/>
          <w:szCs w:val="24"/>
        </w:rPr>
        <w:t xml:space="preserve"> </w:t>
      </w:r>
      <w:r w:rsidR="00B25ACB" w:rsidRPr="00F645FC">
        <w:rPr>
          <w:rFonts w:ascii="Times New Roman" w:hAnsi="Times New Roman" w:cs="Times New Roman"/>
          <w:sz w:val="24"/>
          <w:szCs w:val="24"/>
        </w:rPr>
        <w:t>variables were included in the model as predictors: population density</w:t>
      </w:r>
      <w:r w:rsidR="00B25ACB"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{"citationItems":[{"id":"ITEM-1","itemData":{"URL":"https://data.worldbank.org/indicator/EN.POP.DNST","accessed":{"date-parts":[["2020","6","2"]]},"author":[{"dropping-particle":"","family":"World Data Bank","given":"","non-dropping-particle":"","parse-names":false,"suffix":""}],"container-title":"World Development Indecators","id":"ITEM-1","issued":{"date-parts":[["2018"]]},"title":"Population density (people per sq. km of land area)","type":"webpage"},"uris":["http://www.mendeley.com/documents/?uuid=58ec5d7c-5b98-3ef3-920b-acf90047ac56"]}],"mendeley":{"formattedCitation":"&lt;sup&gt;20&lt;/sup&gt;","plainTextFormattedCitation":"20","previouslyFormattedCitation":"&lt;sup&gt;20&lt;/sup&gt;"},"properties":{"noteIndex":0},"schema":"https://github.com/citation-style-language/schema/raw/master/csl-citation.json"}</w:instrText>
      </w:r>
      <w:r w:rsidR="00B25ACB"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20</w:t>
      </w:r>
      <w:r w:rsidR="00B25ACB" w:rsidRPr="00F645FC">
        <w:rPr>
          <w:rFonts w:ascii="Times New Roman" w:hAnsi="Times New Roman" w:cs="Times New Roman"/>
          <w:sz w:val="24"/>
          <w:szCs w:val="24"/>
        </w:rPr>
        <w:fldChar w:fldCharType="end"/>
      </w:r>
      <w:r w:rsidR="00B25ACB" w:rsidRPr="00F645FC">
        <w:rPr>
          <w:rFonts w:ascii="Times New Roman" w:hAnsi="Times New Roman" w:cs="Times New Roman"/>
          <w:sz w:val="24"/>
          <w:szCs w:val="24"/>
        </w:rPr>
        <w:t xml:space="preserve">, </w:t>
      </w:r>
      <w:r w:rsidR="003865F4" w:rsidRPr="00F645FC">
        <w:rPr>
          <w:rFonts w:ascii="Times New Roman" w:hAnsi="Times New Roman" w:cs="Times New Roman"/>
          <w:sz w:val="24"/>
          <w:szCs w:val="24"/>
        </w:rPr>
        <w:t xml:space="preserve">latitude of the region, </w:t>
      </w:r>
      <w:r w:rsidR="006654A2" w:rsidRPr="00F645FC">
        <w:rPr>
          <w:rFonts w:ascii="Times New Roman" w:hAnsi="Times New Roman" w:cs="Times New Roman"/>
          <w:sz w:val="24"/>
          <w:szCs w:val="24"/>
        </w:rPr>
        <w:t>median ages</w:t>
      </w:r>
      <w:r w:rsidR="00B25ACB" w:rsidRPr="00F645FC">
        <w:rPr>
          <w:rFonts w:ascii="Times New Roman" w:hAnsi="Times New Roman" w:cs="Times New Roman"/>
          <w:sz w:val="24"/>
          <w:szCs w:val="24"/>
        </w:rPr>
        <w:t xml:space="preserve"> of the national population</w:t>
      </w:r>
      <w:r w:rsidR="00B70E19" w:rsidRPr="00F645FC">
        <w:rPr>
          <w:rFonts w:ascii="Times New Roman" w:hAnsi="Times New Roman" w:cs="Times New Roman"/>
          <w:sz w:val="24"/>
          <w:szCs w:val="24"/>
        </w:rPr>
        <w:t xml:space="preserve"> (in percentage)</w:t>
      </w:r>
      <w:r w:rsidR="00B25ACB"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{"citationItems":[{"id":"ITEM-1","itemData":{"URL":"https://data.worldbank.org/indicator/SP.POP.65UP.TO.ZS","abstract":"World Bank staff estimates based on age/sex distributions of United Nations Population Division's World Population Prospects.","accessed":{"date-parts":[["2020","6","2"]]},"author":[{"dropping-particle":"","family":"The World Bank","given":"","non-dropping-particle":"","parse-names":false,"suffix":""}],"container-title":"World Bank Data","id":"ITEM-1","issued":{"date-parts":[["2018"]]},"title":"Population ages 65 and above, total","type":"webpage"},"uris":["http://www.mendeley.com/documents/?uuid=fb03869b-19a6-3431-8de2-4642f202166d"]}],"mendeley":{"formattedCitation":"&lt;sup&gt;21&lt;/sup&gt;","plainTextFormattedCitation":"21","previouslyFormattedCitation":"&lt;sup&gt;21&lt;/sup&gt;"},"properties":{"noteIndex":0},"schema":"https://github.com/citation-style-language/schema/raw/master/csl-citation.json"}</w:instrText>
      </w:r>
      <w:r w:rsidR="00B25ACB"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21</w:t>
      </w:r>
      <w:r w:rsidR="00B25ACB" w:rsidRPr="00F645FC">
        <w:rPr>
          <w:rFonts w:ascii="Times New Roman" w:hAnsi="Times New Roman" w:cs="Times New Roman"/>
          <w:sz w:val="24"/>
          <w:szCs w:val="24"/>
        </w:rPr>
        <w:fldChar w:fldCharType="end"/>
      </w:r>
      <w:r w:rsidR="00B25ACB" w:rsidRPr="00F645FC">
        <w:rPr>
          <w:rFonts w:ascii="Times New Roman" w:hAnsi="Times New Roman" w:cs="Times New Roman"/>
          <w:sz w:val="24"/>
          <w:szCs w:val="24"/>
        </w:rPr>
        <w:t>, Global Health Security Index (GHSI)</w:t>
      </w:r>
      <w:r w:rsidR="00B25ACB"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{"citationItems":[{"id":"ITEM-1","itemData":{"URL":"https://www.ghsindex.org/","accessed":{"date-parts":[["2020","6","2"]]},"author":[{"dropping-particle":"","family":"Nuclear Threat Initiative (NTI)","given":"","non-dropping-particle":"","parse-names":false,"suffix":""},{"dropping-particle":"","family":"Johns Hopkins Center for Health Security (JHU)","given":"","non-dropping-particle":"","parse-names":false,"suffix":""}],"id":"ITEM-1","issued":{"date-parts":[["2020"]]},"title":"GHS Index","type":"webpage"},"uris":["http://www.mendeley.com/documents/?uuid=7416cc26-1a9e-35c9-9231-31329fc0e299"]}],"mendeley":{"formattedCitation":"&lt;sup&gt;22&lt;/sup&gt;","plainTextFormattedCitation":"22","previouslyFormattedCitation":"&lt;sup&gt;22&lt;/sup&gt;"},"properties":{"noteIndex":0},"schema":"https://github.com/citation-style-language/schema/raw/master/csl-citation.json"}</w:instrText>
      </w:r>
      <w:r w:rsidR="00B25ACB"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22</w:t>
      </w:r>
      <w:r w:rsidR="00B25ACB" w:rsidRPr="00F645FC">
        <w:rPr>
          <w:rFonts w:ascii="Times New Roman" w:hAnsi="Times New Roman" w:cs="Times New Roman"/>
          <w:sz w:val="24"/>
          <w:szCs w:val="24"/>
        </w:rPr>
        <w:fldChar w:fldCharType="end"/>
      </w:r>
      <w:r w:rsidR="00B25ACB" w:rsidRPr="00F645FC">
        <w:rPr>
          <w:rFonts w:ascii="Times New Roman" w:hAnsi="Times New Roman" w:cs="Times New Roman"/>
          <w:sz w:val="24"/>
          <w:szCs w:val="24"/>
        </w:rPr>
        <w:t>, Gross Domestic Product (GDP)</w:t>
      </w:r>
      <w:r w:rsidR="00B25ACB"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{"citationItems":[{"id":"ITEM-1","itemData":{"URL":"https://data.worldbank.org/indicator/NY.GDP.MKTP.CD","abstract":"GDP (current US$)","accessed":{"date-parts":[["2020","6","2"]]},"author":[{"dropping-particle":"","family":"The World Bank","given":"","non-dropping-particle":"","parse-names":false,"suffix":""}],"container-title":"The World Bank","id":"ITEM-1","issued":{"date-parts":[["2018"]]},"title":"GDP (current US$) | Data","type":"webpage"},"uris":["http://www.mendeley.com/documents/?uuid=3e295498-0759-3afd-8a10-c29d0589b474"]}],"mendeley":{"formattedCitation":"&lt;sup&gt;23&lt;/sup&gt;","plainTextFormattedCitation":"23","previouslyFormattedCitation":"&lt;sup&gt;23&lt;/sup&gt;"},"properties":{"noteIndex":0},"schema":"https://github.com/citation-style-language/schema/raw/master/csl-citation.json"}</w:instrText>
      </w:r>
      <w:r w:rsidR="00B25ACB"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23</w:t>
      </w:r>
      <w:r w:rsidR="00B25ACB" w:rsidRPr="00F645FC">
        <w:rPr>
          <w:rFonts w:ascii="Times New Roman" w:hAnsi="Times New Roman" w:cs="Times New Roman"/>
          <w:sz w:val="24"/>
          <w:szCs w:val="24"/>
        </w:rPr>
        <w:fldChar w:fldCharType="end"/>
      </w:r>
      <w:r w:rsidRPr="00F645FC">
        <w:rPr>
          <w:rFonts w:ascii="Times New Roman" w:hAnsi="Times New Roman" w:cs="Times New Roman"/>
          <w:sz w:val="24"/>
          <w:szCs w:val="24"/>
        </w:rPr>
        <w:t xml:space="preserve">, Diabetes patients in total population (in percentage) </w:t>
      </w:r>
      <w:r w:rsidR="00B25ACB" w:rsidRPr="00F645FC">
        <w:rPr>
          <w:rFonts w:ascii="Times New Roman" w:hAnsi="Times New Roman" w:cs="Times New Roman"/>
          <w:sz w:val="24"/>
          <w:szCs w:val="24"/>
        </w:rPr>
        <w:t>and worldwide governance indicators (WGI)</w:t>
      </w:r>
      <w:r w:rsidR="00B25ACB"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URL":"http://info.worldbank.org/governance/wgi/","accessed":{"date-parts":[["2020","6","2"]]},"author":[{"dropping-particle":"","family":"WGI","given":"","non-dropping-particle":"","parse-names":false,"suffix":""}],"container-title":"WGI 2019","id":"ITEM-1","issued":{"date-parts":[["2019"]]},"page":"1","title":"WGI 2019 Interactive","type":"webpage"},"uris":["http://www.mendeley.com/documents/?uuid=f75543cb-448f-3b08-87cd-f0dbf01a4f6e"]}],"mendeley":{"formattedCitation":"&lt;sup&gt;24&lt;/sup&gt;","plainTextFormattedCitation":"24","previouslyFormattedCitation":"&lt;sup&gt;24&lt;/sup&gt;"},"properties":{"noteIndex":0},"schema":"https://github.com/citation-style-language/schema/raw/master/csl-citation.json"}</w:instrText>
      </w:r>
      <w:r w:rsidR="00B25ACB"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24</w:t>
      </w:r>
      <w:r w:rsidR="00B25ACB" w:rsidRPr="00F645FC">
        <w:rPr>
          <w:rFonts w:ascii="Times New Roman" w:hAnsi="Times New Roman" w:cs="Times New Roman"/>
          <w:sz w:val="24"/>
          <w:szCs w:val="24"/>
        </w:rPr>
        <w:fldChar w:fldCharType="end"/>
      </w:r>
      <w:r w:rsidR="00B25ACB" w:rsidRPr="00F645FC">
        <w:rPr>
          <w:rFonts w:ascii="Times New Roman" w:hAnsi="Times New Roman" w:cs="Times New Roman"/>
          <w:sz w:val="24"/>
          <w:szCs w:val="24"/>
        </w:rPr>
        <w:t xml:space="preserve">. </w:t>
      </w:r>
    </w:p>
    <w:p w14:paraId="6B6B1066" w14:textId="66E51B0E" w:rsidR="00B25ACB" w:rsidRPr="00F645FC" w:rsidRDefault="00B25ACB"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Population density is midyear population divided by land area in square kilometres and the population ages 65 and above as a percentage of the total population. The population is based on the de facto definition of population, which counts all residents regardless of legal status or citizenship--except for refugees not permanently settled in the country of asylum, who are generally considered part of the population of their country of origin</w:t>
      </w:r>
      <w:r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{"citationItems":[{"id":"ITEM-1","itemData":{"URL":"https://data.worldbank.org/indicator/EN.POP.DNST","accessed":{"date-parts":[["2020","6","2"]]},"author":[{"dropping-particle":"","family":"World Data Bank","given":"","non-dropping-particle":"","parse-names":false,"suffix":""}],"container-title":"World Development Indecators","id":"ITEM-1","issued":{"date-parts":[["2018"]]},"title":"Population density (people per sq. km of land area)","type":"webpage"},"uris":["http://www.mendeley.com/documents/?uuid=58ec5d7c-5b98-3ef3-920b-acf90047ac56"]},{"id":"ITEM-2","itemData":{"URL":"https://data.worldbank.org/indicator/SP.POP.65UP.TO.ZS","abstract":"World Bank staff estimates based on age/sex distributions of United Nations Population Division's World Population Prospects.","accessed":{"date-parts":[["2020","6","2"]]},"author":[{"dropping-particle":"","family":"The World Bank","given":"","non-dropping-particle":"","parse-names":false,"suffix":""}],"container-title":"World Bank Data","id":"ITEM-2","issued":{"date-parts":[["2018"]]},"title":"Population ages 65 and above, total","type":"webpage"},"uris":["http://www.mendeley.com/documents/?uuid=fb03869b-19a6-3431-8de2-4642f202166d"]}],"mendeley":{"formattedCitation":"&lt;sup&gt;20,21&lt;/sup&gt;","plainTextFormattedCitation":"20,21","previouslyFormattedCitation":"&lt;sup&gt;20,21&lt;/sup&gt;"},"properties":{"noteIndex":0},"schema":"https://github.com/citation-style-language/schema/raw/master/csl-citation.json"}</w:instrText>
      </w:r>
      <w:r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20,21</w:t>
      </w:r>
      <w:r w:rsidRPr="00F645FC">
        <w:rPr>
          <w:rFonts w:ascii="Times New Roman" w:hAnsi="Times New Roman" w:cs="Times New Roman"/>
          <w:sz w:val="24"/>
          <w:szCs w:val="24"/>
        </w:rPr>
        <w:fldChar w:fldCharType="end"/>
      </w:r>
      <w:r w:rsidRPr="00F645FC">
        <w:rPr>
          <w:rFonts w:ascii="Times New Roman" w:hAnsi="Times New Roman" w:cs="Times New Roman"/>
          <w:sz w:val="24"/>
          <w:szCs w:val="24"/>
        </w:rPr>
        <w:t xml:space="preserve">. GHSI is the first comprehensive assessment of global health security capabilities to be employed in 195 countries; the GHSI </w:t>
      </w:r>
      <w:r w:rsidR="00ED600E" w:rsidRPr="00F645FC">
        <w:rPr>
          <w:rFonts w:ascii="Times New Roman" w:hAnsi="Times New Roman" w:cs="Times New Roman"/>
          <w:sz w:val="24"/>
          <w:szCs w:val="24"/>
        </w:rPr>
        <w:t>index</w:t>
      </w:r>
      <w:r w:rsidRPr="00F645FC">
        <w:rPr>
          <w:rFonts w:ascii="Times New Roman" w:hAnsi="Times New Roman" w:cs="Times New Roman"/>
          <w:sz w:val="24"/>
          <w:szCs w:val="24"/>
        </w:rPr>
        <w:t xml:space="preserve"> scored (out of 100)</w:t>
      </w:r>
      <w:r w:rsidR="00ED600E" w:rsidRPr="00F645FC">
        <w:rPr>
          <w:rFonts w:ascii="Times New Roman" w:hAnsi="Times New Roman" w:cs="Times New Roman"/>
          <w:sz w:val="24"/>
          <w:szCs w:val="24"/>
        </w:rPr>
        <w:t>,</w:t>
      </w:r>
      <w:r w:rsidR="00A2506D" w:rsidRPr="00F645FC">
        <w:rPr>
          <w:rFonts w:ascii="Times New Roman" w:hAnsi="Times New Roman" w:cs="Times New Roman"/>
          <w:sz w:val="24"/>
          <w:szCs w:val="24"/>
        </w:rPr>
        <w:t xml:space="preserve"> if a country scored near 100 then </w:t>
      </w:r>
      <w:r w:rsidRPr="00F645FC">
        <w:rPr>
          <w:rFonts w:ascii="Times New Roman" w:hAnsi="Times New Roman" w:cs="Times New Roman"/>
          <w:sz w:val="24"/>
          <w:szCs w:val="24"/>
        </w:rPr>
        <w:t>the country</w:t>
      </w:r>
      <w:r w:rsidR="00A2506D" w:rsidRPr="00F645FC">
        <w:rPr>
          <w:rFonts w:ascii="Times New Roman" w:hAnsi="Times New Roman" w:cs="Times New Roman"/>
          <w:sz w:val="24"/>
          <w:szCs w:val="24"/>
        </w:rPr>
        <w:t xml:space="preserve"> ha</w:t>
      </w:r>
      <w:r w:rsidR="00390111" w:rsidRPr="00F645FC">
        <w:rPr>
          <w:rFonts w:ascii="Times New Roman" w:hAnsi="Times New Roman" w:cs="Times New Roman"/>
          <w:sz w:val="24"/>
          <w:szCs w:val="24"/>
        </w:rPr>
        <w:t>s</w:t>
      </w:r>
      <w:r w:rsidR="00A2506D" w:rsidRPr="00F645FC">
        <w:rPr>
          <w:rFonts w:ascii="Times New Roman" w:hAnsi="Times New Roman" w:cs="Times New Roman"/>
          <w:sz w:val="24"/>
          <w:szCs w:val="24"/>
        </w:rPr>
        <w:t xml:space="preserve"> the </w:t>
      </w:r>
      <w:r w:rsidRPr="00F645FC">
        <w:rPr>
          <w:rFonts w:ascii="Times New Roman" w:hAnsi="Times New Roman" w:cs="Times New Roman"/>
          <w:sz w:val="24"/>
          <w:szCs w:val="24"/>
        </w:rPr>
        <w:t>capacity for early detection and reporting for epidemics</w:t>
      </w:r>
      <w:r w:rsidR="00A2506D" w:rsidRPr="00F645FC">
        <w:rPr>
          <w:rFonts w:ascii="Times New Roman" w:hAnsi="Times New Roman" w:cs="Times New Roman"/>
          <w:sz w:val="24"/>
          <w:szCs w:val="24"/>
        </w:rPr>
        <w:t xml:space="preserve"> and if a country scored lowest, the country categorised as "least prepared"</w:t>
      </w:r>
      <w:r w:rsidR="00ED600E" w:rsidRPr="00F645FC">
        <w:rPr>
          <w:rFonts w:ascii="Times New Roman" w:hAnsi="Times New Roman" w:cs="Times New Roman"/>
          <w:sz w:val="24"/>
          <w:szCs w:val="24"/>
        </w:rPr>
        <w:t>. According to GHSI, The United States was ranked first with an index value of 83.5 out of 100. The largest number of countries in the category "least prepared" was in Western and Central Africa</w:t>
      </w:r>
      <w:r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{"citationItems":[{"id":"ITEM-1","itemData":{"URL":"https://www.ghsindex.org/","accessed":{"date-parts":[["2020","6","2"]]},"author":[{"dropping-particle":"","family":"Nuclear Threat Initiative (NTI)","given":"","non-dropping-particle":"","parse-names":false,"suffix":""},{"dropping-particle":"","family":"Johns Hopkins Center for Health Security (JHU)","given":"","non-dropping-particle":"","parse-names":false,"suffix":""}],"id":"ITEM-1","issued":{"date-parts":[["2020"]]},"title":"GHS Index","type":"webpage"},"uris":["http://www.mendeley.com/documents/?uuid=7416cc26-1a9e-35c9-9231-31329fc0e299"]}],"mendeley":{"formattedCitation":"&lt;sup&gt;22&lt;/sup&gt;","plainTextFormattedCitation":"22","previouslyFormattedCitation":"&lt;sup&gt;22&lt;/sup&gt;"},"properties":{"noteIndex":0},"schema":"https://github.com/citation-style-language/schema/raw/master/csl-citation.json"}</w:instrText>
      </w:r>
      <w:r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22</w:t>
      </w:r>
      <w:r w:rsidRPr="00F645FC">
        <w:rPr>
          <w:rFonts w:ascii="Times New Roman" w:hAnsi="Times New Roman" w:cs="Times New Roman"/>
          <w:sz w:val="24"/>
          <w:szCs w:val="24"/>
        </w:rPr>
        <w:fldChar w:fldCharType="end"/>
      </w:r>
      <w:r w:rsidRPr="00F645FC">
        <w:rPr>
          <w:rFonts w:ascii="Times New Roman" w:hAnsi="Times New Roman" w:cs="Times New Roman"/>
          <w:sz w:val="24"/>
          <w:szCs w:val="24"/>
        </w:rPr>
        <w:t>. GDP at purchaser's prices is the sum of gross value added by all resident producers in the economy plus any product taxes and minus any subsidies not included in the value of the products. It is calculated without making deductions for depreciation of fabricated assets o</w:t>
      </w:r>
      <w:r w:rsidR="00390111" w:rsidRPr="00F645FC">
        <w:rPr>
          <w:rFonts w:ascii="Times New Roman" w:hAnsi="Times New Roman" w:cs="Times New Roman"/>
          <w:sz w:val="24"/>
          <w:szCs w:val="24"/>
        </w:rPr>
        <w:t>r</w:t>
      </w:r>
      <w:r w:rsidRPr="00F645FC">
        <w:rPr>
          <w:rFonts w:ascii="Times New Roman" w:hAnsi="Times New Roman" w:cs="Times New Roman"/>
          <w:sz w:val="24"/>
          <w:szCs w:val="24"/>
        </w:rPr>
        <w:t xml:space="preserve"> depletion and degradation of natural resources. Data are in current U.S. dollars</w:t>
      </w:r>
      <w:r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{"citationItems":[{"id":"ITEM-1","itemData":{"URL":"https://data.worldbank.org/indicator/NY.GDP.MKTP.CD","abstract":"GDP (current US$)","accessed":{"date-parts":[["2020","6","2"]]},"author":[{"dropping-particle":"","family":"The World Bank","given":"","non-dropping-particle":"","parse-names":false,"suffix":""}],"container-title":"The World Bank","id":"ITEM-1","issued":{"date-parts":[["2018"]]},"title":"GDP (current US$) | Data","type":"webpage"},"uris":["http://www.mendeley.com/documents/?uuid=3e295498-0759-3afd-8a10-c29d0589b474"]}],"mendeley":{"formattedCitation":"&lt;sup&gt;23&lt;/sup&gt;","plainTextFormattedCitation":"23","previouslyFormattedCitation":"&lt;sup&gt;23&lt;/sup&gt;"},"properties":{"noteIndex":0},"schema":"https://github.com/citation-style-language/schema/raw/master/csl-citation.json"}</w:instrText>
      </w:r>
      <w:r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23</w:t>
      </w:r>
      <w:r w:rsidRPr="00F645FC">
        <w:rPr>
          <w:rFonts w:ascii="Times New Roman" w:hAnsi="Times New Roman" w:cs="Times New Roman"/>
          <w:sz w:val="24"/>
          <w:szCs w:val="24"/>
        </w:rPr>
        <w:fldChar w:fldCharType="end"/>
      </w:r>
      <w:r w:rsidRPr="00F645FC">
        <w:rPr>
          <w:rFonts w:ascii="Times New Roman" w:hAnsi="Times New Roman" w:cs="Times New Roman"/>
          <w:sz w:val="24"/>
          <w:szCs w:val="24"/>
        </w:rPr>
        <w:t xml:space="preserve">. Governance </w:t>
      </w:r>
      <w:r w:rsidR="00146532" w:rsidRPr="00F645FC">
        <w:rPr>
          <w:rFonts w:ascii="Times New Roman" w:hAnsi="Times New Roman" w:cs="Times New Roman"/>
          <w:sz w:val="24"/>
          <w:szCs w:val="24"/>
        </w:rPr>
        <w:t xml:space="preserve">index </w:t>
      </w:r>
      <w:r w:rsidRPr="00F645FC">
        <w:rPr>
          <w:rFonts w:ascii="Times New Roman" w:hAnsi="Times New Roman" w:cs="Times New Roman"/>
          <w:sz w:val="24"/>
          <w:szCs w:val="24"/>
        </w:rPr>
        <w:t xml:space="preserve">consists of the traditions and institutions by which authority in a </w:t>
      </w:r>
      <w:r w:rsidRPr="00F645FC">
        <w:rPr>
          <w:rFonts w:ascii="Times New Roman" w:hAnsi="Times New Roman" w:cs="Times New Roman"/>
          <w:sz w:val="24"/>
          <w:szCs w:val="24"/>
        </w:rPr>
        <w:lastRenderedPageBreak/>
        <w:t>country is exercised.  This includes the process by which governments are selected, monitored and replaced; the capacity of the government to effectively formulate and implement sound policies; and the respect of citizens and the state for the institutions that govern economic and social interactions among them.</w:t>
      </w:r>
      <w:r w:rsidR="001C1363" w:rsidRPr="00F645FC">
        <w:rPr>
          <w:rFonts w:ascii="Times New Roman" w:hAnsi="Times New Roman" w:cs="Times New Roman"/>
          <w:sz w:val="24"/>
          <w:szCs w:val="24"/>
        </w:rPr>
        <w:t xml:space="preserve"> The WGI scored -2.5 to 2.5, ranges from approximately -2.5 (weak) to 2.5 (strong) governance performance</w:t>
      </w:r>
      <w:r w:rsidR="001C1363"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URL":"http://info.worldbank.org/governance/wgi/","accessed":{"date-parts":[["2020","6","2"]]},"author":[{"dropping-particle":"","family":"WGI","given":"","non-dropping-particle":"","parse-names":false,"suffix":""}],"container-title":"WGI 2019","id":"ITEM-1","issued":{"date-parts":[["2019"]]},"page":"1","title":"WGI 2019 Interactive","type":"webpage"},"uris":["http://www.mendeley.com/documents/?uuid=f75543cb-448f-3b08-87cd-f0dbf01a4f6e"]}],"mendeley":{"formattedCitation":"&lt;sup&gt;24&lt;/sup&gt;","plainTextFormattedCitation":"24","previouslyFormattedCitation":"&lt;sup&gt;24&lt;/sup&gt;"},"properties":{"noteIndex":0},"schema":"https://github.com/citation-style-language/schema/raw/master/csl-citation.json"}</w:instrText>
      </w:r>
      <w:r w:rsidR="001C1363"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24</w:t>
      </w:r>
      <w:r w:rsidR="001C1363" w:rsidRPr="00F645FC">
        <w:rPr>
          <w:rFonts w:ascii="Times New Roman" w:hAnsi="Times New Roman" w:cs="Times New Roman"/>
          <w:sz w:val="24"/>
          <w:szCs w:val="24"/>
        </w:rPr>
        <w:fldChar w:fldCharType="end"/>
      </w:r>
      <w:r w:rsidR="001C1363" w:rsidRPr="00F645FC">
        <w:rPr>
          <w:rFonts w:ascii="Times New Roman" w:hAnsi="Times New Roman" w:cs="Times New Roman"/>
          <w:sz w:val="24"/>
          <w:szCs w:val="24"/>
        </w:rPr>
        <w:t>.</w:t>
      </w:r>
    </w:p>
    <w:p w14:paraId="05610D46" w14:textId="77777777" w:rsidR="00B25ACB" w:rsidRPr="00F645FC" w:rsidRDefault="00B25ACB" w:rsidP="00F645FC">
      <w:pPr>
        <w:spacing w:after="0" w:line="480" w:lineRule="auto"/>
        <w:jc w:val="both"/>
        <w:rPr>
          <w:rFonts w:ascii="Times New Roman" w:hAnsi="Times New Roman" w:cs="Times New Roman"/>
          <w:b/>
          <w:bCs/>
          <w:sz w:val="24"/>
          <w:szCs w:val="24"/>
        </w:rPr>
      </w:pPr>
      <w:r w:rsidRPr="00F645FC">
        <w:rPr>
          <w:rFonts w:ascii="Times New Roman" w:hAnsi="Times New Roman" w:cs="Times New Roman"/>
          <w:b/>
          <w:bCs/>
          <w:sz w:val="24"/>
          <w:szCs w:val="24"/>
        </w:rPr>
        <w:t>Statistical analysis</w:t>
      </w:r>
    </w:p>
    <w:p w14:paraId="59337570" w14:textId="4B293763" w:rsidR="007D32E1" w:rsidRPr="00F645FC" w:rsidRDefault="00733A88"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As the outcome variable w</w:t>
      </w:r>
      <w:r w:rsidR="002651F0" w:rsidRPr="00F645FC">
        <w:rPr>
          <w:rFonts w:ascii="Times New Roman" w:hAnsi="Times New Roman" w:cs="Times New Roman"/>
          <w:sz w:val="24"/>
          <w:szCs w:val="24"/>
        </w:rPr>
        <w:t>as in the interval of (0,1)</w:t>
      </w:r>
      <w:r w:rsidRPr="00F645FC">
        <w:rPr>
          <w:rFonts w:ascii="Times New Roman" w:hAnsi="Times New Roman" w:cs="Times New Roman"/>
          <w:sz w:val="24"/>
          <w:szCs w:val="24"/>
        </w:rPr>
        <w:t>, w</w:t>
      </w:r>
      <w:r w:rsidR="00B25ACB" w:rsidRPr="00F645FC">
        <w:rPr>
          <w:rFonts w:ascii="Times New Roman" w:hAnsi="Times New Roman" w:cs="Times New Roman"/>
          <w:sz w:val="24"/>
          <w:szCs w:val="24"/>
        </w:rPr>
        <w:t xml:space="preserve">e used </w:t>
      </w:r>
      <w:r w:rsidR="007D32E1" w:rsidRPr="00F645FC">
        <w:rPr>
          <w:rFonts w:ascii="Times New Roman" w:hAnsi="Times New Roman" w:cs="Times New Roman"/>
          <w:sz w:val="24"/>
          <w:szCs w:val="24"/>
        </w:rPr>
        <w:t>beta</w:t>
      </w:r>
      <w:r w:rsidR="00B25ACB" w:rsidRPr="00F645FC">
        <w:rPr>
          <w:rFonts w:ascii="Times New Roman" w:hAnsi="Times New Roman" w:cs="Times New Roman"/>
          <w:sz w:val="24"/>
          <w:szCs w:val="24"/>
        </w:rPr>
        <w:t xml:space="preserve"> regression models to investigate the association between </w:t>
      </w:r>
      <w:r w:rsidR="007D32E1" w:rsidRPr="00F645FC">
        <w:rPr>
          <w:rFonts w:ascii="Times New Roman" w:hAnsi="Times New Roman" w:cs="Times New Roman"/>
          <w:sz w:val="24"/>
          <w:szCs w:val="24"/>
        </w:rPr>
        <w:t>CFR</w:t>
      </w:r>
      <w:r w:rsidR="00146532" w:rsidRPr="00F645FC">
        <w:rPr>
          <w:rFonts w:ascii="Times New Roman" w:hAnsi="Times New Roman" w:cs="Times New Roman"/>
          <w:sz w:val="24"/>
          <w:szCs w:val="24"/>
        </w:rPr>
        <w:t xml:space="preserve"> </w:t>
      </w:r>
      <w:r w:rsidR="00F515F1" w:rsidRPr="00F645FC">
        <w:rPr>
          <w:rFonts w:ascii="Times New Roman" w:hAnsi="Times New Roman" w:cs="Times New Roman"/>
          <w:sz w:val="24"/>
          <w:szCs w:val="24"/>
        </w:rPr>
        <w:t xml:space="preserve">and </w:t>
      </w:r>
      <w:r w:rsidR="000F649A" w:rsidRPr="00F645FC">
        <w:rPr>
          <w:rFonts w:ascii="Times New Roman" w:hAnsi="Times New Roman" w:cs="Times New Roman"/>
          <w:sz w:val="24"/>
          <w:szCs w:val="24"/>
        </w:rPr>
        <w:t xml:space="preserve">the </w:t>
      </w:r>
      <w:r w:rsidR="00F515F1" w:rsidRPr="00F645FC">
        <w:rPr>
          <w:rFonts w:ascii="Times New Roman" w:hAnsi="Times New Roman" w:cs="Times New Roman"/>
          <w:sz w:val="24"/>
          <w:szCs w:val="24"/>
        </w:rPr>
        <w:t>possible explanatory variables</w:t>
      </w:r>
      <w:r w:rsidR="00317ABD" w:rsidRPr="00F645FC">
        <w:rPr>
          <w:rFonts w:ascii="Times New Roman" w:hAnsi="Times New Roman" w:cs="Times New Roman"/>
          <w:sz w:val="24"/>
          <w:szCs w:val="24"/>
        </w:rPr>
        <w:t xml:space="preserve"> of a country</w:t>
      </w:r>
      <w:r w:rsidR="00B25ACB" w:rsidRPr="00F645FC">
        <w:rPr>
          <w:rFonts w:ascii="Times New Roman" w:hAnsi="Times New Roman" w:cs="Times New Roman"/>
          <w:sz w:val="24"/>
          <w:szCs w:val="24"/>
        </w:rPr>
        <w:t>.</w:t>
      </w:r>
      <w:r w:rsidR="007D32E1" w:rsidRPr="00F645FC">
        <w:rPr>
          <w:rFonts w:ascii="Times New Roman" w:hAnsi="Times New Roman" w:cs="Times New Roman"/>
          <w:sz w:val="24"/>
          <w:szCs w:val="24"/>
        </w:rPr>
        <w:t xml:space="preserve"> The term beta regression was first introduced by Ferrari and </w:t>
      </w:r>
      <w:proofErr w:type="spellStart"/>
      <w:r w:rsidR="007D32E1" w:rsidRPr="00F645FC">
        <w:rPr>
          <w:rFonts w:ascii="Times New Roman" w:hAnsi="Times New Roman" w:cs="Times New Roman"/>
          <w:sz w:val="24"/>
          <w:szCs w:val="24"/>
        </w:rPr>
        <w:t>Cribari</w:t>
      </w:r>
      <w:proofErr w:type="spellEnd"/>
      <w:r w:rsidR="007D32E1" w:rsidRPr="00F645FC">
        <w:rPr>
          <w:rFonts w:ascii="Times New Roman" w:hAnsi="Times New Roman" w:cs="Times New Roman"/>
          <w:sz w:val="24"/>
          <w:szCs w:val="24"/>
        </w:rPr>
        <w:t>–Neto</w:t>
      </w:r>
      <w:r w:rsidR="009F2FB1"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{"citationItems":[{"id":"ITEM-1","itemData":{"DOI":"10.1080/0266476042000214501","ISSN":"02664763","abstract":"This paper proposes a regression model where the response is beta distributed using a parameterization of the beta law that is indexed by mean and dispersion parameters. The proposed model is useful for situations where the variable of interest is continuous and restricted to the interval (0, 1) and is related to other variables through a regression structure. The regression parameters of the beta regression model are interpretable in terms of the mean of the response and, when the logit link is used, of an odds ratio, unlike the parameters of a linear regression that employs a transformed response. Estimation is performed by maximum likelihood. We provide closed-form expressions for the score function, for Fisher's information matrix and its inverse. Hypothesis testing is performed using approximations obtained from the asymptotic normality of the maximum likelihood estimator. Some diagnostic measures are introduced. Finally, practical applications that employ real data are presented and discussed. © 2004 Taylor &amp; Francis Ltd.","author":[{"dropping-particle":"","family":"Ferrari","given":"Silvia L.P.","non-dropping-particle":"","parse-names":false,"suffix":""},{"dropping-particle":"","family":"Cribari-Neto","given":"Francisco","non-dropping-particle":"","parse-names":false,"suffix":""}],"container-title":"Journal of Applied Statistics","id":"ITEM-1","issue":"7","issued":{"date-parts":[["2004","8"]]},"page":"799-815","publisher":" Taylor &amp; Francis Group ","title":"Beta regression for modelling rates and proportions","type":"article-journal","volume":"31"},"uris":["http://www.mendeley.com/documents/?uuid=e0fd0dfd-0494-38ce-834c-f3c5695999fd"]}],"mendeley":{"formattedCitation":"&lt;sup&gt;25&lt;/sup&gt;","plainTextFormattedCitation":"25","previouslyFormattedCitation":"&lt;sup&gt;25&lt;/sup&gt;"},"properties":{"noteIndex":0},"schema":"https://github.com/citation-style-language/schema/raw/master/csl-citation.json"}</w:instrText>
      </w:r>
      <w:r w:rsidR="009F2FB1"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25</w:t>
      </w:r>
      <w:r w:rsidR="009F2FB1" w:rsidRPr="00F645FC">
        <w:rPr>
          <w:rFonts w:ascii="Times New Roman" w:hAnsi="Times New Roman" w:cs="Times New Roman"/>
          <w:sz w:val="24"/>
          <w:szCs w:val="24"/>
        </w:rPr>
        <w:fldChar w:fldCharType="end"/>
      </w:r>
      <w:r w:rsidR="007D32E1" w:rsidRPr="00F645FC">
        <w:rPr>
          <w:rFonts w:ascii="Times New Roman" w:hAnsi="Times New Roman" w:cs="Times New Roman"/>
          <w:sz w:val="24"/>
          <w:szCs w:val="24"/>
        </w:rPr>
        <w:t xml:space="preserve"> . It refers to regression models in which the dependent variable is assumed to have a beta distribution. Beta regression models are used in situations where the variable of interest is continuous and restricted to the interval (0, 1) and is related to other variables through a regression structure</w:t>
      </w:r>
      <w:r w:rsidR="009F2FB1" w:rsidRPr="00F645FC">
        <w:rPr>
          <w:rFonts w:ascii="Times New Roman" w:hAnsi="Times New Roman" w:cs="Times New Roman"/>
          <w:sz w:val="24"/>
          <w:szCs w:val="24"/>
        </w:rPr>
        <w:fldChar w:fldCharType="begin" w:fldLock="1"/>
      </w:r>
      <w:r w:rsidR="009C7F77">
        <w:rPr>
          <w:rFonts w:ascii="Times New Roman" w:hAnsi="Times New Roman" w:cs="Times New Roman"/>
          <w:sz w:val="24"/>
          <w:szCs w:val="24"/>
        </w:rPr>
        <w:instrText>ADDIN CSL_CITATION {"citationItems":[{"id":"ITEM-1","itemData":{"DOI":"10.1002/9781118445112.stat08026","author":[{"dropping-particle":"","family":"Ferrari","given":"Silvia L. P.","non-dropping-particle":"","parse-names":false,"suffix":""}],"container-title":"Wiley StatsRef: Statistics Reference Online","id":"ITEM-1","issued":{"date-parts":[["2017","11","15"]]},"page":"1-5","publisher":"John Wiley &amp; Sons, Ltd","publisher-place":"Chichester, UK","title":"Beta Regression","type":"chapter"},"uris":["http://www.mendeley.com/documents/?uuid=52cd0e30-01b8-3b77-9963-11837858b9f3"]}],"mendeley":{"formattedCitation":"&lt;sup&gt;26&lt;/sup&gt;","plainTextFormattedCitation":"26","previouslyFormattedCitation":"&lt;sup&gt;26&lt;/sup&gt;"},"properties":{"noteIndex":0},"schema":"https://github.com/citation-style-language/schema/raw/master/csl-citation.json"}</w:instrText>
      </w:r>
      <w:r w:rsidR="009F2FB1"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26</w:t>
      </w:r>
      <w:r w:rsidR="009F2FB1" w:rsidRPr="00F645FC">
        <w:rPr>
          <w:rFonts w:ascii="Times New Roman" w:hAnsi="Times New Roman" w:cs="Times New Roman"/>
          <w:sz w:val="24"/>
          <w:szCs w:val="24"/>
        </w:rPr>
        <w:fldChar w:fldCharType="end"/>
      </w:r>
      <w:r w:rsidR="007D32E1" w:rsidRPr="00F645FC">
        <w:rPr>
          <w:rFonts w:ascii="Times New Roman" w:hAnsi="Times New Roman" w:cs="Times New Roman"/>
          <w:sz w:val="24"/>
          <w:szCs w:val="24"/>
        </w:rPr>
        <w:t>.</w:t>
      </w:r>
    </w:p>
    <w:p w14:paraId="59596C6D" w14:textId="22FC1343" w:rsidR="000F0C8A" w:rsidRPr="00F645FC" w:rsidRDefault="00B25ACB"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 xml:space="preserve">For the </w:t>
      </w:r>
      <w:r w:rsidR="009F2FB1" w:rsidRPr="00F645FC">
        <w:rPr>
          <w:rFonts w:ascii="Times New Roman" w:hAnsi="Times New Roman" w:cs="Times New Roman"/>
          <w:sz w:val="24"/>
          <w:szCs w:val="24"/>
        </w:rPr>
        <w:t>beta</w:t>
      </w:r>
      <w:r w:rsidRPr="00F645FC">
        <w:rPr>
          <w:rFonts w:ascii="Times New Roman" w:hAnsi="Times New Roman" w:cs="Times New Roman"/>
          <w:sz w:val="24"/>
          <w:szCs w:val="24"/>
        </w:rPr>
        <w:t xml:space="preserve"> regression, we report</w:t>
      </w:r>
      <w:r w:rsidR="00F515F1" w:rsidRPr="00F645FC">
        <w:rPr>
          <w:rFonts w:ascii="Times New Roman" w:hAnsi="Times New Roman" w:cs="Times New Roman"/>
          <w:sz w:val="24"/>
          <w:szCs w:val="24"/>
        </w:rPr>
        <w:t>ed</w:t>
      </w:r>
      <w:r w:rsidRPr="00F645FC">
        <w:rPr>
          <w:rFonts w:ascii="Times New Roman" w:hAnsi="Times New Roman" w:cs="Times New Roman"/>
          <w:sz w:val="24"/>
          <w:szCs w:val="24"/>
        </w:rPr>
        <w:t xml:space="preserve"> incidence rate ratios (IRRs) adjusted for population density (per square kilometre),</w:t>
      </w:r>
      <w:r w:rsidR="00685A1F">
        <w:rPr>
          <w:rFonts w:ascii="Times New Roman" w:hAnsi="Times New Roman" w:cs="Times New Roman"/>
          <w:sz w:val="24"/>
          <w:szCs w:val="24"/>
        </w:rPr>
        <w:t xml:space="preserve"> the</w:t>
      </w:r>
      <w:r w:rsidRPr="00F645FC">
        <w:rPr>
          <w:rFonts w:ascii="Times New Roman" w:hAnsi="Times New Roman" w:cs="Times New Roman"/>
          <w:sz w:val="24"/>
          <w:szCs w:val="24"/>
        </w:rPr>
        <w:t xml:space="preserve"> </w:t>
      </w:r>
      <w:r w:rsidR="009F2FB1" w:rsidRPr="00F645FC">
        <w:rPr>
          <w:rFonts w:ascii="Times New Roman" w:hAnsi="Times New Roman" w:cs="Times New Roman"/>
          <w:sz w:val="24"/>
          <w:szCs w:val="24"/>
        </w:rPr>
        <w:t>median age</w:t>
      </w:r>
      <w:r w:rsidRPr="00F645FC">
        <w:rPr>
          <w:rFonts w:ascii="Times New Roman" w:hAnsi="Times New Roman" w:cs="Times New Roman"/>
          <w:sz w:val="24"/>
          <w:szCs w:val="24"/>
        </w:rPr>
        <w:t xml:space="preserve"> of the total population, global health security index, gross domestic product (per million), and worldwide governance indicators, with 95% confidence intervals (CIs).  </w:t>
      </w:r>
      <w:r w:rsidR="00F515F1" w:rsidRPr="00F645FC">
        <w:rPr>
          <w:rFonts w:ascii="Times New Roman" w:hAnsi="Times New Roman" w:cs="Times New Roman"/>
          <w:sz w:val="24"/>
          <w:szCs w:val="24"/>
        </w:rPr>
        <w:t>We also adjusted the stage of</w:t>
      </w:r>
      <w:r w:rsidR="00CD7334" w:rsidRPr="00F645FC">
        <w:rPr>
          <w:rFonts w:ascii="Times New Roman" w:hAnsi="Times New Roman" w:cs="Times New Roman"/>
          <w:sz w:val="24"/>
          <w:szCs w:val="24"/>
        </w:rPr>
        <w:t xml:space="preserve"> the</w:t>
      </w:r>
      <w:r w:rsidR="00F515F1" w:rsidRPr="00F645FC">
        <w:rPr>
          <w:rFonts w:ascii="Times New Roman" w:hAnsi="Times New Roman" w:cs="Times New Roman"/>
          <w:sz w:val="24"/>
          <w:szCs w:val="24"/>
        </w:rPr>
        <w:t xml:space="preserve"> epidemic in each country by including a variable of interval (in days) between detection of first COVID-19 case in the country and last date of data collection, 3</w:t>
      </w:r>
      <w:r w:rsidR="001506DD" w:rsidRPr="00F645FC">
        <w:rPr>
          <w:rFonts w:ascii="Times New Roman" w:hAnsi="Times New Roman" w:cs="Times New Roman"/>
          <w:sz w:val="24"/>
          <w:szCs w:val="24"/>
        </w:rPr>
        <w:t>0</w:t>
      </w:r>
      <w:r w:rsidR="001506DD" w:rsidRPr="00F645FC">
        <w:rPr>
          <w:rFonts w:ascii="Times New Roman" w:hAnsi="Times New Roman" w:cs="Times New Roman"/>
          <w:sz w:val="24"/>
          <w:szCs w:val="24"/>
          <w:vertAlign w:val="superscript"/>
        </w:rPr>
        <w:t>th</w:t>
      </w:r>
      <w:r w:rsidR="00F515F1" w:rsidRPr="00F645FC">
        <w:rPr>
          <w:rFonts w:ascii="Times New Roman" w:hAnsi="Times New Roman" w:cs="Times New Roman"/>
          <w:sz w:val="24"/>
          <w:szCs w:val="24"/>
        </w:rPr>
        <w:t xml:space="preserve"> </w:t>
      </w:r>
      <w:r w:rsidR="001506DD" w:rsidRPr="00F645FC">
        <w:rPr>
          <w:rFonts w:ascii="Times New Roman" w:hAnsi="Times New Roman" w:cs="Times New Roman"/>
          <w:sz w:val="24"/>
          <w:szCs w:val="24"/>
        </w:rPr>
        <w:t>June</w:t>
      </w:r>
      <w:r w:rsidR="00F515F1" w:rsidRPr="00F645FC">
        <w:rPr>
          <w:rFonts w:ascii="Times New Roman" w:hAnsi="Times New Roman" w:cs="Times New Roman"/>
          <w:sz w:val="24"/>
          <w:szCs w:val="24"/>
        </w:rPr>
        <w:t xml:space="preserve"> 2020.  </w:t>
      </w:r>
      <w:r w:rsidRPr="00F645FC">
        <w:rPr>
          <w:rFonts w:ascii="Times New Roman" w:hAnsi="Times New Roman" w:cs="Times New Roman"/>
          <w:sz w:val="24"/>
          <w:szCs w:val="24"/>
        </w:rPr>
        <w:t>All analyses were done using the R (statistical package).</w:t>
      </w:r>
    </w:p>
    <w:p w14:paraId="5FF3E1BF" w14:textId="77777777" w:rsidR="00FC30F4" w:rsidRPr="00F645FC" w:rsidRDefault="00FC30F4" w:rsidP="00F645FC">
      <w:pPr>
        <w:spacing w:after="0" w:line="480" w:lineRule="auto"/>
        <w:jc w:val="both"/>
        <w:rPr>
          <w:rFonts w:ascii="Times New Roman" w:hAnsi="Times New Roman" w:cs="Times New Roman"/>
          <w:sz w:val="24"/>
          <w:szCs w:val="24"/>
        </w:rPr>
      </w:pPr>
    </w:p>
    <w:p w14:paraId="50C8EFB0" w14:textId="7D088B97" w:rsidR="00E60165" w:rsidRPr="00F645FC" w:rsidRDefault="00E60165" w:rsidP="00F645FC">
      <w:pPr>
        <w:spacing w:after="0" w:line="480" w:lineRule="auto"/>
        <w:jc w:val="both"/>
        <w:rPr>
          <w:rFonts w:ascii="Times New Roman" w:hAnsi="Times New Roman" w:cs="Times New Roman"/>
          <w:b/>
          <w:sz w:val="24"/>
          <w:szCs w:val="24"/>
        </w:rPr>
      </w:pPr>
      <w:r w:rsidRPr="00F645FC">
        <w:rPr>
          <w:rFonts w:ascii="Times New Roman" w:hAnsi="Times New Roman" w:cs="Times New Roman"/>
          <w:b/>
          <w:sz w:val="24"/>
          <w:szCs w:val="24"/>
        </w:rPr>
        <w:t>Results</w:t>
      </w:r>
    </w:p>
    <w:p w14:paraId="56CAA965" w14:textId="6FB0588D" w:rsidR="00666E0D" w:rsidRPr="00F645FC" w:rsidRDefault="00BF4286" w:rsidP="00F645FC">
      <w:pPr>
        <w:tabs>
          <w:tab w:val="left" w:pos="1200"/>
        </w:tabs>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 xml:space="preserve">A total of </w:t>
      </w:r>
      <w:r w:rsidR="00A7345B" w:rsidRPr="00F645FC">
        <w:rPr>
          <w:rFonts w:ascii="Times New Roman" w:hAnsi="Times New Roman" w:cs="Times New Roman"/>
          <w:sz w:val="24"/>
          <w:szCs w:val="24"/>
        </w:rPr>
        <w:t>10.25</w:t>
      </w:r>
      <w:r w:rsidRPr="00F645FC">
        <w:rPr>
          <w:rFonts w:ascii="Times New Roman" w:hAnsi="Times New Roman" w:cs="Times New Roman"/>
          <w:sz w:val="24"/>
          <w:szCs w:val="24"/>
        </w:rPr>
        <w:t xml:space="preserve"> million cumulative confirmed cases and </w:t>
      </w:r>
      <w:r w:rsidR="000F23C8" w:rsidRPr="00F645FC">
        <w:rPr>
          <w:rFonts w:ascii="Times New Roman" w:hAnsi="Times New Roman" w:cs="Times New Roman"/>
          <w:sz w:val="24"/>
          <w:szCs w:val="24"/>
        </w:rPr>
        <w:t>505</w:t>
      </w:r>
      <w:r w:rsidRPr="00F645FC">
        <w:rPr>
          <w:rFonts w:ascii="Times New Roman" w:hAnsi="Times New Roman" w:cs="Times New Roman"/>
          <w:sz w:val="24"/>
          <w:szCs w:val="24"/>
        </w:rPr>
        <w:t>,</w:t>
      </w:r>
      <w:r w:rsidR="000F23C8" w:rsidRPr="00F645FC">
        <w:rPr>
          <w:rFonts w:ascii="Times New Roman" w:hAnsi="Times New Roman" w:cs="Times New Roman"/>
          <w:sz w:val="24"/>
          <w:szCs w:val="24"/>
        </w:rPr>
        <w:t>3</w:t>
      </w:r>
      <w:r w:rsidR="006070AA">
        <w:rPr>
          <w:rFonts w:ascii="Times New Roman" w:hAnsi="Times New Roman" w:cs="Times New Roman"/>
          <w:sz w:val="24"/>
          <w:szCs w:val="24"/>
        </w:rPr>
        <w:t>22</w:t>
      </w:r>
      <w:r w:rsidRPr="00F645FC">
        <w:rPr>
          <w:rFonts w:ascii="Times New Roman" w:hAnsi="Times New Roman" w:cs="Times New Roman"/>
          <w:sz w:val="24"/>
          <w:szCs w:val="24"/>
        </w:rPr>
        <w:t xml:space="preserve"> deaths had been documented globally as of </w:t>
      </w:r>
      <w:r w:rsidR="00A83A8F" w:rsidRPr="00F645FC">
        <w:rPr>
          <w:rFonts w:ascii="Times New Roman" w:hAnsi="Times New Roman" w:cs="Times New Roman"/>
          <w:sz w:val="24"/>
          <w:szCs w:val="24"/>
        </w:rPr>
        <w:t xml:space="preserve">June </w:t>
      </w:r>
      <w:r w:rsidR="0001424B" w:rsidRPr="00F645FC">
        <w:rPr>
          <w:rFonts w:ascii="Times New Roman" w:hAnsi="Times New Roman" w:cs="Times New Roman"/>
          <w:sz w:val="24"/>
          <w:szCs w:val="24"/>
        </w:rPr>
        <w:t>30</w:t>
      </w:r>
      <w:r w:rsidR="0001424B" w:rsidRPr="00F645FC">
        <w:rPr>
          <w:rFonts w:ascii="Times New Roman" w:hAnsi="Times New Roman" w:cs="Times New Roman"/>
          <w:sz w:val="24"/>
          <w:szCs w:val="24"/>
          <w:vertAlign w:val="superscript"/>
        </w:rPr>
        <w:t>th</w:t>
      </w:r>
      <w:r w:rsidR="00A83A8F" w:rsidRPr="00F645FC">
        <w:rPr>
          <w:rFonts w:ascii="Times New Roman" w:hAnsi="Times New Roman" w:cs="Times New Roman"/>
          <w:sz w:val="24"/>
          <w:szCs w:val="24"/>
        </w:rPr>
        <w:t>, 2020</w:t>
      </w:r>
      <w:r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Yemen</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26.95%</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France</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18.15%</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Belgium</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15.84%</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Italy</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14.45%</w:t>
      </w:r>
      <w:r w:rsidR="000D6E89" w:rsidRPr="00F645FC">
        <w:rPr>
          <w:rFonts w:ascii="Times New Roman" w:hAnsi="Times New Roman" w:cs="Times New Roman"/>
          <w:sz w:val="24"/>
          <w:szCs w:val="24"/>
        </w:rPr>
        <w:t xml:space="preserve">), and </w:t>
      </w:r>
      <w:r w:rsidR="00CC26CF" w:rsidRPr="00F645FC">
        <w:rPr>
          <w:rFonts w:ascii="Times New Roman" w:hAnsi="Times New Roman" w:cs="Times New Roman"/>
          <w:sz w:val="24"/>
          <w:szCs w:val="24"/>
        </w:rPr>
        <w:t>Hungary</w:t>
      </w:r>
      <w:r w:rsidR="000D6E89" w:rsidRPr="00F645FC">
        <w:rPr>
          <w:rFonts w:ascii="Times New Roman" w:hAnsi="Times New Roman" w:cs="Times New Roman"/>
          <w:sz w:val="24"/>
          <w:szCs w:val="24"/>
        </w:rPr>
        <w:t xml:space="preserve"> (</w:t>
      </w:r>
      <w:r w:rsidR="00CC26CF" w:rsidRPr="00F645FC">
        <w:rPr>
          <w:rFonts w:ascii="Times New Roman" w:hAnsi="Times New Roman" w:cs="Times New Roman"/>
          <w:sz w:val="24"/>
          <w:szCs w:val="24"/>
        </w:rPr>
        <w:t>14.11%</w:t>
      </w:r>
      <w:r w:rsidR="000D6E89" w:rsidRPr="00F645FC">
        <w:rPr>
          <w:rFonts w:ascii="Times New Roman" w:hAnsi="Times New Roman" w:cs="Times New Roman"/>
          <w:sz w:val="24"/>
          <w:szCs w:val="24"/>
        </w:rPr>
        <w:t xml:space="preserve">) </w:t>
      </w:r>
      <w:r w:rsidRPr="00F645FC">
        <w:rPr>
          <w:rFonts w:ascii="Times New Roman" w:hAnsi="Times New Roman" w:cs="Times New Roman"/>
          <w:sz w:val="24"/>
          <w:szCs w:val="24"/>
        </w:rPr>
        <w:t xml:space="preserve">had the most </w:t>
      </w:r>
      <w:r w:rsidR="007E2341" w:rsidRPr="00F645FC">
        <w:rPr>
          <w:rFonts w:ascii="Times New Roman" w:hAnsi="Times New Roman" w:cs="Times New Roman"/>
          <w:sz w:val="24"/>
          <w:szCs w:val="24"/>
        </w:rPr>
        <w:t>CFR</w:t>
      </w:r>
      <w:r w:rsidRPr="00F645FC">
        <w:rPr>
          <w:rFonts w:ascii="Times New Roman" w:hAnsi="Times New Roman" w:cs="Times New Roman"/>
          <w:sz w:val="24"/>
          <w:szCs w:val="24"/>
        </w:rPr>
        <w:t xml:space="preserve"> </w:t>
      </w:r>
      <w:r w:rsidR="009C39F6" w:rsidRPr="00F645FC">
        <w:rPr>
          <w:rFonts w:ascii="Times New Roman" w:hAnsi="Times New Roman" w:cs="Times New Roman"/>
          <w:sz w:val="24"/>
          <w:szCs w:val="24"/>
        </w:rPr>
        <w:t xml:space="preserve">due to </w:t>
      </w:r>
      <w:r w:rsidRPr="00F645FC">
        <w:rPr>
          <w:rFonts w:ascii="Times New Roman" w:hAnsi="Times New Roman" w:cs="Times New Roman"/>
          <w:sz w:val="24"/>
          <w:szCs w:val="24"/>
        </w:rPr>
        <w:t xml:space="preserve">COVID-19. </w:t>
      </w:r>
      <w:r w:rsidR="00ED67E5" w:rsidRPr="00F645FC">
        <w:rPr>
          <w:rFonts w:ascii="Times New Roman" w:hAnsi="Times New Roman" w:cs="Times New Roman"/>
          <w:sz w:val="24"/>
          <w:szCs w:val="24"/>
        </w:rPr>
        <w:t>The d</w:t>
      </w:r>
      <w:r w:rsidRPr="00F645FC">
        <w:rPr>
          <w:rFonts w:ascii="Times New Roman" w:hAnsi="Times New Roman" w:cs="Times New Roman"/>
          <w:sz w:val="24"/>
          <w:szCs w:val="24"/>
        </w:rPr>
        <w:t xml:space="preserve">istribution of </w:t>
      </w:r>
      <w:r w:rsidRPr="00F645FC">
        <w:rPr>
          <w:rFonts w:ascii="Times New Roman" w:hAnsi="Times New Roman" w:cs="Times New Roman"/>
          <w:sz w:val="24"/>
          <w:szCs w:val="24"/>
        </w:rPr>
        <w:lastRenderedPageBreak/>
        <w:t xml:space="preserve">worldwide </w:t>
      </w:r>
      <w:r w:rsidR="00DC78CF" w:rsidRPr="00F645FC">
        <w:rPr>
          <w:rFonts w:ascii="Times New Roman" w:hAnsi="Times New Roman" w:cs="Times New Roman"/>
          <w:sz w:val="24"/>
          <w:szCs w:val="24"/>
        </w:rPr>
        <w:t>CFR</w:t>
      </w:r>
      <w:r w:rsidRPr="00F645FC">
        <w:rPr>
          <w:rFonts w:ascii="Times New Roman" w:hAnsi="Times New Roman" w:cs="Times New Roman"/>
          <w:sz w:val="24"/>
          <w:szCs w:val="24"/>
        </w:rPr>
        <w:t xml:space="preserve"> </w:t>
      </w:r>
      <w:r w:rsidR="00D35556" w:rsidRPr="00F645FC">
        <w:rPr>
          <w:rFonts w:ascii="Times New Roman" w:hAnsi="Times New Roman" w:cs="Times New Roman"/>
          <w:sz w:val="24"/>
          <w:szCs w:val="24"/>
        </w:rPr>
        <w:t>due to</w:t>
      </w:r>
      <w:r w:rsidRPr="00F645FC">
        <w:rPr>
          <w:rFonts w:ascii="Times New Roman" w:hAnsi="Times New Roman" w:cs="Times New Roman"/>
          <w:sz w:val="24"/>
          <w:szCs w:val="24"/>
        </w:rPr>
        <w:t xml:space="preserve"> COVID-19 </w:t>
      </w:r>
      <w:r w:rsidR="00DD56E7" w:rsidRPr="00F645FC">
        <w:rPr>
          <w:rFonts w:ascii="Times New Roman" w:hAnsi="Times New Roman" w:cs="Times New Roman"/>
          <w:sz w:val="24"/>
          <w:szCs w:val="24"/>
        </w:rPr>
        <w:t>is</w:t>
      </w:r>
      <w:r w:rsidRPr="00F645FC">
        <w:rPr>
          <w:rFonts w:ascii="Times New Roman" w:hAnsi="Times New Roman" w:cs="Times New Roman"/>
          <w:sz w:val="24"/>
          <w:szCs w:val="24"/>
        </w:rPr>
        <w:t xml:space="preserve"> presented in Fig. 1. </w:t>
      </w:r>
      <w:r w:rsidR="00D35556" w:rsidRPr="00F645FC">
        <w:rPr>
          <w:rFonts w:ascii="Times New Roman" w:hAnsi="Times New Roman" w:cs="Times New Roman"/>
          <w:sz w:val="24"/>
          <w:szCs w:val="24"/>
        </w:rPr>
        <w:t xml:space="preserve">Distribution of </w:t>
      </w:r>
      <w:r w:rsidR="006A6642" w:rsidRPr="00F645FC">
        <w:rPr>
          <w:rFonts w:ascii="Times New Roman" w:hAnsi="Times New Roman" w:cs="Times New Roman"/>
          <w:sz w:val="24"/>
          <w:szCs w:val="24"/>
        </w:rPr>
        <w:t>highest</w:t>
      </w:r>
      <w:r w:rsidR="00D35556" w:rsidRPr="00F645FC">
        <w:rPr>
          <w:rFonts w:ascii="Times New Roman" w:hAnsi="Times New Roman" w:cs="Times New Roman"/>
          <w:sz w:val="24"/>
          <w:szCs w:val="24"/>
        </w:rPr>
        <w:t xml:space="preserve"> </w:t>
      </w:r>
      <w:r w:rsidR="006A6642" w:rsidRPr="00F645FC">
        <w:rPr>
          <w:rFonts w:ascii="Times New Roman" w:hAnsi="Times New Roman" w:cs="Times New Roman"/>
          <w:sz w:val="24"/>
          <w:szCs w:val="24"/>
        </w:rPr>
        <w:t>CFR by</w:t>
      </w:r>
      <w:r w:rsidR="005D69D2">
        <w:rPr>
          <w:rFonts w:ascii="Times New Roman" w:hAnsi="Times New Roman" w:cs="Times New Roman"/>
          <w:sz w:val="24"/>
          <w:szCs w:val="24"/>
        </w:rPr>
        <w:t xml:space="preserve"> the</w:t>
      </w:r>
      <w:r w:rsidR="006A6642" w:rsidRPr="00F645FC">
        <w:rPr>
          <w:rFonts w:ascii="Times New Roman" w:hAnsi="Times New Roman" w:cs="Times New Roman"/>
          <w:sz w:val="24"/>
          <w:szCs w:val="24"/>
        </w:rPr>
        <w:t xml:space="preserve"> first 20 countries </w:t>
      </w:r>
      <w:r w:rsidR="005D69D2">
        <w:rPr>
          <w:rFonts w:ascii="Times New Roman" w:hAnsi="Times New Roman" w:cs="Times New Roman"/>
          <w:sz w:val="24"/>
          <w:szCs w:val="24"/>
        </w:rPr>
        <w:t>on</w:t>
      </w:r>
      <w:r w:rsidR="006A6642" w:rsidRPr="00F645FC">
        <w:rPr>
          <w:rFonts w:ascii="Times New Roman" w:hAnsi="Times New Roman" w:cs="Times New Roman"/>
          <w:sz w:val="24"/>
          <w:szCs w:val="24"/>
        </w:rPr>
        <w:t xml:space="preserve"> June</w:t>
      </w:r>
      <w:r w:rsidR="00D35556" w:rsidRPr="00F645FC">
        <w:rPr>
          <w:rFonts w:ascii="Times New Roman" w:hAnsi="Times New Roman" w:cs="Times New Roman"/>
          <w:sz w:val="24"/>
          <w:szCs w:val="24"/>
        </w:rPr>
        <w:t xml:space="preserve"> 3</w:t>
      </w:r>
      <w:r w:rsidR="006A6642" w:rsidRPr="00F645FC">
        <w:rPr>
          <w:rFonts w:ascii="Times New Roman" w:hAnsi="Times New Roman" w:cs="Times New Roman"/>
          <w:sz w:val="24"/>
          <w:szCs w:val="24"/>
        </w:rPr>
        <w:t>0</w:t>
      </w:r>
      <w:r w:rsidR="00D35556" w:rsidRPr="00F645FC">
        <w:rPr>
          <w:rFonts w:ascii="Times New Roman" w:hAnsi="Times New Roman" w:cs="Times New Roman"/>
          <w:sz w:val="24"/>
          <w:szCs w:val="24"/>
        </w:rPr>
        <w:t xml:space="preserve">, 2020, </w:t>
      </w:r>
      <w:r w:rsidR="005D69D2">
        <w:rPr>
          <w:rFonts w:ascii="Times New Roman" w:hAnsi="Times New Roman" w:cs="Times New Roman"/>
          <w:sz w:val="24"/>
          <w:szCs w:val="24"/>
        </w:rPr>
        <w:t>is</w:t>
      </w:r>
      <w:r w:rsidR="00D35556" w:rsidRPr="00F645FC">
        <w:rPr>
          <w:rFonts w:ascii="Times New Roman" w:hAnsi="Times New Roman" w:cs="Times New Roman"/>
          <w:sz w:val="24"/>
          <w:szCs w:val="24"/>
        </w:rPr>
        <w:t xml:space="preserve"> presented in Fig. </w:t>
      </w:r>
      <w:r w:rsidR="00FD5910" w:rsidRPr="00F645FC">
        <w:rPr>
          <w:rFonts w:ascii="Times New Roman" w:hAnsi="Times New Roman" w:cs="Times New Roman"/>
          <w:sz w:val="24"/>
          <w:szCs w:val="24"/>
        </w:rPr>
        <w:t>S</w:t>
      </w:r>
      <w:r w:rsidR="00D35556" w:rsidRPr="00F645FC">
        <w:rPr>
          <w:rFonts w:ascii="Times New Roman" w:hAnsi="Times New Roman" w:cs="Times New Roman"/>
          <w:sz w:val="24"/>
          <w:szCs w:val="24"/>
        </w:rPr>
        <w:t>2.</w:t>
      </w:r>
    </w:p>
    <w:tbl>
      <w:tblPr>
        <w:tblStyle w:val="TableGrid"/>
        <w:tblW w:w="0" w:type="auto"/>
        <w:tblLook w:val="04A0" w:firstRow="1" w:lastRow="0" w:firstColumn="1" w:lastColumn="0" w:noHBand="0" w:noVBand="1"/>
      </w:tblPr>
      <w:tblGrid>
        <w:gridCol w:w="9350"/>
      </w:tblGrid>
      <w:tr w:rsidR="00666E0D" w:rsidRPr="00F645FC" w14:paraId="097C0E94" w14:textId="77777777" w:rsidTr="00A92A54">
        <w:tc>
          <w:tcPr>
            <w:tcW w:w="9350" w:type="dxa"/>
          </w:tcPr>
          <w:p w14:paraId="1B904A38" w14:textId="77777777" w:rsidR="00666E0D" w:rsidRPr="00F645FC" w:rsidRDefault="00666E0D" w:rsidP="00F645FC">
            <w:pPr>
              <w:spacing w:line="480" w:lineRule="auto"/>
              <w:jc w:val="center"/>
              <w:rPr>
                <w:rFonts w:ascii="Times New Roman" w:hAnsi="Times New Roman" w:cs="Times New Roman"/>
                <w:sz w:val="24"/>
                <w:szCs w:val="24"/>
              </w:rPr>
            </w:pPr>
            <w:r w:rsidRPr="00F645FC">
              <w:rPr>
                <w:rFonts w:ascii="Times New Roman" w:hAnsi="Times New Roman" w:cs="Times New Roman"/>
                <w:noProof/>
                <w:sz w:val="24"/>
                <w:szCs w:val="24"/>
              </w:rPr>
              <w:drawing>
                <wp:inline distT="0" distB="0" distL="0" distR="0" wp14:anchorId="3F5D8A19" wp14:editId="21A45108">
                  <wp:extent cx="5766079" cy="3668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7870" cy="3675986"/>
                          </a:xfrm>
                          <a:prstGeom prst="rect">
                            <a:avLst/>
                          </a:prstGeom>
                          <a:noFill/>
                          <a:ln>
                            <a:noFill/>
                          </a:ln>
                        </pic:spPr>
                      </pic:pic>
                    </a:graphicData>
                  </a:graphic>
                </wp:inline>
              </w:drawing>
            </w:r>
          </w:p>
        </w:tc>
      </w:tr>
      <w:tr w:rsidR="00666E0D" w:rsidRPr="00F645FC" w14:paraId="326DF505" w14:textId="77777777" w:rsidTr="00A92A54">
        <w:tc>
          <w:tcPr>
            <w:tcW w:w="9350" w:type="dxa"/>
          </w:tcPr>
          <w:p w14:paraId="1F7A5079" w14:textId="08E7BD51" w:rsidR="00666E0D" w:rsidRPr="007F2BA1" w:rsidRDefault="00666E0D" w:rsidP="007F2BA1">
            <w:pPr>
              <w:spacing w:line="480" w:lineRule="auto"/>
              <w:jc w:val="center"/>
              <w:rPr>
                <w:rFonts w:ascii="Times New Roman" w:hAnsi="Times New Roman" w:cs="Times New Roman"/>
                <w:b/>
                <w:sz w:val="24"/>
                <w:szCs w:val="24"/>
              </w:rPr>
            </w:pPr>
            <w:r w:rsidRPr="00F645FC">
              <w:rPr>
                <w:rFonts w:ascii="Times New Roman" w:hAnsi="Times New Roman" w:cs="Times New Roman"/>
                <w:b/>
                <w:sz w:val="24"/>
                <w:szCs w:val="24"/>
              </w:rPr>
              <w:t>Fig. 1:  Case fatality rates in different countries of the world for the period January 1</w:t>
            </w:r>
            <w:r w:rsidRPr="00F645FC">
              <w:rPr>
                <w:rFonts w:ascii="Times New Roman" w:hAnsi="Times New Roman" w:cs="Times New Roman"/>
                <w:b/>
                <w:sz w:val="24"/>
                <w:szCs w:val="24"/>
                <w:vertAlign w:val="superscript"/>
              </w:rPr>
              <w:t>st</w:t>
            </w:r>
            <w:r w:rsidRPr="00F645FC">
              <w:rPr>
                <w:rFonts w:ascii="Times New Roman" w:hAnsi="Times New Roman" w:cs="Times New Roman"/>
                <w:b/>
                <w:sz w:val="24"/>
                <w:szCs w:val="24"/>
              </w:rPr>
              <w:t xml:space="preserve"> to June 30</w:t>
            </w:r>
            <w:r w:rsidR="007F2BA1" w:rsidRPr="007F2BA1">
              <w:rPr>
                <w:rFonts w:ascii="Times New Roman" w:hAnsi="Times New Roman" w:cs="Times New Roman"/>
                <w:b/>
                <w:sz w:val="24"/>
                <w:szCs w:val="24"/>
                <w:vertAlign w:val="superscript"/>
              </w:rPr>
              <w:t>th</w:t>
            </w:r>
            <w:r w:rsidRPr="00F645FC">
              <w:rPr>
                <w:rFonts w:ascii="Times New Roman" w:hAnsi="Times New Roman" w:cs="Times New Roman"/>
                <w:b/>
                <w:sz w:val="24"/>
                <w:szCs w:val="24"/>
              </w:rPr>
              <w:t xml:space="preserve"> 2020</w:t>
            </w:r>
          </w:p>
        </w:tc>
      </w:tr>
    </w:tbl>
    <w:p w14:paraId="0DF23883" w14:textId="5446BCB8" w:rsidR="00666E0D" w:rsidRPr="00F645FC" w:rsidRDefault="00666E0D" w:rsidP="00F645FC">
      <w:pPr>
        <w:tabs>
          <w:tab w:val="left" w:pos="1200"/>
        </w:tabs>
        <w:spacing w:after="0" w:line="480" w:lineRule="auto"/>
        <w:jc w:val="both"/>
        <w:rPr>
          <w:rFonts w:ascii="Times New Roman" w:hAnsi="Times New Roman" w:cs="Times New Roman"/>
          <w:b/>
          <w:sz w:val="24"/>
          <w:szCs w:val="24"/>
        </w:rPr>
      </w:pPr>
    </w:p>
    <w:p w14:paraId="38C2CB7E" w14:textId="20123BA8" w:rsidR="00A770A7" w:rsidRPr="00F645FC" w:rsidRDefault="00A770A7" w:rsidP="00F645FC">
      <w:pPr>
        <w:tabs>
          <w:tab w:val="left" w:pos="1200"/>
        </w:tabs>
        <w:spacing w:after="0" w:line="480" w:lineRule="auto"/>
        <w:jc w:val="both"/>
        <w:rPr>
          <w:rFonts w:ascii="Times New Roman" w:hAnsi="Times New Roman" w:cs="Times New Roman"/>
          <w:b/>
          <w:sz w:val="24"/>
          <w:szCs w:val="24"/>
        </w:rPr>
      </w:pPr>
      <w:r w:rsidRPr="00F645FC">
        <w:rPr>
          <w:rFonts w:ascii="Times New Roman" w:hAnsi="Times New Roman" w:cs="Times New Roman"/>
          <w:sz w:val="24"/>
          <w:szCs w:val="24"/>
        </w:rPr>
        <w:t xml:space="preserve">Distribution of worldwide weekly CFR from January 1, 2020, to June 30, 2020, </w:t>
      </w:r>
      <w:r w:rsidR="00560755">
        <w:rPr>
          <w:rFonts w:ascii="Times New Roman" w:hAnsi="Times New Roman" w:cs="Times New Roman"/>
          <w:sz w:val="24"/>
          <w:szCs w:val="24"/>
        </w:rPr>
        <w:t>is</w:t>
      </w:r>
      <w:r w:rsidRPr="00F645FC">
        <w:rPr>
          <w:rFonts w:ascii="Times New Roman" w:hAnsi="Times New Roman" w:cs="Times New Roman"/>
          <w:sz w:val="24"/>
          <w:szCs w:val="24"/>
        </w:rPr>
        <w:t xml:space="preserve"> presented in Fig. 3. The Figure shows</w:t>
      </w:r>
      <w:r w:rsidR="007E19B0" w:rsidRPr="00F645FC">
        <w:rPr>
          <w:rFonts w:ascii="Times New Roman" w:hAnsi="Times New Roman" w:cs="Times New Roman"/>
          <w:sz w:val="24"/>
          <w:szCs w:val="24"/>
        </w:rPr>
        <w:t xml:space="preserve"> (with arrow sign)</w:t>
      </w:r>
      <w:r w:rsidRPr="00F645FC">
        <w:rPr>
          <w:rFonts w:ascii="Times New Roman" w:hAnsi="Times New Roman" w:cs="Times New Roman"/>
          <w:sz w:val="24"/>
          <w:szCs w:val="24"/>
        </w:rPr>
        <w:t xml:space="preserve"> that after 17 </w:t>
      </w:r>
      <w:r w:rsidR="00545CE4" w:rsidRPr="00F645FC">
        <w:rPr>
          <w:rFonts w:ascii="Times New Roman" w:hAnsi="Times New Roman" w:cs="Times New Roman"/>
          <w:sz w:val="24"/>
          <w:szCs w:val="24"/>
        </w:rPr>
        <w:t xml:space="preserve">epidemiological </w:t>
      </w:r>
      <w:r w:rsidRPr="00F645FC">
        <w:rPr>
          <w:rFonts w:ascii="Times New Roman" w:hAnsi="Times New Roman" w:cs="Times New Roman"/>
          <w:sz w:val="24"/>
          <w:szCs w:val="24"/>
        </w:rPr>
        <w:t xml:space="preserve">weeks of the pandemic, </w:t>
      </w:r>
      <w:r w:rsidR="00106792" w:rsidRPr="00F645FC">
        <w:rPr>
          <w:rFonts w:ascii="Times New Roman" w:hAnsi="Times New Roman" w:cs="Times New Roman"/>
          <w:sz w:val="24"/>
          <w:szCs w:val="24"/>
        </w:rPr>
        <w:t xml:space="preserve">in comparison with previous epidemiological week, </w:t>
      </w:r>
      <w:r w:rsidRPr="00F645FC">
        <w:rPr>
          <w:rFonts w:ascii="Times New Roman" w:hAnsi="Times New Roman" w:cs="Times New Roman"/>
          <w:sz w:val="24"/>
          <w:szCs w:val="24"/>
        </w:rPr>
        <w:t xml:space="preserve">the </w:t>
      </w:r>
      <w:r w:rsidR="00106792" w:rsidRPr="00F645FC">
        <w:rPr>
          <w:rFonts w:ascii="Times New Roman" w:hAnsi="Times New Roman" w:cs="Times New Roman"/>
          <w:sz w:val="24"/>
          <w:szCs w:val="24"/>
        </w:rPr>
        <w:t xml:space="preserve">fatality rate </w:t>
      </w:r>
      <w:r w:rsidR="00C279C6" w:rsidRPr="00F645FC">
        <w:rPr>
          <w:rFonts w:ascii="Times New Roman" w:hAnsi="Times New Roman" w:cs="Times New Roman"/>
          <w:sz w:val="24"/>
          <w:szCs w:val="24"/>
        </w:rPr>
        <w:t xml:space="preserve">was </w:t>
      </w:r>
      <w:r w:rsidRPr="00F645FC">
        <w:rPr>
          <w:rFonts w:ascii="Times New Roman" w:hAnsi="Times New Roman" w:cs="Times New Roman"/>
          <w:sz w:val="24"/>
          <w:szCs w:val="24"/>
        </w:rPr>
        <w:t>decreased</w:t>
      </w:r>
      <w:r w:rsidR="00545CE4" w:rsidRPr="00F645F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666E0D" w:rsidRPr="00F645FC" w14:paraId="6CDE4FD2" w14:textId="77777777" w:rsidTr="00A92A54">
        <w:tc>
          <w:tcPr>
            <w:tcW w:w="9350" w:type="dxa"/>
          </w:tcPr>
          <w:p w14:paraId="0DAACF45" w14:textId="2EF23C6F" w:rsidR="00666E0D" w:rsidRPr="00F645FC" w:rsidRDefault="00123BE1" w:rsidP="00F645FC">
            <w:pPr>
              <w:spacing w:line="480" w:lineRule="auto"/>
              <w:jc w:val="center"/>
              <w:rPr>
                <w:rFonts w:ascii="Times New Roman" w:hAnsi="Times New Roman" w:cs="Times New Roman"/>
                <w:sz w:val="24"/>
                <w:szCs w:val="24"/>
              </w:rPr>
            </w:pPr>
            <w:r w:rsidRPr="00F645FC">
              <w:rPr>
                <w:rFonts w:ascii="Times New Roman" w:hAnsi="Times New Roman" w:cs="Times New Roman"/>
                <w:noProof/>
                <w:sz w:val="24"/>
                <w:szCs w:val="24"/>
              </w:rPr>
              <w:lastRenderedPageBreak/>
              <w:drawing>
                <wp:inline distT="0" distB="0" distL="0" distR="0" wp14:anchorId="1E05489D" wp14:editId="3EBB433A">
                  <wp:extent cx="5725886" cy="3554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1096" cy="3582696"/>
                          </a:xfrm>
                          <a:prstGeom prst="rect">
                            <a:avLst/>
                          </a:prstGeom>
                          <a:noFill/>
                          <a:ln>
                            <a:noFill/>
                          </a:ln>
                        </pic:spPr>
                      </pic:pic>
                    </a:graphicData>
                  </a:graphic>
                </wp:inline>
              </w:drawing>
            </w:r>
          </w:p>
        </w:tc>
      </w:tr>
      <w:tr w:rsidR="00666E0D" w:rsidRPr="00F645FC" w14:paraId="20946B7C" w14:textId="77777777" w:rsidTr="00A92A54">
        <w:tc>
          <w:tcPr>
            <w:tcW w:w="9350" w:type="dxa"/>
          </w:tcPr>
          <w:p w14:paraId="27A92F9D" w14:textId="3A5331EA" w:rsidR="00666E0D" w:rsidRPr="00F645FC" w:rsidRDefault="00666E0D" w:rsidP="00F645FC">
            <w:pPr>
              <w:spacing w:line="480" w:lineRule="auto"/>
              <w:jc w:val="center"/>
              <w:rPr>
                <w:rFonts w:ascii="Times New Roman" w:hAnsi="Times New Roman" w:cs="Times New Roman"/>
                <w:b/>
                <w:bCs/>
                <w:sz w:val="24"/>
                <w:szCs w:val="24"/>
              </w:rPr>
            </w:pPr>
            <w:r w:rsidRPr="00F645FC">
              <w:rPr>
                <w:rFonts w:ascii="Times New Roman" w:hAnsi="Times New Roman" w:cs="Times New Roman"/>
                <w:b/>
                <w:bCs/>
                <w:sz w:val="24"/>
                <w:szCs w:val="24"/>
              </w:rPr>
              <w:t xml:space="preserve">Fig. </w:t>
            </w:r>
            <w:r w:rsidR="00A770A7" w:rsidRPr="00F645FC">
              <w:rPr>
                <w:rFonts w:ascii="Times New Roman" w:hAnsi="Times New Roman" w:cs="Times New Roman"/>
                <w:b/>
                <w:bCs/>
                <w:sz w:val="24"/>
                <w:szCs w:val="24"/>
              </w:rPr>
              <w:t>2</w:t>
            </w:r>
            <w:r w:rsidRPr="00F645FC">
              <w:rPr>
                <w:rFonts w:ascii="Times New Roman" w:hAnsi="Times New Roman" w:cs="Times New Roman"/>
                <w:b/>
                <w:bCs/>
                <w:sz w:val="24"/>
                <w:szCs w:val="24"/>
              </w:rPr>
              <w:t xml:space="preserve">: </w:t>
            </w:r>
            <w:r w:rsidRPr="00F645FC">
              <w:rPr>
                <w:rFonts w:ascii="Times New Roman" w:hAnsi="Times New Roman" w:cs="Times New Roman"/>
                <w:b/>
                <w:bCs/>
                <w:color w:val="222222"/>
                <w:sz w:val="24"/>
                <w:szCs w:val="24"/>
                <w:shd w:val="clear" w:color="auto" w:fill="FFFFFF"/>
              </w:rPr>
              <w:t>Variation of death rate (CFR) over time (weekly) in world</w:t>
            </w:r>
          </w:p>
        </w:tc>
      </w:tr>
    </w:tbl>
    <w:p w14:paraId="06468FAD" w14:textId="77777777" w:rsidR="00576611" w:rsidRDefault="00576611" w:rsidP="00F645FC">
      <w:pPr>
        <w:tabs>
          <w:tab w:val="left" w:pos="1200"/>
        </w:tabs>
        <w:spacing w:after="0" w:line="480" w:lineRule="auto"/>
        <w:jc w:val="both"/>
        <w:rPr>
          <w:rFonts w:ascii="Times New Roman" w:hAnsi="Times New Roman" w:cs="Times New Roman"/>
          <w:bCs/>
          <w:sz w:val="24"/>
          <w:szCs w:val="24"/>
        </w:rPr>
      </w:pPr>
    </w:p>
    <w:p w14:paraId="5E3BF025" w14:textId="5D80BFE4" w:rsidR="007F3C87" w:rsidRPr="00F645FC" w:rsidRDefault="009C3632" w:rsidP="00F645FC">
      <w:pPr>
        <w:tabs>
          <w:tab w:val="left" w:pos="1200"/>
        </w:tabs>
        <w:spacing w:after="0" w:line="480" w:lineRule="auto"/>
        <w:jc w:val="both"/>
        <w:rPr>
          <w:rFonts w:ascii="Times New Roman" w:hAnsi="Times New Roman" w:cs="Times New Roman"/>
          <w:bCs/>
          <w:sz w:val="24"/>
          <w:szCs w:val="24"/>
        </w:rPr>
      </w:pPr>
      <w:r w:rsidRPr="00F645FC">
        <w:rPr>
          <w:rFonts w:ascii="Times New Roman" w:hAnsi="Times New Roman" w:cs="Times New Roman"/>
          <w:bCs/>
          <w:sz w:val="24"/>
          <w:szCs w:val="24"/>
        </w:rPr>
        <w:t xml:space="preserve">Figure </w:t>
      </w:r>
      <w:r w:rsidR="00B707FE" w:rsidRPr="00F645FC">
        <w:rPr>
          <w:rFonts w:ascii="Times New Roman" w:hAnsi="Times New Roman" w:cs="Times New Roman"/>
          <w:bCs/>
          <w:sz w:val="24"/>
          <w:szCs w:val="24"/>
        </w:rPr>
        <w:t>3</w:t>
      </w:r>
      <w:r w:rsidRPr="00F645FC">
        <w:rPr>
          <w:rFonts w:ascii="Times New Roman" w:hAnsi="Times New Roman" w:cs="Times New Roman"/>
          <w:bCs/>
          <w:sz w:val="24"/>
          <w:szCs w:val="24"/>
        </w:rPr>
        <w:t xml:space="preserve"> shows the overall pandemic CFR overtime for the COVID-19 spread in the WHO region </w:t>
      </w:r>
      <w:r w:rsidR="004C373A" w:rsidRPr="00F645FC">
        <w:rPr>
          <w:rFonts w:ascii="Times New Roman" w:hAnsi="Times New Roman" w:cs="Times New Roman"/>
          <w:bCs/>
          <w:sz w:val="24"/>
          <w:szCs w:val="24"/>
        </w:rPr>
        <w:t>and included world CFR in the same graph for comparison</w:t>
      </w:r>
      <w:r w:rsidR="00D03324" w:rsidRPr="00F645FC">
        <w:rPr>
          <w:rFonts w:ascii="Times New Roman" w:hAnsi="Times New Roman" w:cs="Times New Roman"/>
          <w:bCs/>
          <w:sz w:val="24"/>
          <w:szCs w:val="24"/>
        </w:rPr>
        <w:t>. WHO Member States are grouped into 6 WHO regions: African Region (AFRO), Region of the Americas</w:t>
      </w:r>
      <w:r w:rsidR="00273E6B" w:rsidRPr="00F645FC">
        <w:rPr>
          <w:rFonts w:ascii="Times New Roman" w:hAnsi="Times New Roman" w:cs="Times New Roman"/>
          <w:bCs/>
          <w:sz w:val="24"/>
          <w:szCs w:val="24"/>
        </w:rPr>
        <w:t xml:space="preserve"> </w:t>
      </w:r>
      <w:r w:rsidR="00C66D9F" w:rsidRPr="00F645FC">
        <w:rPr>
          <w:rFonts w:ascii="Times New Roman" w:hAnsi="Times New Roman" w:cs="Times New Roman"/>
          <w:bCs/>
          <w:sz w:val="24"/>
          <w:szCs w:val="24"/>
        </w:rPr>
        <w:t>(PAHO)</w:t>
      </w:r>
      <w:r w:rsidR="00D03324" w:rsidRPr="00F645FC">
        <w:rPr>
          <w:rFonts w:ascii="Times New Roman" w:hAnsi="Times New Roman" w:cs="Times New Roman"/>
          <w:bCs/>
          <w:sz w:val="24"/>
          <w:szCs w:val="24"/>
        </w:rPr>
        <w:t>, South-East Asia Region</w:t>
      </w:r>
      <w:r w:rsidR="00C66D9F" w:rsidRPr="00F645FC">
        <w:rPr>
          <w:rFonts w:ascii="Times New Roman" w:hAnsi="Times New Roman" w:cs="Times New Roman"/>
          <w:bCs/>
          <w:sz w:val="24"/>
          <w:szCs w:val="24"/>
        </w:rPr>
        <w:t xml:space="preserve"> (SEARO)</w:t>
      </w:r>
      <w:r w:rsidR="00D03324" w:rsidRPr="00F645FC">
        <w:rPr>
          <w:rFonts w:ascii="Times New Roman" w:hAnsi="Times New Roman" w:cs="Times New Roman"/>
          <w:bCs/>
          <w:sz w:val="24"/>
          <w:szCs w:val="24"/>
        </w:rPr>
        <w:t>, European Region</w:t>
      </w:r>
      <w:r w:rsidR="00456F63" w:rsidRPr="00F645FC">
        <w:rPr>
          <w:rFonts w:ascii="Times New Roman" w:hAnsi="Times New Roman" w:cs="Times New Roman"/>
          <w:bCs/>
          <w:sz w:val="24"/>
          <w:szCs w:val="24"/>
        </w:rPr>
        <w:t xml:space="preserve"> (EURO)</w:t>
      </w:r>
      <w:r w:rsidR="00D03324" w:rsidRPr="00F645FC">
        <w:rPr>
          <w:rFonts w:ascii="Times New Roman" w:hAnsi="Times New Roman" w:cs="Times New Roman"/>
          <w:bCs/>
          <w:sz w:val="24"/>
          <w:szCs w:val="24"/>
        </w:rPr>
        <w:t>, Eastern Mediterranean Region</w:t>
      </w:r>
      <w:r w:rsidR="00456F63" w:rsidRPr="00F645FC">
        <w:rPr>
          <w:rFonts w:ascii="Times New Roman" w:hAnsi="Times New Roman" w:cs="Times New Roman"/>
          <w:bCs/>
          <w:sz w:val="24"/>
          <w:szCs w:val="24"/>
        </w:rPr>
        <w:t xml:space="preserve"> (EMRO)</w:t>
      </w:r>
      <w:r w:rsidR="00D03324" w:rsidRPr="00F645FC">
        <w:rPr>
          <w:rFonts w:ascii="Times New Roman" w:hAnsi="Times New Roman" w:cs="Times New Roman"/>
          <w:bCs/>
          <w:sz w:val="24"/>
          <w:szCs w:val="24"/>
        </w:rPr>
        <w:t>, and Western Pacific Region</w:t>
      </w:r>
      <w:r w:rsidR="00951E2E" w:rsidRPr="00F645FC">
        <w:rPr>
          <w:rFonts w:ascii="Times New Roman" w:hAnsi="Times New Roman" w:cs="Times New Roman"/>
          <w:bCs/>
          <w:sz w:val="24"/>
          <w:szCs w:val="24"/>
        </w:rPr>
        <w:t xml:space="preserve"> (WPRO)</w:t>
      </w:r>
      <w:r w:rsidR="00D03324" w:rsidRPr="00F645FC">
        <w:rPr>
          <w:rFonts w:ascii="Times New Roman" w:hAnsi="Times New Roman" w:cs="Times New Roman"/>
          <w:bCs/>
          <w:sz w:val="24"/>
          <w:szCs w:val="24"/>
        </w:rPr>
        <w:t xml:space="preserve">, </w:t>
      </w:r>
      <w:r w:rsidRPr="00F645FC">
        <w:rPr>
          <w:rFonts w:ascii="Times New Roman" w:hAnsi="Times New Roman" w:cs="Times New Roman"/>
          <w:bCs/>
          <w:sz w:val="24"/>
          <w:szCs w:val="24"/>
        </w:rPr>
        <w:t xml:space="preserve">indicating the early spread of the virus in </w:t>
      </w:r>
      <w:r w:rsidR="0082639A" w:rsidRPr="00F645FC">
        <w:rPr>
          <w:rFonts w:ascii="Times New Roman" w:hAnsi="Times New Roman" w:cs="Times New Roman"/>
          <w:bCs/>
          <w:sz w:val="24"/>
          <w:szCs w:val="24"/>
        </w:rPr>
        <w:t xml:space="preserve">WPRO </w:t>
      </w:r>
      <w:r w:rsidRPr="00F645FC">
        <w:rPr>
          <w:rFonts w:ascii="Times New Roman" w:hAnsi="Times New Roman" w:cs="Times New Roman"/>
          <w:bCs/>
          <w:sz w:val="24"/>
          <w:szCs w:val="24"/>
        </w:rPr>
        <w:t xml:space="preserve">before others. This data could be skewed </w:t>
      </w:r>
      <w:r w:rsidR="00316312" w:rsidRPr="00F645FC">
        <w:rPr>
          <w:rFonts w:ascii="Times New Roman" w:hAnsi="Times New Roman" w:cs="Times New Roman"/>
          <w:bCs/>
          <w:sz w:val="24"/>
          <w:szCs w:val="24"/>
        </w:rPr>
        <w:t>15 epidemiological week</w:t>
      </w:r>
      <w:r w:rsidR="00B13290" w:rsidRPr="00F645FC">
        <w:rPr>
          <w:rFonts w:ascii="Times New Roman" w:hAnsi="Times New Roman" w:cs="Times New Roman"/>
          <w:bCs/>
          <w:sz w:val="24"/>
          <w:szCs w:val="24"/>
        </w:rPr>
        <w:t>s</w:t>
      </w:r>
      <w:r w:rsidR="00316312" w:rsidRPr="00F645FC">
        <w:rPr>
          <w:rFonts w:ascii="Times New Roman" w:hAnsi="Times New Roman" w:cs="Times New Roman"/>
          <w:bCs/>
          <w:sz w:val="24"/>
          <w:szCs w:val="24"/>
        </w:rPr>
        <w:t xml:space="preserve"> th</w:t>
      </w:r>
      <w:r w:rsidR="00560755">
        <w:rPr>
          <w:rFonts w:ascii="Times New Roman" w:hAnsi="Times New Roman" w:cs="Times New Roman"/>
          <w:bCs/>
          <w:sz w:val="24"/>
          <w:szCs w:val="24"/>
        </w:rPr>
        <w:t>a</w:t>
      </w:r>
      <w:r w:rsidR="00316312" w:rsidRPr="00F645FC">
        <w:rPr>
          <w:rFonts w:ascii="Times New Roman" w:hAnsi="Times New Roman" w:cs="Times New Roman"/>
          <w:bCs/>
          <w:sz w:val="24"/>
          <w:szCs w:val="24"/>
        </w:rPr>
        <w:t>n almost all region</w:t>
      </w:r>
      <w:r w:rsidR="00560755">
        <w:rPr>
          <w:rFonts w:ascii="Times New Roman" w:hAnsi="Times New Roman" w:cs="Times New Roman"/>
          <w:bCs/>
          <w:sz w:val="24"/>
          <w:szCs w:val="24"/>
        </w:rPr>
        <w:t>s</w:t>
      </w:r>
      <w:r w:rsidR="00316312" w:rsidRPr="00F645FC">
        <w:rPr>
          <w:rFonts w:ascii="Times New Roman" w:hAnsi="Times New Roman" w:cs="Times New Roman"/>
          <w:bCs/>
          <w:sz w:val="24"/>
          <w:szCs w:val="24"/>
        </w:rPr>
        <w:t xml:space="preserve"> </w:t>
      </w:r>
      <w:r w:rsidR="00B13290" w:rsidRPr="00F645FC">
        <w:rPr>
          <w:rFonts w:ascii="Times New Roman" w:hAnsi="Times New Roman" w:cs="Times New Roman"/>
          <w:bCs/>
          <w:sz w:val="24"/>
          <w:szCs w:val="24"/>
        </w:rPr>
        <w:t>declines</w:t>
      </w:r>
      <w:r w:rsidR="00316312" w:rsidRPr="00F645FC">
        <w:rPr>
          <w:rFonts w:ascii="Times New Roman" w:hAnsi="Times New Roman" w:cs="Times New Roman"/>
          <w:bCs/>
          <w:sz w:val="24"/>
          <w:szCs w:val="24"/>
        </w:rPr>
        <w:t xml:space="preserve"> about 15 – 20 weeks. </w:t>
      </w:r>
      <w:r w:rsidR="00B13290" w:rsidRPr="00F645FC">
        <w:rPr>
          <w:rFonts w:ascii="Times New Roman" w:hAnsi="Times New Roman" w:cs="Times New Roman"/>
          <w:bCs/>
          <w:sz w:val="24"/>
          <w:szCs w:val="24"/>
        </w:rPr>
        <w:t>When the EURO region sta</w:t>
      </w:r>
      <w:r w:rsidR="00560755">
        <w:rPr>
          <w:rFonts w:ascii="Times New Roman" w:hAnsi="Times New Roman" w:cs="Times New Roman"/>
          <w:bCs/>
          <w:sz w:val="24"/>
          <w:szCs w:val="24"/>
        </w:rPr>
        <w:t>r</w:t>
      </w:r>
      <w:r w:rsidR="00B13290" w:rsidRPr="00F645FC">
        <w:rPr>
          <w:rFonts w:ascii="Times New Roman" w:hAnsi="Times New Roman" w:cs="Times New Roman"/>
          <w:bCs/>
          <w:sz w:val="24"/>
          <w:szCs w:val="24"/>
        </w:rPr>
        <w:t xml:space="preserve">ted to decline their CFR rate, the world CFR </w:t>
      </w:r>
      <w:r w:rsidR="003020A7">
        <w:rPr>
          <w:rFonts w:ascii="Times New Roman" w:hAnsi="Times New Roman" w:cs="Times New Roman"/>
          <w:bCs/>
          <w:sz w:val="24"/>
          <w:szCs w:val="24"/>
        </w:rPr>
        <w:t xml:space="preserve">also </w:t>
      </w:r>
      <w:r w:rsidR="00B13290" w:rsidRPr="00F645FC">
        <w:rPr>
          <w:rFonts w:ascii="Times New Roman" w:hAnsi="Times New Roman" w:cs="Times New Roman"/>
          <w:bCs/>
          <w:sz w:val="24"/>
          <w:szCs w:val="24"/>
        </w:rPr>
        <w:t xml:space="preserve">started to decline sharply. This might be </w:t>
      </w:r>
      <w:r w:rsidRPr="00F645FC">
        <w:rPr>
          <w:rFonts w:ascii="Times New Roman" w:hAnsi="Times New Roman" w:cs="Times New Roman"/>
          <w:bCs/>
          <w:sz w:val="24"/>
          <w:szCs w:val="24"/>
        </w:rPr>
        <w:t xml:space="preserve">due to </w:t>
      </w:r>
      <w:r w:rsidR="00560755">
        <w:rPr>
          <w:rFonts w:ascii="Times New Roman" w:hAnsi="Times New Roman" w:cs="Times New Roman"/>
          <w:bCs/>
          <w:sz w:val="24"/>
          <w:szCs w:val="24"/>
        </w:rPr>
        <w:t xml:space="preserve">a </w:t>
      </w:r>
      <w:r w:rsidRPr="00F645FC">
        <w:rPr>
          <w:rFonts w:ascii="Times New Roman" w:hAnsi="Times New Roman" w:cs="Times New Roman"/>
          <w:bCs/>
          <w:sz w:val="24"/>
          <w:szCs w:val="24"/>
        </w:rPr>
        <w:t>lack of testing in other countries.</w:t>
      </w:r>
      <w:r w:rsidR="00BE7C19" w:rsidRPr="00F645FC">
        <w:rPr>
          <w:rFonts w:ascii="Times New Roman" w:hAnsi="Times New Roman" w:cs="Times New Roman"/>
          <w:bCs/>
          <w:sz w:val="24"/>
          <w:szCs w:val="24"/>
        </w:rPr>
        <w:t xml:space="preserve"> </w:t>
      </w:r>
      <w:r w:rsidR="00560755">
        <w:rPr>
          <w:rFonts w:ascii="Times New Roman" w:hAnsi="Times New Roman" w:cs="Times New Roman"/>
          <w:bCs/>
          <w:sz w:val="24"/>
          <w:szCs w:val="24"/>
        </w:rPr>
        <w:t>A s</w:t>
      </w:r>
      <w:r w:rsidR="00BE7C19" w:rsidRPr="00F645FC">
        <w:rPr>
          <w:rFonts w:ascii="Times New Roman" w:hAnsi="Times New Roman" w:cs="Times New Roman"/>
          <w:bCs/>
          <w:sz w:val="24"/>
          <w:szCs w:val="24"/>
        </w:rPr>
        <w:t>imilar comparison was shown between EU countries and world CFR in Figure S2</w:t>
      </w:r>
      <w:r w:rsidR="0001456C" w:rsidRPr="00F645FC">
        <w:rPr>
          <w:rFonts w:ascii="Times New Roman" w:hAnsi="Times New Roman" w:cs="Times New Roman"/>
          <w:bCs/>
          <w:sz w:val="24"/>
          <w:szCs w:val="24"/>
        </w:rPr>
        <w:t>.</w:t>
      </w:r>
    </w:p>
    <w:tbl>
      <w:tblPr>
        <w:tblStyle w:val="TableGrid"/>
        <w:tblW w:w="0" w:type="auto"/>
        <w:tblLook w:val="04A0" w:firstRow="1" w:lastRow="0" w:firstColumn="1" w:lastColumn="0" w:noHBand="0" w:noVBand="1"/>
      </w:tblPr>
      <w:tblGrid>
        <w:gridCol w:w="9350"/>
      </w:tblGrid>
      <w:tr w:rsidR="007F3C87" w:rsidRPr="00F645FC" w14:paraId="0DFB9372" w14:textId="77777777" w:rsidTr="00A92A54">
        <w:tc>
          <w:tcPr>
            <w:tcW w:w="9350" w:type="dxa"/>
          </w:tcPr>
          <w:p w14:paraId="41F5CE63" w14:textId="77777777" w:rsidR="007F3C87" w:rsidRPr="00F645FC" w:rsidRDefault="007F3C87" w:rsidP="00F645FC">
            <w:pPr>
              <w:spacing w:line="480" w:lineRule="auto"/>
              <w:jc w:val="center"/>
              <w:rPr>
                <w:rFonts w:ascii="Times New Roman" w:hAnsi="Times New Roman" w:cs="Times New Roman"/>
                <w:sz w:val="24"/>
                <w:szCs w:val="24"/>
              </w:rPr>
            </w:pPr>
            <w:r w:rsidRPr="00F645FC">
              <w:rPr>
                <w:rFonts w:ascii="Times New Roman" w:hAnsi="Times New Roman" w:cs="Times New Roman"/>
                <w:noProof/>
                <w:sz w:val="24"/>
                <w:szCs w:val="24"/>
              </w:rPr>
              <w:lastRenderedPageBreak/>
              <w:drawing>
                <wp:inline distT="0" distB="0" distL="0" distR="0" wp14:anchorId="58586078" wp14:editId="5179C58B">
                  <wp:extent cx="5238750" cy="3309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7154" cy="3314929"/>
                          </a:xfrm>
                          <a:prstGeom prst="rect">
                            <a:avLst/>
                          </a:prstGeom>
                          <a:noFill/>
                          <a:ln>
                            <a:noFill/>
                          </a:ln>
                        </pic:spPr>
                      </pic:pic>
                    </a:graphicData>
                  </a:graphic>
                </wp:inline>
              </w:drawing>
            </w:r>
          </w:p>
        </w:tc>
      </w:tr>
      <w:tr w:rsidR="007F3C87" w:rsidRPr="00F645FC" w14:paraId="42DAF9B8" w14:textId="77777777" w:rsidTr="00A92A54">
        <w:tc>
          <w:tcPr>
            <w:tcW w:w="9350" w:type="dxa"/>
          </w:tcPr>
          <w:p w14:paraId="075429F9" w14:textId="77777777" w:rsidR="007F3C87" w:rsidRPr="00F645FC" w:rsidRDefault="007F3C87" w:rsidP="00F645FC">
            <w:pPr>
              <w:spacing w:line="480" w:lineRule="auto"/>
              <w:jc w:val="center"/>
              <w:rPr>
                <w:rFonts w:ascii="Times New Roman" w:hAnsi="Times New Roman" w:cs="Times New Roman"/>
                <w:b/>
                <w:bCs/>
                <w:sz w:val="24"/>
                <w:szCs w:val="24"/>
              </w:rPr>
            </w:pPr>
            <w:r w:rsidRPr="00F645FC">
              <w:rPr>
                <w:rFonts w:ascii="Times New Roman" w:hAnsi="Times New Roman" w:cs="Times New Roman"/>
                <w:b/>
                <w:bCs/>
                <w:sz w:val="24"/>
                <w:szCs w:val="24"/>
              </w:rPr>
              <w:t xml:space="preserve">Fig. 3: </w:t>
            </w:r>
            <w:r w:rsidRPr="00F645FC">
              <w:rPr>
                <w:rFonts w:ascii="Times New Roman" w:hAnsi="Times New Roman" w:cs="Times New Roman"/>
                <w:b/>
                <w:bCs/>
                <w:color w:val="222222"/>
                <w:sz w:val="24"/>
                <w:szCs w:val="24"/>
                <w:shd w:val="clear" w:color="auto" w:fill="FFFFFF"/>
              </w:rPr>
              <w:t>Variation of death rate (CFR) over time (weekly) by WHO regions</w:t>
            </w:r>
          </w:p>
        </w:tc>
      </w:tr>
    </w:tbl>
    <w:p w14:paraId="1FCFFDEB" w14:textId="77777777" w:rsidR="009C7F77" w:rsidRDefault="009C7F77" w:rsidP="00F645FC">
      <w:pPr>
        <w:tabs>
          <w:tab w:val="left" w:pos="1200"/>
        </w:tabs>
        <w:spacing w:after="0" w:line="480" w:lineRule="auto"/>
        <w:jc w:val="both"/>
        <w:rPr>
          <w:rFonts w:ascii="Times New Roman" w:hAnsi="Times New Roman" w:cs="Times New Roman"/>
          <w:bCs/>
          <w:sz w:val="24"/>
          <w:szCs w:val="24"/>
        </w:rPr>
      </w:pPr>
    </w:p>
    <w:p w14:paraId="78854284" w14:textId="310ECCB5" w:rsidR="007F3C87" w:rsidRPr="00F645FC" w:rsidRDefault="007F3C87" w:rsidP="00F645FC">
      <w:pPr>
        <w:tabs>
          <w:tab w:val="left" w:pos="1200"/>
        </w:tabs>
        <w:spacing w:after="0" w:line="480" w:lineRule="auto"/>
        <w:jc w:val="both"/>
        <w:rPr>
          <w:rFonts w:ascii="Times New Roman" w:hAnsi="Times New Roman" w:cs="Times New Roman"/>
          <w:bCs/>
          <w:sz w:val="24"/>
          <w:szCs w:val="24"/>
        </w:rPr>
      </w:pPr>
      <w:r w:rsidRPr="00F645FC">
        <w:rPr>
          <w:rFonts w:ascii="Times New Roman" w:hAnsi="Times New Roman" w:cs="Times New Roman"/>
          <w:bCs/>
          <w:sz w:val="24"/>
          <w:szCs w:val="24"/>
        </w:rPr>
        <w:t xml:space="preserve">The basic COVID-19 characteristics of the </w:t>
      </w:r>
      <w:r w:rsidR="009379DA" w:rsidRPr="00F645FC">
        <w:rPr>
          <w:rFonts w:ascii="Times New Roman" w:hAnsi="Times New Roman" w:cs="Times New Roman"/>
          <w:bCs/>
          <w:sz w:val="24"/>
          <w:szCs w:val="24"/>
        </w:rPr>
        <w:t>206 countries</w:t>
      </w:r>
      <w:r w:rsidRPr="00F645FC">
        <w:rPr>
          <w:rFonts w:ascii="Times New Roman" w:hAnsi="Times New Roman" w:cs="Times New Roman"/>
          <w:bCs/>
          <w:sz w:val="24"/>
          <w:szCs w:val="24"/>
        </w:rPr>
        <w:t xml:space="preserve"> are presented in Table </w:t>
      </w:r>
      <w:r w:rsidR="00FD2E9D" w:rsidRPr="00F645FC">
        <w:rPr>
          <w:rFonts w:ascii="Times New Roman" w:hAnsi="Times New Roman" w:cs="Times New Roman"/>
          <w:bCs/>
          <w:sz w:val="24"/>
          <w:szCs w:val="24"/>
        </w:rPr>
        <w:t>1</w:t>
      </w:r>
      <w:r w:rsidRPr="00F645FC">
        <w:rPr>
          <w:rFonts w:ascii="Times New Roman" w:hAnsi="Times New Roman" w:cs="Times New Roman"/>
          <w:bCs/>
          <w:sz w:val="24"/>
          <w:szCs w:val="24"/>
        </w:rPr>
        <w:t xml:space="preserve">. The mean </w:t>
      </w:r>
      <w:r w:rsidR="00DA4015" w:rsidRPr="00F645FC">
        <w:rPr>
          <w:rFonts w:ascii="Times New Roman" w:hAnsi="Times New Roman" w:cs="Times New Roman"/>
          <w:bCs/>
          <w:sz w:val="24"/>
          <w:szCs w:val="24"/>
        </w:rPr>
        <w:t>(SD) total COVID-19 cases, total deaths and CFR</w:t>
      </w:r>
      <w:r w:rsidRPr="00F645FC">
        <w:rPr>
          <w:rFonts w:ascii="Times New Roman" w:hAnsi="Times New Roman" w:cs="Times New Roman"/>
          <w:bCs/>
          <w:sz w:val="24"/>
          <w:szCs w:val="24"/>
        </w:rPr>
        <w:t xml:space="preserve"> was </w:t>
      </w:r>
      <w:r w:rsidR="00DA4015" w:rsidRPr="00F645FC">
        <w:rPr>
          <w:rFonts w:ascii="Times New Roman" w:hAnsi="Times New Roman" w:cs="Times New Roman"/>
          <w:sz w:val="24"/>
          <w:szCs w:val="24"/>
        </w:rPr>
        <w:t xml:space="preserve">13770.5 </w:t>
      </w:r>
      <w:r w:rsidR="00286DBB" w:rsidRPr="00F645FC">
        <w:rPr>
          <w:rFonts w:ascii="Times New Roman" w:hAnsi="Times New Roman" w:cs="Times New Roman"/>
          <w:sz w:val="24"/>
          <w:szCs w:val="24"/>
        </w:rPr>
        <w:t>(</w:t>
      </w:r>
      <w:r w:rsidR="00DA4015" w:rsidRPr="00F645FC">
        <w:rPr>
          <w:rFonts w:ascii="Times New Roman" w:hAnsi="Times New Roman" w:cs="Times New Roman"/>
          <w:sz w:val="24"/>
          <w:szCs w:val="24"/>
        </w:rPr>
        <w:t>71024.8)</w:t>
      </w:r>
      <w:r w:rsidR="00286DBB" w:rsidRPr="00F645FC">
        <w:rPr>
          <w:rFonts w:ascii="Times New Roman" w:hAnsi="Times New Roman" w:cs="Times New Roman"/>
          <w:sz w:val="24"/>
          <w:szCs w:val="24"/>
        </w:rPr>
        <w:t xml:space="preserve">, </w:t>
      </w:r>
      <w:r w:rsidR="00286DBB" w:rsidRPr="00F645FC">
        <w:rPr>
          <w:rFonts w:ascii="Times New Roman" w:eastAsia="Times New Roman" w:hAnsi="Times New Roman" w:cs="Times New Roman"/>
          <w:color w:val="000000"/>
          <w:sz w:val="24"/>
          <w:szCs w:val="24"/>
          <w:lang w:eastAsia="en-GB"/>
        </w:rPr>
        <w:t>999.0 (5003.2)</w:t>
      </w:r>
      <w:r w:rsidR="00FC1F2B">
        <w:rPr>
          <w:rFonts w:ascii="Times New Roman" w:eastAsia="Times New Roman" w:hAnsi="Times New Roman" w:cs="Times New Roman"/>
          <w:color w:val="000000"/>
          <w:sz w:val="24"/>
          <w:szCs w:val="24"/>
          <w:lang w:eastAsia="en-GB"/>
        </w:rPr>
        <w:t>,</w:t>
      </w:r>
      <w:r w:rsidR="00286DBB" w:rsidRPr="00F645FC">
        <w:rPr>
          <w:rFonts w:ascii="Times New Roman" w:eastAsia="Times New Roman" w:hAnsi="Times New Roman" w:cs="Times New Roman"/>
          <w:color w:val="000000"/>
          <w:sz w:val="24"/>
          <w:szCs w:val="24"/>
          <w:lang w:eastAsia="en-GB"/>
        </w:rPr>
        <w:t xml:space="preserve"> </w:t>
      </w:r>
      <w:r w:rsidR="00DD6AC9" w:rsidRPr="00F645FC">
        <w:rPr>
          <w:rFonts w:ascii="Times New Roman" w:eastAsia="Times New Roman" w:hAnsi="Times New Roman" w:cs="Times New Roman"/>
          <w:color w:val="000000"/>
          <w:sz w:val="24"/>
          <w:szCs w:val="24"/>
          <w:lang w:eastAsia="en-GB"/>
        </w:rPr>
        <w:t xml:space="preserve">and </w:t>
      </w:r>
      <w:r w:rsidR="00DD6AC9" w:rsidRPr="00F645FC">
        <w:rPr>
          <w:rFonts w:ascii="Times New Roman" w:hAnsi="Times New Roman" w:cs="Times New Roman"/>
          <w:sz w:val="24"/>
          <w:szCs w:val="24"/>
        </w:rPr>
        <w:t>3.98</w:t>
      </w:r>
      <w:r w:rsidR="00286DBB" w:rsidRPr="00F645FC">
        <w:rPr>
          <w:rFonts w:ascii="Times New Roman" w:hAnsi="Times New Roman" w:cs="Times New Roman"/>
          <w:sz w:val="24"/>
          <w:szCs w:val="24"/>
        </w:rPr>
        <w:t xml:space="preserve"> (4.26), respectively, before the CFR became as peak</w:t>
      </w:r>
      <w:r w:rsidR="005C335C" w:rsidRPr="00F645FC">
        <w:rPr>
          <w:rFonts w:ascii="Times New Roman" w:hAnsi="Times New Roman" w:cs="Times New Roman"/>
          <w:sz w:val="24"/>
          <w:szCs w:val="24"/>
        </w:rPr>
        <w:t xml:space="preserve"> point</w:t>
      </w:r>
      <w:r w:rsidR="005527D9" w:rsidRPr="00F645FC">
        <w:rPr>
          <w:rFonts w:ascii="Times New Roman" w:hAnsi="Times New Roman" w:cs="Times New Roman"/>
          <w:sz w:val="24"/>
          <w:szCs w:val="24"/>
        </w:rPr>
        <w:t xml:space="preserve"> (before 17 weeks)</w:t>
      </w:r>
      <w:r w:rsidR="005C335C" w:rsidRPr="00F645FC">
        <w:rPr>
          <w:rFonts w:ascii="Times New Roman" w:hAnsi="Times New Roman" w:cs="Times New Roman"/>
          <w:sz w:val="24"/>
          <w:szCs w:val="24"/>
        </w:rPr>
        <w:t>.</w:t>
      </w:r>
      <w:r w:rsidR="005527D9" w:rsidRPr="00F645FC">
        <w:rPr>
          <w:rFonts w:ascii="Times New Roman" w:hAnsi="Times New Roman" w:cs="Times New Roman"/>
          <w:bCs/>
          <w:sz w:val="24"/>
          <w:szCs w:val="24"/>
        </w:rPr>
        <w:t xml:space="preserve"> </w:t>
      </w:r>
      <w:r w:rsidR="00FC1F2B">
        <w:rPr>
          <w:rFonts w:ascii="Times New Roman" w:hAnsi="Times New Roman" w:cs="Times New Roman"/>
          <w:bCs/>
          <w:sz w:val="24"/>
          <w:szCs w:val="24"/>
        </w:rPr>
        <w:t>A</w:t>
      </w:r>
      <w:r w:rsidR="00DD6AC9" w:rsidRPr="00F645FC">
        <w:rPr>
          <w:rFonts w:ascii="Times New Roman" w:hAnsi="Times New Roman" w:cs="Times New Roman"/>
          <w:bCs/>
          <w:sz w:val="24"/>
          <w:szCs w:val="24"/>
        </w:rPr>
        <w:t>fter peak point</w:t>
      </w:r>
      <w:r w:rsidR="00BE7C19" w:rsidRPr="00F645FC">
        <w:rPr>
          <w:rFonts w:ascii="Times New Roman" w:hAnsi="Times New Roman" w:cs="Times New Roman"/>
          <w:bCs/>
          <w:sz w:val="24"/>
          <w:szCs w:val="24"/>
        </w:rPr>
        <w:t xml:space="preserve">, when CFR decline </w:t>
      </w:r>
      <w:r w:rsidR="00DD6AC9" w:rsidRPr="00F645FC">
        <w:rPr>
          <w:rFonts w:ascii="Times New Roman" w:hAnsi="Times New Roman" w:cs="Times New Roman"/>
          <w:bCs/>
          <w:sz w:val="24"/>
          <w:szCs w:val="24"/>
        </w:rPr>
        <w:t>(after 17 weeks), t</w:t>
      </w:r>
      <w:r w:rsidR="005527D9" w:rsidRPr="00F645FC">
        <w:rPr>
          <w:rFonts w:ascii="Times New Roman" w:hAnsi="Times New Roman" w:cs="Times New Roman"/>
          <w:bCs/>
          <w:sz w:val="24"/>
          <w:szCs w:val="24"/>
        </w:rPr>
        <w:t>he mean (SD) total COVID-19 cases, total deaths</w:t>
      </w:r>
      <w:r w:rsidR="00FC1F2B">
        <w:rPr>
          <w:rFonts w:ascii="Times New Roman" w:hAnsi="Times New Roman" w:cs="Times New Roman"/>
          <w:bCs/>
          <w:sz w:val="24"/>
          <w:szCs w:val="24"/>
        </w:rPr>
        <w:t>,</w:t>
      </w:r>
      <w:r w:rsidR="005527D9" w:rsidRPr="00F645FC">
        <w:rPr>
          <w:rFonts w:ascii="Times New Roman" w:hAnsi="Times New Roman" w:cs="Times New Roman"/>
          <w:bCs/>
          <w:sz w:val="24"/>
          <w:szCs w:val="24"/>
        </w:rPr>
        <w:t xml:space="preserve"> and CFR was </w:t>
      </w:r>
      <w:r w:rsidR="00BE7C19" w:rsidRPr="00F645FC">
        <w:rPr>
          <w:rFonts w:ascii="Times New Roman" w:hAnsi="Times New Roman" w:cs="Times New Roman"/>
          <w:sz w:val="24"/>
          <w:szCs w:val="24"/>
        </w:rPr>
        <w:t>36068.0 (159063.8)</w:t>
      </w:r>
      <w:r w:rsidR="005527D9" w:rsidRPr="00F645FC">
        <w:rPr>
          <w:rFonts w:ascii="Times New Roman" w:hAnsi="Times New Roman" w:cs="Times New Roman"/>
          <w:sz w:val="24"/>
          <w:szCs w:val="24"/>
        </w:rPr>
        <w:t xml:space="preserve">, </w:t>
      </w:r>
      <w:r w:rsidR="00BE7C19" w:rsidRPr="00F645FC">
        <w:rPr>
          <w:rFonts w:ascii="Times New Roman" w:hAnsi="Times New Roman" w:cs="Times New Roman"/>
          <w:sz w:val="24"/>
          <w:szCs w:val="24"/>
        </w:rPr>
        <w:t>1453.6 (6863.8)</w:t>
      </w:r>
      <w:r w:rsidR="00BE7C19" w:rsidRPr="00F645FC">
        <w:rPr>
          <w:rFonts w:ascii="Times New Roman" w:eastAsia="Times New Roman" w:hAnsi="Times New Roman" w:cs="Times New Roman"/>
          <w:color w:val="000000"/>
          <w:sz w:val="24"/>
          <w:szCs w:val="24"/>
          <w:lang w:eastAsia="en-GB"/>
        </w:rPr>
        <w:t xml:space="preserve"> and </w:t>
      </w:r>
      <w:r w:rsidR="00BE7C19" w:rsidRPr="00F645FC">
        <w:rPr>
          <w:rFonts w:ascii="Times New Roman" w:hAnsi="Times New Roman" w:cs="Times New Roman"/>
          <w:sz w:val="24"/>
          <w:szCs w:val="24"/>
        </w:rPr>
        <w:t xml:space="preserve">4.3 (8.4), </w:t>
      </w:r>
      <w:r w:rsidR="005527D9" w:rsidRPr="00F645FC">
        <w:rPr>
          <w:rFonts w:ascii="Times New Roman" w:hAnsi="Times New Roman" w:cs="Times New Roman"/>
          <w:sz w:val="24"/>
          <w:szCs w:val="24"/>
        </w:rPr>
        <w:t>respectively</w:t>
      </w:r>
      <w:r w:rsidR="00BE7C19" w:rsidRPr="00F645FC">
        <w:rPr>
          <w:rFonts w:ascii="Times New Roman" w:hAnsi="Times New Roman" w:cs="Times New Roman"/>
          <w:sz w:val="24"/>
          <w:szCs w:val="24"/>
        </w:rPr>
        <w:t xml:space="preserve">. However, though the CFR declined after 17 epidemiological weeks </w:t>
      </w:r>
      <w:r w:rsidR="009C481F" w:rsidRPr="00F645FC">
        <w:rPr>
          <w:rFonts w:ascii="Times New Roman" w:hAnsi="Times New Roman" w:cs="Times New Roman"/>
          <w:sz w:val="24"/>
          <w:szCs w:val="24"/>
        </w:rPr>
        <w:t>the mean CFR still high.</w:t>
      </w:r>
    </w:p>
    <w:p w14:paraId="4ED014D6" w14:textId="00C3AC17" w:rsidR="00325432" w:rsidRPr="00F645FC" w:rsidRDefault="00810A74" w:rsidP="00F645FC">
      <w:pPr>
        <w:tabs>
          <w:tab w:val="left" w:pos="1200"/>
        </w:tabs>
        <w:spacing w:after="0" w:line="480" w:lineRule="auto"/>
        <w:jc w:val="both"/>
        <w:rPr>
          <w:rFonts w:ascii="Times New Roman" w:hAnsi="Times New Roman" w:cs="Times New Roman"/>
          <w:b/>
          <w:sz w:val="24"/>
          <w:szCs w:val="24"/>
        </w:rPr>
      </w:pPr>
      <w:r w:rsidRPr="00F645FC">
        <w:rPr>
          <w:rFonts w:ascii="Times New Roman" w:hAnsi="Times New Roman" w:cs="Times New Roman"/>
          <w:b/>
          <w:sz w:val="24"/>
          <w:szCs w:val="24"/>
        </w:rPr>
        <w:t>Table 1. Descriptive statistics of the characteristics at different stage of pandemic</w:t>
      </w:r>
    </w:p>
    <w:tbl>
      <w:tblPr>
        <w:tblStyle w:val="TableGrid"/>
        <w:tblW w:w="5000" w:type="pct"/>
        <w:tblLook w:val="04A0" w:firstRow="1" w:lastRow="0" w:firstColumn="1" w:lastColumn="0" w:noHBand="0" w:noVBand="1"/>
      </w:tblPr>
      <w:tblGrid>
        <w:gridCol w:w="2784"/>
        <w:gridCol w:w="2358"/>
        <w:gridCol w:w="2237"/>
        <w:gridCol w:w="1971"/>
      </w:tblGrid>
      <w:tr w:rsidR="006F6D87" w:rsidRPr="00F645FC" w14:paraId="0AFDD251" w14:textId="77777777" w:rsidTr="006F6D87">
        <w:tc>
          <w:tcPr>
            <w:tcW w:w="1489" w:type="pct"/>
            <w:vMerge w:val="restart"/>
            <w:vAlign w:val="center"/>
          </w:tcPr>
          <w:p w14:paraId="3871D7D4" w14:textId="5B8C0023" w:rsidR="006F6D87" w:rsidRPr="00F645FC" w:rsidRDefault="006F6D87"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Stage of pandemic</w:t>
            </w:r>
          </w:p>
        </w:tc>
        <w:tc>
          <w:tcPr>
            <w:tcW w:w="3511" w:type="pct"/>
            <w:gridSpan w:val="3"/>
            <w:vAlign w:val="center"/>
          </w:tcPr>
          <w:p w14:paraId="5DA692BE" w14:textId="779E3C94" w:rsidR="006F6D87" w:rsidRPr="00F645FC" w:rsidRDefault="006F6D87"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Characteristics</w:t>
            </w:r>
          </w:p>
        </w:tc>
      </w:tr>
      <w:tr w:rsidR="006F6D87" w:rsidRPr="00F645FC" w14:paraId="7C9A4FE7" w14:textId="77777777" w:rsidTr="006F6D87">
        <w:tc>
          <w:tcPr>
            <w:tcW w:w="1489" w:type="pct"/>
            <w:vMerge/>
            <w:vAlign w:val="center"/>
          </w:tcPr>
          <w:p w14:paraId="467A2925" w14:textId="19187D4F" w:rsidR="006F6D87" w:rsidRPr="00F645FC" w:rsidRDefault="006F6D87" w:rsidP="00270F6F">
            <w:pPr>
              <w:tabs>
                <w:tab w:val="left" w:pos="1200"/>
              </w:tabs>
              <w:jc w:val="center"/>
              <w:rPr>
                <w:rFonts w:ascii="Times New Roman" w:hAnsi="Times New Roman" w:cs="Times New Roman"/>
                <w:b/>
                <w:bCs/>
                <w:sz w:val="24"/>
                <w:szCs w:val="24"/>
              </w:rPr>
            </w:pPr>
          </w:p>
        </w:tc>
        <w:tc>
          <w:tcPr>
            <w:tcW w:w="1261" w:type="pct"/>
            <w:vAlign w:val="center"/>
          </w:tcPr>
          <w:p w14:paraId="5EC2A6E0" w14:textId="16471725" w:rsidR="006F6D87" w:rsidRPr="00F645FC" w:rsidRDefault="006F6D87"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Total Cases</w:t>
            </w:r>
          </w:p>
        </w:tc>
        <w:tc>
          <w:tcPr>
            <w:tcW w:w="1196" w:type="pct"/>
            <w:vAlign w:val="center"/>
          </w:tcPr>
          <w:p w14:paraId="6C88CEA4" w14:textId="5E67434A" w:rsidR="006F6D87" w:rsidRPr="00F645FC" w:rsidRDefault="006F6D87"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Total Deaths</w:t>
            </w:r>
          </w:p>
        </w:tc>
        <w:tc>
          <w:tcPr>
            <w:tcW w:w="1054" w:type="pct"/>
            <w:vAlign w:val="center"/>
          </w:tcPr>
          <w:p w14:paraId="576C5FAA" w14:textId="778FD67F" w:rsidR="006F6D87" w:rsidRPr="00F645FC" w:rsidRDefault="006F6D87"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CFR (%)</w:t>
            </w:r>
          </w:p>
        </w:tc>
      </w:tr>
      <w:tr w:rsidR="00FE553E" w:rsidRPr="00F645FC" w14:paraId="6CFB6783" w14:textId="77777777" w:rsidTr="006F6D87">
        <w:tc>
          <w:tcPr>
            <w:tcW w:w="1489" w:type="pct"/>
            <w:vAlign w:val="center"/>
          </w:tcPr>
          <w:p w14:paraId="6B973060" w14:textId="5048E527" w:rsidR="00FE553E" w:rsidRPr="00F645FC" w:rsidRDefault="00FE553E" w:rsidP="00270F6F">
            <w:pPr>
              <w:tabs>
                <w:tab w:val="left" w:pos="1200"/>
              </w:tabs>
              <w:rPr>
                <w:rFonts w:ascii="Times New Roman" w:hAnsi="Times New Roman" w:cs="Times New Roman"/>
                <w:sz w:val="24"/>
                <w:szCs w:val="24"/>
              </w:rPr>
            </w:pPr>
            <w:r w:rsidRPr="00F645FC">
              <w:rPr>
                <w:rFonts w:ascii="Times New Roman" w:hAnsi="Times New Roman" w:cs="Times New Roman"/>
                <w:b/>
                <w:bCs/>
                <w:sz w:val="24"/>
                <w:szCs w:val="24"/>
              </w:rPr>
              <w:t>Before peak</w:t>
            </w:r>
          </w:p>
        </w:tc>
        <w:tc>
          <w:tcPr>
            <w:tcW w:w="1261" w:type="pct"/>
            <w:vAlign w:val="center"/>
          </w:tcPr>
          <w:p w14:paraId="2227B256" w14:textId="77777777" w:rsidR="00FE553E" w:rsidRPr="00F645FC" w:rsidRDefault="00FE553E" w:rsidP="00270F6F">
            <w:pPr>
              <w:tabs>
                <w:tab w:val="left" w:pos="1200"/>
              </w:tabs>
              <w:jc w:val="center"/>
              <w:rPr>
                <w:rFonts w:ascii="Times New Roman" w:hAnsi="Times New Roman" w:cs="Times New Roman"/>
                <w:sz w:val="24"/>
                <w:szCs w:val="24"/>
              </w:rPr>
            </w:pPr>
          </w:p>
        </w:tc>
        <w:tc>
          <w:tcPr>
            <w:tcW w:w="1196" w:type="pct"/>
            <w:vAlign w:val="center"/>
          </w:tcPr>
          <w:p w14:paraId="67F1509A" w14:textId="77777777" w:rsidR="00FE553E" w:rsidRPr="00F645FC" w:rsidRDefault="00FE553E" w:rsidP="00270F6F">
            <w:pPr>
              <w:tabs>
                <w:tab w:val="left" w:pos="1200"/>
              </w:tabs>
              <w:jc w:val="center"/>
              <w:rPr>
                <w:rFonts w:ascii="Times New Roman" w:hAnsi="Times New Roman" w:cs="Times New Roman"/>
                <w:sz w:val="24"/>
                <w:szCs w:val="24"/>
              </w:rPr>
            </w:pPr>
          </w:p>
        </w:tc>
        <w:tc>
          <w:tcPr>
            <w:tcW w:w="1054" w:type="pct"/>
            <w:vAlign w:val="center"/>
          </w:tcPr>
          <w:p w14:paraId="2FAE091A" w14:textId="77777777" w:rsidR="00FE553E" w:rsidRPr="00F645FC" w:rsidRDefault="00FE553E" w:rsidP="00270F6F">
            <w:pPr>
              <w:tabs>
                <w:tab w:val="left" w:pos="1200"/>
              </w:tabs>
              <w:jc w:val="center"/>
              <w:rPr>
                <w:rFonts w:ascii="Times New Roman" w:hAnsi="Times New Roman" w:cs="Times New Roman"/>
                <w:sz w:val="24"/>
                <w:szCs w:val="24"/>
              </w:rPr>
            </w:pPr>
          </w:p>
        </w:tc>
      </w:tr>
      <w:tr w:rsidR="00FE553E" w:rsidRPr="00F645FC" w14:paraId="6FEEF7D1" w14:textId="77777777" w:rsidTr="006F6D87">
        <w:tc>
          <w:tcPr>
            <w:tcW w:w="1489" w:type="pct"/>
            <w:vAlign w:val="center"/>
          </w:tcPr>
          <w:p w14:paraId="46F84E93" w14:textId="079194A4" w:rsidR="00FE553E" w:rsidRPr="00F645FC" w:rsidRDefault="003B5935"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Minimum</w:t>
            </w:r>
          </w:p>
        </w:tc>
        <w:tc>
          <w:tcPr>
            <w:tcW w:w="1261" w:type="pct"/>
            <w:vAlign w:val="center"/>
          </w:tcPr>
          <w:p w14:paraId="3701B7AA" w14:textId="1AE4DAAF" w:rsidR="00FE553E" w:rsidRPr="00F645FC" w:rsidRDefault="00FE553E"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w:t>
            </w:r>
            <w:r w:rsidR="008A07F1" w:rsidRPr="00F645FC">
              <w:rPr>
                <w:rFonts w:ascii="Times New Roman" w:hAnsi="Times New Roman" w:cs="Times New Roman"/>
                <w:sz w:val="24"/>
                <w:szCs w:val="24"/>
              </w:rPr>
              <w:t>.0</w:t>
            </w:r>
          </w:p>
        </w:tc>
        <w:tc>
          <w:tcPr>
            <w:tcW w:w="1196" w:type="pct"/>
            <w:vAlign w:val="center"/>
          </w:tcPr>
          <w:p w14:paraId="57EFC741" w14:textId="5DA74C8F" w:rsidR="00FE553E" w:rsidRPr="00F645FC" w:rsidRDefault="008A07F1"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w:t>
            </w:r>
            <w:r w:rsidR="00325432" w:rsidRPr="00F645FC">
              <w:rPr>
                <w:rFonts w:ascii="Times New Roman" w:hAnsi="Times New Roman" w:cs="Times New Roman"/>
                <w:sz w:val="24"/>
                <w:szCs w:val="24"/>
              </w:rPr>
              <w:t>.0</w:t>
            </w:r>
          </w:p>
        </w:tc>
        <w:tc>
          <w:tcPr>
            <w:tcW w:w="1054" w:type="pct"/>
            <w:vAlign w:val="center"/>
          </w:tcPr>
          <w:p w14:paraId="24BBE1EE" w14:textId="7099F7D7" w:rsidR="00FE553E" w:rsidRPr="00F645FC" w:rsidRDefault="005D729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0.0</w:t>
            </w:r>
          </w:p>
        </w:tc>
      </w:tr>
      <w:tr w:rsidR="00FE553E" w:rsidRPr="00F645FC" w14:paraId="0F2820D9" w14:textId="77777777" w:rsidTr="006F6D87">
        <w:tc>
          <w:tcPr>
            <w:tcW w:w="1489" w:type="pct"/>
            <w:vAlign w:val="center"/>
          </w:tcPr>
          <w:p w14:paraId="3DA5F60D" w14:textId="572595D5" w:rsidR="00FE553E" w:rsidRPr="00F645FC" w:rsidRDefault="003B5935"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Mean (SD)</w:t>
            </w:r>
          </w:p>
        </w:tc>
        <w:tc>
          <w:tcPr>
            <w:tcW w:w="1261" w:type="pct"/>
            <w:vAlign w:val="center"/>
          </w:tcPr>
          <w:p w14:paraId="1A968032" w14:textId="1D2E4215" w:rsidR="00FE553E" w:rsidRPr="00F645FC" w:rsidRDefault="002D118F"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Fonts w:ascii="Times New Roman" w:hAnsi="Times New Roman" w:cs="Times New Roman"/>
                <w:sz w:val="24"/>
                <w:szCs w:val="24"/>
              </w:rPr>
              <w:t>13770.5 (</w:t>
            </w:r>
            <w:r w:rsidR="006A6C0B" w:rsidRPr="00F645FC">
              <w:rPr>
                <w:rFonts w:ascii="Times New Roman" w:hAnsi="Times New Roman" w:cs="Times New Roman"/>
                <w:sz w:val="24"/>
                <w:szCs w:val="24"/>
              </w:rPr>
              <w:t>71024.</w:t>
            </w:r>
            <w:r w:rsidR="008A07F1" w:rsidRPr="00F645FC">
              <w:rPr>
                <w:rFonts w:ascii="Times New Roman" w:hAnsi="Times New Roman" w:cs="Times New Roman"/>
                <w:sz w:val="24"/>
                <w:szCs w:val="24"/>
              </w:rPr>
              <w:t>8</w:t>
            </w:r>
            <w:r w:rsidR="006A6C0B" w:rsidRPr="00F645FC">
              <w:rPr>
                <w:rFonts w:ascii="Times New Roman" w:hAnsi="Times New Roman" w:cs="Times New Roman"/>
                <w:sz w:val="24"/>
                <w:szCs w:val="24"/>
              </w:rPr>
              <w:t>)</w:t>
            </w:r>
          </w:p>
        </w:tc>
        <w:tc>
          <w:tcPr>
            <w:tcW w:w="1196" w:type="pct"/>
            <w:vAlign w:val="center"/>
          </w:tcPr>
          <w:p w14:paraId="1AC0B0BE" w14:textId="19747E99" w:rsidR="00FE553E" w:rsidRPr="00F645FC" w:rsidRDefault="0063070E"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lang w:eastAsia="en-GB"/>
              </w:rPr>
              <w:t>999.0 (5003.</w:t>
            </w:r>
            <w:r w:rsidR="003A15AD" w:rsidRPr="00F645FC">
              <w:rPr>
                <w:rFonts w:ascii="Times New Roman" w:eastAsia="Times New Roman" w:hAnsi="Times New Roman" w:cs="Times New Roman"/>
                <w:color w:val="000000"/>
                <w:sz w:val="24"/>
                <w:szCs w:val="24"/>
                <w:lang w:eastAsia="en-GB"/>
              </w:rPr>
              <w:t>2</w:t>
            </w:r>
            <w:r w:rsidR="007B421C" w:rsidRPr="00F645FC">
              <w:rPr>
                <w:rFonts w:ascii="Times New Roman" w:eastAsia="Times New Roman" w:hAnsi="Times New Roman" w:cs="Times New Roman"/>
                <w:color w:val="000000"/>
                <w:sz w:val="24"/>
                <w:szCs w:val="24"/>
                <w:lang w:eastAsia="en-GB"/>
              </w:rPr>
              <w:t>)</w:t>
            </w:r>
          </w:p>
        </w:tc>
        <w:tc>
          <w:tcPr>
            <w:tcW w:w="1054" w:type="pct"/>
            <w:vAlign w:val="center"/>
          </w:tcPr>
          <w:p w14:paraId="6D4933CD" w14:textId="6BAEF8DC" w:rsidR="00FE553E" w:rsidRPr="00F645FC" w:rsidRDefault="00555464"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3.98</w:t>
            </w:r>
            <w:r w:rsidR="00F73E66" w:rsidRPr="00F645FC">
              <w:rPr>
                <w:rFonts w:ascii="Times New Roman" w:hAnsi="Times New Roman" w:cs="Times New Roman"/>
                <w:sz w:val="24"/>
                <w:szCs w:val="24"/>
              </w:rPr>
              <w:t xml:space="preserve"> (4.26)</w:t>
            </w:r>
          </w:p>
        </w:tc>
      </w:tr>
      <w:tr w:rsidR="00FE553E" w:rsidRPr="00F645FC" w14:paraId="4D5E8B0A" w14:textId="77777777" w:rsidTr="006F6D87">
        <w:trPr>
          <w:trHeight w:val="70"/>
        </w:trPr>
        <w:tc>
          <w:tcPr>
            <w:tcW w:w="1489" w:type="pct"/>
            <w:vAlign w:val="center"/>
          </w:tcPr>
          <w:p w14:paraId="1180EF9D" w14:textId="29ED1FF6" w:rsidR="00FE553E" w:rsidRPr="00F645FC" w:rsidRDefault="003B5935"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Maximum</w:t>
            </w:r>
          </w:p>
        </w:tc>
        <w:tc>
          <w:tcPr>
            <w:tcW w:w="1261" w:type="pct"/>
            <w:vAlign w:val="center"/>
          </w:tcPr>
          <w:p w14:paraId="685253F3" w14:textId="2A68F530" w:rsidR="00FE553E" w:rsidRPr="00F645FC" w:rsidRDefault="002D118F"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93</w:t>
            </w:r>
            <w:r w:rsidR="00A20176" w:rsidRPr="00F645FC">
              <w:rPr>
                <w:rFonts w:ascii="Times New Roman" w:hAnsi="Times New Roman" w:cs="Times New Roman"/>
                <w:sz w:val="24"/>
                <w:szCs w:val="24"/>
              </w:rPr>
              <w:t>9053</w:t>
            </w:r>
            <w:r w:rsidR="008A07F1" w:rsidRPr="00F645FC">
              <w:rPr>
                <w:rFonts w:ascii="Times New Roman" w:hAnsi="Times New Roman" w:cs="Times New Roman"/>
                <w:sz w:val="24"/>
                <w:szCs w:val="24"/>
              </w:rPr>
              <w:t>.0</w:t>
            </w:r>
          </w:p>
        </w:tc>
        <w:tc>
          <w:tcPr>
            <w:tcW w:w="1196" w:type="pct"/>
            <w:vAlign w:val="center"/>
          </w:tcPr>
          <w:p w14:paraId="396B820C" w14:textId="43AFF9EC" w:rsidR="00FE553E" w:rsidRPr="00F645FC" w:rsidRDefault="00C569B9"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53189.0</w:t>
            </w:r>
          </w:p>
        </w:tc>
        <w:tc>
          <w:tcPr>
            <w:tcW w:w="1054" w:type="pct"/>
            <w:vAlign w:val="center"/>
          </w:tcPr>
          <w:p w14:paraId="6C68C7FF" w14:textId="539ABE58" w:rsidR="00FE553E" w:rsidRPr="00F645FC" w:rsidRDefault="00897CA6"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25.0</w:t>
            </w:r>
          </w:p>
        </w:tc>
      </w:tr>
      <w:tr w:rsidR="00FE553E" w:rsidRPr="00F645FC" w14:paraId="0DDBBE1C" w14:textId="77777777" w:rsidTr="006F6D87">
        <w:trPr>
          <w:trHeight w:val="70"/>
        </w:trPr>
        <w:tc>
          <w:tcPr>
            <w:tcW w:w="1489" w:type="pct"/>
            <w:vAlign w:val="center"/>
          </w:tcPr>
          <w:p w14:paraId="2305426B" w14:textId="6979CB0F" w:rsidR="00FE553E" w:rsidRPr="00F645FC" w:rsidRDefault="00FE553E" w:rsidP="00270F6F">
            <w:pPr>
              <w:tabs>
                <w:tab w:val="left" w:pos="1200"/>
              </w:tabs>
              <w:rPr>
                <w:rFonts w:ascii="Times New Roman" w:hAnsi="Times New Roman" w:cs="Times New Roman"/>
                <w:sz w:val="24"/>
                <w:szCs w:val="24"/>
              </w:rPr>
            </w:pPr>
            <w:r w:rsidRPr="00F645FC">
              <w:rPr>
                <w:rFonts w:ascii="Times New Roman" w:hAnsi="Times New Roman" w:cs="Times New Roman"/>
                <w:b/>
                <w:bCs/>
                <w:sz w:val="24"/>
                <w:szCs w:val="24"/>
              </w:rPr>
              <w:t>After peak</w:t>
            </w:r>
          </w:p>
        </w:tc>
        <w:tc>
          <w:tcPr>
            <w:tcW w:w="1261" w:type="pct"/>
            <w:vAlign w:val="center"/>
          </w:tcPr>
          <w:p w14:paraId="1BD1C197" w14:textId="77777777" w:rsidR="00FE553E" w:rsidRPr="00F645FC" w:rsidRDefault="00FE553E" w:rsidP="00270F6F">
            <w:pPr>
              <w:tabs>
                <w:tab w:val="left" w:pos="1200"/>
              </w:tabs>
              <w:jc w:val="center"/>
              <w:rPr>
                <w:rFonts w:ascii="Times New Roman" w:hAnsi="Times New Roman" w:cs="Times New Roman"/>
                <w:sz w:val="24"/>
                <w:szCs w:val="24"/>
              </w:rPr>
            </w:pPr>
          </w:p>
        </w:tc>
        <w:tc>
          <w:tcPr>
            <w:tcW w:w="1196" w:type="pct"/>
            <w:vAlign w:val="center"/>
          </w:tcPr>
          <w:p w14:paraId="58FC729B" w14:textId="77777777" w:rsidR="00FE553E" w:rsidRPr="00F645FC" w:rsidRDefault="00FE553E" w:rsidP="00270F6F">
            <w:pPr>
              <w:tabs>
                <w:tab w:val="left" w:pos="1200"/>
              </w:tabs>
              <w:jc w:val="center"/>
              <w:rPr>
                <w:rFonts w:ascii="Times New Roman" w:hAnsi="Times New Roman" w:cs="Times New Roman"/>
                <w:sz w:val="24"/>
                <w:szCs w:val="24"/>
              </w:rPr>
            </w:pPr>
          </w:p>
        </w:tc>
        <w:tc>
          <w:tcPr>
            <w:tcW w:w="1054" w:type="pct"/>
            <w:vAlign w:val="center"/>
          </w:tcPr>
          <w:p w14:paraId="67C5795A" w14:textId="77777777" w:rsidR="00FE553E" w:rsidRPr="00F645FC" w:rsidRDefault="00FE553E" w:rsidP="00270F6F">
            <w:pPr>
              <w:tabs>
                <w:tab w:val="left" w:pos="1200"/>
              </w:tabs>
              <w:jc w:val="center"/>
              <w:rPr>
                <w:rFonts w:ascii="Times New Roman" w:hAnsi="Times New Roman" w:cs="Times New Roman"/>
                <w:sz w:val="24"/>
                <w:szCs w:val="24"/>
              </w:rPr>
            </w:pPr>
          </w:p>
        </w:tc>
      </w:tr>
      <w:tr w:rsidR="002D118F" w:rsidRPr="00F645FC" w14:paraId="7F5F44BB" w14:textId="77777777" w:rsidTr="006F6D87">
        <w:trPr>
          <w:trHeight w:val="70"/>
        </w:trPr>
        <w:tc>
          <w:tcPr>
            <w:tcW w:w="1489" w:type="pct"/>
            <w:vAlign w:val="center"/>
          </w:tcPr>
          <w:p w14:paraId="6D21767B" w14:textId="0DE803D7" w:rsidR="002D118F" w:rsidRPr="00F645FC" w:rsidRDefault="002D118F"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Minimum</w:t>
            </w:r>
          </w:p>
        </w:tc>
        <w:tc>
          <w:tcPr>
            <w:tcW w:w="1261" w:type="pct"/>
            <w:vAlign w:val="center"/>
          </w:tcPr>
          <w:p w14:paraId="37CB507C" w14:textId="1271ECF5" w:rsidR="002D118F" w:rsidRPr="00F645FC" w:rsidRDefault="00B750C0"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0.0</w:t>
            </w:r>
          </w:p>
        </w:tc>
        <w:tc>
          <w:tcPr>
            <w:tcW w:w="1196" w:type="pct"/>
            <w:vAlign w:val="center"/>
          </w:tcPr>
          <w:p w14:paraId="0DDB6C02" w14:textId="7F32E911" w:rsidR="002D118F" w:rsidRPr="00F645FC" w:rsidRDefault="00297B0F"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0.0</w:t>
            </w:r>
          </w:p>
        </w:tc>
        <w:tc>
          <w:tcPr>
            <w:tcW w:w="1054" w:type="pct"/>
            <w:vAlign w:val="center"/>
          </w:tcPr>
          <w:p w14:paraId="35CB3CBA" w14:textId="4C48E55B" w:rsidR="002D118F" w:rsidRPr="00F645FC" w:rsidRDefault="0078118D"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0.0</w:t>
            </w:r>
          </w:p>
        </w:tc>
      </w:tr>
      <w:tr w:rsidR="002D118F" w:rsidRPr="00F645FC" w14:paraId="72C89CBA" w14:textId="77777777" w:rsidTr="006F6D87">
        <w:trPr>
          <w:trHeight w:val="70"/>
        </w:trPr>
        <w:tc>
          <w:tcPr>
            <w:tcW w:w="1489" w:type="pct"/>
            <w:vAlign w:val="center"/>
          </w:tcPr>
          <w:p w14:paraId="133F6B41" w14:textId="18E80F2C" w:rsidR="002D118F" w:rsidRPr="00F645FC" w:rsidRDefault="002D118F"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lastRenderedPageBreak/>
              <w:t>Mean (SD)</w:t>
            </w:r>
          </w:p>
        </w:tc>
        <w:tc>
          <w:tcPr>
            <w:tcW w:w="1261" w:type="pct"/>
            <w:vAlign w:val="center"/>
          </w:tcPr>
          <w:p w14:paraId="03026273" w14:textId="6D44AAD5" w:rsidR="002D118F" w:rsidRPr="00F645FC" w:rsidRDefault="00B750C0"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36068.0 (159063.8)</w:t>
            </w:r>
          </w:p>
        </w:tc>
        <w:tc>
          <w:tcPr>
            <w:tcW w:w="1196" w:type="pct"/>
            <w:vAlign w:val="center"/>
          </w:tcPr>
          <w:p w14:paraId="0D879459" w14:textId="62DA6A13" w:rsidR="002D118F" w:rsidRPr="00F645FC" w:rsidRDefault="00297B0F"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1453.6 (6863.8)</w:t>
            </w:r>
          </w:p>
        </w:tc>
        <w:tc>
          <w:tcPr>
            <w:tcW w:w="1054" w:type="pct"/>
            <w:vAlign w:val="center"/>
          </w:tcPr>
          <w:p w14:paraId="2552C126" w14:textId="415FDEB9" w:rsidR="002D118F" w:rsidRPr="00F645FC" w:rsidRDefault="0078118D"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4.3 (8.4)</w:t>
            </w:r>
          </w:p>
        </w:tc>
      </w:tr>
      <w:tr w:rsidR="002D118F" w:rsidRPr="00F645FC" w14:paraId="5D7B97C2" w14:textId="77777777" w:rsidTr="006F6D87">
        <w:trPr>
          <w:trHeight w:val="70"/>
        </w:trPr>
        <w:tc>
          <w:tcPr>
            <w:tcW w:w="1489" w:type="pct"/>
            <w:vAlign w:val="center"/>
          </w:tcPr>
          <w:p w14:paraId="5A972E24" w14:textId="199ACA14" w:rsidR="002D118F" w:rsidRPr="00F645FC" w:rsidRDefault="002D118F"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Maximum</w:t>
            </w:r>
          </w:p>
        </w:tc>
        <w:tc>
          <w:tcPr>
            <w:tcW w:w="1261" w:type="pct"/>
            <w:vAlign w:val="center"/>
          </w:tcPr>
          <w:p w14:paraId="74D20D31" w14:textId="22E3465A" w:rsidR="002D118F" w:rsidRPr="00F645FC" w:rsidRDefault="00BC50BC"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1651499</w:t>
            </w:r>
            <w:r w:rsidR="00297B0F" w:rsidRPr="00F645FC">
              <w:rPr>
                <w:rFonts w:ascii="Times New Roman" w:hAnsi="Times New Roman" w:cs="Times New Roman"/>
                <w:sz w:val="24"/>
                <w:szCs w:val="24"/>
              </w:rPr>
              <w:t>.0</w:t>
            </w:r>
          </w:p>
        </w:tc>
        <w:tc>
          <w:tcPr>
            <w:tcW w:w="1196" w:type="pct"/>
            <w:vAlign w:val="center"/>
          </w:tcPr>
          <w:p w14:paraId="39510324" w14:textId="05270C6A" w:rsidR="002D118F" w:rsidRPr="00F645FC" w:rsidRDefault="00181207"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72951.0</w:t>
            </w:r>
          </w:p>
        </w:tc>
        <w:tc>
          <w:tcPr>
            <w:tcW w:w="1054" w:type="pct"/>
            <w:vAlign w:val="center"/>
          </w:tcPr>
          <w:p w14:paraId="73F25D1B" w14:textId="25836A4B" w:rsidR="002D118F" w:rsidRPr="00F645FC" w:rsidRDefault="0078118D"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75.0</w:t>
            </w:r>
          </w:p>
        </w:tc>
      </w:tr>
    </w:tbl>
    <w:p w14:paraId="65A403C4" w14:textId="77777777" w:rsidR="009C7F77" w:rsidRDefault="009C7F77" w:rsidP="00F645FC">
      <w:pPr>
        <w:tabs>
          <w:tab w:val="left" w:pos="1200"/>
        </w:tabs>
        <w:spacing w:after="0" w:line="480" w:lineRule="auto"/>
        <w:jc w:val="both"/>
        <w:rPr>
          <w:rFonts w:ascii="Times New Roman" w:hAnsi="Times New Roman" w:cs="Times New Roman"/>
          <w:sz w:val="24"/>
          <w:szCs w:val="24"/>
        </w:rPr>
      </w:pPr>
    </w:p>
    <w:p w14:paraId="5FC035E4" w14:textId="5E051398" w:rsidR="009C7F77" w:rsidRDefault="005C4EC4" w:rsidP="00F645FC">
      <w:pPr>
        <w:tabs>
          <w:tab w:val="left" w:pos="1200"/>
        </w:tabs>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Th</w:t>
      </w:r>
      <w:r w:rsidR="008A2A45" w:rsidRPr="00F645FC">
        <w:rPr>
          <w:rFonts w:ascii="Times New Roman" w:hAnsi="Times New Roman" w:cs="Times New Roman"/>
          <w:sz w:val="24"/>
          <w:szCs w:val="24"/>
        </w:rPr>
        <w:t xml:space="preserve">e effect of selected predictors </w:t>
      </w:r>
      <w:r w:rsidRPr="00F645FC">
        <w:rPr>
          <w:rFonts w:ascii="Times New Roman" w:hAnsi="Times New Roman" w:cs="Times New Roman"/>
          <w:sz w:val="24"/>
          <w:szCs w:val="24"/>
        </w:rPr>
        <w:t xml:space="preserve">derived from </w:t>
      </w:r>
      <w:r w:rsidR="001E4344" w:rsidRPr="00F645FC">
        <w:rPr>
          <w:rFonts w:ascii="Times New Roman" w:hAnsi="Times New Roman" w:cs="Times New Roman"/>
          <w:sz w:val="24"/>
          <w:szCs w:val="24"/>
        </w:rPr>
        <w:t xml:space="preserve">the </w:t>
      </w:r>
      <w:r w:rsidR="00300670" w:rsidRPr="00F645FC">
        <w:rPr>
          <w:rFonts w:ascii="Times New Roman" w:hAnsi="Times New Roman" w:cs="Times New Roman"/>
          <w:sz w:val="24"/>
          <w:szCs w:val="24"/>
        </w:rPr>
        <w:t>beta</w:t>
      </w:r>
      <w:r w:rsidR="001E4344" w:rsidRPr="00F645FC">
        <w:rPr>
          <w:rFonts w:ascii="Times New Roman" w:hAnsi="Times New Roman" w:cs="Times New Roman"/>
          <w:sz w:val="24"/>
          <w:szCs w:val="24"/>
        </w:rPr>
        <w:t xml:space="preserve"> </w:t>
      </w:r>
      <w:r w:rsidRPr="00F645FC">
        <w:rPr>
          <w:rFonts w:ascii="Times New Roman" w:hAnsi="Times New Roman" w:cs="Times New Roman"/>
          <w:sz w:val="24"/>
          <w:szCs w:val="24"/>
        </w:rPr>
        <w:t xml:space="preserve">regression </w:t>
      </w:r>
      <w:r w:rsidR="00966565" w:rsidRPr="00F645FC">
        <w:rPr>
          <w:rFonts w:ascii="Times New Roman" w:hAnsi="Times New Roman" w:cs="Times New Roman"/>
          <w:sz w:val="24"/>
          <w:szCs w:val="24"/>
        </w:rPr>
        <w:t xml:space="preserve">model </w:t>
      </w:r>
      <w:r w:rsidR="006F6175" w:rsidRPr="00F645FC">
        <w:rPr>
          <w:rFonts w:ascii="Times New Roman" w:hAnsi="Times New Roman" w:cs="Times New Roman"/>
          <w:sz w:val="24"/>
          <w:szCs w:val="24"/>
        </w:rPr>
        <w:t>is</w:t>
      </w:r>
      <w:r w:rsidR="00823089" w:rsidRPr="00F645FC">
        <w:rPr>
          <w:rFonts w:ascii="Times New Roman" w:hAnsi="Times New Roman" w:cs="Times New Roman"/>
          <w:sz w:val="24"/>
          <w:szCs w:val="24"/>
        </w:rPr>
        <w:t xml:space="preserve"> </w:t>
      </w:r>
      <w:r w:rsidRPr="00F645FC">
        <w:rPr>
          <w:rFonts w:ascii="Times New Roman" w:hAnsi="Times New Roman" w:cs="Times New Roman"/>
          <w:sz w:val="24"/>
          <w:szCs w:val="24"/>
        </w:rPr>
        <w:t xml:space="preserve">shown in Table </w:t>
      </w:r>
      <w:r w:rsidR="0059674C" w:rsidRPr="00F645FC">
        <w:rPr>
          <w:rFonts w:ascii="Times New Roman" w:hAnsi="Times New Roman" w:cs="Times New Roman"/>
          <w:sz w:val="24"/>
          <w:szCs w:val="24"/>
        </w:rPr>
        <w:t>2</w:t>
      </w:r>
      <w:r w:rsidR="00C16FFC" w:rsidRPr="00F645FC">
        <w:rPr>
          <w:rFonts w:ascii="Times New Roman" w:hAnsi="Times New Roman" w:cs="Times New Roman"/>
          <w:sz w:val="24"/>
          <w:szCs w:val="24"/>
        </w:rPr>
        <w:t>. The results showed that</w:t>
      </w:r>
      <w:r w:rsidRPr="00F645FC">
        <w:rPr>
          <w:rFonts w:ascii="Times New Roman" w:hAnsi="Times New Roman" w:cs="Times New Roman"/>
          <w:sz w:val="24"/>
          <w:szCs w:val="24"/>
        </w:rPr>
        <w:t xml:space="preserve"> </w:t>
      </w:r>
      <w:r w:rsidR="00966565" w:rsidRPr="00F645FC">
        <w:rPr>
          <w:rFonts w:ascii="Times New Roman" w:hAnsi="Times New Roman" w:cs="Times New Roman"/>
          <w:sz w:val="24"/>
          <w:szCs w:val="24"/>
        </w:rPr>
        <w:t xml:space="preserve">a </w:t>
      </w:r>
      <w:r w:rsidR="00C16FFC" w:rsidRPr="00F645FC">
        <w:rPr>
          <w:rFonts w:ascii="Times New Roman" w:hAnsi="Times New Roman" w:cs="Times New Roman"/>
          <w:sz w:val="24"/>
          <w:szCs w:val="24"/>
        </w:rPr>
        <w:t>higher</w:t>
      </w:r>
      <w:r w:rsidR="00966565" w:rsidRPr="00F645FC">
        <w:rPr>
          <w:rFonts w:ascii="Times New Roman" w:hAnsi="Times New Roman" w:cs="Times New Roman"/>
          <w:sz w:val="24"/>
          <w:szCs w:val="24"/>
        </w:rPr>
        <w:t xml:space="preserve"> </w:t>
      </w:r>
      <w:r w:rsidR="008A2A45" w:rsidRPr="00F645FC">
        <w:rPr>
          <w:rFonts w:ascii="Times New Roman" w:hAnsi="Times New Roman" w:cs="Times New Roman"/>
          <w:sz w:val="24"/>
          <w:szCs w:val="24"/>
        </w:rPr>
        <w:t>IRR</w:t>
      </w:r>
      <w:r w:rsidR="00966565" w:rsidRPr="00F645FC">
        <w:rPr>
          <w:rFonts w:ascii="Times New Roman" w:hAnsi="Times New Roman" w:cs="Times New Roman"/>
          <w:sz w:val="24"/>
          <w:szCs w:val="24"/>
        </w:rPr>
        <w:t xml:space="preserve"> </w:t>
      </w:r>
      <w:r w:rsidR="00506984" w:rsidRPr="00F645FC">
        <w:rPr>
          <w:rFonts w:ascii="Times New Roman" w:hAnsi="Times New Roman" w:cs="Times New Roman"/>
          <w:sz w:val="24"/>
          <w:szCs w:val="24"/>
        </w:rPr>
        <w:t>(IRR: 1.</w:t>
      </w:r>
      <w:r w:rsidR="000D376F" w:rsidRPr="00F645FC">
        <w:rPr>
          <w:rFonts w:ascii="Times New Roman" w:hAnsi="Times New Roman" w:cs="Times New Roman"/>
          <w:sz w:val="24"/>
          <w:szCs w:val="24"/>
        </w:rPr>
        <w:t>0</w:t>
      </w:r>
      <w:r w:rsidR="00EF4AFF" w:rsidRPr="00F645FC">
        <w:rPr>
          <w:rFonts w:ascii="Times New Roman" w:hAnsi="Times New Roman" w:cs="Times New Roman"/>
          <w:sz w:val="24"/>
          <w:szCs w:val="24"/>
        </w:rPr>
        <w:t>5</w:t>
      </w:r>
      <w:r w:rsidR="00506984" w:rsidRPr="00F645FC">
        <w:rPr>
          <w:rFonts w:ascii="Times New Roman" w:hAnsi="Times New Roman" w:cs="Times New Roman"/>
          <w:sz w:val="24"/>
          <w:szCs w:val="24"/>
        </w:rPr>
        <w:t>, 95% CI: 1.0</w:t>
      </w:r>
      <w:r w:rsidR="00EF4AFF" w:rsidRPr="00F645FC">
        <w:rPr>
          <w:rFonts w:ascii="Times New Roman" w:hAnsi="Times New Roman" w:cs="Times New Roman"/>
          <w:sz w:val="24"/>
          <w:szCs w:val="24"/>
        </w:rPr>
        <w:t>2</w:t>
      </w:r>
      <w:r w:rsidR="00506984" w:rsidRPr="00F645FC">
        <w:rPr>
          <w:rFonts w:ascii="Times New Roman" w:hAnsi="Times New Roman" w:cs="Times New Roman"/>
          <w:sz w:val="24"/>
          <w:szCs w:val="24"/>
        </w:rPr>
        <w:t>-1.</w:t>
      </w:r>
      <w:r w:rsidR="000D376F" w:rsidRPr="00F645FC">
        <w:rPr>
          <w:rFonts w:ascii="Times New Roman" w:hAnsi="Times New Roman" w:cs="Times New Roman"/>
          <w:sz w:val="24"/>
          <w:szCs w:val="24"/>
        </w:rPr>
        <w:t>0</w:t>
      </w:r>
      <w:r w:rsidR="00EF4AFF" w:rsidRPr="00F645FC">
        <w:rPr>
          <w:rFonts w:ascii="Times New Roman" w:hAnsi="Times New Roman" w:cs="Times New Roman"/>
          <w:sz w:val="24"/>
          <w:szCs w:val="24"/>
        </w:rPr>
        <w:t>7</w:t>
      </w:r>
      <w:r w:rsidR="00506984" w:rsidRPr="00F645FC">
        <w:rPr>
          <w:rFonts w:ascii="Times New Roman" w:hAnsi="Times New Roman" w:cs="Times New Roman"/>
          <w:sz w:val="24"/>
          <w:szCs w:val="24"/>
        </w:rPr>
        <w:t xml:space="preserve">) </w:t>
      </w:r>
      <w:r w:rsidR="00966565" w:rsidRPr="00F645FC">
        <w:rPr>
          <w:rFonts w:ascii="Times New Roman" w:hAnsi="Times New Roman" w:cs="Times New Roman"/>
          <w:sz w:val="24"/>
          <w:szCs w:val="24"/>
        </w:rPr>
        <w:t xml:space="preserve">was observed for </w:t>
      </w:r>
      <w:r w:rsidR="00C16FFC" w:rsidRPr="00F645FC">
        <w:rPr>
          <w:rFonts w:ascii="Times New Roman" w:hAnsi="Times New Roman" w:cs="Times New Roman"/>
          <w:sz w:val="24"/>
          <w:szCs w:val="24"/>
        </w:rPr>
        <w:t xml:space="preserve">the factor of </w:t>
      </w:r>
      <w:r w:rsidR="008A2A45" w:rsidRPr="00F645FC">
        <w:rPr>
          <w:rFonts w:ascii="Times New Roman" w:hAnsi="Times New Roman" w:cs="Times New Roman"/>
          <w:sz w:val="24"/>
          <w:szCs w:val="24"/>
        </w:rPr>
        <w:t xml:space="preserve">population </w:t>
      </w:r>
      <w:r w:rsidR="00E76549" w:rsidRPr="00F645FC">
        <w:rPr>
          <w:rFonts w:ascii="Times New Roman" w:hAnsi="Times New Roman" w:cs="Times New Roman"/>
          <w:sz w:val="24"/>
          <w:szCs w:val="24"/>
        </w:rPr>
        <w:t xml:space="preserve">median ages </w:t>
      </w:r>
      <w:r w:rsidR="00B811F7" w:rsidRPr="00F645FC">
        <w:rPr>
          <w:rFonts w:ascii="Times New Roman" w:hAnsi="Times New Roman" w:cs="Times New Roman"/>
          <w:sz w:val="24"/>
          <w:szCs w:val="24"/>
        </w:rPr>
        <w:t xml:space="preserve">before peak data </w:t>
      </w:r>
      <w:r w:rsidR="00E76549" w:rsidRPr="00F645FC">
        <w:rPr>
          <w:rFonts w:ascii="Times New Roman" w:hAnsi="Times New Roman" w:cs="Times New Roman"/>
          <w:sz w:val="24"/>
          <w:szCs w:val="24"/>
        </w:rPr>
        <w:t>and the IRR is lowest in after p</w:t>
      </w:r>
      <w:r w:rsidR="005C404A" w:rsidRPr="00F645FC">
        <w:rPr>
          <w:rFonts w:ascii="Times New Roman" w:hAnsi="Times New Roman" w:cs="Times New Roman"/>
          <w:sz w:val="24"/>
          <w:szCs w:val="24"/>
        </w:rPr>
        <w:t>eak</w:t>
      </w:r>
      <w:r w:rsidR="00E76549" w:rsidRPr="00F645FC">
        <w:rPr>
          <w:rFonts w:ascii="Times New Roman" w:hAnsi="Times New Roman" w:cs="Times New Roman"/>
          <w:sz w:val="24"/>
          <w:szCs w:val="24"/>
        </w:rPr>
        <w:t xml:space="preserve"> </w:t>
      </w:r>
      <w:r w:rsidR="00090FF7" w:rsidRPr="00F645FC">
        <w:rPr>
          <w:rFonts w:ascii="Times New Roman" w:hAnsi="Times New Roman" w:cs="Times New Roman"/>
          <w:sz w:val="24"/>
          <w:szCs w:val="24"/>
        </w:rPr>
        <w:t>(IRR: 1.02, 95% CI: 0.99-1.04)</w:t>
      </w:r>
      <w:r w:rsidR="00E76549" w:rsidRPr="00F645FC">
        <w:rPr>
          <w:rFonts w:ascii="Times New Roman" w:hAnsi="Times New Roman" w:cs="Times New Roman"/>
          <w:sz w:val="24"/>
          <w:szCs w:val="24"/>
        </w:rPr>
        <w:t>.</w:t>
      </w:r>
      <w:r w:rsidR="001B2ADE" w:rsidRPr="00F645FC">
        <w:rPr>
          <w:rFonts w:ascii="Times New Roman" w:hAnsi="Times New Roman" w:cs="Times New Roman"/>
          <w:sz w:val="24"/>
          <w:szCs w:val="24"/>
        </w:rPr>
        <w:t xml:space="preserve"> But, the association between CFR and </w:t>
      </w:r>
      <w:r w:rsidR="00FC1F2B">
        <w:rPr>
          <w:rFonts w:ascii="Times New Roman" w:hAnsi="Times New Roman" w:cs="Times New Roman"/>
          <w:sz w:val="24"/>
          <w:szCs w:val="24"/>
        </w:rPr>
        <w:t xml:space="preserve">the </w:t>
      </w:r>
      <w:r w:rsidR="001B2ADE" w:rsidRPr="00F645FC">
        <w:rPr>
          <w:rFonts w:ascii="Times New Roman" w:hAnsi="Times New Roman" w:cs="Times New Roman"/>
          <w:sz w:val="24"/>
          <w:szCs w:val="24"/>
        </w:rPr>
        <w:t>median age isn’t significant</w:t>
      </w:r>
      <w:r w:rsidR="005C404A" w:rsidRPr="00F645FC">
        <w:rPr>
          <w:rFonts w:ascii="Times New Roman" w:hAnsi="Times New Roman" w:cs="Times New Roman"/>
          <w:sz w:val="24"/>
          <w:szCs w:val="24"/>
        </w:rPr>
        <w:t xml:space="preserve"> after peak data</w:t>
      </w:r>
      <w:r w:rsidR="001B2ADE" w:rsidRPr="00F645FC">
        <w:rPr>
          <w:rFonts w:ascii="Times New Roman" w:hAnsi="Times New Roman" w:cs="Times New Roman"/>
          <w:sz w:val="24"/>
          <w:szCs w:val="24"/>
        </w:rPr>
        <w:t>.</w:t>
      </w:r>
      <w:r w:rsidR="002F3EC7" w:rsidRPr="00F645FC">
        <w:rPr>
          <w:rFonts w:ascii="Times New Roman" w:hAnsi="Times New Roman" w:cs="Times New Roman"/>
          <w:sz w:val="24"/>
          <w:szCs w:val="24"/>
        </w:rPr>
        <w:t xml:space="preserve"> Similar results found in </w:t>
      </w:r>
      <w:r w:rsidR="00FC1F2B">
        <w:rPr>
          <w:rFonts w:ascii="Times New Roman" w:hAnsi="Times New Roman" w:cs="Times New Roman"/>
          <w:sz w:val="24"/>
          <w:szCs w:val="24"/>
        </w:rPr>
        <w:t xml:space="preserve">the </w:t>
      </w:r>
      <w:r w:rsidR="002F3EC7" w:rsidRPr="00F645FC">
        <w:rPr>
          <w:rFonts w:ascii="Times New Roman" w:hAnsi="Times New Roman" w:cs="Times New Roman"/>
          <w:sz w:val="24"/>
          <w:szCs w:val="24"/>
        </w:rPr>
        <w:t>diabetes factor, the IRR for both before and after peak information was (IRR: 0.91, 95% CI: 0.87-0.94) and (IRR: 0.97, 95% CI: 0.93-1.01)</w:t>
      </w:r>
      <w:r w:rsidR="00926BDC" w:rsidRPr="00F645FC">
        <w:rPr>
          <w:rFonts w:ascii="Times New Roman" w:hAnsi="Times New Roman" w:cs="Times New Roman"/>
          <w:sz w:val="24"/>
          <w:szCs w:val="24"/>
        </w:rPr>
        <w:t>, respectively.</w:t>
      </w:r>
      <w:r w:rsidR="00B46D37" w:rsidRPr="00F645FC">
        <w:rPr>
          <w:rFonts w:ascii="Times New Roman" w:hAnsi="Times New Roman" w:cs="Times New Roman"/>
          <w:sz w:val="24"/>
          <w:szCs w:val="24"/>
        </w:rPr>
        <w:t xml:space="preserve"> </w:t>
      </w:r>
      <w:r w:rsidR="000242B1" w:rsidRPr="00F645FC">
        <w:rPr>
          <w:rFonts w:ascii="Times New Roman" w:hAnsi="Times New Roman" w:cs="Times New Roman"/>
          <w:bCs/>
          <w:sz w:val="24"/>
          <w:szCs w:val="24"/>
        </w:rPr>
        <w:t xml:space="preserve">The IRR greater than 1 for this factor indicates the CFR increased with that factor. In this study, CFR increased 2% - 6% by </w:t>
      </w:r>
      <w:r w:rsidR="00FC1F2B">
        <w:rPr>
          <w:rFonts w:ascii="Times New Roman" w:hAnsi="Times New Roman" w:cs="Times New Roman"/>
          <w:bCs/>
          <w:sz w:val="24"/>
          <w:szCs w:val="24"/>
        </w:rPr>
        <w:t xml:space="preserve">the </w:t>
      </w:r>
      <w:r w:rsidR="000242B1" w:rsidRPr="00F645FC">
        <w:rPr>
          <w:rFonts w:ascii="Times New Roman" w:hAnsi="Times New Roman" w:cs="Times New Roman"/>
          <w:bCs/>
          <w:sz w:val="24"/>
          <w:szCs w:val="24"/>
        </w:rPr>
        <w:t>increase of median age in total population, which is similar in all stage</w:t>
      </w:r>
      <w:r w:rsidR="009E4CAE">
        <w:rPr>
          <w:rFonts w:ascii="Times New Roman" w:hAnsi="Times New Roman" w:cs="Times New Roman"/>
          <w:bCs/>
          <w:sz w:val="24"/>
          <w:szCs w:val="24"/>
        </w:rPr>
        <w:t>s</w:t>
      </w:r>
      <w:r w:rsidR="000242B1" w:rsidRPr="00F645FC">
        <w:rPr>
          <w:rFonts w:ascii="Times New Roman" w:hAnsi="Times New Roman" w:cs="Times New Roman"/>
          <w:bCs/>
          <w:sz w:val="24"/>
          <w:szCs w:val="24"/>
        </w:rPr>
        <w:t xml:space="preserve"> of the pandemic</w:t>
      </w:r>
      <w:r w:rsidR="000242B1" w:rsidRPr="00F645FC">
        <w:rPr>
          <w:rFonts w:ascii="Times New Roman" w:hAnsi="Times New Roman" w:cs="Times New Roman"/>
          <w:sz w:val="24"/>
          <w:szCs w:val="24"/>
        </w:rPr>
        <w:t>.</w:t>
      </w:r>
      <w:r w:rsidR="00BA4FB1" w:rsidRPr="00F645FC">
        <w:rPr>
          <w:rFonts w:ascii="Times New Roman" w:hAnsi="Times New Roman" w:cs="Times New Roman"/>
          <w:sz w:val="24"/>
          <w:szCs w:val="24"/>
        </w:rPr>
        <w:t xml:space="preserve"> </w:t>
      </w:r>
      <w:r w:rsidR="00BE46E0" w:rsidRPr="00F645FC">
        <w:rPr>
          <w:rFonts w:ascii="Times New Roman" w:hAnsi="Times New Roman" w:cs="Times New Roman"/>
          <w:sz w:val="24"/>
          <w:szCs w:val="24"/>
        </w:rPr>
        <w:t xml:space="preserve">A </w:t>
      </w:r>
      <w:r w:rsidR="00431CDD" w:rsidRPr="00F645FC">
        <w:rPr>
          <w:rFonts w:ascii="Times New Roman" w:hAnsi="Times New Roman" w:cs="Times New Roman"/>
          <w:sz w:val="24"/>
          <w:szCs w:val="24"/>
        </w:rPr>
        <w:t>lower insignificant</w:t>
      </w:r>
      <w:r w:rsidR="009E6285" w:rsidRPr="00F645FC">
        <w:rPr>
          <w:rFonts w:ascii="Times New Roman" w:hAnsi="Times New Roman" w:cs="Times New Roman"/>
          <w:sz w:val="24"/>
          <w:szCs w:val="24"/>
        </w:rPr>
        <w:t xml:space="preserve"> </w:t>
      </w:r>
      <w:r w:rsidR="00BE46E0" w:rsidRPr="00F645FC">
        <w:rPr>
          <w:rFonts w:ascii="Times New Roman" w:hAnsi="Times New Roman" w:cs="Times New Roman"/>
          <w:sz w:val="24"/>
          <w:szCs w:val="24"/>
        </w:rPr>
        <w:t xml:space="preserve">IRR was observed for worldwide governance indicators and had </w:t>
      </w:r>
      <w:r w:rsidR="00956FE5" w:rsidRPr="00F645FC">
        <w:rPr>
          <w:rFonts w:ascii="Times New Roman" w:hAnsi="Times New Roman" w:cs="Times New Roman"/>
          <w:sz w:val="24"/>
          <w:szCs w:val="24"/>
        </w:rPr>
        <w:t xml:space="preserve">the </w:t>
      </w:r>
      <w:r w:rsidR="00BE46E0" w:rsidRPr="00F645FC">
        <w:rPr>
          <w:rFonts w:ascii="Times New Roman" w:hAnsi="Times New Roman" w:cs="Times New Roman"/>
          <w:sz w:val="24"/>
          <w:szCs w:val="24"/>
        </w:rPr>
        <w:t>opposite correlation</w:t>
      </w:r>
      <w:r w:rsidR="00E404B4" w:rsidRPr="00F645FC">
        <w:rPr>
          <w:rFonts w:ascii="Times New Roman" w:hAnsi="Times New Roman" w:cs="Times New Roman"/>
          <w:sz w:val="24"/>
          <w:szCs w:val="24"/>
        </w:rPr>
        <w:t xml:space="preserve"> before </w:t>
      </w:r>
      <w:r w:rsidR="004016E4">
        <w:rPr>
          <w:rFonts w:ascii="Times New Roman" w:hAnsi="Times New Roman" w:cs="Times New Roman"/>
          <w:sz w:val="24"/>
          <w:szCs w:val="24"/>
        </w:rPr>
        <w:t xml:space="preserve">the </w:t>
      </w:r>
      <w:r w:rsidR="00E404B4" w:rsidRPr="00F645FC">
        <w:rPr>
          <w:rFonts w:ascii="Times New Roman" w:hAnsi="Times New Roman" w:cs="Times New Roman"/>
          <w:sz w:val="24"/>
          <w:szCs w:val="24"/>
        </w:rPr>
        <w:t>p</w:t>
      </w:r>
      <w:r w:rsidR="006A144E">
        <w:rPr>
          <w:rFonts w:ascii="Times New Roman" w:hAnsi="Times New Roman" w:cs="Times New Roman"/>
          <w:sz w:val="24"/>
          <w:szCs w:val="24"/>
        </w:rPr>
        <w:t>ea</w:t>
      </w:r>
      <w:r w:rsidR="00E404B4" w:rsidRPr="00F645FC">
        <w:rPr>
          <w:rFonts w:ascii="Times New Roman" w:hAnsi="Times New Roman" w:cs="Times New Roman"/>
          <w:sz w:val="24"/>
          <w:szCs w:val="24"/>
        </w:rPr>
        <w:t>k</w:t>
      </w:r>
      <w:r w:rsidR="00BE46E0" w:rsidRPr="00F645FC">
        <w:rPr>
          <w:rFonts w:ascii="Times New Roman" w:hAnsi="Times New Roman" w:cs="Times New Roman"/>
          <w:sz w:val="24"/>
          <w:szCs w:val="24"/>
        </w:rPr>
        <w:t xml:space="preserve"> (IRR: 0.</w:t>
      </w:r>
      <w:r w:rsidR="00E404B4" w:rsidRPr="00F645FC">
        <w:rPr>
          <w:rFonts w:ascii="Times New Roman" w:hAnsi="Times New Roman" w:cs="Times New Roman"/>
          <w:sz w:val="24"/>
          <w:szCs w:val="24"/>
        </w:rPr>
        <w:t>86</w:t>
      </w:r>
      <w:r w:rsidR="00BE46E0" w:rsidRPr="00F645FC">
        <w:rPr>
          <w:rFonts w:ascii="Times New Roman" w:hAnsi="Times New Roman" w:cs="Times New Roman"/>
          <w:sz w:val="24"/>
          <w:szCs w:val="24"/>
        </w:rPr>
        <w:t xml:space="preserve"> [95% CI: 0.</w:t>
      </w:r>
      <w:r w:rsidR="00E404B4" w:rsidRPr="00F645FC">
        <w:rPr>
          <w:rFonts w:ascii="Times New Roman" w:hAnsi="Times New Roman" w:cs="Times New Roman"/>
          <w:sz w:val="24"/>
          <w:szCs w:val="24"/>
        </w:rPr>
        <w:t>70</w:t>
      </w:r>
      <w:r w:rsidR="00BE46E0" w:rsidRPr="00F645FC">
        <w:rPr>
          <w:rFonts w:ascii="Times New Roman" w:hAnsi="Times New Roman" w:cs="Times New Roman"/>
          <w:sz w:val="24"/>
          <w:szCs w:val="24"/>
        </w:rPr>
        <w:t>-</w:t>
      </w:r>
      <w:r w:rsidR="00E404B4" w:rsidRPr="00F645FC">
        <w:rPr>
          <w:rFonts w:ascii="Times New Roman" w:hAnsi="Times New Roman" w:cs="Times New Roman"/>
          <w:sz w:val="24"/>
          <w:szCs w:val="24"/>
        </w:rPr>
        <w:t>1.05</w:t>
      </w:r>
      <w:r w:rsidR="00BE46E0" w:rsidRPr="00F645FC">
        <w:rPr>
          <w:rFonts w:ascii="Times New Roman" w:hAnsi="Times New Roman" w:cs="Times New Roman"/>
          <w:sz w:val="24"/>
          <w:szCs w:val="24"/>
        </w:rPr>
        <w:t xml:space="preserve">]) for COVID-19 </w:t>
      </w:r>
      <w:r w:rsidR="009E6285" w:rsidRPr="00F645FC">
        <w:rPr>
          <w:rFonts w:ascii="Times New Roman" w:hAnsi="Times New Roman" w:cs="Times New Roman"/>
          <w:sz w:val="24"/>
          <w:szCs w:val="24"/>
        </w:rPr>
        <w:t>CFR</w:t>
      </w:r>
      <w:r w:rsidR="00BE46E0" w:rsidRPr="00F645FC">
        <w:rPr>
          <w:rFonts w:ascii="Times New Roman" w:hAnsi="Times New Roman" w:cs="Times New Roman"/>
          <w:sz w:val="24"/>
          <w:szCs w:val="24"/>
        </w:rPr>
        <w:t>.</w:t>
      </w:r>
      <w:r w:rsidR="009E6285" w:rsidRPr="00F645FC">
        <w:rPr>
          <w:rFonts w:ascii="Times New Roman" w:hAnsi="Times New Roman" w:cs="Times New Roman"/>
          <w:sz w:val="24"/>
          <w:szCs w:val="24"/>
        </w:rPr>
        <w:t xml:space="preserve"> Surprisingly, when CFR </w:t>
      </w:r>
      <w:r w:rsidR="00431CDD" w:rsidRPr="00F645FC">
        <w:rPr>
          <w:rFonts w:ascii="Times New Roman" w:hAnsi="Times New Roman" w:cs="Times New Roman"/>
          <w:sz w:val="24"/>
          <w:szCs w:val="24"/>
        </w:rPr>
        <w:t xml:space="preserve">decreasing </w:t>
      </w:r>
      <w:r w:rsidR="00E93F16">
        <w:rPr>
          <w:rFonts w:ascii="Times New Roman" w:hAnsi="Times New Roman" w:cs="Times New Roman"/>
          <w:sz w:val="24"/>
          <w:szCs w:val="24"/>
        </w:rPr>
        <w:t>WGI</w:t>
      </w:r>
      <w:r w:rsidR="00431CDD" w:rsidRPr="00F645FC">
        <w:rPr>
          <w:rFonts w:ascii="Times New Roman" w:hAnsi="Times New Roman" w:cs="Times New Roman"/>
          <w:sz w:val="24"/>
          <w:szCs w:val="24"/>
        </w:rPr>
        <w:t xml:space="preserve"> was observed significantly correlat</w:t>
      </w:r>
      <w:r w:rsidR="00197287" w:rsidRPr="00F645FC">
        <w:rPr>
          <w:rFonts w:ascii="Times New Roman" w:hAnsi="Times New Roman" w:cs="Times New Roman"/>
          <w:sz w:val="24"/>
          <w:szCs w:val="24"/>
        </w:rPr>
        <w:t>e</w:t>
      </w:r>
      <w:r w:rsidR="00431CDD" w:rsidRPr="00F645FC">
        <w:rPr>
          <w:rFonts w:ascii="Times New Roman" w:hAnsi="Times New Roman" w:cs="Times New Roman"/>
          <w:sz w:val="24"/>
          <w:szCs w:val="24"/>
        </w:rPr>
        <w:t xml:space="preserve"> after p</w:t>
      </w:r>
      <w:r w:rsidR="00A02734" w:rsidRPr="00F645FC">
        <w:rPr>
          <w:rFonts w:ascii="Times New Roman" w:hAnsi="Times New Roman" w:cs="Times New Roman"/>
          <w:sz w:val="24"/>
          <w:szCs w:val="24"/>
        </w:rPr>
        <w:t>ea</w:t>
      </w:r>
      <w:r w:rsidR="00431CDD" w:rsidRPr="00F645FC">
        <w:rPr>
          <w:rFonts w:ascii="Times New Roman" w:hAnsi="Times New Roman" w:cs="Times New Roman"/>
          <w:sz w:val="24"/>
          <w:szCs w:val="24"/>
        </w:rPr>
        <w:t>k week (IRR: 1.26 [95% CI: 1.07-1.50]) for COVID-19 CFR</w:t>
      </w:r>
      <w:r w:rsidR="00935D80" w:rsidRPr="00F645FC">
        <w:rPr>
          <w:rFonts w:ascii="Times New Roman" w:hAnsi="Times New Roman" w:cs="Times New Roman"/>
          <w:sz w:val="24"/>
          <w:szCs w:val="24"/>
        </w:rPr>
        <w:t>.</w:t>
      </w:r>
      <w:r w:rsidR="008337F6" w:rsidRPr="00F645FC">
        <w:rPr>
          <w:rFonts w:ascii="Times New Roman" w:hAnsi="Times New Roman" w:cs="Times New Roman"/>
          <w:sz w:val="24"/>
          <w:szCs w:val="24"/>
        </w:rPr>
        <w:t xml:space="preserve"> </w:t>
      </w:r>
      <w:r w:rsidR="009E5190">
        <w:rPr>
          <w:rFonts w:ascii="Times New Roman" w:hAnsi="Times New Roman" w:cs="Times New Roman"/>
          <w:sz w:val="24"/>
          <w:szCs w:val="24"/>
        </w:rPr>
        <w:t>The n</w:t>
      </w:r>
      <w:r w:rsidR="00FA1471" w:rsidRPr="00F645FC">
        <w:rPr>
          <w:rFonts w:ascii="Times New Roman" w:hAnsi="Times New Roman" w:cs="Times New Roman"/>
          <w:sz w:val="24"/>
          <w:szCs w:val="24"/>
        </w:rPr>
        <w:t>umber of COVID-19 test</w:t>
      </w:r>
      <w:r w:rsidR="008A7975">
        <w:rPr>
          <w:rFonts w:ascii="Times New Roman" w:hAnsi="Times New Roman" w:cs="Times New Roman"/>
          <w:sz w:val="24"/>
          <w:szCs w:val="24"/>
        </w:rPr>
        <w:t>s</w:t>
      </w:r>
      <w:r w:rsidR="00FA1471" w:rsidRPr="00F645FC">
        <w:rPr>
          <w:rFonts w:ascii="Times New Roman" w:hAnsi="Times New Roman" w:cs="Times New Roman"/>
          <w:sz w:val="24"/>
          <w:szCs w:val="24"/>
        </w:rPr>
        <w:t xml:space="preserve"> may be </w:t>
      </w:r>
      <w:r w:rsidR="00B437FA" w:rsidRPr="00F645FC">
        <w:rPr>
          <w:rFonts w:ascii="Times New Roman" w:hAnsi="Times New Roman" w:cs="Times New Roman"/>
          <w:sz w:val="24"/>
          <w:szCs w:val="24"/>
        </w:rPr>
        <w:t>played</w:t>
      </w:r>
      <w:r w:rsidR="00A02734" w:rsidRPr="00F645FC">
        <w:rPr>
          <w:rFonts w:ascii="Times New Roman" w:hAnsi="Times New Roman" w:cs="Times New Roman"/>
          <w:sz w:val="24"/>
          <w:szCs w:val="24"/>
        </w:rPr>
        <w:t xml:space="preserve"> a role </w:t>
      </w:r>
      <w:r w:rsidR="008A7975">
        <w:rPr>
          <w:rFonts w:ascii="Times New Roman" w:hAnsi="Times New Roman" w:cs="Times New Roman"/>
          <w:sz w:val="24"/>
          <w:szCs w:val="24"/>
        </w:rPr>
        <w:t>in</w:t>
      </w:r>
      <w:r w:rsidR="00A02734" w:rsidRPr="00F645FC">
        <w:rPr>
          <w:rFonts w:ascii="Times New Roman" w:hAnsi="Times New Roman" w:cs="Times New Roman"/>
          <w:sz w:val="24"/>
          <w:szCs w:val="24"/>
        </w:rPr>
        <w:t xml:space="preserve"> </w:t>
      </w:r>
      <w:r w:rsidR="00B437FA" w:rsidRPr="00F645FC">
        <w:rPr>
          <w:rFonts w:ascii="Times New Roman" w:hAnsi="Times New Roman" w:cs="Times New Roman"/>
          <w:sz w:val="24"/>
          <w:szCs w:val="24"/>
        </w:rPr>
        <w:t xml:space="preserve">this variation. </w:t>
      </w:r>
      <w:r w:rsidR="00FA1471" w:rsidRPr="00F645FC">
        <w:rPr>
          <w:rFonts w:ascii="Times New Roman" w:hAnsi="Times New Roman" w:cs="Times New Roman"/>
          <w:sz w:val="24"/>
          <w:szCs w:val="24"/>
        </w:rPr>
        <w:t xml:space="preserve">Descriptive statistics of </w:t>
      </w:r>
      <w:r w:rsidR="00237189">
        <w:rPr>
          <w:rFonts w:ascii="Times New Roman" w:hAnsi="Times New Roman" w:cs="Times New Roman"/>
          <w:sz w:val="24"/>
          <w:szCs w:val="24"/>
        </w:rPr>
        <w:t xml:space="preserve">the </w:t>
      </w:r>
      <w:r w:rsidR="00FA1471" w:rsidRPr="00F645FC">
        <w:rPr>
          <w:rFonts w:ascii="Times New Roman" w:hAnsi="Times New Roman" w:cs="Times New Roman"/>
          <w:sz w:val="24"/>
          <w:szCs w:val="24"/>
        </w:rPr>
        <w:t>total number of tests (per thousand) by WGI &amp; GHSI</w:t>
      </w:r>
      <w:r w:rsidR="00B437FA" w:rsidRPr="00F645FC">
        <w:rPr>
          <w:rFonts w:ascii="Times New Roman" w:hAnsi="Times New Roman" w:cs="Times New Roman"/>
          <w:sz w:val="24"/>
          <w:szCs w:val="24"/>
        </w:rPr>
        <w:t xml:space="preserve"> are given in Table S1.</w:t>
      </w:r>
      <w:r w:rsidR="004229E5" w:rsidRPr="00F645FC">
        <w:rPr>
          <w:rFonts w:ascii="Times New Roman" w:hAnsi="Times New Roman" w:cs="Times New Roman"/>
          <w:sz w:val="24"/>
          <w:szCs w:val="24"/>
        </w:rPr>
        <w:t xml:space="preserve"> Before peak, </w:t>
      </w:r>
      <w:r w:rsidR="00E523FF">
        <w:rPr>
          <w:rFonts w:ascii="Times New Roman" w:hAnsi="Times New Roman" w:cs="Times New Roman"/>
          <w:sz w:val="24"/>
          <w:szCs w:val="24"/>
        </w:rPr>
        <w:t xml:space="preserve">the </w:t>
      </w:r>
      <w:r w:rsidR="004229E5" w:rsidRPr="00F645FC">
        <w:rPr>
          <w:rFonts w:ascii="Times New Roman" w:hAnsi="Times New Roman" w:cs="Times New Roman"/>
          <w:sz w:val="24"/>
          <w:szCs w:val="24"/>
        </w:rPr>
        <w:t xml:space="preserve">number of low governance country test lower than those countries </w:t>
      </w:r>
      <w:r w:rsidR="00381C85">
        <w:rPr>
          <w:rFonts w:ascii="Times New Roman" w:hAnsi="Times New Roman" w:cs="Times New Roman"/>
          <w:sz w:val="24"/>
          <w:szCs w:val="24"/>
        </w:rPr>
        <w:t>that</w:t>
      </w:r>
      <w:r w:rsidR="004229E5" w:rsidRPr="00F645FC">
        <w:rPr>
          <w:rFonts w:ascii="Times New Roman" w:hAnsi="Times New Roman" w:cs="Times New Roman"/>
          <w:sz w:val="24"/>
          <w:szCs w:val="24"/>
        </w:rPr>
        <w:t xml:space="preserve"> have high WGI. The mean value of test per thousand for low WGI was 53.71 where</w:t>
      </w:r>
      <w:r w:rsidR="005C4521">
        <w:rPr>
          <w:rFonts w:ascii="Times New Roman" w:hAnsi="Times New Roman" w:cs="Times New Roman"/>
          <w:sz w:val="24"/>
          <w:szCs w:val="24"/>
        </w:rPr>
        <w:t xml:space="preserve"> the</w:t>
      </w:r>
      <w:r w:rsidR="004229E5" w:rsidRPr="00F645FC">
        <w:rPr>
          <w:rFonts w:ascii="Times New Roman" w:hAnsi="Times New Roman" w:cs="Times New Roman"/>
          <w:sz w:val="24"/>
          <w:szCs w:val="24"/>
        </w:rPr>
        <w:t xml:space="preserve"> mean value of test per thousand for high WGI was 59.10. </w:t>
      </w:r>
      <w:r w:rsidR="008D0A06" w:rsidRPr="00F645FC">
        <w:rPr>
          <w:rFonts w:ascii="Times New Roman" w:hAnsi="Times New Roman" w:cs="Times New Roman"/>
          <w:sz w:val="24"/>
          <w:szCs w:val="24"/>
        </w:rPr>
        <w:t>After peak week the mean test value was much lower (44.48) for high governance countries but it was almost similar (50.58) for low governance countr</w:t>
      </w:r>
      <w:r w:rsidR="00767A3C">
        <w:rPr>
          <w:rFonts w:ascii="Times New Roman" w:hAnsi="Times New Roman" w:cs="Times New Roman"/>
          <w:sz w:val="24"/>
          <w:szCs w:val="24"/>
        </w:rPr>
        <w:t>ies</w:t>
      </w:r>
      <w:r w:rsidR="008D0A06" w:rsidRPr="00F645FC">
        <w:rPr>
          <w:rFonts w:ascii="Times New Roman" w:hAnsi="Times New Roman" w:cs="Times New Roman"/>
          <w:sz w:val="24"/>
          <w:szCs w:val="24"/>
        </w:rPr>
        <w:t>.</w:t>
      </w:r>
    </w:p>
    <w:p w14:paraId="03CDA416" w14:textId="77777777" w:rsidR="009C7F77" w:rsidRDefault="009C7F77">
      <w:pPr>
        <w:rPr>
          <w:rFonts w:ascii="Times New Roman" w:hAnsi="Times New Roman" w:cs="Times New Roman"/>
          <w:sz w:val="24"/>
          <w:szCs w:val="24"/>
        </w:rPr>
      </w:pPr>
      <w:r>
        <w:rPr>
          <w:rFonts w:ascii="Times New Roman" w:hAnsi="Times New Roman" w:cs="Times New Roman"/>
          <w:sz w:val="24"/>
          <w:szCs w:val="24"/>
        </w:rPr>
        <w:br w:type="page"/>
      </w:r>
    </w:p>
    <w:p w14:paraId="0D392708" w14:textId="77777777" w:rsidR="009C7F77" w:rsidRDefault="009C7F77" w:rsidP="00F645FC">
      <w:pPr>
        <w:tabs>
          <w:tab w:val="left" w:pos="1200"/>
        </w:tabs>
        <w:spacing w:after="0" w:line="480" w:lineRule="auto"/>
        <w:jc w:val="both"/>
        <w:rPr>
          <w:rFonts w:ascii="Times New Roman" w:hAnsi="Times New Roman" w:cs="Times New Roman"/>
          <w:b/>
          <w:bCs/>
          <w:sz w:val="24"/>
          <w:szCs w:val="24"/>
        </w:rPr>
        <w:sectPr w:rsidR="009C7F77" w:rsidSect="00691A6C">
          <w:pgSz w:w="12240" w:h="15840"/>
          <w:pgMar w:top="1440" w:right="1440" w:bottom="1440" w:left="1440" w:header="720" w:footer="720" w:gutter="0"/>
          <w:cols w:space="720"/>
          <w:docGrid w:linePitch="360"/>
        </w:sectPr>
      </w:pPr>
    </w:p>
    <w:p w14:paraId="62A2EA96" w14:textId="2556C7BB" w:rsidR="000D747B" w:rsidRPr="00F645FC" w:rsidRDefault="000D747B" w:rsidP="00F645FC">
      <w:pPr>
        <w:tabs>
          <w:tab w:val="left" w:pos="1200"/>
        </w:tabs>
        <w:spacing w:after="0" w:line="480" w:lineRule="auto"/>
        <w:jc w:val="both"/>
        <w:rPr>
          <w:rFonts w:ascii="Times New Roman" w:hAnsi="Times New Roman" w:cs="Times New Roman"/>
          <w:sz w:val="24"/>
          <w:szCs w:val="24"/>
        </w:rPr>
      </w:pPr>
      <w:r w:rsidRPr="00F645FC">
        <w:rPr>
          <w:rFonts w:ascii="Times New Roman" w:hAnsi="Times New Roman" w:cs="Times New Roman"/>
          <w:b/>
          <w:bCs/>
          <w:sz w:val="24"/>
          <w:szCs w:val="24"/>
        </w:rPr>
        <w:lastRenderedPageBreak/>
        <w:t xml:space="preserve">Table </w:t>
      </w:r>
      <w:r w:rsidR="00FA67FC" w:rsidRPr="00F645FC">
        <w:rPr>
          <w:rFonts w:ascii="Times New Roman" w:hAnsi="Times New Roman" w:cs="Times New Roman"/>
          <w:b/>
          <w:bCs/>
          <w:sz w:val="24"/>
          <w:szCs w:val="24"/>
        </w:rPr>
        <w:t>2</w:t>
      </w:r>
      <w:r w:rsidRPr="00F645FC">
        <w:rPr>
          <w:rFonts w:ascii="Times New Roman" w:hAnsi="Times New Roman" w:cs="Times New Roman"/>
          <w:b/>
          <w:bCs/>
          <w:sz w:val="24"/>
          <w:szCs w:val="24"/>
        </w:rPr>
        <w:t>. Influence of factors associated with CFR using beta regression analysis</w:t>
      </w:r>
    </w:p>
    <w:tbl>
      <w:tblPr>
        <w:tblStyle w:val="TableGrid"/>
        <w:tblW w:w="5000" w:type="pct"/>
        <w:tblLook w:val="04A0" w:firstRow="1" w:lastRow="0" w:firstColumn="1" w:lastColumn="0" w:noHBand="0" w:noVBand="1"/>
      </w:tblPr>
      <w:tblGrid>
        <w:gridCol w:w="2568"/>
        <w:gridCol w:w="819"/>
        <w:gridCol w:w="1414"/>
        <w:gridCol w:w="1230"/>
        <w:gridCol w:w="818"/>
        <w:gridCol w:w="1414"/>
        <w:gridCol w:w="1230"/>
        <w:gridCol w:w="818"/>
        <w:gridCol w:w="1414"/>
        <w:gridCol w:w="1225"/>
      </w:tblGrid>
      <w:tr w:rsidR="000D747B" w:rsidRPr="00F645FC" w14:paraId="1FA34E5B" w14:textId="77777777" w:rsidTr="009C7F77">
        <w:tc>
          <w:tcPr>
            <w:tcW w:w="991" w:type="pct"/>
          </w:tcPr>
          <w:p w14:paraId="1F0E562F" w14:textId="77777777" w:rsidR="000D747B" w:rsidRPr="00F645FC" w:rsidRDefault="000D747B" w:rsidP="00270F6F">
            <w:pPr>
              <w:tabs>
                <w:tab w:val="left" w:pos="1200"/>
              </w:tabs>
              <w:jc w:val="center"/>
              <w:rPr>
                <w:rFonts w:ascii="Times New Roman" w:hAnsi="Times New Roman" w:cs="Times New Roman"/>
                <w:b/>
                <w:bCs/>
                <w:sz w:val="24"/>
                <w:szCs w:val="24"/>
              </w:rPr>
            </w:pPr>
          </w:p>
        </w:tc>
        <w:tc>
          <w:tcPr>
            <w:tcW w:w="1336" w:type="pct"/>
            <w:gridSpan w:val="3"/>
          </w:tcPr>
          <w:p w14:paraId="040D0CD0" w14:textId="77777777" w:rsidR="000D747B" w:rsidRPr="00F645FC" w:rsidRDefault="000D747B"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Overall</w:t>
            </w:r>
          </w:p>
        </w:tc>
        <w:tc>
          <w:tcPr>
            <w:tcW w:w="1336" w:type="pct"/>
            <w:gridSpan w:val="3"/>
          </w:tcPr>
          <w:p w14:paraId="03B142D6" w14:textId="75EAF34F" w:rsidR="000D747B" w:rsidRPr="00F645FC" w:rsidRDefault="000D747B"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Before p</w:t>
            </w:r>
            <w:r w:rsidR="001850CF" w:rsidRPr="00F645FC">
              <w:rPr>
                <w:rFonts w:ascii="Times New Roman" w:hAnsi="Times New Roman" w:cs="Times New Roman"/>
                <w:b/>
                <w:bCs/>
                <w:sz w:val="24"/>
                <w:szCs w:val="24"/>
              </w:rPr>
              <w:t>eak</w:t>
            </w:r>
          </w:p>
        </w:tc>
        <w:tc>
          <w:tcPr>
            <w:tcW w:w="1336" w:type="pct"/>
            <w:gridSpan w:val="3"/>
          </w:tcPr>
          <w:p w14:paraId="425DB2DB" w14:textId="7D2D7FFC" w:rsidR="000D747B" w:rsidRPr="00F645FC" w:rsidRDefault="000D747B"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After p</w:t>
            </w:r>
            <w:r w:rsidR="00CC04B5" w:rsidRPr="00F645FC">
              <w:rPr>
                <w:rFonts w:ascii="Times New Roman" w:hAnsi="Times New Roman" w:cs="Times New Roman"/>
                <w:b/>
                <w:bCs/>
                <w:sz w:val="24"/>
                <w:szCs w:val="24"/>
              </w:rPr>
              <w:t>eak</w:t>
            </w:r>
          </w:p>
        </w:tc>
      </w:tr>
      <w:tr w:rsidR="009C7F77" w:rsidRPr="00F645FC" w14:paraId="0467327D" w14:textId="77777777" w:rsidTr="009C7F77">
        <w:tc>
          <w:tcPr>
            <w:tcW w:w="991" w:type="pct"/>
          </w:tcPr>
          <w:p w14:paraId="5701C7E2" w14:textId="77777777" w:rsidR="000D747B" w:rsidRPr="00F645FC" w:rsidRDefault="000D747B"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Variables</w:t>
            </w:r>
          </w:p>
        </w:tc>
        <w:tc>
          <w:tcPr>
            <w:tcW w:w="316" w:type="pct"/>
          </w:tcPr>
          <w:p w14:paraId="7A5E063C" w14:textId="77777777" w:rsidR="000D747B" w:rsidRPr="00F645FC" w:rsidRDefault="000D747B"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IRR</w:t>
            </w:r>
          </w:p>
        </w:tc>
        <w:tc>
          <w:tcPr>
            <w:tcW w:w="546" w:type="pct"/>
          </w:tcPr>
          <w:p w14:paraId="04222389" w14:textId="77777777" w:rsidR="000D747B" w:rsidRPr="00F645FC" w:rsidRDefault="000D747B"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95%CI</w:t>
            </w:r>
          </w:p>
        </w:tc>
        <w:tc>
          <w:tcPr>
            <w:tcW w:w="475" w:type="pct"/>
          </w:tcPr>
          <w:p w14:paraId="2CB9FC70" w14:textId="77777777" w:rsidR="000D747B" w:rsidRPr="00F645FC" w:rsidRDefault="000D747B"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P-value</w:t>
            </w:r>
          </w:p>
        </w:tc>
        <w:tc>
          <w:tcPr>
            <w:tcW w:w="316" w:type="pct"/>
          </w:tcPr>
          <w:p w14:paraId="76161AF8" w14:textId="77777777" w:rsidR="000D747B" w:rsidRPr="00F645FC" w:rsidRDefault="000D747B"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IRR</w:t>
            </w:r>
          </w:p>
        </w:tc>
        <w:tc>
          <w:tcPr>
            <w:tcW w:w="546" w:type="pct"/>
          </w:tcPr>
          <w:p w14:paraId="49158478" w14:textId="77777777" w:rsidR="000D747B" w:rsidRPr="00F645FC" w:rsidRDefault="000D747B"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95%CI</w:t>
            </w:r>
          </w:p>
        </w:tc>
        <w:tc>
          <w:tcPr>
            <w:tcW w:w="475" w:type="pct"/>
          </w:tcPr>
          <w:p w14:paraId="5987CA7B" w14:textId="77777777" w:rsidR="000D747B" w:rsidRPr="00F645FC" w:rsidRDefault="000D747B"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P-value</w:t>
            </w:r>
          </w:p>
        </w:tc>
        <w:tc>
          <w:tcPr>
            <w:tcW w:w="316" w:type="pct"/>
          </w:tcPr>
          <w:p w14:paraId="496FB72F" w14:textId="77777777" w:rsidR="000D747B" w:rsidRPr="00F645FC" w:rsidRDefault="000D747B"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IRR</w:t>
            </w:r>
          </w:p>
        </w:tc>
        <w:tc>
          <w:tcPr>
            <w:tcW w:w="546" w:type="pct"/>
          </w:tcPr>
          <w:p w14:paraId="5DD3727E" w14:textId="77777777" w:rsidR="000D747B" w:rsidRPr="00F645FC" w:rsidRDefault="000D747B"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95%CI</w:t>
            </w:r>
          </w:p>
        </w:tc>
        <w:tc>
          <w:tcPr>
            <w:tcW w:w="475" w:type="pct"/>
          </w:tcPr>
          <w:p w14:paraId="13DC459C" w14:textId="77777777" w:rsidR="000D747B" w:rsidRPr="00F645FC" w:rsidRDefault="000D747B" w:rsidP="00270F6F">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P-value</w:t>
            </w:r>
          </w:p>
        </w:tc>
      </w:tr>
      <w:tr w:rsidR="009C7F77" w:rsidRPr="00F645FC" w14:paraId="68EE85AF" w14:textId="77777777" w:rsidTr="009C7F77">
        <w:tc>
          <w:tcPr>
            <w:tcW w:w="991" w:type="pct"/>
          </w:tcPr>
          <w:p w14:paraId="06089D76"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Median age</w:t>
            </w:r>
          </w:p>
        </w:tc>
        <w:tc>
          <w:tcPr>
            <w:tcW w:w="316" w:type="pct"/>
          </w:tcPr>
          <w:p w14:paraId="138D6640"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Fonts w:ascii="Times New Roman" w:hAnsi="Times New Roman" w:cs="Times New Roman"/>
                <w:sz w:val="24"/>
                <w:szCs w:val="24"/>
                <w:bdr w:val="none" w:sz="0" w:space="0" w:color="auto" w:frame="1"/>
              </w:rPr>
              <w:t>1.06</w:t>
            </w:r>
          </w:p>
        </w:tc>
        <w:tc>
          <w:tcPr>
            <w:tcW w:w="546" w:type="pct"/>
          </w:tcPr>
          <w:p w14:paraId="32986970"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Style w:val="gnkrckgcgsb"/>
                <w:rFonts w:ascii="Times New Roman" w:eastAsia="Times New Roman" w:hAnsi="Times New Roman" w:cs="Times New Roman"/>
                <w:color w:val="000000"/>
                <w:sz w:val="24"/>
                <w:szCs w:val="24"/>
                <w:lang w:eastAsia="en-GB"/>
              </w:rPr>
              <w:t>1</w:t>
            </w:r>
            <w:r w:rsidRPr="00F645FC">
              <w:rPr>
                <w:rStyle w:val="gnkrckgcgsb"/>
                <w:rFonts w:ascii="Times New Roman" w:hAnsi="Times New Roman" w:cs="Times New Roman"/>
                <w:sz w:val="24"/>
                <w:szCs w:val="24"/>
              </w:rPr>
              <w:t>.04-1.08</w:t>
            </w:r>
          </w:p>
        </w:tc>
        <w:tc>
          <w:tcPr>
            <w:tcW w:w="475" w:type="pct"/>
          </w:tcPr>
          <w:p w14:paraId="1C11AC68"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lang w:eastAsia="en-GB"/>
              </w:rPr>
              <w:t>&lt;0.001</w:t>
            </w:r>
          </w:p>
        </w:tc>
        <w:tc>
          <w:tcPr>
            <w:tcW w:w="316" w:type="pct"/>
          </w:tcPr>
          <w:p w14:paraId="6D0FC687"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1.05</w:t>
            </w:r>
          </w:p>
        </w:tc>
        <w:tc>
          <w:tcPr>
            <w:tcW w:w="546" w:type="pct"/>
          </w:tcPr>
          <w:p w14:paraId="11402474"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Style w:val="gnkrckgcgsb"/>
                <w:rFonts w:ascii="Times New Roman" w:eastAsia="Times New Roman" w:hAnsi="Times New Roman" w:cs="Times New Roman"/>
                <w:color w:val="000000"/>
                <w:sz w:val="24"/>
                <w:szCs w:val="24"/>
                <w:lang w:eastAsia="en-GB"/>
              </w:rPr>
              <w:t>1</w:t>
            </w:r>
            <w:r w:rsidRPr="00F645FC">
              <w:rPr>
                <w:rStyle w:val="gnkrckgcgsb"/>
                <w:rFonts w:ascii="Times New Roman" w:hAnsi="Times New Roman" w:cs="Times New Roman"/>
                <w:sz w:val="24"/>
                <w:szCs w:val="24"/>
              </w:rPr>
              <w:t>.02-1.07</w:t>
            </w:r>
          </w:p>
        </w:tc>
        <w:tc>
          <w:tcPr>
            <w:tcW w:w="475" w:type="pct"/>
          </w:tcPr>
          <w:p w14:paraId="64C32FE9"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lang w:eastAsia="en-GB"/>
              </w:rPr>
              <w:t>&lt;0.001</w:t>
            </w:r>
          </w:p>
        </w:tc>
        <w:tc>
          <w:tcPr>
            <w:tcW w:w="316" w:type="pct"/>
          </w:tcPr>
          <w:p w14:paraId="2F11D935"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1.02</w:t>
            </w:r>
          </w:p>
        </w:tc>
        <w:tc>
          <w:tcPr>
            <w:tcW w:w="546" w:type="pct"/>
          </w:tcPr>
          <w:p w14:paraId="5AC69EBE"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sz w:val="24"/>
                <w:szCs w:val="24"/>
              </w:rPr>
              <w:t>0.99-1.04</w:t>
            </w:r>
          </w:p>
        </w:tc>
        <w:tc>
          <w:tcPr>
            <w:tcW w:w="475" w:type="pct"/>
          </w:tcPr>
          <w:p w14:paraId="10C4CCB9"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0.096</w:t>
            </w:r>
          </w:p>
        </w:tc>
      </w:tr>
      <w:tr w:rsidR="009C7F77" w:rsidRPr="00F645FC" w14:paraId="369DECF4" w14:textId="77777777" w:rsidTr="009C7F77">
        <w:tc>
          <w:tcPr>
            <w:tcW w:w="991" w:type="pct"/>
          </w:tcPr>
          <w:p w14:paraId="218B786C"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GDP</w:t>
            </w:r>
          </w:p>
        </w:tc>
        <w:tc>
          <w:tcPr>
            <w:tcW w:w="316" w:type="pct"/>
          </w:tcPr>
          <w:p w14:paraId="7E9785A5"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Style w:val="gnkrckgcgsb"/>
                <w:rFonts w:ascii="Times New Roman" w:eastAsia="Times New Roman" w:hAnsi="Times New Roman" w:cs="Times New Roman"/>
                <w:color w:val="000000"/>
                <w:sz w:val="24"/>
                <w:szCs w:val="24"/>
                <w:lang w:eastAsia="en-GB"/>
              </w:rPr>
              <w:t>0</w:t>
            </w:r>
            <w:r w:rsidRPr="00F645FC">
              <w:rPr>
                <w:rStyle w:val="gnkrckgcgsb"/>
                <w:rFonts w:ascii="Times New Roman" w:hAnsi="Times New Roman" w:cs="Times New Roman"/>
                <w:sz w:val="24"/>
                <w:szCs w:val="24"/>
              </w:rPr>
              <w:t>.98</w:t>
            </w:r>
          </w:p>
        </w:tc>
        <w:tc>
          <w:tcPr>
            <w:tcW w:w="546" w:type="pct"/>
          </w:tcPr>
          <w:p w14:paraId="15EF16E9"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Style w:val="gnkrckgcgsb"/>
                <w:rFonts w:ascii="Times New Roman" w:eastAsia="Times New Roman" w:hAnsi="Times New Roman" w:cs="Times New Roman"/>
                <w:color w:val="000000"/>
                <w:sz w:val="24"/>
                <w:szCs w:val="24"/>
                <w:lang w:eastAsia="en-GB"/>
              </w:rPr>
              <w:t>0</w:t>
            </w:r>
            <w:r w:rsidRPr="00F645FC">
              <w:rPr>
                <w:rStyle w:val="gnkrckgcgsb"/>
                <w:rFonts w:ascii="Times New Roman" w:hAnsi="Times New Roman" w:cs="Times New Roman"/>
                <w:sz w:val="24"/>
                <w:szCs w:val="24"/>
              </w:rPr>
              <w:t>.98-0.99</w:t>
            </w:r>
          </w:p>
        </w:tc>
        <w:tc>
          <w:tcPr>
            <w:tcW w:w="475" w:type="pct"/>
          </w:tcPr>
          <w:p w14:paraId="104EA7D0"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0.039</w:t>
            </w:r>
          </w:p>
        </w:tc>
        <w:tc>
          <w:tcPr>
            <w:tcW w:w="316" w:type="pct"/>
          </w:tcPr>
          <w:p w14:paraId="34888EC2"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lang w:eastAsia="en-GB"/>
              </w:rPr>
              <w:t>0.99</w:t>
            </w:r>
          </w:p>
        </w:tc>
        <w:tc>
          <w:tcPr>
            <w:tcW w:w="546" w:type="pct"/>
          </w:tcPr>
          <w:p w14:paraId="75D98B27"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Style w:val="gnkrckgcgsb"/>
                <w:rFonts w:ascii="Times New Roman" w:eastAsia="Times New Roman" w:hAnsi="Times New Roman" w:cs="Times New Roman"/>
                <w:color w:val="000000"/>
                <w:sz w:val="24"/>
                <w:szCs w:val="24"/>
                <w:lang w:eastAsia="en-GB"/>
              </w:rPr>
              <w:t>0</w:t>
            </w:r>
            <w:r w:rsidRPr="00F645FC">
              <w:rPr>
                <w:rStyle w:val="gnkrckgcgsb"/>
                <w:rFonts w:ascii="Times New Roman" w:hAnsi="Times New Roman" w:cs="Times New Roman"/>
                <w:sz w:val="24"/>
                <w:szCs w:val="24"/>
              </w:rPr>
              <w:t>.98-0.99</w:t>
            </w:r>
          </w:p>
        </w:tc>
        <w:tc>
          <w:tcPr>
            <w:tcW w:w="475" w:type="pct"/>
          </w:tcPr>
          <w:p w14:paraId="35BC5FD7"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0.018</w:t>
            </w:r>
          </w:p>
        </w:tc>
        <w:tc>
          <w:tcPr>
            <w:tcW w:w="316" w:type="pct"/>
          </w:tcPr>
          <w:p w14:paraId="16B57A93"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lang w:eastAsia="en-GB"/>
              </w:rPr>
              <w:t>0.99</w:t>
            </w:r>
          </w:p>
        </w:tc>
        <w:tc>
          <w:tcPr>
            <w:tcW w:w="546" w:type="pct"/>
          </w:tcPr>
          <w:p w14:paraId="4B2C071C"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Style w:val="gnkrckgcgsb"/>
                <w:rFonts w:ascii="Times New Roman" w:eastAsia="Times New Roman" w:hAnsi="Times New Roman" w:cs="Times New Roman"/>
                <w:color w:val="000000"/>
                <w:sz w:val="24"/>
                <w:szCs w:val="24"/>
                <w:lang w:eastAsia="en-GB"/>
              </w:rPr>
              <w:t>0</w:t>
            </w:r>
            <w:r w:rsidRPr="00F645FC">
              <w:rPr>
                <w:rStyle w:val="gnkrckgcgsb"/>
                <w:rFonts w:ascii="Times New Roman" w:hAnsi="Times New Roman" w:cs="Times New Roman"/>
                <w:sz w:val="24"/>
                <w:szCs w:val="24"/>
              </w:rPr>
              <w:t>.98-1.01</w:t>
            </w:r>
          </w:p>
        </w:tc>
        <w:tc>
          <w:tcPr>
            <w:tcW w:w="475" w:type="pct"/>
          </w:tcPr>
          <w:p w14:paraId="73198F5E"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0.581</w:t>
            </w:r>
          </w:p>
        </w:tc>
      </w:tr>
      <w:tr w:rsidR="009C7F77" w:rsidRPr="00F645FC" w14:paraId="1380465E" w14:textId="77777777" w:rsidTr="009C7F77">
        <w:trPr>
          <w:trHeight w:val="70"/>
        </w:trPr>
        <w:tc>
          <w:tcPr>
            <w:tcW w:w="991" w:type="pct"/>
          </w:tcPr>
          <w:p w14:paraId="63982461"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Population Density</w:t>
            </w:r>
          </w:p>
        </w:tc>
        <w:tc>
          <w:tcPr>
            <w:tcW w:w="316" w:type="pct"/>
          </w:tcPr>
          <w:p w14:paraId="5EB891FA"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Style w:val="gnkrckgcgsb"/>
                <w:rFonts w:ascii="Times New Roman" w:eastAsia="Times New Roman" w:hAnsi="Times New Roman" w:cs="Times New Roman"/>
                <w:color w:val="000000"/>
                <w:sz w:val="24"/>
                <w:szCs w:val="24"/>
                <w:lang w:eastAsia="en-GB"/>
              </w:rPr>
              <w:t>0</w:t>
            </w:r>
            <w:r w:rsidRPr="00F645FC">
              <w:rPr>
                <w:rStyle w:val="gnkrckgcgsb"/>
                <w:rFonts w:ascii="Times New Roman" w:hAnsi="Times New Roman" w:cs="Times New Roman"/>
                <w:sz w:val="24"/>
                <w:szCs w:val="24"/>
              </w:rPr>
              <w:t>.99</w:t>
            </w:r>
          </w:p>
        </w:tc>
        <w:tc>
          <w:tcPr>
            <w:tcW w:w="546" w:type="pct"/>
          </w:tcPr>
          <w:p w14:paraId="69C4FD82" w14:textId="77777777" w:rsidR="000D747B" w:rsidRPr="00F645FC" w:rsidRDefault="000D747B" w:rsidP="00270F6F">
            <w:pPr>
              <w:pStyle w:val="HTMLPreformatted"/>
              <w:shd w:val="clear" w:color="auto" w:fill="FFFFFF"/>
              <w:wordWrap w:val="0"/>
              <w:jc w:val="center"/>
              <w:rPr>
                <w:rStyle w:val="gnkrckgcgsb"/>
                <w:rFonts w:ascii="Times New Roman" w:hAnsi="Times New Roman" w:cs="Times New Roman"/>
                <w:color w:val="000000"/>
                <w:sz w:val="24"/>
                <w:szCs w:val="24"/>
              </w:rPr>
            </w:pPr>
            <w:r w:rsidRPr="00F645FC">
              <w:rPr>
                <w:rStyle w:val="gnkrckgcgsb"/>
                <w:rFonts w:ascii="Times New Roman" w:hAnsi="Times New Roman" w:cs="Times New Roman"/>
                <w:color w:val="000000"/>
                <w:sz w:val="24"/>
                <w:szCs w:val="24"/>
              </w:rPr>
              <w:t>0.98-1.01</w:t>
            </w:r>
          </w:p>
        </w:tc>
        <w:tc>
          <w:tcPr>
            <w:tcW w:w="475" w:type="pct"/>
          </w:tcPr>
          <w:p w14:paraId="453E4E53"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0.373</w:t>
            </w:r>
          </w:p>
        </w:tc>
        <w:tc>
          <w:tcPr>
            <w:tcW w:w="316" w:type="pct"/>
          </w:tcPr>
          <w:p w14:paraId="024FA7CA"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1.01</w:t>
            </w:r>
          </w:p>
        </w:tc>
        <w:tc>
          <w:tcPr>
            <w:tcW w:w="546" w:type="pct"/>
          </w:tcPr>
          <w:p w14:paraId="44E4977F"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rPr>
              <w:t>1.01-1.02</w:t>
            </w:r>
          </w:p>
        </w:tc>
        <w:tc>
          <w:tcPr>
            <w:tcW w:w="475" w:type="pct"/>
          </w:tcPr>
          <w:p w14:paraId="1094B5F0"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0.040</w:t>
            </w:r>
          </w:p>
        </w:tc>
        <w:tc>
          <w:tcPr>
            <w:tcW w:w="316" w:type="pct"/>
          </w:tcPr>
          <w:p w14:paraId="341477A7"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0.99</w:t>
            </w:r>
          </w:p>
        </w:tc>
        <w:tc>
          <w:tcPr>
            <w:tcW w:w="546" w:type="pct"/>
          </w:tcPr>
          <w:p w14:paraId="103F15BE"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rPr>
              <w:t>0.99-1.02</w:t>
            </w:r>
          </w:p>
        </w:tc>
        <w:tc>
          <w:tcPr>
            <w:tcW w:w="475" w:type="pct"/>
          </w:tcPr>
          <w:p w14:paraId="5F31C5DB"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0.063</w:t>
            </w:r>
          </w:p>
        </w:tc>
      </w:tr>
      <w:tr w:rsidR="009C7F77" w:rsidRPr="00F645FC" w14:paraId="33C13F4A" w14:textId="77777777" w:rsidTr="009C7F77">
        <w:tc>
          <w:tcPr>
            <w:tcW w:w="991" w:type="pct"/>
          </w:tcPr>
          <w:p w14:paraId="3B183587"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Latitude</w:t>
            </w:r>
          </w:p>
        </w:tc>
        <w:tc>
          <w:tcPr>
            <w:tcW w:w="316" w:type="pct"/>
          </w:tcPr>
          <w:p w14:paraId="2ACA4A6B"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0.99</w:t>
            </w:r>
          </w:p>
        </w:tc>
        <w:tc>
          <w:tcPr>
            <w:tcW w:w="546" w:type="pct"/>
          </w:tcPr>
          <w:p w14:paraId="2D95C490" w14:textId="77777777" w:rsidR="000D747B" w:rsidRPr="00F645FC" w:rsidRDefault="000D747B" w:rsidP="00270F6F">
            <w:pPr>
              <w:pStyle w:val="HTMLPreformatted"/>
              <w:shd w:val="clear" w:color="auto" w:fill="FFFFFF"/>
              <w:wordWrap w:val="0"/>
              <w:jc w:val="center"/>
              <w:rPr>
                <w:rStyle w:val="gnkrckgcgsb"/>
                <w:rFonts w:ascii="Times New Roman" w:hAnsi="Times New Roman" w:cs="Times New Roman"/>
                <w:color w:val="000000"/>
                <w:sz w:val="24"/>
                <w:szCs w:val="24"/>
                <w:bdr w:val="none" w:sz="0" w:space="0" w:color="auto" w:frame="1"/>
              </w:rPr>
            </w:pPr>
            <w:r w:rsidRPr="00F645FC">
              <w:rPr>
                <w:rStyle w:val="gnkrckgcgsb"/>
                <w:rFonts w:ascii="Times New Roman" w:hAnsi="Times New Roman" w:cs="Times New Roman"/>
                <w:color w:val="000000"/>
                <w:sz w:val="24"/>
                <w:szCs w:val="24"/>
              </w:rPr>
              <w:t>0.98-1.01</w:t>
            </w:r>
          </w:p>
        </w:tc>
        <w:tc>
          <w:tcPr>
            <w:tcW w:w="475" w:type="pct"/>
          </w:tcPr>
          <w:p w14:paraId="65A28C0C"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0.349</w:t>
            </w:r>
          </w:p>
        </w:tc>
        <w:tc>
          <w:tcPr>
            <w:tcW w:w="316" w:type="pct"/>
          </w:tcPr>
          <w:p w14:paraId="27E389FE"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0.99</w:t>
            </w:r>
          </w:p>
        </w:tc>
        <w:tc>
          <w:tcPr>
            <w:tcW w:w="546" w:type="pct"/>
          </w:tcPr>
          <w:p w14:paraId="5F31A2BF"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rPr>
              <w:t>0.98-0.99</w:t>
            </w:r>
          </w:p>
        </w:tc>
        <w:tc>
          <w:tcPr>
            <w:tcW w:w="475" w:type="pct"/>
          </w:tcPr>
          <w:p w14:paraId="0E3D728D"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0.007</w:t>
            </w:r>
          </w:p>
        </w:tc>
        <w:tc>
          <w:tcPr>
            <w:tcW w:w="316" w:type="pct"/>
          </w:tcPr>
          <w:p w14:paraId="666033AF"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1.01</w:t>
            </w:r>
          </w:p>
        </w:tc>
        <w:tc>
          <w:tcPr>
            <w:tcW w:w="546" w:type="pct"/>
          </w:tcPr>
          <w:p w14:paraId="13AB9DB7"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rPr>
              <w:t>0.98-1.01</w:t>
            </w:r>
          </w:p>
        </w:tc>
        <w:tc>
          <w:tcPr>
            <w:tcW w:w="475" w:type="pct"/>
          </w:tcPr>
          <w:p w14:paraId="39CE207D"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0.151</w:t>
            </w:r>
          </w:p>
        </w:tc>
      </w:tr>
      <w:tr w:rsidR="009C7F77" w:rsidRPr="00F645FC" w14:paraId="591D4523" w14:textId="77777777" w:rsidTr="009C7F77">
        <w:tc>
          <w:tcPr>
            <w:tcW w:w="991" w:type="pct"/>
          </w:tcPr>
          <w:p w14:paraId="17A5D898"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Diabetes</w:t>
            </w:r>
          </w:p>
        </w:tc>
        <w:tc>
          <w:tcPr>
            <w:tcW w:w="316" w:type="pct"/>
          </w:tcPr>
          <w:p w14:paraId="50730979"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0.96</w:t>
            </w:r>
          </w:p>
        </w:tc>
        <w:tc>
          <w:tcPr>
            <w:tcW w:w="546" w:type="pct"/>
          </w:tcPr>
          <w:p w14:paraId="683F4105" w14:textId="77777777" w:rsidR="000D747B" w:rsidRPr="00F645FC" w:rsidRDefault="000D747B" w:rsidP="00270F6F">
            <w:pPr>
              <w:pStyle w:val="HTMLPreformatted"/>
              <w:shd w:val="clear" w:color="auto" w:fill="FFFFFF"/>
              <w:wordWrap w:val="0"/>
              <w:jc w:val="center"/>
              <w:rPr>
                <w:rStyle w:val="gnkrckgcgsb"/>
                <w:rFonts w:ascii="Times New Roman" w:hAnsi="Times New Roman" w:cs="Times New Roman"/>
                <w:color w:val="000000"/>
                <w:sz w:val="24"/>
                <w:szCs w:val="24"/>
                <w:bdr w:val="none" w:sz="0" w:space="0" w:color="auto" w:frame="1"/>
              </w:rPr>
            </w:pPr>
            <w:r w:rsidRPr="00F645FC">
              <w:rPr>
                <w:rStyle w:val="gnkrckgcgsb"/>
                <w:rFonts w:ascii="Times New Roman" w:hAnsi="Times New Roman" w:cs="Times New Roman"/>
                <w:color w:val="000000"/>
                <w:sz w:val="24"/>
                <w:szCs w:val="24"/>
                <w:bdr w:val="none" w:sz="0" w:space="0" w:color="auto" w:frame="1"/>
              </w:rPr>
              <w:t>0.93-0.99</w:t>
            </w:r>
          </w:p>
        </w:tc>
        <w:tc>
          <w:tcPr>
            <w:tcW w:w="475" w:type="pct"/>
          </w:tcPr>
          <w:p w14:paraId="5DAE4364"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0.040</w:t>
            </w:r>
          </w:p>
        </w:tc>
        <w:tc>
          <w:tcPr>
            <w:tcW w:w="316" w:type="pct"/>
          </w:tcPr>
          <w:p w14:paraId="015C46B9"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0.91</w:t>
            </w:r>
          </w:p>
        </w:tc>
        <w:tc>
          <w:tcPr>
            <w:tcW w:w="546" w:type="pct"/>
          </w:tcPr>
          <w:p w14:paraId="4C11D031"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bdr w:val="none" w:sz="0" w:space="0" w:color="auto" w:frame="1"/>
              </w:rPr>
              <w:t>0.87-0.94</w:t>
            </w:r>
          </w:p>
        </w:tc>
        <w:tc>
          <w:tcPr>
            <w:tcW w:w="475" w:type="pct"/>
          </w:tcPr>
          <w:p w14:paraId="626CCF5A"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&lt;0.001</w:t>
            </w:r>
          </w:p>
        </w:tc>
        <w:tc>
          <w:tcPr>
            <w:tcW w:w="316" w:type="pct"/>
          </w:tcPr>
          <w:p w14:paraId="035B960D"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0.97</w:t>
            </w:r>
          </w:p>
        </w:tc>
        <w:tc>
          <w:tcPr>
            <w:tcW w:w="546" w:type="pct"/>
          </w:tcPr>
          <w:p w14:paraId="6B9828D7"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bdr w:val="none" w:sz="0" w:space="0" w:color="auto" w:frame="1"/>
              </w:rPr>
              <w:t>0.93-1.01</w:t>
            </w:r>
          </w:p>
        </w:tc>
        <w:tc>
          <w:tcPr>
            <w:tcW w:w="475" w:type="pct"/>
          </w:tcPr>
          <w:p w14:paraId="4763C22E"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0.074</w:t>
            </w:r>
          </w:p>
        </w:tc>
      </w:tr>
      <w:tr w:rsidR="009C7F77" w:rsidRPr="00F645FC" w14:paraId="29CF0408" w14:textId="77777777" w:rsidTr="009C7F77">
        <w:tc>
          <w:tcPr>
            <w:tcW w:w="991" w:type="pct"/>
          </w:tcPr>
          <w:p w14:paraId="52F2352B"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GHSI</w:t>
            </w:r>
          </w:p>
        </w:tc>
        <w:tc>
          <w:tcPr>
            <w:tcW w:w="316" w:type="pct"/>
          </w:tcPr>
          <w:p w14:paraId="30EE8A37"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0.99</w:t>
            </w:r>
          </w:p>
        </w:tc>
        <w:tc>
          <w:tcPr>
            <w:tcW w:w="546" w:type="pct"/>
          </w:tcPr>
          <w:p w14:paraId="4A39206B" w14:textId="77777777" w:rsidR="000D747B" w:rsidRPr="00F645FC" w:rsidRDefault="000D747B" w:rsidP="00270F6F">
            <w:pPr>
              <w:pStyle w:val="HTMLPreformatted"/>
              <w:shd w:val="clear" w:color="auto" w:fill="FFFFFF"/>
              <w:wordWrap w:val="0"/>
              <w:jc w:val="center"/>
              <w:rPr>
                <w:rStyle w:val="gnkrckgcgsb"/>
                <w:rFonts w:ascii="Times New Roman" w:hAnsi="Times New Roman" w:cs="Times New Roman"/>
                <w:color w:val="000000"/>
                <w:sz w:val="24"/>
                <w:szCs w:val="24"/>
                <w:bdr w:val="none" w:sz="0" w:space="0" w:color="auto" w:frame="1"/>
              </w:rPr>
            </w:pPr>
            <w:r w:rsidRPr="00F645FC">
              <w:rPr>
                <w:rStyle w:val="gnkrckgcgsb"/>
                <w:rFonts w:ascii="Times New Roman" w:hAnsi="Times New Roman" w:cs="Times New Roman"/>
                <w:color w:val="000000"/>
                <w:sz w:val="24"/>
                <w:szCs w:val="24"/>
                <w:bdr w:val="none" w:sz="0" w:space="0" w:color="auto" w:frame="1"/>
              </w:rPr>
              <w:t>0.98-1.01</w:t>
            </w:r>
          </w:p>
        </w:tc>
        <w:tc>
          <w:tcPr>
            <w:tcW w:w="475" w:type="pct"/>
          </w:tcPr>
          <w:p w14:paraId="0C9D8ACE"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0.072</w:t>
            </w:r>
          </w:p>
        </w:tc>
        <w:tc>
          <w:tcPr>
            <w:tcW w:w="316" w:type="pct"/>
          </w:tcPr>
          <w:p w14:paraId="12E2C3D3"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0.98</w:t>
            </w:r>
          </w:p>
        </w:tc>
        <w:tc>
          <w:tcPr>
            <w:tcW w:w="546" w:type="pct"/>
          </w:tcPr>
          <w:p w14:paraId="207F37F7"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bdr w:val="none" w:sz="0" w:space="0" w:color="auto" w:frame="1"/>
              </w:rPr>
              <w:t>0.97-0.99</w:t>
            </w:r>
          </w:p>
        </w:tc>
        <w:tc>
          <w:tcPr>
            <w:tcW w:w="475" w:type="pct"/>
          </w:tcPr>
          <w:p w14:paraId="4B92CF0E"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0.021</w:t>
            </w:r>
          </w:p>
        </w:tc>
        <w:tc>
          <w:tcPr>
            <w:tcW w:w="316" w:type="pct"/>
          </w:tcPr>
          <w:p w14:paraId="5A1E1B22"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1.01</w:t>
            </w:r>
          </w:p>
        </w:tc>
        <w:tc>
          <w:tcPr>
            <w:tcW w:w="546" w:type="pct"/>
          </w:tcPr>
          <w:p w14:paraId="5003D964"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bdr w:val="none" w:sz="0" w:space="0" w:color="auto" w:frame="1"/>
              </w:rPr>
              <w:t>0.99-1.01</w:t>
            </w:r>
          </w:p>
        </w:tc>
        <w:tc>
          <w:tcPr>
            <w:tcW w:w="475" w:type="pct"/>
          </w:tcPr>
          <w:p w14:paraId="3EB7BCB3"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0.224</w:t>
            </w:r>
          </w:p>
        </w:tc>
      </w:tr>
      <w:tr w:rsidR="009C7F77" w:rsidRPr="00F645FC" w14:paraId="02A3D996" w14:textId="77777777" w:rsidTr="009C7F77">
        <w:tc>
          <w:tcPr>
            <w:tcW w:w="991" w:type="pct"/>
          </w:tcPr>
          <w:p w14:paraId="05DA7B0E"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WGI</w:t>
            </w:r>
          </w:p>
        </w:tc>
        <w:tc>
          <w:tcPr>
            <w:tcW w:w="316" w:type="pct"/>
          </w:tcPr>
          <w:p w14:paraId="29AF7AE4"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Style w:val="gnkrckgcgsb"/>
                <w:rFonts w:ascii="Times New Roman" w:eastAsia="Times New Roman" w:hAnsi="Times New Roman" w:cs="Times New Roman"/>
                <w:color w:val="000000"/>
                <w:sz w:val="24"/>
                <w:szCs w:val="24"/>
                <w:lang w:eastAsia="en-GB"/>
              </w:rPr>
            </w:pPr>
            <w:r w:rsidRPr="00F645FC">
              <w:rPr>
                <w:rStyle w:val="gnkrckgcgsb"/>
                <w:rFonts w:ascii="Times New Roman" w:eastAsia="Times New Roman" w:hAnsi="Times New Roman" w:cs="Times New Roman"/>
                <w:color w:val="000000"/>
                <w:sz w:val="24"/>
                <w:szCs w:val="24"/>
                <w:lang w:eastAsia="en-GB"/>
              </w:rPr>
              <w:t>1</w:t>
            </w:r>
            <w:r w:rsidRPr="00F645FC">
              <w:rPr>
                <w:rStyle w:val="gnkrckgcgsb"/>
                <w:rFonts w:ascii="Times New Roman" w:hAnsi="Times New Roman" w:cs="Times New Roman"/>
                <w:sz w:val="24"/>
                <w:szCs w:val="24"/>
              </w:rPr>
              <w:t>.01</w:t>
            </w:r>
          </w:p>
        </w:tc>
        <w:tc>
          <w:tcPr>
            <w:tcW w:w="546" w:type="pct"/>
          </w:tcPr>
          <w:p w14:paraId="4C0A3626" w14:textId="77777777" w:rsidR="000D747B" w:rsidRPr="00F645FC" w:rsidRDefault="000D747B" w:rsidP="00270F6F">
            <w:pPr>
              <w:pStyle w:val="HTMLPreformatted"/>
              <w:shd w:val="clear" w:color="auto" w:fill="FFFFFF"/>
              <w:wordWrap w:val="0"/>
              <w:jc w:val="center"/>
              <w:rPr>
                <w:rStyle w:val="gnkrckgcgsb"/>
                <w:rFonts w:ascii="Times New Roman" w:hAnsi="Times New Roman" w:cs="Times New Roman"/>
                <w:color w:val="000000"/>
                <w:sz w:val="24"/>
                <w:szCs w:val="24"/>
                <w:bdr w:val="none" w:sz="0" w:space="0" w:color="auto" w:frame="1"/>
              </w:rPr>
            </w:pPr>
            <w:r w:rsidRPr="00F645FC">
              <w:rPr>
                <w:rStyle w:val="gnkrckgcgsb"/>
                <w:rFonts w:ascii="Times New Roman" w:hAnsi="Times New Roman" w:cs="Times New Roman"/>
                <w:color w:val="000000"/>
                <w:sz w:val="24"/>
                <w:szCs w:val="24"/>
                <w:bdr w:val="none" w:sz="0" w:space="0" w:color="auto" w:frame="1"/>
              </w:rPr>
              <w:t>0.83-1.23</w:t>
            </w:r>
          </w:p>
        </w:tc>
        <w:tc>
          <w:tcPr>
            <w:tcW w:w="475" w:type="pct"/>
          </w:tcPr>
          <w:p w14:paraId="3ECC27EC" w14:textId="77777777" w:rsidR="000D747B" w:rsidRPr="00F645FC" w:rsidRDefault="000D747B" w:rsidP="00270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sz w:val="24"/>
                <w:szCs w:val="24"/>
                <w:lang w:eastAsia="en-GB"/>
              </w:rPr>
            </w:pPr>
            <w:r w:rsidRPr="00F645FC">
              <w:rPr>
                <w:rFonts w:ascii="Times New Roman" w:eastAsia="Times New Roman" w:hAnsi="Times New Roman" w:cs="Times New Roman"/>
                <w:color w:val="000000"/>
                <w:sz w:val="24"/>
                <w:szCs w:val="24"/>
                <w:bdr w:val="none" w:sz="0" w:space="0" w:color="auto" w:frame="1"/>
                <w:lang w:eastAsia="en-GB"/>
              </w:rPr>
              <w:t>0.897</w:t>
            </w:r>
          </w:p>
        </w:tc>
        <w:tc>
          <w:tcPr>
            <w:tcW w:w="316" w:type="pct"/>
          </w:tcPr>
          <w:p w14:paraId="39245397"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0.86</w:t>
            </w:r>
          </w:p>
        </w:tc>
        <w:tc>
          <w:tcPr>
            <w:tcW w:w="546" w:type="pct"/>
          </w:tcPr>
          <w:p w14:paraId="41A78CF1"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bdr w:val="none" w:sz="0" w:space="0" w:color="auto" w:frame="1"/>
              </w:rPr>
              <w:t>0.70-1.05</w:t>
            </w:r>
          </w:p>
        </w:tc>
        <w:tc>
          <w:tcPr>
            <w:tcW w:w="475" w:type="pct"/>
          </w:tcPr>
          <w:p w14:paraId="53D6BF29"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0.140</w:t>
            </w:r>
          </w:p>
        </w:tc>
        <w:tc>
          <w:tcPr>
            <w:tcW w:w="316" w:type="pct"/>
          </w:tcPr>
          <w:p w14:paraId="707057EA"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1.26</w:t>
            </w:r>
          </w:p>
        </w:tc>
        <w:tc>
          <w:tcPr>
            <w:tcW w:w="546" w:type="pct"/>
          </w:tcPr>
          <w:p w14:paraId="20E9ABEA"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Style w:val="gnkrckgcgsb"/>
                <w:rFonts w:ascii="Times New Roman" w:hAnsi="Times New Roman" w:cs="Times New Roman"/>
                <w:color w:val="000000"/>
                <w:sz w:val="24"/>
                <w:szCs w:val="24"/>
                <w:bdr w:val="none" w:sz="0" w:space="0" w:color="auto" w:frame="1"/>
              </w:rPr>
              <w:t>1.07-1.50</w:t>
            </w:r>
          </w:p>
        </w:tc>
        <w:tc>
          <w:tcPr>
            <w:tcW w:w="475" w:type="pct"/>
          </w:tcPr>
          <w:p w14:paraId="3F74E5E2" w14:textId="77777777" w:rsidR="000D747B" w:rsidRPr="00F645FC" w:rsidRDefault="000D747B" w:rsidP="00270F6F">
            <w:pPr>
              <w:tabs>
                <w:tab w:val="left" w:pos="1200"/>
              </w:tabs>
              <w:jc w:val="center"/>
              <w:rPr>
                <w:rFonts w:ascii="Times New Roman" w:hAnsi="Times New Roman" w:cs="Times New Roman"/>
                <w:sz w:val="24"/>
                <w:szCs w:val="24"/>
              </w:rPr>
            </w:pPr>
            <w:r w:rsidRPr="00F645FC">
              <w:rPr>
                <w:rFonts w:ascii="Times New Roman" w:eastAsia="Times New Roman" w:hAnsi="Times New Roman" w:cs="Times New Roman"/>
                <w:color w:val="000000"/>
                <w:sz w:val="24"/>
                <w:szCs w:val="24"/>
                <w:bdr w:val="none" w:sz="0" w:space="0" w:color="auto" w:frame="1"/>
                <w:lang w:eastAsia="en-GB"/>
              </w:rPr>
              <w:t>0.006</w:t>
            </w:r>
          </w:p>
        </w:tc>
      </w:tr>
    </w:tbl>
    <w:p w14:paraId="1F7E36E2" w14:textId="77777777" w:rsidR="0052671B" w:rsidRPr="00F645FC" w:rsidRDefault="0052671B" w:rsidP="00270F6F">
      <w:pPr>
        <w:spacing w:after="0" w:line="240" w:lineRule="auto"/>
        <w:rPr>
          <w:rFonts w:ascii="Times New Roman" w:hAnsi="Times New Roman" w:cs="Times New Roman"/>
          <w:i/>
          <w:iCs/>
          <w:sz w:val="24"/>
          <w:szCs w:val="24"/>
        </w:rPr>
      </w:pPr>
      <w:r w:rsidRPr="00F645FC">
        <w:rPr>
          <w:rFonts w:ascii="Times New Roman" w:hAnsi="Times New Roman" w:cs="Times New Roman"/>
          <w:i/>
          <w:iCs/>
          <w:sz w:val="24"/>
          <w:szCs w:val="24"/>
        </w:rPr>
        <w:t>*Overall = COVID-19 data from 1</w:t>
      </w:r>
      <w:r w:rsidRPr="00F645FC">
        <w:rPr>
          <w:rFonts w:ascii="Times New Roman" w:hAnsi="Times New Roman" w:cs="Times New Roman"/>
          <w:i/>
          <w:iCs/>
          <w:sz w:val="24"/>
          <w:szCs w:val="24"/>
          <w:vertAlign w:val="superscript"/>
        </w:rPr>
        <w:t>st</w:t>
      </w:r>
      <w:r w:rsidRPr="00F645FC">
        <w:rPr>
          <w:rFonts w:ascii="Times New Roman" w:hAnsi="Times New Roman" w:cs="Times New Roman"/>
          <w:i/>
          <w:iCs/>
          <w:sz w:val="24"/>
          <w:szCs w:val="24"/>
        </w:rPr>
        <w:t xml:space="preserve"> January (1</w:t>
      </w:r>
      <w:r w:rsidRPr="00F645FC">
        <w:rPr>
          <w:rFonts w:ascii="Times New Roman" w:hAnsi="Times New Roman" w:cs="Times New Roman"/>
          <w:i/>
          <w:iCs/>
          <w:sz w:val="24"/>
          <w:szCs w:val="24"/>
          <w:vertAlign w:val="superscript"/>
        </w:rPr>
        <w:t>st</w:t>
      </w:r>
      <w:r w:rsidRPr="00F645FC">
        <w:rPr>
          <w:rFonts w:ascii="Times New Roman" w:hAnsi="Times New Roman" w:cs="Times New Roman"/>
          <w:i/>
          <w:iCs/>
          <w:sz w:val="24"/>
          <w:szCs w:val="24"/>
        </w:rPr>
        <w:t xml:space="preserve"> week) to 30</w:t>
      </w:r>
      <w:r w:rsidRPr="00F645FC">
        <w:rPr>
          <w:rFonts w:ascii="Times New Roman" w:hAnsi="Times New Roman" w:cs="Times New Roman"/>
          <w:i/>
          <w:iCs/>
          <w:sz w:val="24"/>
          <w:szCs w:val="24"/>
          <w:vertAlign w:val="superscript"/>
        </w:rPr>
        <w:t>th</w:t>
      </w:r>
      <w:r w:rsidRPr="00F645FC">
        <w:rPr>
          <w:rFonts w:ascii="Times New Roman" w:hAnsi="Times New Roman" w:cs="Times New Roman"/>
          <w:i/>
          <w:iCs/>
          <w:sz w:val="24"/>
          <w:szCs w:val="24"/>
        </w:rPr>
        <w:t xml:space="preserve"> June (26</w:t>
      </w:r>
      <w:r w:rsidRPr="00F645FC">
        <w:rPr>
          <w:rFonts w:ascii="Times New Roman" w:hAnsi="Times New Roman" w:cs="Times New Roman"/>
          <w:i/>
          <w:iCs/>
          <w:sz w:val="24"/>
          <w:szCs w:val="24"/>
          <w:vertAlign w:val="superscript"/>
        </w:rPr>
        <w:t>th</w:t>
      </w:r>
      <w:r w:rsidRPr="00F645FC">
        <w:rPr>
          <w:rFonts w:ascii="Times New Roman" w:hAnsi="Times New Roman" w:cs="Times New Roman"/>
          <w:i/>
          <w:iCs/>
          <w:sz w:val="24"/>
          <w:szCs w:val="24"/>
        </w:rPr>
        <w:t xml:space="preserve"> week), 2020 </w:t>
      </w:r>
    </w:p>
    <w:p w14:paraId="480C45C2" w14:textId="77777777" w:rsidR="0052671B" w:rsidRPr="00F645FC" w:rsidRDefault="0052671B" w:rsidP="00270F6F">
      <w:pPr>
        <w:spacing w:after="0" w:line="240" w:lineRule="auto"/>
        <w:rPr>
          <w:rFonts w:ascii="Times New Roman" w:hAnsi="Times New Roman" w:cs="Times New Roman"/>
          <w:i/>
          <w:iCs/>
          <w:sz w:val="24"/>
          <w:szCs w:val="24"/>
        </w:rPr>
      </w:pPr>
      <w:r w:rsidRPr="00F645FC">
        <w:rPr>
          <w:rFonts w:ascii="Times New Roman" w:hAnsi="Times New Roman" w:cs="Times New Roman"/>
          <w:i/>
          <w:iCs/>
          <w:sz w:val="24"/>
          <w:szCs w:val="24"/>
        </w:rPr>
        <w:t>*Before peak = COVID-19 data from 1</w:t>
      </w:r>
      <w:r w:rsidRPr="00F645FC">
        <w:rPr>
          <w:rFonts w:ascii="Times New Roman" w:hAnsi="Times New Roman" w:cs="Times New Roman"/>
          <w:i/>
          <w:iCs/>
          <w:sz w:val="24"/>
          <w:szCs w:val="24"/>
          <w:vertAlign w:val="superscript"/>
        </w:rPr>
        <w:t>st</w:t>
      </w:r>
      <w:r w:rsidRPr="00F645FC">
        <w:rPr>
          <w:rFonts w:ascii="Times New Roman" w:hAnsi="Times New Roman" w:cs="Times New Roman"/>
          <w:i/>
          <w:iCs/>
          <w:sz w:val="24"/>
          <w:szCs w:val="24"/>
        </w:rPr>
        <w:t xml:space="preserve"> week to 17</w:t>
      </w:r>
      <w:r w:rsidRPr="00F645FC">
        <w:rPr>
          <w:rFonts w:ascii="Times New Roman" w:hAnsi="Times New Roman" w:cs="Times New Roman"/>
          <w:i/>
          <w:iCs/>
          <w:sz w:val="24"/>
          <w:szCs w:val="24"/>
          <w:vertAlign w:val="superscript"/>
        </w:rPr>
        <w:t>th</w:t>
      </w:r>
      <w:r w:rsidRPr="00F645FC">
        <w:rPr>
          <w:rFonts w:ascii="Times New Roman" w:hAnsi="Times New Roman" w:cs="Times New Roman"/>
          <w:i/>
          <w:iCs/>
          <w:sz w:val="24"/>
          <w:szCs w:val="24"/>
        </w:rPr>
        <w:t xml:space="preserve"> week (peak week)</w:t>
      </w:r>
    </w:p>
    <w:p w14:paraId="63CB7D8D" w14:textId="77777777" w:rsidR="009C7F77" w:rsidRDefault="0052671B" w:rsidP="00270F6F">
      <w:pPr>
        <w:spacing w:after="0" w:line="240" w:lineRule="auto"/>
        <w:rPr>
          <w:rFonts w:ascii="Times New Roman" w:hAnsi="Times New Roman" w:cs="Times New Roman"/>
          <w:i/>
          <w:iCs/>
          <w:sz w:val="24"/>
          <w:szCs w:val="24"/>
        </w:rPr>
        <w:sectPr w:rsidR="009C7F77" w:rsidSect="009C7F77">
          <w:pgSz w:w="15840" w:h="12240" w:orient="landscape"/>
          <w:pgMar w:top="1440" w:right="1440" w:bottom="1440" w:left="1440" w:header="720" w:footer="720" w:gutter="0"/>
          <w:cols w:space="720"/>
          <w:docGrid w:linePitch="360"/>
        </w:sectPr>
      </w:pPr>
      <w:r w:rsidRPr="00F645FC">
        <w:rPr>
          <w:rFonts w:ascii="Times New Roman" w:hAnsi="Times New Roman" w:cs="Times New Roman"/>
          <w:i/>
          <w:iCs/>
          <w:sz w:val="24"/>
          <w:szCs w:val="24"/>
        </w:rPr>
        <w:t>*After peak = COVID-19 data from 18</w:t>
      </w:r>
      <w:r w:rsidRPr="00F645FC">
        <w:rPr>
          <w:rFonts w:ascii="Times New Roman" w:hAnsi="Times New Roman" w:cs="Times New Roman"/>
          <w:i/>
          <w:iCs/>
          <w:sz w:val="24"/>
          <w:szCs w:val="24"/>
          <w:vertAlign w:val="superscript"/>
        </w:rPr>
        <w:t>th</w:t>
      </w:r>
      <w:r w:rsidRPr="00F645FC">
        <w:rPr>
          <w:rFonts w:ascii="Times New Roman" w:hAnsi="Times New Roman" w:cs="Times New Roman"/>
          <w:i/>
          <w:iCs/>
          <w:sz w:val="24"/>
          <w:szCs w:val="24"/>
        </w:rPr>
        <w:t xml:space="preserve"> week (after peak week) to 26</w:t>
      </w:r>
      <w:r w:rsidRPr="00F645FC">
        <w:rPr>
          <w:rFonts w:ascii="Times New Roman" w:hAnsi="Times New Roman" w:cs="Times New Roman"/>
          <w:i/>
          <w:iCs/>
          <w:sz w:val="24"/>
          <w:szCs w:val="24"/>
          <w:vertAlign w:val="superscript"/>
        </w:rPr>
        <w:t>th</w:t>
      </w:r>
      <w:r w:rsidRPr="00F645FC">
        <w:rPr>
          <w:rFonts w:ascii="Times New Roman" w:hAnsi="Times New Roman" w:cs="Times New Roman"/>
          <w:i/>
          <w:iCs/>
          <w:sz w:val="24"/>
          <w:szCs w:val="24"/>
        </w:rPr>
        <w:t xml:space="preserve"> week (present)</w:t>
      </w:r>
    </w:p>
    <w:p w14:paraId="6E67BEA4" w14:textId="031C88C2" w:rsidR="00E60165" w:rsidRPr="00F645FC" w:rsidRDefault="00123CE1" w:rsidP="00F645FC">
      <w:pPr>
        <w:spacing w:after="0" w:line="480" w:lineRule="auto"/>
        <w:jc w:val="both"/>
        <w:rPr>
          <w:rFonts w:ascii="Times New Roman" w:hAnsi="Times New Roman" w:cs="Times New Roman"/>
          <w:b/>
          <w:bCs/>
          <w:sz w:val="24"/>
          <w:szCs w:val="24"/>
        </w:rPr>
      </w:pPr>
      <w:r w:rsidRPr="00F645FC">
        <w:rPr>
          <w:rFonts w:ascii="Times New Roman" w:hAnsi="Times New Roman" w:cs="Times New Roman"/>
          <w:b/>
          <w:bCs/>
          <w:sz w:val="24"/>
          <w:szCs w:val="24"/>
        </w:rPr>
        <w:lastRenderedPageBreak/>
        <w:t>Discussion</w:t>
      </w:r>
    </w:p>
    <w:p w14:paraId="381D5463" w14:textId="0538394B" w:rsidR="008F6511" w:rsidRDefault="00F30AC0"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 xml:space="preserve">The CFR can play a </w:t>
      </w:r>
      <w:r w:rsidR="007A7F5A">
        <w:rPr>
          <w:rFonts w:ascii="Times New Roman" w:hAnsi="Times New Roman" w:cs="Times New Roman"/>
          <w:sz w:val="24"/>
          <w:szCs w:val="24"/>
        </w:rPr>
        <w:t>great</w:t>
      </w:r>
      <w:r w:rsidRPr="00F645FC">
        <w:rPr>
          <w:rFonts w:ascii="Times New Roman" w:hAnsi="Times New Roman" w:cs="Times New Roman"/>
          <w:sz w:val="24"/>
          <w:szCs w:val="24"/>
        </w:rPr>
        <w:t xml:space="preserve"> role in establishing the public health threat of a given disease. </w:t>
      </w:r>
      <w:r w:rsidR="00C6339F" w:rsidRPr="00F645FC">
        <w:rPr>
          <w:rFonts w:ascii="Times New Roman" w:hAnsi="Times New Roman" w:cs="Times New Roman"/>
          <w:sz w:val="24"/>
          <w:szCs w:val="24"/>
        </w:rPr>
        <w:t>Case fatality rates are not constant; they can vary between populations and over time because countries case totals and death tolls are constantly changing as the coronavirus outbreak evolves, their death rates are not static. Accurate estimates of the relative CFR can help determine the optimal allocation of resources for surveillance, prevention, and treatment of disease</w:t>
      </w:r>
      <w:r w:rsidR="00775C12">
        <w:rPr>
          <w:rFonts w:ascii="Times New Roman" w:hAnsi="Times New Roman" w:cs="Times New Roman"/>
          <w:sz w:val="24"/>
          <w:szCs w:val="24"/>
        </w:rPr>
        <w:fldChar w:fldCharType="begin" w:fldLock="1"/>
      </w:r>
      <w:r w:rsidR="0076575D">
        <w:rPr>
          <w:rFonts w:ascii="Times New Roman" w:hAnsi="Times New Roman" w:cs="Times New Roman"/>
          <w:sz w:val="24"/>
          <w:szCs w:val="24"/>
        </w:rPr>
        <w:instrText>ADDIN CSL_CITATION {"citationItems":[{"id":"ITEM-1","itemData":{"DOI":"10.1111/j.1541-0420.2011.01709.x","ISSN":"0006341X","PMID":"22276951","abstract":"Knowing which populations are most at risk for severe outcomes from an emerging infectious disease is crucial in deciding the optimal allocation of resources during an outbreak response. The case fatality ratio (CFR) is the fraction of cases that die after contracting a disease. The relative CFR is the factor by which the case fatality in one group is greater or less than that in a second group. Incomplete reporting of the number of infected individuals, both recovered and dead, can lead to biased estimates of the CFR. We define conditions under which the CFR and the relative CFR are identifiable. Furthermore, we propose an estimator for the relative CFR that controls for time-varying reporting rates. We generalize our methods to account for elapsed time between infection and death. To demonstrate the new methodology, we use data from the 1918 influenza pandemic to estimate relative CFRs between counties in Maryland. A simulation study evaluates the performance of the methods in outbreak scenarios. An R software package makes the methods and data presented here freely available. Our work highlights the limitations and challenges associated with estimating absolute and relative CFRs in practice. However, in certain situations, the methods presented here can help identify vulnerable subpopulations early in an outbreak of an emerging pathogen such as pandemic influenza. © 2012, The International Biometric Society.","author":[{"dropping-particle":"","family":"Reich","given":"Nicholas G.","non-dropping-particle":"","parse-names":false,"suffix":""},{"dropping-particle":"","family":"Lessler","given":"Justin","non-dropping-particle":"","parse-names":false,"suffix":""},{"dropping-particle":"","family":"Cummings","given":"Derek A.T.","non-dropping-particle":"","parse-names":false,"suffix":""},{"dropping-particle":"","family":"Brookmeyer","given":"Ron","non-dropping-particle":"","parse-names":false,"suffix":""}],"container-title":"Biometrics","id":"ITEM-1","issue":"2","issued":{"date-parts":[["2012","6"]]},"page":"598-606","publisher":"Wiley-Blackwell","title":"Estimating Absolute and Relative Case Fatality Ratios from Infectious Disease Surveillance Data","type":"article-journal","volume":"68"},"uris":["http://www.mendeley.com/documents/?uuid=24698d3a-dce3-314f-bd3c-9e2e36a1b3f0"]}],"mendeley":{"formattedCitation":"&lt;sup&gt;27&lt;/sup&gt;","plainTextFormattedCitation":"27","previouslyFormattedCitation":"&lt;sup&gt;27&lt;/sup&gt;"},"properties":{"noteIndex":0},"schema":"https://github.com/citation-style-language/schema/raw/master/csl-citation.json"}</w:instrText>
      </w:r>
      <w:r w:rsidR="00775C12">
        <w:rPr>
          <w:rFonts w:ascii="Times New Roman" w:hAnsi="Times New Roman" w:cs="Times New Roman"/>
          <w:sz w:val="24"/>
          <w:szCs w:val="24"/>
        </w:rPr>
        <w:fldChar w:fldCharType="separate"/>
      </w:r>
      <w:r w:rsidR="00775C12" w:rsidRPr="009C7F77">
        <w:rPr>
          <w:rFonts w:ascii="Times New Roman" w:hAnsi="Times New Roman" w:cs="Times New Roman"/>
          <w:noProof/>
          <w:sz w:val="24"/>
          <w:szCs w:val="24"/>
          <w:vertAlign w:val="superscript"/>
        </w:rPr>
        <w:t>27</w:t>
      </w:r>
      <w:r w:rsidR="00775C12">
        <w:rPr>
          <w:rFonts w:ascii="Times New Roman" w:hAnsi="Times New Roman" w:cs="Times New Roman"/>
          <w:sz w:val="24"/>
          <w:szCs w:val="24"/>
        </w:rPr>
        <w:fldChar w:fldCharType="end"/>
      </w:r>
      <w:r w:rsidR="00C6339F" w:rsidRPr="00F645FC">
        <w:rPr>
          <w:rFonts w:ascii="Times New Roman" w:hAnsi="Times New Roman" w:cs="Times New Roman"/>
          <w:sz w:val="24"/>
          <w:szCs w:val="24"/>
        </w:rPr>
        <w:t>.</w:t>
      </w:r>
      <w:r w:rsidR="00DF42F8" w:rsidRPr="00F645FC">
        <w:rPr>
          <w:rFonts w:ascii="Times New Roman" w:hAnsi="Times New Roman" w:cs="Times New Roman"/>
          <w:sz w:val="24"/>
          <w:szCs w:val="24"/>
        </w:rPr>
        <w:t xml:space="preserve"> </w:t>
      </w:r>
      <w:r w:rsidR="00D510C1" w:rsidRPr="00F645FC">
        <w:rPr>
          <w:rFonts w:ascii="Times New Roman" w:hAnsi="Times New Roman" w:cs="Times New Roman"/>
          <w:sz w:val="24"/>
          <w:szCs w:val="24"/>
        </w:rPr>
        <w:t>CFRs</w:t>
      </w:r>
      <w:r w:rsidR="00C47ADE">
        <w:rPr>
          <w:rFonts w:ascii="Times New Roman" w:hAnsi="Times New Roman" w:cs="Times New Roman"/>
          <w:sz w:val="24"/>
          <w:szCs w:val="24"/>
        </w:rPr>
        <w:t xml:space="preserve"> </w:t>
      </w:r>
      <w:r w:rsidR="00D510C1" w:rsidRPr="00F645FC">
        <w:rPr>
          <w:rFonts w:ascii="Times New Roman" w:hAnsi="Times New Roman" w:cs="Times New Roman"/>
          <w:sz w:val="24"/>
          <w:szCs w:val="24"/>
        </w:rPr>
        <w:t xml:space="preserve">associated with COVID-19 vary strongly across countries and over time within countries. </w:t>
      </w:r>
      <w:r w:rsidR="00085FE5" w:rsidRPr="00F645FC">
        <w:rPr>
          <w:rFonts w:ascii="Times New Roman" w:hAnsi="Times New Roman" w:cs="Times New Roman"/>
          <w:sz w:val="24"/>
          <w:szCs w:val="24"/>
        </w:rPr>
        <w:t>Although the virus spread most of the country, the rate of CFR is decreasing sharply</w:t>
      </w:r>
      <w:r w:rsidR="00145D2F">
        <w:rPr>
          <w:rFonts w:ascii="Times New Roman" w:hAnsi="Times New Roman" w:cs="Times New Roman"/>
          <w:sz w:val="24"/>
          <w:szCs w:val="24"/>
        </w:rPr>
        <w:t xml:space="preserve"> over time</w:t>
      </w:r>
      <w:r w:rsidR="00085FE5" w:rsidRPr="00F645FC">
        <w:rPr>
          <w:rFonts w:ascii="Times New Roman" w:hAnsi="Times New Roman" w:cs="Times New Roman"/>
          <w:sz w:val="24"/>
          <w:szCs w:val="24"/>
        </w:rPr>
        <w:t>.</w:t>
      </w:r>
    </w:p>
    <w:p w14:paraId="626A1644" w14:textId="50E0B3C5" w:rsidR="00EF0EE7" w:rsidRPr="00F645FC" w:rsidRDefault="00F1401E"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t xml:space="preserve">Many </w:t>
      </w:r>
      <w:r w:rsidR="00C512FE" w:rsidRPr="00F645FC">
        <w:rPr>
          <w:rFonts w:ascii="Times New Roman" w:hAnsi="Times New Roman" w:cs="Times New Roman"/>
          <w:sz w:val="24"/>
          <w:szCs w:val="24"/>
        </w:rPr>
        <w:t>factors</w:t>
      </w:r>
      <w:r w:rsidRPr="00F645FC">
        <w:rPr>
          <w:rFonts w:ascii="Times New Roman" w:hAnsi="Times New Roman" w:cs="Times New Roman"/>
          <w:sz w:val="24"/>
          <w:szCs w:val="24"/>
        </w:rPr>
        <w:t xml:space="preserve"> associated with </w:t>
      </w:r>
      <w:r w:rsidR="00085FE5" w:rsidRPr="00F645FC">
        <w:rPr>
          <w:rFonts w:ascii="Times New Roman" w:hAnsi="Times New Roman" w:cs="Times New Roman"/>
          <w:sz w:val="24"/>
          <w:szCs w:val="24"/>
        </w:rPr>
        <w:t xml:space="preserve">these CFR </w:t>
      </w:r>
      <w:r w:rsidR="008F6511">
        <w:rPr>
          <w:rFonts w:ascii="Times New Roman" w:hAnsi="Times New Roman" w:cs="Times New Roman"/>
          <w:sz w:val="24"/>
          <w:szCs w:val="24"/>
        </w:rPr>
        <w:t xml:space="preserve">and the factor vary at </w:t>
      </w:r>
      <w:r w:rsidR="00843F69">
        <w:rPr>
          <w:rFonts w:ascii="Times New Roman" w:hAnsi="Times New Roman" w:cs="Times New Roman"/>
          <w:sz w:val="24"/>
          <w:szCs w:val="24"/>
        </w:rPr>
        <w:t xml:space="preserve">the </w:t>
      </w:r>
      <w:r w:rsidR="008F6511">
        <w:rPr>
          <w:rFonts w:ascii="Times New Roman" w:hAnsi="Times New Roman" w:cs="Times New Roman"/>
          <w:sz w:val="24"/>
          <w:szCs w:val="24"/>
        </w:rPr>
        <w:t>various stage to explained CFR</w:t>
      </w:r>
      <w:r w:rsidR="00BC1D1C" w:rsidRPr="00F645FC">
        <w:rPr>
          <w:rFonts w:ascii="Times New Roman" w:hAnsi="Times New Roman" w:cs="Times New Roman"/>
          <w:sz w:val="24"/>
          <w:szCs w:val="24"/>
        </w:rPr>
        <w:t>.</w:t>
      </w:r>
      <w:r w:rsidR="008F6511">
        <w:rPr>
          <w:rFonts w:ascii="Times New Roman" w:hAnsi="Times New Roman" w:cs="Times New Roman"/>
          <w:sz w:val="24"/>
          <w:szCs w:val="24"/>
        </w:rPr>
        <w:t xml:space="preserve"> </w:t>
      </w:r>
      <w:r w:rsidR="00BC1D1C" w:rsidRPr="00F645FC">
        <w:rPr>
          <w:rFonts w:ascii="Times New Roman" w:hAnsi="Times New Roman" w:cs="Times New Roman"/>
          <w:sz w:val="24"/>
          <w:szCs w:val="24"/>
        </w:rPr>
        <w:t>In</w:t>
      </w:r>
      <w:r w:rsidR="00C512FE" w:rsidRPr="00F645FC">
        <w:rPr>
          <w:rFonts w:ascii="Times New Roman" w:hAnsi="Times New Roman" w:cs="Times New Roman"/>
          <w:sz w:val="24"/>
          <w:szCs w:val="24"/>
        </w:rPr>
        <w:t xml:space="preserve"> our finding</w:t>
      </w:r>
      <w:r w:rsidR="00211B10" w:rsidRPr="00F645FC">
        <w:rPr>
          <w:rFonts w:ascii="Times New Roman" w:hAnsi="Times New Roman" w:cs="Times New Roman"/>
          <w:sz w:val="24"/>
          <w:szCs w:val="24"/>
        </w:rPr>
        <w:t>s</w:t>
      </w:r>
      <w:r w:rsidR="00BC1D1C" w:rsidRPr="00F645FC">
        <w:rPr>
          <w:rFonts w:ascii="Times New Roman" w:hAnsi="Times New Roman" w:cs="Times New Roman"/>
          <w:sz w:val="24"/>
          <w:szCs w:val="24"/>
        </w:rPr>
        <w:t>, all countries CFR increases overtime at the be</w:t>
      </w:r>
      <w:r w:rsidR="00497635">
        <w:rPr>
          <w:rFonts w:ascii="Times New Roman" w:hAnsi="Times New Roman" w:cs="Times New Roman"/>
          <w:sz w:val="24"/>
          <w:szCs w:val="24"/>
        </w:rPr>
        <w:t>ginning</w:t>
      </w:r>
      <w:r w:rsidR="00BC1D1C" w:rsidRPr="00F645FC">
        <w:rPr>
          <w:rFonts w:ascii="Times New Roman" w:hAnsi="Times New Roman" w:cs="Times New Roman"/>
          <w:sz w:val="24"/>
          <w:szCs w:val="24"/>
        </w:rPr>
        <w:t xml:space="preserve"> of the pandemic</w:t>
      </w:r>
      <w:r w:rsidR="00B013A7">
        <w:rPr>
          <w:rFonts w:ascii="Times New Roman" w:hAnsi="Times New Roman" w:cs="Times New Roman"/>
          <w:sz w:val="24"/>
          <w:szCs w:val="24"/>
        </w:rPr>
        <w:t xml:space="preserve"> and </w:t>
      </w:r>
      <w:r w:rsidR="00285E8D">
        <w:rPr>
          <w:rFonts w:ascii="Times New Roman" w:hAnsi="Times New Roman" w:cs="Times New Roman"/>
          <w:sz w:val="24"/>
          <w:szCs w:val="24"/>
        </w:rPr>
        <w:t>i</w:t>
      </w:r>
      <w:r w:rsidR="00BC1D1C" w:rsidRPr="00F645FC">
        <w:rPr>
          <w:rFonts w:ascii="Times New Roman" w:hAnsi="Times New Roman" w:cs="Times New Roman"/>
          <w:sz w:val="24"/>
          <w:szCs w:val="24"/>
        </w:rPr>
        <w:t>t</w:t>
      </w:r>
      <w:r w:rsidR="00285E8D">
        <w:rPr>
          <w:rFonts w:ascii="Times New Roman" w:hAnsi="Times New Roman" w:cs="Times New Roman"/>
          <w:sz w:val="24"/>
          <w:szCs w:val="24"/>
        </w:rPr>
        <w:t xml:space="preserve"> begins</w:t>
      </w:r>
      <w:r w:rsidR="00532739">
        <w:rPr>
          <w:rFonts w:ascii="Times New Roman" w:hAnsi="Times New Roman" w:cs="Times New Roman"/>
          <w:sz w:val="24"/>
          <w:szCs w:val="24"/>
        </w:rPr>
        <w:t xml:space="preserve"> to</w:t>
      </w:r>
      <w:r w:rsidR="00BC1D1C" w:rsidRPr="00F645FC">
        <w:rPr>
          <w:rFonts w:ascii="Times New Roman" w:hAnsi="Times New Roman" w:cs="Times New Roman"/>
          <w:sz w:val="24"/>
          <w:szCs w:val="24"/>
        </w:rPr>
        <w:t xml:space="preserve"> decrea</w:t>
      </w:r>
      <w:r w:rsidR="00285E8D">
        <w:rPr>
          <w:rFonts w:ascii="Times New Roman" w:hAnsi="Times New Roman" w:cs="Times New Roman"/>
          <w:sz w:val="24"/>
          <w:szCs w:val="24"/>
        </w:rPr>
        <w:t>s</w:t>
      </w:r>
      <w:r w:rsidR="003364C5">
        <w:rPr>
          <w:rFonts w:ascii="Times New Roman" w:hAnsi="Times New Roman" w:cs="Times New Roman"/>
          <w:sz w:val="24"/>
          <w:szCs w:val="24"/>
        </w:rPr>
        <w:t>ing</w:t>
      </w:r>
      <w:r w:rsidR="00BC1D1C" w:rsidRPr="00F645FC">
        <w:rPr>
          <w:rFonts w:ascii="Times New Roman" w:hAnsi="Times New Roman" w:cs="Times New Roman"/>
          <w:sz w:val="24"/>
          <w:szCs w:val="24"/>
        </w:rPr>
        <w:t xml:space="preserve"> when most of the developed </w:t>
      </w:r>
      <w:r w:rsidR="00C512FE" w:rsidRPr="00F645FC">
        <w:rPr>
          <w:rFonts w:ascii="Times New Roman" w:hAnsi="Times New Roman" w:cs="Times New Roman"/>
          <w:sz w:val="24"/>
          <w:szCs w:val="24"/>
        </w:rPr>
        <w:t xml:space="preserve">countries </w:t>
      </w:r>
      <w:r w:rsidR="00BC1D1C" w:rsidRPr="00F645FC">
        <w:rPr>
          <w:rFonts w:ascii="Times New Roman" w:hAnsi="Times New Roman" w:cs="Times New Roman"/>
          <w:sz w:val="24"/>
          <w:szCs w:val="24"/>
        </w:rPr>
        <w:t>conduct</w:t>
      </w:r>
      <w:r w:rsidR="00C512FE" w:rsidRPr="00F645FC">
        <w:rPr>
          <w:rFonts w:ascii="Times New Roman" w:hAnsi="Times New Roman" w:cs="Times New Roman"/>
          <w:sz w:val="24"/>
          <w:szCs w:val="24"/>
        </w:rPr>
        <w:t xml:space="preserve"> extensive early testing of contacts to known cases (</w:t>
      </w:r>
      <w:r w:rsidR="006E5DA3" w:rsidRPr="00F645FC">
        <w:rPr>
          <w:rFonts w:ascii="Times New Roman" w:hAnsi="Times New Roman" w:cs="Times New Roman"/>
          <w:sz w:val="24"/>
          <w:szCs w:val="24"/>
        </w:rPr>
        <w:t xml:space="preserve">most of the countries of </w:t>
      </w:r>
      <w:r w:rsidR="00C512FE" w:rsidRPr="00F645FC">
        <w:rPr>
          <w:rFonts w:ascii="Times New Roman" w:hAnsi="Times New Roman" w:cs="Times New Roman"/>
          <w:sz w:val="24"/>
          <w:szCs w:val="24"/>
        </w:rPr>
        <w:t xml:space="preserve"> </w:t>
      </w:r>
      <w:r w:rsidR="006E5DA3" w:rsidRPr="00F645FC">
        <w:rPr>
          <w:rFonts w:ascii="Times New Roman" w:hAnsi="Times New Roman" w:cs="Times New Roman"/>
          <w:bCs/>
          <w:sz w:val="24"/>
          <w:szCs w:val="24"/>
        </w:rPr>
        <w:t>PAHO and EURO</w:t>
      </w:r>
      <w:r w:rsidR="00DF5D57">
        <w:rPr>
          <w:rFonts w:ascii="Times New Roman" w:hAnsi="Times New Roman" w:cs="Times New Roman"/>
          <w:bCs/>
          <w:sz w:val="24"/>
          <w:szCs w:val="24"/>
        </w:rPr>
        <w:t xml:space="preserve"> regions</w:t>
      </w:r>
      <w:r w:rsidR="00C512FE" w:rsidRPr="00F645FC">
        <w:rPr>
          <w:rFonts w:ascii="Times New Roman" w:hAnsi="Times New Roman" w:cs="Times New Roman"/>
          <w:sz w:val="24"/>
          <w:szCs w:val="24"/>
        </w:rPr>
        <w:t xml:space="preserve">) are largely driven by differences in fatality and not by differences in the age distribution, suggesting that those countries might be more successful at catching the mild and asymptomatic cases among the younger population groups. </w:t>
      </w:r>
      <w:r w:rsidR="00211B10" w:rsidRPr="00F645FC">
        <w:rPr>
          <w:rFonts w:ascii="Times New Roman" w:hAnsi="Times New Roman" w:cs="Times New Roman"/>
          <w:sz w:val="24"/>
          <w:szCs w:val="24"/>
        </w:rPr>
        <w:t xml:space="preserve">At the beginning </w:t>
      </w:r>
      <w:r w:rsidR="00005F42">
        <w:rPr>
          <w:rFonts w:ascii="Times New Roman" w:hAnsi="Times New Roman" w:cs="Times New Roman"/>
          <w:sz w:val="24"/>
          <w:szCs w:val="24"/>
        </w:rPr>
        <w:t>of the</w:t>
      </w:r>
      <w:r w:rsidR="00211B10" w:rsidRPr="00F645FC">
        <w:rPr>
          <w:rFonts w:ascii="Times New Roman" w:hAnsi="Times New Roman" w:cs="Times New Roman"/>
          <w:sz w:val="24"/>
          <w:szCs w:val="24"/>
        </w:rPr>
        <w:t xml:space="preserve"> peak period, the data shows, age was a significant factor but with time it was not explain</w:t>
      </w:r>
      <w:r w:rsidR="00082BA0">
        <w:rPr>
          <w:rFonts w:ascii="Times New Roman" w:hAnsi="Times New Roman" w:cs="Times New Roman"/>
          <w:sz w:val="24"/>
          <w:szCs w:val="24"/>
        </w:rPr>
        <w:t>ed</w:t>
      </w:r>
      <w:r w:rsidR="00211B10" w:rsidRPr="00F645FC">
        <w:rPr>
          <w:rFonts w:ascii="Times New Roman" w:hAnsi="Times New Roman" w:cs="Times New Roman"/>
          <w:sz w:val="24"/>
          <w:szCs w:val="24"/>
        </w:rPr>
        <w:t xml:space="preserve"> that much of variations. </w:t>
      </w:r>
      <w:r w:rsidR="00C512FE" w:rsidRPr="00F645FC">
        <w:rPr>
          <w:rFonts w:ascii="Times New Roman" w:hAnsi="Times New Roman" w:cs="Times New Roman"/>
          <w:sz w:val="24"/>
          <w:szCs w:val="24"/>
        </w:rPr>
        <w:t>However, it is also plausible that the extensive testing itself in these countries prevented undetected community spread to older population groups.</w:t>
      </w:r>
    </w:p>
    <w:p w14:paraId="39F619B2" w14:textId="6341DF99" w:rsidR="006229F8" w:rsidRDefault="006E013D" w:rsidP="00F645FC">
      <w:pPr>
        <w:spacing w:after="0" w:line="480" w:lineRule="auto"/>
        <w:jc w:val="both"/>
        <w:rPr>
          <w:rFonts w:ascii="Times New Roman" w:hAnsi="Times New Roman" w:cs="Times New Roman"/>
          <w:sz w:val="24"/>
          <w:szCs w:val="24"/>
        </w:rPr>
      </w:pPr>
      <w:r w:rsidRPr="006E013D">
        <w:rPr>
          <w:rFonts w:ascii="Times New Roman" w:hAnsi="Times New Roman" w:cs="Times New Roman"/>
          <w:sz w:val="24"/>
          <w:szCs w:val="24"/>
        </w:rPr>
        <w:t xml:space="preserve">The World Health Organization (WHO) welcomes the results of preliminary clinical trials from the United Kingdom that show dexamethasone, a corticosteroid, may save lives for patients with </w:t>
      </w:r>
      <w:r w:rsidR="001A62E4">
        <w:rPr>
          <w:rFonts w:ascii="Times New Roman" w:hAnsi="Times New Roman" w:cs="Times New Roman"/>
          <w:sz w:val="24"/>
          <w:szCs w:val="24"/>
        </w:rPr>
        <w:t xml:space="preserve">the </w:t>
      </w:r>
      <w:r w:rsidRPr="006E013D">
        <w:rPr>
          <w:rFonts w:ascii="Times New Roman" w:hAnsi="Times New Roman" w:cs="Times New Roman"/>
          <w:sz w:val="24"/>
          <w:szCs w:val="24"/>
        </w:rPr>
        <w:t>COVD-19 crisis.</w:t>
      </w:r>
      <w:r>
        <w:rPr>
          <w:rFonts w:ascii="Times New Roman" w:hAnsi="Times New Roman" w:cs="Times New Roman"/>
          <w:sz w:val="24"/>
          <w:szCs w:val="24"/>
        </w:rPr>
        <w:t xml:space="preserve"> </w:t>
      </w:r>
      <w:r w:rsidRPr="006E013D">
        <w:rPr>
          <w:rFonts w:ascii="Times New Roman" w:hAnsi="Times New Roman" w:cs="Times New Roman"/>
          <w:sz w:val="24"/>
          <w:szCs w:val="24"/>
        </w:rPr>
        <w:t>In the case of ventilator patients, the treatment was found to reduce the mortality rate by about one-third, and for patients who needed oxygen, the mortality rate was reduced by about one-fifth, according to preliminary studies shared with the WHO</w:t>
      </w:r>
      <w:r w:rsidR="00EF0EE7" w:rsidRPr="00F645FC">
        <w:rPr>
          <w:rFonts w:ascii="Times New Roman" w:hAnsi="Times New Roman" w:cs="Times New Roman"/>
          <w:sz w:val="24"/>
          <w:szCs w:val="24"/>
        </w:rPr>
        <w:fldChar w:fldCharType="begin" w:fldLock="1"/>
      </w:r>
      <w:r w:rsidR="0076575D">
        <w:rPr>
          <w:rFonts w:ascii="Times New Roman" w:hAnsi="Times New Roman" w:cs="Times New Roman"/>
          <w:sz w:val="24"/>
          <w:szCs w:val="24"/>
        </w:rPr>
        <w:instrText>ADDIN CSL_CITATION {"citationItems":[{"id":"ITEM-1","itemData":{"URL":"https://www.who.int/news-room/detail/16-06-2020-who-welcomes-preliminary-results-about-dexamethasone-use-in-treating-critically-ill-covid-19-patients","accessed":{"date-parts":[["2020","7","31"]]},"author":[{"dropping-particle":"","family":"WHO","given":"","non-dropping-particle":"","parse-names":false,"suffix":""}],"id":"ITEM-1","issued":{"date-parts":[["0"]]},"title":"WHO welcomes preliminary results about dexamethasone use in treating critically ill COVID-19 patients","type":"webpage"},"uris":["http://www.mendeley.com/documents/?uuid=9be63968-34cf-3f4e-84d4-629837ccc4eb"]}],"mendeley":{"formattedCitation":"&lt;sup&gt;28&lt;/sup&gt;","plainTextFormattedCitation":"28","previouslyFormattedCitation":"&lt;sup&gt;28&lt;/sup&gt;"},"properties":{"noteIndex":0},"schema":"https://github.com/citation-style-language/schema/raw/master/csl-citation.json"}</w:instrText>
      </w:r>
      <w:r w:rsidR="00EF0EE7"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28</w:t>
      </w:r>
      <w:r w:rsidR="00EF0EE7" w:rsidRPr="00F645FC">
        <w:rPr>
          <w:rFonts w:ascii="Times New Roman" w:hAnsi="Times New Roman" w:cs="Times New Roman"/>
          <w:sz w:val="24"/>
          <w:szCs w:val="24"/>
        </w:rPr>
        <w:fldChar w:fldCharType="end"/>
      </w:r>
      <w:r w:rsidR="00EF0EE7" w:rsidRPr="00F645FC">
        <w:rPr>
          <w:rFonts w:ascii="Times New Roman" w:hAnsi="Times New Roman" w:cs="Times New Roman"/>
          <w:sz w:val="24"/>
          <w:szCs w:val="24"/>
        </w:rPr>
        <w:t xml:space="preserve">. </w:t>
      </w:r>
      <w:r w:rsidR="00E2503B" w:rsidRPr="00F645FC">
        <w:rPr>
          <w:rFonts w:ascii="Times New Roman" w:hAnsi="Times New Roman" w:cs="Times New Roman"/>
          <w:sz w:val="24"/>
          <w:szCs w:val="24"/>
        </w:rPr>
        <w:t>Furthermore, On May 1, 2020</w:t>
      </w:r>
      <w:r w:rsidR="00E2503B" w:rsidRPr="006E013D">
        <w:rPr>
          <w:rFonts w:ascii="Times New Roman" w:hAnsi="Times New Roman" w:cs="Times New Roman"/>
          <w:sz w:val="24"/>
          <w:szCs w:val="24"/>
        </w:rPr>
        <w:t xml:space="preserve">, the </w:t>
      </w:r>
      <w:r w:rsidR="008B01EB" w:rsidRPr="008B01EB">
        <w:rPr>
          <w:rFonts w:ascii="Times New Roman" w:hAnsi="Times New Roman" w:cs="Times New Roman"/>
          <w:sz w:val="24"/>
          <w:szCs w:val="24"/>
        </w:rPr>
        <w:t xml:space="preserve">U.S. Food and Drug Administration </w:t>
      </w:r>
      <w:r w:rsidR="008B01EB">
        <w:rPr>
          <w:rFonts w:ascii="Times New Roman" w:hAnsi="Times New Roman" w:cs="Times New Roman"/>
          <w:sz w:val="24"/>
          <w:szCs w:val="24"/>
        </w:rPr>
        <w:t xml:space="preserve">(FDA) </w:t>
      </w:r>
      <w:r w:rsidR="00E2503B" w:rsidRPr="006E013D">
        <w:rPr>
          <w:rFonts w:ascii="Times New Roman" w:hAnsi="Times New Roman" w:cs="Times New Roman"/>
          <w:sz w:val="24"/>
          <w:szCs w:val="24"/>
        </w:rPr>
        <w:t>issued</w:t>
      </w:r>
      <w:r w:rsidR="007E7EEC">
        <w:rPr>
          <w:rFonts w:ascii="Times New Roman" w:hAnsi="Times New Roman" w:cs="Times New Roman"/>
          <w:sz w:val="24"/>
          <w:szCs w:val="24"/>
        </w:rPr>
        <w:t xml:space="preserve"> an</w:t>
      </w:r>
      <w:r w:rsidR="00E2503B" w:rsidRPr="006E013D">
        <w:rPr>
          <w:rFonts w:ascii="Times New Roman" w:hAnsi="Times New Roman" w:cs="Times New Roman"/>
          <w:sz w:val="24"/>
          <w:szCs w:val="24"/>
        </w:rPr>
        <w:t xml:space="preserve"> </w:t>
      </w:r>
      <w:r w:rsidR="003A78DD" w:rsidRPr="003A78DD">
        <w:rPr>
          <w:rFonts w:ascii="Times New Roman" w:hAnsi="Times New Roman" w:cs="Times New Roman"/>
          <w:sz w:val="24"/>
          <w:szCs w:val="24"/>
        </w:rPr>
        <w:t xml:space="preserve">Emergency Use </w:t>
      </w:r>
      <w:r w:rsidR="003A78DD" w:rsidRPr="003A78DD">
        <w:rPr>
          <w:rFonts w:ascii="Times New Roman" w:hAnsi="Times New Roman" w:cs="Times New Roman"/>
          <w:sz w:val="24"/>
          <w:szCs w:val="24"/>
        </w:rPr>
        <w:lastRenderedPageBreak/>
        <w:t>Authorization (EUA)</w:t>
      </w:r>
      <w:r w:rsidR="00E2503B" w:rsidRPr="006E013D">
        <w:rPr>
          <w:rFonts w:ascii="Times New Roman" w:hAnsi="Times New Roman" w:cs="Times New Roman"/>
          <w:sz w:val="24"/>
          <w:szCs w:val="24"/>
        </w:rPr>
        <w:t xml:space="preserve"> of </w:t>
      </w:r>
      <w:proofErr w:type="spellStart"/>
      <w:r w:rsidR="00E2503B" w:rsidRPr="00F645FC">
        <w:rPr>
          <w:rFonts w:ascii="Times New Roman" w:hAnsi="Times New Roman" w:cs="Times New Roman"/>
          <w:sz w:val="24"/>
          <w:szCs w:val="24"/>
        </w:rPr>
        <w:t>remdesivir</w:t>
      </w:r>
      <w:proofErr w:type="spellEnd"/>
      <w:r w:rsidR="00E2503B" w:rsidRPr="006E013D">
        <w:rPr>
          <w:rFonts w:ascii="Times New Roman" w:hAnsi="Times New Roman" w:cs="Times New Roman"/>
          <w:sz w:val="24"/>
          <w:szCs w:val="24"/>
        </w:rPr>
        <w:t xml:space="preserve"> </w:t>
      </w:r>
      <w:r w:rsidR="00E2503B">
        <w:rPr>
          <w:rFonts w:ascii="Times New Roman" w:hAnsi="Times New Roman" w:cs="Times New Roman"/>
          <w:sz w:val="24"/>
          <w:szCs w:val="24"/>
        </w:rPr>
        <w:t xml:space="preserve">for </w:t>
      </w:r>
      <w:r w:rsidR="00E2503B" w:rsidRPr="006E013D">
        <w:rPr>
          <w:rFonts w:ascii="Times New Roman" w:hAnsi="Times New Roman" w:cs="Times New Roman"/>
          <w:sz w:val="24"/>
          <w:szCs w:val="24"/>
        </w:rPr>
        <w:t xml:space="preserve">serious COVID-19 (confirmed or suspected) </w:t>
      </w:r>
      <w:r w:rsidR="00E2503B">
        <w:rPr>
          <w:rFonts w:ascii="Times New Roman" w:hAnsi="Times New Roman" w:cs="Times New Roman"/>
          <w:sz w:val="24"/>
          <w:szCs w:val="24"/>
        </w:rPr>
        <w:t>patients</w:t>
      </w:r>
      <w:r w:rsidR="00E2503B" w:rsidRPr="006E013D">
        <w:rPr>
          <w:rFonts w:ascii="Times New Roman" w:hAnsi="Times New Roman" w:cs="Times New Roman"/>
          <w:sz w:val="24"/>
          <w:szCs w:val="24"/>
        </w:rPr>
        <w:t xml:space="preserve"> in adults and children admitted to hospital</w:t>
      </w:r>
      <w:r w:rsidR="00CA673D" w:rsidRPr="00F645FC">
        <w:rPr>
          <w:rFonts w:ascii="Times New Roman" w:hAnsi="Times New Roman" w:cs="Times New Roman"/>
          <w:sz w:val="24"/>
          <w:szCs w:val="24"/>
        </w:rPr>
        <w:fldChar w:fldCharType="begin" w:fldLock="1"/>
      </w:r>
      <w:r w:rsidR="0076575D">
        <w:rPr>
          <w:rFonts w:ascii="Times New Roman" w:hAnsi="Times New Roman" w:cs="Times New Roman"/>
          <w:sz w:val="24"/>
          <w:szCs w:val="24"/>
        </w:rPr>
        <w:instrText>ADDIN CSL_CITATION {"citationItems":[{"id":"ITEM-1","itemData":{"DOI":"https://www.fda.gov/news-events/press-announcements/coronavirus-covid-19-update-fda-issues-emergency-use-authorization-potential-covid-19-treatment","abstract":"FDA issued emergency use authorization for the investigational drug remdesivir for treatment of certain hospitalized COVID-19 patients with severe disease.","author":[{"dropping-particle":"","family":"NEWS","given":"FDA","non-dropping-particle":"","parse-names":false,"suffix":""}],"container-title":"Fda News Release","id":"ITEM-1","issue":"2","issued":{"date-parts":[["2020"]]},"page":"54-67","title":"Coronavirus (COVID-19) Update: FDA Issues Emergency Use Authorization for Potential COVID-19 Treatment","type":"article-journal","volume":"3"},"uris":["http://www.mendeley.com/documents/?uuid=501e5e8f-3aea-37a6-af4e-35d32f8c6f1e"]},{"id":"ITEM-2","itemData":{"abstract":"FACT SHEET FOR HEALTH CARE PROVIDERS EMERGENCY USE AUTHORIZATION (EUA) OF REMDESIVIR (GS-5734™)","author":[{"dropping-particle":"","family":"FDA","given":"","non-dropping-particle":"","parse-names":false,"suffix":""}],"container-title":"Food and Drug Administration","id":"ITEM-2","issued":{"date-parts":[["2020"]]},"number-of-pages":"1-36","title":"Fact sheet for health care providers emergency use authorization (EUA) of remdesivir (GS-5734™)","type":"report"},"uris":["http://www.mendeley.com/documents/?uuid=3370c4ab-114b-3162-9d78-234f4e877347"]}],"mendeley":{"formattedCitation":"&lt;sup&gt;29,30&lt;/sup&gt;","plainTextFormattedCitation":"29,30","previouslyFormattedCitation":"&lt;sup&gt;29,30&lt;/sup&gt;"},"properties":{"noteIndex":0},"schema":"https://github.com/citation-style-language/schema/raw/master/csl-citation.json"}</w:instrText>
      </w:r>
      <w:r w:rsidR="00CA673D"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29,30</w:t>
      </w:r>
      <w:r w:rsidR="00CA673D" w:rsidRPr="00F645FC">
        <w:rPr>
          <w:rFonts w:ascii="Times New Roman" w:hAnsi="Times New Roman" w:cs="Times New Roman"/>
          <w:sz w:val="24"/>
          <w:szCs w:val="24"/>
        </w:rPr>
        <w:fldChar w:fldCharType="end"/>
      </w:r>
      <w:r w:rsidR="00CA673D" w:rsidRPr="00F645FC">
        <w:rPr>
          <w:rFonts w:ascii="Times New Roman" w:hAnsi="Times New Roman" w:cs="Times New Roman"/>
          <w:sz w:val="24"/>
          <w:szCs w:val="24"/>
        </w:rPr>
        <w:t>.</w:t>
      </w:r>
      <w:r w:rsidR="00BD63CE">
        <w:rPr>
          <w:rFonts w:ascii="Times New Roman" w:hAnsi="Times New Roman" w:cs="Times New Roman"/>
          <w:sz w:val="24"/>
          <w:szCs w:val="24"/>
        </w:rPr>
        <w:t xml:space="preserve"> </w:t>
      </w:r>
      <w:r w:rsidR="00654FDC" w:rsidRPr="00F645FC">
        <w:rPr>
          <w:rFonts w:ascii="Times New Roman" w:hAnsi="Times New Roman" w:cs="Times New Roman"/>
          <w:sz w:val="24"/>
          <w:szCs w:val="24"/>
        </w:rPr>
        <w:t xml:space="preserve">In this cohort of </w:t>
      </w:r>
      <w:r w:rsidR="00C65BFC" w:rsidRPr="00F645FC">
        <w:rPr>
          <w:rFonts w:ascii="Times New Roman" w:hAnsi="Times New Roman" w:cs="Times New Roman"/>
          <w:sz w:val="24"/>
          <w:szCs w:val="24"/>
        </w:rPr>
        <w:t>patient’s</w:t>
      </w:r>
      <w:r w:rsidR="00654FDC" w:rsidRPr="00654FDC">
        <w:rPr>
          <w:rFonts w:ascii="Times New Roman" w:hAnsi="Times New Roman" w:cs="Times New Roman"/>
          <w:sz w:val="24"/>
          <w:szCs w:val="24"/>
        </w:rPr>
        <w:t xml:space="preserve"> patients admitted to the hospital for severe </w:t>
      </w:r>
      <w:r w:rsidR="00654FDC" w:rsidRPr="006E013D">
        <w:rPr>
          <w:rFonts w:ascii="Times New Roman" w:hAnsi="Times New Roman" w:cs="Times New Roman"/>
          <w:sz w:val="24"/>
          <w:szCs w:val="24"/>
        </w:rPr>
        <w:t xml:space="preserve">COVD-19 </w:t>
      </w:r>
      <w:r w:rsidR="00654FDC">
        <w:rPr>
          <w:rFonts w:ascii="Times New Roman" w:hAnsi="Times New Roman" w:cs="Times New Roman"/>
          <w:sz w:val="24"/>
          <w:szCs w:val="24"/>
        </w:rPr>
        <w:t xml:space="preserve">who </w:t>
      </w:r>
      <w:r w:rsidR="00654FDC" w:rsidRPr="00654FDC">
        <w:rPr>
          <w:rFonts w:ascii="Times New Roman" w:hAnsi="Times New Roman" w:cs="Times New Roman"/>
          <w:sz w:val="24"/>
          <w:szCs w:val="24"/>
        </w:rPr>
        <w:t xml:space="preserve">were treated with </w:t>
      </w:r>
      <w:r w:rsidR="00654FDC" w:rsidRPr="00F645FC">
        <w:rPr>
          <w:rFonts w:ascii="Times New Roman" w:hAnsi="Times New Roman" w:cs="Times New Roman"/>
          <w:sz w:val="24"/>
          <w:szCs w:val="24"/>
        </w:rPr>
        <w:t xml:space="preserve">compassionate-use </w:t>
      </w:r>
      <w:proofErr w:type="spellStart"/>
      <w:r w:rsidR="00654FDC" w:rsidRPr="00F645FC">
        <w:rPr>
          <w:rFonts w:ascii="Times New Roman" w:hAnsi="Times New Roman" w:cs="Times New Roman"/>
          <w:sz w:val="24"/>
          <w:szCs w:val="24"/>
        </w:rPr>
        <w:t>remdesivir</w:t>
      </w:r>
      <w:proofErr w:type="spellEnd"/>
      <w:r w:rsidR="00654FDC" w:rsidRPr="00654FDC">
        <w:rPr>
          <w:rFonts w:ascii="Times New Roman" w:hAnsi="Times New Roman" w:cs="Times New Roman"/>
          <w:sz w:val="24"/>
          <w:szCs w:val="24"/>
        </w:rPr>
        <w:t>, clinical improvement was observed in 36 out of 53 patients (</w:t>
      </w:r>
      <w:r w:rsidR="00654FDC">
        <w:rPr>
          <w:rFonts w:ascii="Times New Roman" w:hAnsi="Times New Roman" w:cs="Times New Roman"/>
          <w:sz w:val="24"/>
          <w:szCs w:val="24"/>
        </w:rPr>
        <w:t>68</w:t>
      </w:r>
      <w:r w:rsidR="00654FDC" w:rsidRPr="00654FDC">
        <w:rPr>
          <w:rFonts w:ascii="Times New Roman" w:hAnsi="Times New Roman" w:cs="Times New Roman"/>
          <w:sz w:val="24"/>
          <w:szCs w:val="24"/>
        </w:rPr>
        <w:t>%)</w:t>
      </w:r>
      <w:r w:rsidR="00CA673D" w:rsidRPr="00F645FC">
        <w:rPr>
          <w:rFonts w:ascii="Times New Roman" w:hAnsi="Times New Roman" w:cs="Times New Roman"/>
          <w:sz w:val="24"/>
          <w:szCs w:val="24"/>
        </w:rPr>
        <w:fldChar w:fldCharType="begin" w:fldLock="1"/>
      </w:r>
      <w:r w:rsidR="0076575D">
        <w:rPr>
          <w:rFonts w:ascii="Times New Roman" w:hAnsi="Times New Roman" w:cs="Times New Roman"/>
          <w:sz w:val="24"/>
          <w:szCs w:val="24"/>
        </w:rPr>
        <w:instrText>ADDIN CSL_CITATION {"citationItems":[{"id":"ITEM-1","itemData":{"DOI":"10.1056/NEJMoa2007016","ISSN":"0028-4793","abstract":"BACKGROUND Remdesivir, a nucleotide analogue prodrug that inhibits viral RNA polymerases, has shown in vitro activity against SARS-CoV-2. METHODS We provided remdesivir on a compassionate-use basis to patients hospitalized with Covid-19, the illness caused by infection with SARS-CoV-2. Patients were those with confirmed SARS-CoV-2 infection who had an oxygen saturation of 94% or less while they were breathing ambient air or who were receiving oxygen support. Patients received a 10-day course of remdesivir, consisting of 200 mg administered intravenously on day 1, followed by 100 mg daily for the remaining 9 days of treatment. This report is based on data from patients who received remdesivir during the period from January 25, 2020, through March 7, 2020, and have clinical data for at least 1 subsequent day. RESULTS Of the 61 patients who received at least one dose of remdesivir, data from 8 could not be analyzed (including 7 patients with no post-treatment data and 1 with a dosing error). Of the 53 patients whose data were analyzed, 22 were in the United States, 22 in Europe or Canada, and 9 in Japan. At baseline, 30 patients (57%) were receiving mechanical ventilation and 4 (8%) were receiving extracorporeal membrane oxygenation. During a median follow-up of 18 days, 36 patients (68%) had an improvement in oxygen-support class, including 17 of 30 patients (57%) receiving mechanical ventilation who were extubated. A total of 25 patients (47%) were discharged, and 7 patients (13%) died; mortality was 18% (6 of 34) among patients receiving invasive ventilation and 5% (1 of 19) among those not receiving invasive ventilation. CONCLUSIONS In this cohort of patients hospitalized for severe Covid-19 who were treated with compassionate-use remdesivir, clinical improvement was observed in 36 of 53 patients (68%). Measurement of efficacy will require ongoing randomized, placebo-controlled trials of remdesivir therapy.","author":[{"dropping-particle":"","family":"Grein","given":"Jonathan","non-dropping-particle":"","parse-names":false,"suffix":""},{"dropping-particle":"","family":"Ohmagari","given":"Norio","non-dropping-particle":"","parse-names":false,"suffix":""},{"dropping-particle":"","family":"Shin","given":"Daniel","non-dropping-particle":"","parse-names":false,"suffix":""},{"dropping-particle":"","family":"Diaz","given":"George","non-dropping-particle":"","parse-names":false,"suffix":""},{"dropping-particle":"","family":"Asperges","given":"Erika","non-dropping-particle":"","parse-names":false,"suffix":""},{"dropping-particle":"","family":"Castagna","given":"Antonella","non-dropping-particle":"","parse-names":false,"suffix":""},{"dropping-particle":"","family":"Feldt","given":"Torsten","non-dropping-particle":"","parse-names":false,"suffix":""},{"dropping-particle":"","family":"Green","given":"Gary","non-dropping-particle":"","parse-names":false,"suffix":""},{"dropping-particle":"","family":"Green","given":"Margaret L.","non-dropping-particle":"","parse-names":false,"suffix":""},{"dropping-particle":"","family":"Lescure","given":"François-Xavier","non-dropping-particle":"","parse-names":false,"suffix":""},{"dropping-particle":"","family":"Nicastri","given":"Emanuele","non-dropping-particle":"","parse-names":false,"suffix":""},{"dropping-particle":"","family":"Oda","given":"Rentaro","non-dropping-particle":"","parse-names":false,"suffix":""},{"dropping-particle":"","family":"Yo","given":"Kikuo","non-dropping-particle":"","parse-names":false,"suffix":""},{"dropping-particle":"","family":"Quiros-Roldan","given":"Eugenia","non-dropping-particle":"","parse-names":false,"suffix":""},{"dropping-particle":"","family":"Studemeister","given":"Alex","non-dropping-particle":"","parse-names":false,"suffix":""},{"dropping-particle":"","family":"Redinski","given":"John","non-dropping-particle":"","parse-names":false,"suffix":""},{"dropping-particle":"","family":"Ahmed","given":"Seema","non-dropping-particle":"","parse-names":false,"suffix":""},{"dropping-particle":"","family":"Bernett","given":"Jorge","non-dropping-particle":"","parse-names":false,"suffix":""},{"dropping-particle":"","family":"Chelliah","given":"Daniel","non-dropping-particle":"","parse-names":false,"suffix":""},{"dropping-particle":"","family":"Chen","given":"Danny","non-dropping-particle":"","parse-names":false,"suffix":""},{"dropping-particle":"","family":"Chihara","given":"Shingo","non-dropping-particle":"","parse-names":false,"suffix":""},{"dropping-particle":"","family":"Cohen","given":"Stuart H.","non-dropping-particle":"","parse-names":false,"suffix":""},{"dropping-particle":"","family":"Cunningham","given":"Jennifer","non-dropping-particle":"","parse-names":false,"suffix":""},{"dropping-particle":"","family":"D’Arminio Monforte","given":"Antonella","non-dropping-particle":"","parse-names":false,"suffix":""},{"dropping-particle":"","family":"Ismail","given":"Saad","non-dropping-particle":"","parse-names":false,"suffix":""},{"dropping-particle":"","family":"Kato","given":"Hideaki","non-dropping-particle":"","parse-names":false,"suffix":""},{"dropping-particle":"","family":"Lapadula","given":"Giuseppe","non-dropping-particle":"","parse-names":false,"suffix":""},{"dropping-particle":"","family":"L’Her","given":"Erwan","non-dropping-particle":"","parse-names":false,"suffix":""},{"dropping-particle":"","family":"Maeno","given":"Toshitaka","non-dropping-particle":"","parse-names":false,"suffix":""},{"dropping-particle":"","family":"Majumder","given":"Sumit","non-dropping-particle":"","parse-names":false,"suffix":""},{"dropping-particle":"","family":"Massari","given":"Marco","non-dropping-particle":"","parse-names":false,"suffix":""},{"dropping-particle":"","family":"Mora-Rillo","given":"Marta","non-dropping-particle":"","parse-names":false,"suffix":""},{"dropping-particle":"","family":"Mutoh","given":"Yoshikazu","non-dropping-particle":"","parse-names":false,"suffix":""},{"dropping-particle":"","family":"Nguyen","given":"Duc","non-dropping-particle":"","parse-names":false,"suffix":""},{"dropping-particle":"","family":"Verweij","given":"Ewa","non-dropping-particle":"","parse-names":false,"suffix":""},{"dropping-particle":"","family":"Zoufaly","given":"Alexander","non-dropping-particle":"","parse-names":false,"suffix":""},{"dropping-particle":"","family":"Osinusi","given":"Anu O.","non-dropping-particle":"","parse-names":false,"suffix":""},{"dropping-particle":"","family":"DeZure","given":"Adam","non-dropping-particle":"","parse-names":false,"suffix":""},{"dropping-particle":"","family":"Zhao","given":"Yang","non-dropping-particle":"","parse-names":false,"suffix":""},{"dropping-particle":"","family":"Zhong","given":"Lijie","non-dropping-particle":"","parse-names":false,"suffix":""},{"dropping-particle":"","family":"Chokkalingam","given":"Anand","non-dropping-particle":"","parse-names":false,"suffix":""},{"dropping-particle":"","family":"Elboudwarej","given":"Emon","non-dropping-particle":"","parse-names":false,"suffix":""},{"dropping-particle":"","family":"Telep","given":"Laura","non-dropping-particle":"","parse-names":false,"suffix":""},{"dropping-particle":"","family":"Timbs","given":"Leighann","non-dropping-particle":"","parse-names":false,"suffix":""},{"dropping-particle":"","family":"Henne","given":"Ilana","non-dropping-particle":"","parse-names":false,"suffix":""},{"dropping-particle":"","family":"Sellers","given":"Scott","non-dropping-particle":"","parse-names":false,"suffix":""},{"dropping-particle":"","family":"Cao","given":"Huyen","non-dropping-particle":"","parse-names":false,"suffix":""},{"dropping-particle":"","family":"Tan","given":"Susanna K.","non-dropping-particle":"","parse-names":false,"suffix":""},{"dropping-particle":"","family":"Winterbourne","given":"Lucinda","non-dropping-particle":"","parse-names":false,"suffix":""},{"dropping-particle":"","family":"Desai","given":"Polly","non-dropping-particle":"","parse-names":false,"suffix":""},{"dropping-particle":"","family":"Mera","given":"Robertino","non-dropping-particle":"","parse-names":false,"suffix":""},{"dropping-particle":"","family":"Gaggar","given":"Anuj","non-dropping-particle":"","parse-names":false,"suffix":""},{"dropping-particle":"","family":"Myers","given":"Robert P.","non-dropping-particle":"","parse-names":false,"suffix":""},{"dropping-particle":"","family":"Brainard","given":"Diana M.","non-dropping-particle":"","parse-names":false,"suffix":""},{"dropping-particle":"","family":"Childs","given":"Richard","non-dropping-particle":"","parse-names":false,"suffix":""},{"dropping-particle":"","family":"Flanigan","given":"Timothy","non-dropping-particle":"","parse-names":false,"suffix":""}],"container-title":"New England Journal of Medicine","id":"ITEM-1","issue":"24","issued":{"date-parts":[["2020","6","11"]]},"page":"2327-2336","publisher":"Massachussetts Medical Society","title":"Compassionate Use of Remdesivir for Patients with Severe Covid-19","type":"article-journal","volume":"382"},"uris":["http://www.mendeley.com/documents/?uuid=2c93f8da-719d-3e79-9181-6e43be83c13d"]}],"mendeley":{"formattedCitation":"&lt;sup&gt;31&lt;/sup&gt;","plainTextFormattedCitation":"31","previouslyFormattedCitation":"&lt;sup&gt;31&lt;/sup&gt;"},"properties":{"noteIndex":0},"schema":"https://github.com/citation-style-language/schema/raw/master/csl-citation.json"}</w:instrText>
      </w:r>
      <w:r w:rsidR="00CA673D"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31</w:t>
      </w:r>
      <w:r w:rsidR="00CA673D" w:rsidRPr="00F645FC">
        <w:rPr>
          <w:rFonts w:ascii="Times New Roman" w:hAnsi="Times New Roman" w:cs="Times New Roman"/>
          <w:sz w:val="24"/>
          <w:szCs w:val="24"/>
        </w:rPr>
        <w:fldChar w:fldCharType="end"/>
      </w:r>
      <w:r w:rsidR="00CA673D" w:rsidRPr="00F645FC">
        <w:rPr>
          <w:rFonts w:ascii="Times New Roman" w:hAnsi="Times New Roman" w:cs="Times New Roman"/>
          <w:sz w:val="24"/>
          <w:szCs w:val="24"/>
        </w:rPr>
        <w:t>.</w:t>
      </w:r>
    </w:p>
    <w:p w14:paraId="2CB8C628" w14:textId="56248A14" w:rsidR="00141AD3" w:rsidRPr="00F645FC" w:rsidRDefault="006229F8" w:rsidP="00F645FC">
      <w:pPr>
        <w:spacing w:after="0" w:line="480" w:lineRule="auto"/>
        <w:jc w:val="both"/>
        <w:rPr>
          <w:rFonts w:ascii="Times New Roman" w:hAnsi="Times New Roman" w:cs="Times New Roman"/>
          <w:sz w:val="24"/>
          <w:szCs w:val="24"/>
        </w:rPr>
      </w:pPr>
      <w:r w:rsidRPr="006229F8">
        <w:rPr>
          <w:rFonts w:ascii="Times New Roman" w:hAnsi="Times New Roman" w:cs="Times New Roman"/>
          <w:sz w:val="24"/>
          <w:szCs w:val="24"/>
        </w:rPr>
        <w:t xml:space="preserve">CFRs are influenced by the combination of demographic and comorbidities of the population, the availability and </w:t>
      </w:r>
      <w:r w:rsidRPr="00F645FC">
        <w:rPr>
          <w:rFonts w:ascii="Times New Roman" w:hAnsi="Times New Roman" w:cs="Times New Roman"/>
          <w:sz w:val="24"/>
          <w:szCs w:val="24"/>
        </w:rPr>
        <w:t>preparedness</w:t>
      </w:r>
      <w:r w:rsidRPr="006229F8">
        <w:rPr>
          <w:rFonts w:ascii="Times New Roman" w:hAnsi="Times New Roman" w:cs="Times New Roman"/>
          <w:sz w:val="24"/>
          <w:szCs w:val="24"/>
        </w:rPr>
        <w:t xml:space="preserve"> of the healthcare system, and the differences between diagnostic, treatment, prevention, and control policies applied in different countries.</w:t>
      </w:r>
      <w:r>
        <w:rPr>
          <w:rFonts w:ascii="Times New Roman" w:hAnsi="Times New Roman" w:cs="Times New Roman"/>
          <w:sz w:val="24"/>
          <w:szCs w:val="24"/>
        </w:rPr>
        <w:t xml:space="preserve"> </w:t>
      </w:r>
      <w:r w:rsidR="00D510C1" w:rsidRPr="00F645FC">
        <w:rPr>
          <w:rFonts w:ascii="Times New Roman" w:hAnsi="Times New Roman" w:cs="Times New Roman"/>
          <w:sz w:val="24"/>
          <w:szCs w:val="24"/>
        </w:rPr>
        <w:t>Our findings show that there is substantial variation in which factor explains the differences in CFRs.</w:t>
      </w:r>
      <w:r w:rsidR="00690C65" w:rsidRPr="00F645FC">
        <w:rPr>
          <w:rFonts w:ascii="Times New Roman" w:hAnsi="Times New Roman" w:cs="Times New Roman"/>
          <w:sz w:val="24"/>
          <w:szCs w:val="24"/>
        </w:rPr>
        <w:t xml:space="preserve"> </w:t>
      </w:r>
      <w:r w:rsidR="0020339C" w:rsidRPr="00F645FC">
        <w:rPr>
          <w:rFonts w:ascii="Times New Roman" w:hAnsi="Times New Roman" w:cs="Times New Roman"/>
          <w:sz w:val="24"/>
          <w:szCs w:val="24"/>
        </w:rPr>
        <w:t xml:space="preserve">Results </w:t>
      </w:r>
      <w:r w:rsidR="0032375D" w:rsidRPr="00F645FC">
        <w:rPr>
          <w:rFonts w:ascii="Times New Roman" w:hAnsi="Times New Roman" w:cs="Times New Roman"/>
          <w:sz w:val="24"/>
          <w:szCs w:val="24"/>
        </w:rPr>
        <w:t xml:space="preserve">indicate that </w:t>
      </w:r>
      <w:r w:rsidR="00D30307" w:rsidRPr="00F645FC">
        <w:rPr>
          <w:rFonts w:ascii="Times New Roman" w:hAnsi="Times New Roman" w:cs="Times New Roman"/>
          <w:sz w:val="24"/>
          <w:szCs w:val="24"/>
        </w:rPr>
        <w:t>before peak week</w:t>
      </w:r>
      <w:r w:rsidR="0032375D" w:rsidRPr="00F645FC">
        <w:rPr>
          <w:rFonts w:ascii="Times New Roman" w:hAnsi="Times New Roman" w:cs="Times New Roman"/>
          <w:sz w:val="24"/>
          <w:szCs w:val="24"/>
        </w:rPr>
        <w:t xml:space="preserve">, </w:t>
      </w:r>
      <w:r w:rsidR="00233C0D" w:rsidRPr="00F645FC">
        <w:rPr>
          <w:rFonts w:ascii="Times New Roman" w:hAnsi="Times New Roman" w:cs="Times New Roman"/>
          <w:sz w:val="24"/>
          <w:szCs w:val="24"/>
        </w:rPr>
        <w:t>median age</w:t>
      </w:r>
      <w:r w:rsidR="00D30307" w:rsidRPr="00F645FC">
        <w:rPr>
          <w:rFonts w:ascii="Times New Roman" w:hAnsi="Times New Roman" w:cs="Times New Roman"/>
          <w:sz w:val="24"/>
          <w:szCs w:val="24"/>
        </w:rPr>
        <w:t xml:space="preserve"> and diabetes </w:t>
      </w:r>
      <w:r w:rsidR="0032375D" w:rsidRPr="00F645FC">
        <w:rPr>
          <w:rFonts w:ascii="Times New Roman" w:hAnsi="Times New Roman" w:cs="Times New Roman"/>
          <w:sz w:val="24"/>
          <w:szCs w:val="24"/>
        </w:rPr>
        <w:t xml:space="preserve">are the </w:t>
      </w:r>
      <w:r w:rsidR="00B547F3" w:rsidRPr="00F645FC">
        <w:rPr>
          <w:rFonts w:ascii="Times New Roman" w:hAnsi="Times New Roman" w:cs="Times New Roman"/>
          <w:sz w:val="24"/>
          <w:szCs w:val="24"/>
        </w:rPr>
        <w:t>important</w:t>
      </w:r>
      <w:r w:rsidR="0032375D" w:rsidRPr="00F645FC">
        <w:rPr>
          <w:rFonts w:ascii="Times New Roman" w:hAnsi="Times New Roman" w:cs="Times New Roman"/>
          <w:sz w:val="24"/>
          <w:szCs w:val="24"/>
        </w:rPr>
        <w:t xml:space="preserve"> factors that </w:t>
      </w:r>
      <w:r w:rsidR="00B547F3" w:rsidRPr="00F645FC">
        <w:rPr>
          <w:rFonts w:ascii="Times New Roman" w:hAnsi="Times New Roman" w:cs="Times New Roman"/>
          <w:sz w:val="24"/>
          <w:szCs w:val="24"/>
        </w:rPr>
        <w:t>explained</w:t>
      </w:r>
      <w:r w:rsidR="00D7289B" w:rsidRPr="00F645FC">
        <w:rPr>
          <w:rFonts w:ascii="Times New Roman" w:hAnsi="Times New Roman" w:cs="Times New Roman"/>
          <w:sz w:val="24"/>
          <w:szCs w:val="24"/>
        </w:rPr>
        <w:t xml:space="preserve"> </w:t>
      </w:r>
      <w:r w:rsidR="0032375D" w:rsidRPr="00F645FC">
        <w:rPr>
          <w:rFonts w:ascii="Times New Roman" w:hAnsi="Times New Roman" w:cs="Times New Roman"/>
          <w:sz w:val="24"/>
          <w:szCs w:val="24"/>
        </w:rPr>
        <w:t xml:space="preserve">the </w:t>
      </w:r>
      <w:r w:rsidR="00C37246" w:rsidRPr="00F645FC">
        <w:rPr>
          <w:rFonts w:ascii="Times New Roman" w:hAnsi="Times New Roman" w:cs="Times New Roman"/>
          <w:sz w:val="24"/>
          <w:szCs w:val="24"/>
        </w:rPr>
        <w:t xml:space="preserve">large variation of </w:t>
      </w:r>
      <w:r w:rsidR="00233C0D" w:rsidRPr="00F645FC">
        <w:rPr>
          <w:rFonts w:ascii="Times New Roman" w:hAnsi="Times New Roman" w:cs="Times New Roman"/>
          <w:sz w:val="24"/>
          <w:szCs w:val="24"/>
        </w:rPr>
        <w:t xml:space="preserve">CFR </w:t>
      </w:r>
      <w:r w:rsidR="00C37246" w:rsidRPr="00F645FC">
        <w:rPr>
          <w:rFonts w:ascii="Times New Roman" w:hAnsi="Times New Roman" w:cs="Times New Roman"/>
          <w:sz w:val="24"/>
          <w:szCs w:val="24"/>
        </w:rPr>
        <w:t>across the countries</w:t>
      </w:r>
      <w:r w:rsidR="007E1440">
        <w:rPr>
          <w:rFonts w:ascii="Times New Roman" w:hAnsi="Times New Roman" w:cs="Times New Roman"/>
          <w:sz w:val="24"/>
          <w:szCs w:val="24"/>
        </w:rPr>
        <w:t>,</w:t>
      </w:r>
      <w:r w:rsidR="00D30307" w:rsidRPr="00F645FC">
        <w:rPr>
          <w:rFonts w:ascii="Times New Roman" w:hAnsi="Times New Roman" w:cs="Times New Roman"/>
          <w:sz w:val="24"/>
          <w:szCs w:val="24"/>
        </w:rPr>
        <w:t xml:space="preserve"> and after peak week, only WGI are the</w:t>
      </w:r>
      <w:r w:rsidR="00C26919" w:rsidRPr="00F645FC">
        <w:rPr>
          <w:rFonts w:ascii="Times New Roman" w:hAnsi="Times New Roman" w:cs="Times New Roman"/>
          <w:sz w:val="24"/>
          <w:szCs w:val="24"/>
        </w:rPr>
        <w:t xml:space="preserve"> only</w:t>
      </w:r>
      <w:r w:rsidR="00D30307" w:rsidRPr="00F645FC">
        <w:rPr>
          <w:rFonts w:ascii="Times New Roman" w:hAnsi="Times New Roman" w:cs="Times New Roman"/>
          <w:sz w:val="24"/>
          <w:szCs w:val="24"/>
        </w:rPr>
        <w:t xml:space="preserve"> important factors that explained the large variation of CFR </w:t>
      </w:r>
      <w:r w:rsidR="008D3938" w:rsidRPr="00F645FC">
        <w:rPr>
          <w:rFonts w:ascii="Times New Roman" w:hAnsi="Times New Roman" w:cs="Times New Roman"/>
          <w:sz w:val="24"/>
          <w:szCs w:val="24"/>
        </w:rPr>
        <w:t>worldwide.</w:t>
      </w:r>
      <w:r w:rsidR="002B5363" w:rsidRPr="00F645FC">
        <w:rPr>
          <w:rFonts w:ascii="Times New Roman" w:hAnsi="Times New Roman" w:cs="Times New Roman"/>
          <w:sz w:val="24"/>
          <w:szCs w:val="24"/>
        </w:rPr>
        <w:t xml:space="preserve"> </w:t>
      </w:r>
      <w:r w:rsidR="00F83C88" w:rsidRPr="00F645FC">
        <w:rPr>
          <w:rFonts w:ascii="Times New Roman" w:hAnsi="Times New Roman" w:cs="Times New Roman"/>
          <w:sz w:val="24"/>
          <w:szCs w:val="24"/>
        </w:rPr>
        <w:t xml:space="preserve">Data from China indicate that </w:t>
      </w:r>
      <w:r w:rsidR="00CE23C6">
        <w:rPr>
          <w:rFonts w:ascii="Times New Roman" w:hAnsi="Times New Roman" w:cs="Times New Roman"/>
          <w:sz w:val="24"/>
          <w:szCs w:val="24"/>
        </w:rPr>
        <w:t xml:space="preserve">the </w:t>
      </w:r>
      <w:r w:rsidR="0035413B" w:rsidRPr="00F645FC">
        <w:rPr>
          <w:rFonts w:ascii="Times New Roman" w:hAnsi="Times New Roman" w:cs="Times New Roman"/>
          <w:sz w:val="24"/>
          <w:szCs w:val="24"/>
        </w:rPr>
        <w:t>median</w:t>
      </w:r>
      <w:r w:rsidR="00B065E3" w:rsidRPr="00F645FC">
        <w:rPr>
          <w:rFonts w:ascii="Times New Roman" w:hAnsi="Times New Roman" w:cs="Times New Roman"/>
          <w:sz w:val="24"/>
          <w:szCs w:val="24"/>
        </w:rPr>
        <w:t xml:space="preserve"> </w:t>
      </w:r>
      <w:r w:rsidR="00F83C88" w:rsidRPr="00F645FC">
        <w:rPr>
          <w:rFonts w:ascii="Times New Roman" w:hAnsi="Times New Roman" w:cs="Times New Roman"/>
          <w:sz w:val="24"/>
          <w:szCs w:val="24"/>
        </w:rPr>
        <w:t>age is the strongest predictor of COVID-19 severity.</w:t>
      </w:r>
      <w:r w:rsidR="000009E7" w:rsidRPr="00F645FC">
        <w:rPr>
          <w:rFonts w:ascii="Times New Roman" w:hAnsi="Times New Roman" w:cs="Times New Roman"/>
          <w:sz w:val="24"/>
          <w:szCs w:val="24"/>
        </w:rPr>
        <w:t xml:space="preserve"> </w:t>
      </w:r>
      <w:r w:rsidR="00053624" w:rsidRPr="00F645FC">
        <w:rPr>
          <w:rFonts w:ascii="Times New Roman" w:hAnsi="Times New Roman" w:cs="Times New Roman"/>
          <w:sz w:val="24"/>
          <w:szCs w:val="24"/>
        </w:rPr>
        <w:t>In both period</w:t>
      </w:r>
      <w:r w:rsidR="00CE23C6">
        <w:rPr>
          <w:rFonts w:ascii="Times New Roman" w:hAnsi="Times New Roman" w:cs="Times New Roman"/>
          <w:sz w:val="24"/>
          <w:szCs w:val="24"/>
        </w:rPr>
        <w:t>s</w:t>
      </w:r>
      <w:r w:rsidR="00053624" w:rsidRPr="00F645FC">
        <w:rPr>
          <w:rFonts w:ascii="Times New Roman" w:hAnsi="Times New Roman" w:cs="Times New Roman"/>
          <w:sz w:val="24"/>
          <w:szCs w:val="24"/>
        </w:rPr>
        <w:t xml:space="preserve">, </w:t>
      </w:r>
      <w:r w:rsidR="00CE23C6">
        <w:rPr>
          <w:rFonts w:ascii="Times New Roman" w:hAnsi="Times New Roman" w:cs="Times New Roman"/>
          <w:sz w:val="24"/>
          <w:szCs w:val="24"/>
        </w:rPr>
        <w:t xml:space="preserve">the </w:t>
      </w:r>
      <w:r w:rsidR="00053624" w:rsidRPr="00F645FC">
        <w:rPr>
          <w:rFonts w:ascii="Times New Roman" w:hAnsi="Times New Roman" w:cs="Times New Roman"/>
          <w:sz w:val="24"/>
          <w:szCs w:val="24"/>
        </w:rPr>
        <w:t>median age explained high variation in both stage</w:t>
      </w:r>
      <w:r w:rsidR="00CE23C6">
        <w:rPr>
          <w:rFonts w:ascii="Times New Roman" w:hAnsi="Times New Roman" w:cs="Times New Roman"/>
          <w:sz w:val="24"/>
          <w:szCs w:val="24"/>
        </w:rPr>
        <w:t>s</w:t>
      </w:r>
      <w:r w:rsidR="00053624" w:rsidRPr="00F645FC">
        <w:rPr>
          <w:rFonts w:ascii="Times New Roman" w:hAnsi="Times New Roman" w:cs="Times New Roman"/>
          <w:sz w:val="24"/>
          <w:szCs w:val="24"/>
        </w:rPr>
        <w:t xml:space="preserve"> of </w:t>
      </w:r>
      <w:r w:rsidR="00CE23C6">
        <w:rPr>
          <w:rFonts w:ascii="Times New Roman" w:hAnsi="Times New Roman" w:cs="Times New Roman"/>
          <w:sz w:val="24"/>
          <w:szCs w:val="24"/>
        </w:rPr>
        <w:t xml:space="preserve">the </w:t>
      </w:r>
      <w:r w:rsidR="00053624" w:rsidRPr="00F645FC">
        <w:rPr>
          <w:rFonts w:ascii="Times New Roman" w:hAnsi="Times New Roman" w:cs="Times New Roman"/>
          <w:sz w:val="24"/>
          <w:szCs w:val="24"/>
        </w:rPr>
        <w:t xml:space="preserve">pandemic. A higher IRR explained that CFR </w:t>
      </w:r>
      <w:r w:rsidR="00A82EF4" w:rsidRPr="00F645FC">
        <w:rPr>
          <w:rFonts w:ascii="Times New Roman" w:hAnsi="Times New Roman" w:cs="Times New Roman"/>
          <w:sz w:val="24"/>
          <w:szCs w:val="24"/>
        </w:rPr>
        <w:t>increased as</w:t>
      </w:r>
      <w:r w:rsidR="00053624" w:rsidRPr="00F645FC">
        <w:rPr>
          <w:rFonts w:ascii="Times New Roman" w:hAnsi="Times New Roman" w:cs="Times New Roman"/>
          <w:sz w:val="24"/>
          <w:szCs w:val="24"/>
        </w:rPr>
        <w:t xml:space="preserve"> </w:t>
      </w:r>
      <w:r w:rsidR="00CE23C6">
        <w:rPr>
          <w:rFonts w:ascii="Times New Roman" w:hAnsi="Times New Roman" w:cs="Times New Roman"/>
          <w:sz w:val="24"/>
          <w:szCs w:val="24"/>
        </w:rPr>
        <w:t xml:space="preserve">the </w:t>
      </w:r>
      <w:r w:rsidR="00053624" w:rsidRPr="00F645FC">
        <w:rPr>
          <w:rFonts w:ascii="Times New Roman" w:hAnsi="Times New Roman" w:cs="Times New Roman"/>
          <w:sz w:val="24"/>
          <w:szCs w:val="24"/>
        </w:rPr>
        <w:t xml:space="preserve">median age also increased. WHO chief Tedros Adhanom Ghebreyesus </w:t>
      </w:r>
      <w:r w:rsidR="00A82EF4" w:rsidRPr="00F645FC">
        <w:rPr>
          <w:rFonts w:ascii="Times New Roman" w:hAnsi="Times New Roman" w:cs="Times New Roman"/>
          <w:sz w:val="24"/>
          <w:szCs w:val="24"/>
        </w:rPr>
        <w:t>state that</w:t>
      </w:r>
      <w:r w:rsidR="00053624" w:rsidRPr="00F645FC">
        <w:rPr>
          <w:rFonts w:ascii="Times New Roman" w:hAnsi="Times New Roman" w:cs="Times New Roman"/>
          <w:sz w:val="24"/>
          <w:szCs w:val="24"/>
        </w:rPr>
        <w:t xml:space="preserve"> spikes in cases in some countries are being driven in part by younger people</w:t>
      </w:r>
      <w:r w:rsidR="00035F11" w:rsidRPr="00F645FC">
        <w:rPr>
          <w:rFonts w:ascii="Times New Roman" w:hAnsi="Times New Roman" w:cs="Times New Roman"/>
          <w:sz w:val="24"/>
          <w:szCs w:val="24"/>
        </w:rPr>
        <w:fldChar w:fldCharType="begin" w:fldLock="1"/>
      </w:r>
      <w:r w:rsidR="0076575D">
        <w:rPr>
          <w:rFonts w:ascii="Times New Roman" w:hAnsi="Times New Roman" w:cs="Times New Roman"/>
          <w:sz w:val="24"/>
          <w:szCs w:val="24"/>
        </w:rPr>
        <w:instrText>ADDIN CSL_CITATION {"citationItems":[{"id":"ITEM-1","itemData":{"URL":"https://www.unmultimedia.org/tv/unifeed/asset/2552/2552699/","accessed":{"date-parts":[["2020","8","8"]]},"author":[{"dropping-particle":"","family":"WHO","given":"","non-dropping-particle":"","parse-names":false,"suffix":""}],"id":"ITEM-1","issued":{"date-parts":[["0"]]},"title":"WHO / COVID-19 UPDATE | United Nations UN Audiovisual Library","type":"webpage"},"uris":["http://www.mendeley.com/documents/?uuid=bebd2a9f-b220-3282-af83-f0aaeef8d589"]}],"mendeley":{"formattedCitation":"&lt;sup&gt;32&lt;/sup&gt;","plainTextFormattedCitation":"32","previouslyFormattedCitation":"&lt;sup&gt;32&lt;/sup&gt;"},"properties":{"noteIndex":0},"schema":"https://github.com/citation-style-language/schema/raw/master/csl-citation.json"}</w:instrText>
      </w:r>
      <w:r w:rsidR="00035F11"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32</w:t>
      </w:r>
      <w:r w:rsidR="00035F11" w:rsidRPr="00F645FC">
        <w:rPr>
          <w:rFonts w:ascii="Times New Roman" w:hAnsi="Times New Roman" w:cs="Times New Roman"/>
          <w:sz w:val="24"/>
          <w:szCs w:val="24"/>
        </w:rPr>
        <w:fldChar w:fldCharType="end"/>
      </w:r>
      <w:r w:rsidR="00035F11" w:rsidRPr="00F645FC">
        <w:rPr>
          <w:rFonts w:ascii="Times New Roman" w:hAnsi="Times New Roman" w:cs="Times New Roman"/>
          <w:sz w:val="24"/>
          <w:szCs w:val="24"/>
        </w:rPr>
        <w:t xml:space="preserve">. </w:t>
      </w:r>
      <w:r w:rsidR="00141A0A" w:rsidRPr="00F645FC">
        <w:rPr>
          <w:rFonts w:ascii="Times New Roman" w:hAnsi="Times New Roman" w:cs="Times New Roman"/>
          <w:sz w:val="24"/>
          <w:szCs w:val="24"/>
        </w:rPr>
        <w:t xml:space="preserve">Wu et al </w:t>
      </w:r>
      <w:r w:rsidR="00C1533F" w:rsidRPr="00F645FC">
        <w:rPr>
          <w:rFonts w:ascii="Times New Roman" w:hAnsi="Times New Roman" w:cs="Times New Roman"/>
          <w:sz w:val="24"/>
          <w:szCs w:val="24"/>
        </w:rPr>
        <w:fldChar w:fldCharType="begin" w:fldLock="1"/>
      </w:r>
      <w:r w:rsidR="0076575D">
        <w:rPr>
          <w:rFonts w:ascii="Times New Roman" w:hAnsi="Times New Roman" w:cs="Times New Roman"/>
          <w:sz w:val="24"/>
          <w:szCs w:val="24"/>
        </w:rPr>
        <w:instrText>ADDIN CSL_CITATION {"citationItems":[{"id":"ITEM-1","itemData":{"DOI":"10.1001/jama.2020.2648","ISSN":"15383598","PMID":"32091533","author":[{"dropping-particle":"","family":"Wu","given":"Zunyou","non-dropping-particle":"","parse-names":false,"suffix":""},{"dropping-particle":"","family":"McGoogan","given":"Jennifer M.","non-dropping-particle":"","parse-names":false,"suffix":""}],"container-title":"JAMA - Journal of the American Medical Association","id":"ITEM-1","issue":"13","issued":{"date-parts":[["2020","4","7"]]},"page":"1239-1242","publisher":"American Medical Association","title":"Characteristics of and Important Lessons from the Coronavirus Disease 2019 (COVID-19) Outbreak in China: Summary of a Report of 72314 Cases from the Chinese Center for Disease Control and Prevention","type":"article","volume":"323"},"uris":["http://www.mendeley.com/documents/?uuid=53e2dee8-a178-3cf1-89cf-5936c5377bf1"]}],"mendeley":{"formattedCitation":"&lt;sup&gt;33&lt;/sup&gt;","plainTextFormattedCitation":"33","previouslyFormattedCitation":"&lt;sup&gt;33&lt;/sup&gt;"},"properties":{"noteIndex":0},"schema":"https://github.com/citation-style-language/schema/raw/master/csl-citation.json"}</w:instrText>
      </w:r>
      <w:r w:rsidR="00C1533F"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33</w:t>
      </w:r>
      <w:r w:rsidR="00C1533F" w:rsidRPr="00F645FC">
        <w:rPr>
          <w:rFonts w:ascii="Times New Roman" w:hAnsi="Times New Roman" w:cs="Times New Roman"/>
          <w:sz w:val="24"/>
          <w:szCs w:val="24"/>
        </w:rPr>
        <w:fldChar w:fldCharType="end"/>
      </w:r>
      <w:r w:rsidR="00C1533F" w:rsidRPr="00F645FC">
        <w:rPr>
          <w:rFonts w:ascii="Times New Roman" w:hAnsi="Times New Roman" w:cs="Times New Roman"/>
          <w:sz w:val="24"/>
          <w:szCs w:val="24"/>
        </w:rPr>
        <w:t xml:space="preserve"> </w:t>
      </w:r>
      <w:r w:rsidR="00141A0A" w:rsidRPr="00F645FC">
        <w:rPr>
          <w:rFonts w:ascii="Times New Roman" w:hAnsi="Times New Roman" w:cs="Times New Roman"/>
          <w:sz w:val="24"/>
          <w:szCs w:val="24"/>
        </w:rPr>
        <w:t>published that in 44672 patients with confirmed COVID-19 the overall case-fatality rate was 2</w:t>
      </w:r>
      <w:r w:rsidR="004C615C">
        <w:rPr>
          <w:rFonts w:ascii="Times New Roman" w:hAnsi="Times New Roman" w:cs="Times New Roman"/>
          <w:sz w:val="24"/>
          <w:szCs w:val="24"/>
        </w:rPr>
        <w:t>.</w:t>
      </w:r>
      <w:r w:rsidR="00141A0A" w:rsidRPr="00F645FC">
        <w:rPr>
          <w:rFonts w:ascii="Times New Roman" w:hAnsi="Times New Roman" w:cs="Times New Roman"/>
          <w:sz w:val="24"/>
          <w:szCs w:val="24"/>
        </w:rPr>
        <w:t>3% and 7</w:t>
      </w:r>
      <w:r w:rsidR="004C615C">
        <w:rPr>
          <w:rFonts w:ascii="Times New Roman" w:hAnsi="Times New Roman" w:cs="Times New Roman"/>
          <w:sz w:val="24"/>
          <w:szCs w:val="24"/>
        </w:rPr>
        <w:t>.</w:t>
      </w:r>
      <w:r w:rsidR="00141A0A" w:rsidRPr="00F645FC">
        <w:rPr>
          <w:rFonts w:ascii="Times New Roman" w:hAnsi="Times New Roman" w:cs="Times New Roman"/>
          <w:sz w:val="24"/>
          <w:szCs w:val="24"/>
        </w:rPr>
        <w:t>3% for diabetes.</w:t>
      </w:r>
      <w:r w:rsidR="006F4D3B" w:rsidRPr="00F645FC">
        <w:rPr>
          <w:rFonts w:ascii="Times New Roman" w:hAnsi="Times New Roman" w:cs="Times New Roman"/>
          <w:sz w:val="24"/>
          <w:szCs w:val="24"/>
        </w:rPr>
        <w:t xml:space="preserve"> </w:t>
      </w:r>
      <w:r w:rsidR="00545EE9" w:rsidRPr="00F645FC">
        <w:rPr>
          <w:rFonts w:ascii="Times New Roman" w:hAnsi="Times New Roman" w:cs="Times New Roman"/>
          <w:sz w:val="24"/>
          <w:szCs w:val="24"/>
        </w:rPr>
        <w:t>This observation was also consistent with higher observations of several clinical comorbidities associated with aging.</w:t>
      </w:r>
      <w:r w:rsidR="004C615C">
        <w:rPr>
          <w:rFonts w:ascii="Times New Roman" w:hAnsi="Times New Roman" w:cs="Times New Roman"/>
          <w:sz w:val="24"/>
          <w:szCs w:val="24"/>
        </w:rPr>
        <w:t xml:space="preserve"> T</w:t>
      </w:r>
      <w:r w:rsidR="00545EE9" w:rsidRPr="00F645FC">
        <w:rPr>
          <w:rFonts w:ascii="Times New Roman" w:hAnsi="Times New Roman" w:cs="Times New Roman"/>
          <w:sz w:val="24"/>
          <w:szCs w:val="24"/>
        </w:rPr>
        <w:t xml:space="preserve">he Italian Society for Hypertension reported that more than a third of Italians suffer from hypertension and that about 5% of Italians had diabetes, this percentage rising to 16.5% for those </w:t>
      </w:r>
      <w:r w:rsidR="00F86B69">
        <w:rPr>
          <w:rFonts w:ascii="Times New Roman" w:hAnsi="Times New Roman" w:cs="Times New Roman"/>
          <w:sz w:val="24"/>
          <w:szCs w:val="24"/>
        </w:rPr>
        <w:t xml:space="preserve">who </w:t>
      </w:r>
      <w:r w:rsidR="00545EE9" w:rsidRPr="00F645FC">
        <w:rPr>
          <w:rFonts w:ascii="Times New Roman" w:hAnsi="Times New Roman" w:cs="Times New Roman"/>
          <w:sz w:val="24"/>
          <w:szCs w:val="24"/>
        </w:rPr>
        <w:t>were over 65 years of age</w:t>
      </w:r>
      <w:r w:rsidR="00545EE9" w:rsidRPr="00F645FC">
        <w:rPr>
          <w:rFonts w:ascii="Times New Roman" w:hAnsi="Times New Roman" w:cs="Times New Roman"/>
          <w:sz w:val="24"/>
          <w:szCs w:val="24"/>
        </w:rPr>
        <w:fldChar w:fldCharType="begin" w:fldLock="1"/>
      </w:r>
      <w:r w:rsidR="0076575D">
        <w:rPr>
          <w:rFonts w:ascii="Times New Roman" w:hAnsi="Times New Roman" w:cs="Times New Roman"/>
          <w:sz w:val="24"/>
          <w:szCs w:val="24"/>
        </w:rPr>
        <w:instrText>ADDIN CSL_CITATION {"citationItems":[{"id":"ITEM-1","itemData":{"DOI":"10.2139/ssrn.3556640","abstract":"Background: Italy is undergoing an unprecedented COVID-1 epidemic - one of the largest and most lethal outbreaks outside China. The higher death rate observed c","author":[{"dropping-particle":"","family":"Lanini","given":"Simone","non-dropping-particle":"","parse-names":false,"suffix":""},{"dropping-particle":"","family":"Vairo","given":"Francesco","non-dropping-particle":"","parse-names":false,"suffix":""},{"dropping-particle":"","family":"Puro","given":"Vincenzo","non-dropping-particle":"","parse-names":false,"suffix":""},{"dropping-particle":"","family":"Scognamiglio","given":"Paola","non-dropping-particle":"","parse-names":false,"suffix":""},{"dropping-particle":"","family":"Locatelli","given":"Franco","non-dropping-particle":"","parse-names":false,"suffix":""},{"dropping-particle":"","family":"Zhang","given":"Chao","non-dropping-particle":"","parse-names":false,"suffix":""},{"dropping-particle":"","family":"Wang","given":"Fu-Sheng","non-dropping-particle":"","parse-names":false,"suffix":""},{"dropping-particle":"","family":"Zumla","given":"Alimuddin","non-dropping-particle":"","parse-names":false,"suffix":""},{"dropping-particle":"","family":"Ippolito","given":"Giuseppe","non-dropping-particle":"","parse-names":false,"suffix":""}],"container-title":"SSRN Electronic Journal","id":"ITEM-1","issued":{"date-parts":[["2020","4","1"]]},"publisher":"Elsevier BV","title":"Higher Death Rates in the Italian COVID-19 Outbreak: A Comparative Modelling Analysis of 8,342 Italy and 44,672 China Cases","type":"article-journal"},"uris":["http://www.mendeley.com/documents/?uuid=044a39a4-c7a3-3de2-8350-2cefe5ad2e24"]}],"mendeley":{"formattedCitation":"&lt;sup&gt;34&lt;/sup&gt;","plainTextFormattedCitation":"34","previouslyFormattedCitation":"&lt;sup&gt;34&lt;/sup&gt;"},"properties":{"noteIndex":0},"schema":"https://github.com/citation-style-language/schema/raw/master/csl-citation.json"}</w:instrText>
      </w:r>
      <w:r w:rsidR="00545EE9"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34</w:t>
      </w:r>
      <w:r w:rsidR="00545EE9" w:rsidRPr="00F645FC">
        <w:rPr>
          <w:rFonts w:ascii="Times New Roman" w:hAnsi="Times New Roman" w:cs="Times New Roman"/>
          <w:sz w:val="24"/>
          <w:szCs w:val="24"/>
        </w:rPr>
        <w:fldChar w:fldCharType="end"/>
      </w:r>
      <w:r w:rsidR="00545EE9" w:rsidRPr="00F645FC">
        <w:rPr>
          <w:rFonts w:ascii="Times New Roman" w:hAnsi="Times New Roman" w:cs="Times New Roman"/>
          <w:sz w:val="24"/>
          <w:szCs w:val="24"/>
        </w:rPr>
        <w:t>. A study conducted with US states reported that</w:t>
      </w:r>
      <w:r w:rsidR="00304811">
        <w:rPr>
          <w:rFonts w:ascii="Times New Roman" w:hAnsi="Times New Roman" w:cs="Times New Roman"/>
          <w:sz w:val="24"/>
          <w:szCs w:val="24"/>
        </w:rPr>
        <w:t xml:space="preserve"> </w:t>
      </w:r>
      <w:r w:rsidR="00545EE9" w:rsidRPr="00F645FC">
        <w:rPr>
          <w:rFonts w:ascii="Times New Roman" w:hAnsi="Times New Roman" w:cs="Times New Roman"/>
          <w:sz w:val="24"/>
          <w:szCs w:val="24"/>
        </w:rPr>
        <w:t>the risk of death is 13- to 73-fold lower in non-elderly people &lt;65 years old than in older individuals</w:t>
      </w:r>
      <w:r w:rsidR="00545EE9" w:rsidRPr="00F645FC">
        <w:rPr>
          <w:rFonts w:ascii="Times New Roman" w:hAnsi="Times New Roman" w:cs="Times New Roman"/>
          <w:sz w:val="24"/>
          <w:szCs w:val="24"/>
        </w:rPr>
        <w:fldChar w:fldCharType="begin" w:fldLock="1"/>
      </w:r>
      <w:r w:rsidR="0076575D">
        <w:rPr>
          <w:rFonts w:ascii="Times New Roman" w:hAnsi="Times New Roman" w:cs="Times New Roman"/>
          <w:sz w:val="24"/>
          <w:szCs w:val="24"/>
        </w:rPr>
        <w:instrText>ADDIN CSL_CITATION {"citationItems":[{"id":"ITEM-1","itemData":{"DOI":"10.1101/2020.04.05.20054361","abstract":"OBJECTIVE: To evaluate the relative risk of COVID-19 death in people &amp;amp;lt;65 years old versus older individuals in the general population, to provide estimates of absolute risk of COVID-19 death at the population level, and to understand what proportion of COVID-19 deaths occur in non-elderly people without underlying diseases in epicenters of the pandemic. ELIGIBLE DATA: Countries and US states or major cities with at least 250 COVID-19 deaths as of 4/4/2020 and with information available on death counts according to age strata, allowing to calculate the number of deaths in people with age &amp;amp;lt;65. Data were available for Belgium, Germany, Italy, Netherlands, Portugal, Spain, Sweden, and Switzerland, as well as Louisiana, Michigan, Washington states and New York City as of April 4, 2020. MAIN OUTCOME MEASURES: Proportion of COVID-19 deaths that occur in people &amp;amp;lt;65 years old; relative risk of COVID-19 death in people &amp;amp;lt;65 versus ≥65 years old; absolute risk of death in people &amp;amp;lt;65 and in those ≥80 years old in the general population as of 4/4/2020; absolute death risk expressed as equivalent of death risk from driving a motor vehicle. RESULTS: Individuals with age &amp;amp;lt;65 account for 5%-9% of all COVID-19 deaths in the 8 European epicenters, and approach 30% in three US hotbed locations. People &amp;amp;lt;65 years old had 34- to 73-fold lower risk than those ≥65 years old in the European countries and 13- to 15-fold lower risk in New York City, Louisiana and Michigan. The absolute risk of COVID-19 death ranged from 1.7 per million for people &amp;amp;lt;65 years old in Germany to 79 per million in New York City. The absolute risk of COVID-19 death for people ≥80 years old ranged from approximately 1 in 6,000 in Germany to 1 in 420 in Spain. The COVID-19 death risk in people &amp;amp;lt;65 years old during the period of fatalities from the epidemic was equivalent to the death risk from driving between 9 miles per day (Germany) and 415 miles per day (New York City). People &amp;amp;lt;65 years old and not having any underlying predisposing conditions accounted for only 0.3%, 0.7%, and 1.8% of all COVID-19 deaths in Netherlands, Italy, and New York City. CONCLUSIONS: People &amp;amp;lt;65 years old have very small risks of COVID-19 death even in the hotbeds of the pandemic and deaths for people &amp;amp;lt;65 years without underlying predisposing conditions are remarkably uncommon. Strategies focusing specifically on protecting high-risk elderly indiv…","author":[{"dropping-particle":"","family":"Ioannidis","given":"John P A","non-dropping-particle":"","parse-names":false,"suffix":""},{"dropping-particle":"","family":"Axfors","given":"Cathrine","non-dropping-particle":"","parse-names":false,"suffix":""},{"dropping-particle":"","family":"Contopoulos-Ioannidis","given":"Despina G","non-dropping-particle":"","parse-names":false,"suffix":""}],"container-title":"medRxiv","id":"ITEM-1","issued":{"date-parts":[["2020"]]},"page":"2020.04.05.20054361","title":"Population-level COVID-19 mortality risk for non-elderly individuals overall and for non-elderly individuals without underlying diseases in pandemic epicenters","type":"article-journal"},"uris":["http://www.mendeley.com/documents/?uuid=29e064c1-3b35-3efb-9457-83cea43a23e8"]}],"mendeley":{"formattedCitation":"&lt;sup&gt;35&lt;/sup&gt;","plainTextFormattedCitation":"35","previouslyFormattedCitation":"&lt;sup&gt;35&lt;/sup&gt;"},"properties":{"noteIndex":0},"schema":"https://github.com/citation-style-language/schema/raw/master/csl-citation.json"}</w:instrText>
      </w:r>
      <w:r w:rsidR="00545EE9"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35</w:t>
      </w:r>
      <w:r w:rsidR="00545EE9" w:rsidRPr="00F645FC">
        <w:rPr>
          <w:rFonts w:ascii="Times New Roman" w:hAnsi="Times New Roman" w:cs="Times New Roman"/>
          <w:sz w:val="24"/>
          <w:szCs w:val="24"/>
        </w:rPr>
        <w:fldChar w:fldCharType="end"/>
      </w:r>
      <w:r w:rsidR="00545EE9" w:rsidRPr="00F645FC">
        <w:rPr>
          <w:rFonts w:ascii="Times New Roman" w:hAnsi="Times New Roman" w:cs="Times New Roman"/>
          <w:sz w:val="24"/>
          <w:szCs w:val="24"/>
        </w:rPr>
        <w:t xml:space="preserve">, which conclude similar result to our study. </w:t>
      </w:r>
    </w:p>
    <w:p w14:paraId="18DC5F3A" w14:textId="145D8A9A" w:rsidR="006B2C75" w:rsidRDefault="00311C56"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lastRenderedPageBreak/>
        <w:t xml:space="preserve">Contrary to our expectations, the WGI had the opposite relationship with COVID-19 related </w:t>
      </w:r>
      <w:r w:rsidR="00304811">
        <w:rPr>
          <w:rFonts w:ascii="Times New Roman" w:hAnsi="Times New Roman" w:cs="Times New Roman"/>
          <w:sz w:val="24"/>
          <w:szCs w:val="24"/>
        </w:rPr>
        <w:t>to</w:t>
      </w:r>
      <w:r w:rsidR="00F16C18">
        <w:rPr>
          <w:rFonts w:ascii="Times New Roman" w:hAnsi="Times New Roman" w:cs="Times New Roman"/>
          <w:sz w:val="24"/>
          <w:szCs w:val="24"/>
        </w:rPr>
        <w:t xml:space="preserve"> </w:t>
      </w:r>
      <w:r w:rsidR="00545EE9" w:rsidRPr="00F645FC">
        <w:rPr>
          <w:rFonts w:ascii="Times New Roman" w:hAnsi="Times New Roman" w:cs="Times New Roman"/>
          <w:sz w:val="24"/>
          <w:szCs w:val="24"/>
        </w:rPr>
        <w:t>CFR</w:t>
      </w:r>
      <w:r w:rsidR="00B96266" w:rsidRPr="00F645FC">
        <w:rPr>
          <w:rFonts w:ascii="Times New Roman" w:hAnsi="Times New Roman" w:cs="Times New Roman"/>
          <w:sz w:val="24"/>
          <w:szCs w:val="24"/>
        </w:rPr>
        <w:t xml:space="preserve"> before</w:t>
      </w:r>
      <w:r w:rsidR="00F16C18">
        <w:rPr>
          <w:rFonts w:ascii="Times New Roman" w:hAnsi="Times New Roman" w:cs="Times New Roman"/>
          <w:sz w:val="24"/>
          <w:szCs w:val="24"/>
        </w:rPr>
        <w:t xml:space="preserve"> the</w:t>
      </w:r>
      <w:r w:rsidR="00B96266" w:rsidRPr="00F645FC">
        <w:rPr>
          <w:rFonts w:ascii="Times New Roman" w:hAnsi="Times New Roman" w:cs="Times New Roman"/>
          <w:sz w:val="24"/>
          <w:szCs w:val="24"/>
        </w:rPr>
        <w:t xml:space="preserve"> peak</w:t>
      </w:r>
      <w:r w:rsidRPr="00F645FC">
        <w:rPr>
          <w:rFonts w:ascii="Times New Roman" w:hAnsi="Times New Roman" w:cs="Times New Roman"/>
          <w:sz w:val="24"/>
          <w:szCs w:val="24"/>
        </w:rPr>
        <w:t>, indicating that well-governed countries reported higher mortality rates. There were some nations like Italy and America which did not take the threat of coronavirus seriously so both countries are now the most affected in the world</w:t>
      </w:r>
      <w:r w:rsidRPr="00F645FC">
        <w:rPr>
          <w:rFonts w:ascii="Times New Roman" w:hAnsi="Times New Roman" w:cs="Times New Roman"/>
          <w:sz w:val="24"/>
          <w:szCs w:val="24"/>
        </w:rPr>
        <w:fldChar w:fldCharType="begin" w:fldLock="1"/>
      </w:r>
      <w:r w:rsidR="0076575D">
        <w:rPr>
          <w:rFonts w:ascii="Times New Roman" w:hAnsi="Times New Roman" w:cs="Times New Roman"/>
          <w:sz w:val="24"/>
          <w:szCs w:val="24"/>
        </w:rPr>
        <w:instrText>ADDIN CSL_CITATION {"citationItems":[{"id":"ITEM-1","itemData":{"URL":"https://moderndiplomacy.eu/2020/04/05/world-governments-need-cooperation-of-every-section-of-society-to-defeat-covid-19/","accessed":{"date-parts":[["2020","6","9"]]},"id":"ITEM-1","issued":{"date-parts":[["0"]]},"title":"World Governments Need Cooperation of Every Section of Society to Defeat COVID-19 - Modern Diplomacy","type":"webpage"},"uris":["http://www.mendeley.com/documents/?uuid=3076e29d-b687-38bf-b904-fe8569dc289d"]}],"mendeley":{"formattedCitation":"&lt;sup&gt;36&lt;/sup&gt;","plainTextFormattedCitation":"36","previouslyFormattedCitation":"&lt;sup&gt;36&lt;/sup&gt;"},"properties":{"noteIndex":0},"schema":"https://github.com/citation-style-language/schema/raw/master/csl-citation.json"}</w:instrText>
      </w:r>
      <w:r w:rsidRPr="00F645FC">
        <w:rPr>
          <w:rFonts w:ascii="Times New Roman" w:hAnsi="Times New Roman" w:cs="Times New Roman"/>
          <w:sz w:val="24"/>
          <w:szCs w:val="24"/>
        </w:rPr>
        <w:fldChar w:fldCharType="separate"/>
      </w:r>
      <w:r w:rsidR="009C7F77" w:rsidRPr="009C7F77">
        <w:rPr>
          <w:rFonts w:ascii="Times New Roman" w:hAnsi="Times New Roman" w:cs="Times New Roman"/>
          <w:noProof/>
          <w:sz w:val="24"/>
          <w:szCs w:val="24"/>
          <w:vertAlign w:val="superscript"/>
        </w:rPr>
        <w:t>36</w:t>
      </w:r>
      <w:r w:rsidRPr="00F645FC">
        <w:rPr>
          <w:rFonts w:ascii="Times New Roman" w:hAnsi="Times New Roman" w:cs="Times New Roman"/>
          <w:sz w:val="24"/>
          <w:szCs w:val="24"/>
        </w:rPr>
        <w:fldChar w:fldCharType="end"/>
      </w:r>
      <w:r w:rsidRPr="00F645FC">
        <w:rPr>
          <w:rFonts w:ascii="Times New Roman" w:hAnsi="Times New Roman" w:cs="Times New Roman"/>
          <w:sz w:val="24"/>
          <w:szCs w:val="24"/>
        </w:rPr>
        <w:t>. This may be the reason we get the opposite relationship.</w:t>
      </w:r>
      <w:r w:rsidR="00141A0A" w:rsidRPr="00F645FC">
        <w:rPr>
          <w:rFonts w:ascii="Times New Roman" w:hAnsi="Times New Roman" w:cs="Times New Roman"/>
          <w:sz w:val="24"/>
          <w:szCs w:val="24"/>
        </w:rPr>
        <w:t xml:space="preserve"> But, after peak week, data shows a positive higher IRR and explained that </w:t>
      </w:r>
      <w:r w:rsidR="006F4D3B" w:rsidRPr="00F645FC">
        <w:rPr>
          <w:rFonts w:ascii="Times New Roman" w:hAnsi="Times New Roman" w:cs="Times New Roman"/>
          <w:sz w:val="24"/>
          <w:szCs w:val="24"/>
        </w:rPr>
        <w:t xml:space="preserve">the percent change in the incident rate of CFR is a 26% increase for every unit </w:t>
      </w:r>
      <w:r w:rsidR="00E5218B">
        <w:rPr>
          <w:rFonts w:ascii="Times New Roman" w:hAnsi="Times New Roman" w:cs="Times New Roman"/>
          <w:sz w:val="24"/>
          <w:szCs w:val="24"/>
        </w:rPr>
        <w:t>increase</w:t>
      </w:r>
      <w:r w:rsidR="006F4D3B" w:rsidRPr="00F645FC">
        <w:rPr>
          <w:rFonts w:ascii="Times New Roman" w:hAnsi="Times New Roman" w:cs="Times New Roman"/>
          <w:sz w:val="24"/>
          <w:szCs w:val="24"/>
        </w:rPr>
        <w:t xml:space="preserve"> in </w:t>
      </w:r>
      <w:r w:rsidR="005E4672" w:rsidRPr="00F645FC">
        <w:rPr>
          <w:rFonts w:ascii="Times New Roman" w:hAnsi="Times New Roman" w:cs="Times New Roman"/>
          <w:sz w:val="24"/>
          <w:szCs w:val="24"/>
        </w:rPr>
        <w:t>WGI</w:t>
      </w:r>
      <w:r w:rsidR="006F4D3B" w:rsidRPr="00F645FC">
        <w:rPr>
          <w:rFonts w:ascii="Times New Roman" w:hAnsi="Times New Roman" w:cs="Times New Roman"/>
          <w:sz w:val="24"/>
          <w:szCs w:val="24"/>
        </w:rPr>
        <w:t>.</w:t>
      </w:r>
      <w:r w:rsidR="00141AD3" w:rsidRPr="00F645FC">
        <w:rPr>
          <w:rFonts w:ascii="Times New Roman" w:hAnsi="Times New Roman" w:cs="Times New Roman"/>
          <w:sz w:val="24"/>
          <w:szCs w:val="24"/>
        </w:rPr>
        <w:t xml:space="preserve"> </w:t>
      </w:r>
      <w:r w:rsidR="00213F31" w:rsidRPr="00F645FC">
        <w:rPr>
          <w:rFonts w:ascii="Times New Roman" w:hAnsi="Times New Roman" w:cs="Times New Roman"/>
          <w:sz w:val="24"/>
          <w:szCs w:val="24"/>
        </w:rPr>
        <w:t>Similarly, countries with higher preparedness (GHSI) for pandemic diseases have reported higher mortality rates</w:t>
      </w:r>
      <w:r w:rsidR="00FB4495">
        <w:rPr>
          <w:rFonts w:ascii="Times New Roman" w:hAnsi="Times New Roman" w:cs="Times New Roman"/>
          <w:sz w:val="24"/>
          <w:szCs w:val="24"/>
        </w:rPr>
        <w:t xml:space="preserve"> in recent data</w:t>
      </w:r>
      <w:r w:rsidR="00213F31" w:rsidRPr="00F645FC">
        <w:rPr>
          <w:rFonts w:ascii="Times New Roman" w:hAnsi="Times New Roman" w:cs="Times New Roman"/>
          <w:sz w:val="24"/>
          <w:szCs w:val="24"/>
        </w:rPr>
        <w:t>.</w:t>
      </w:r>
      <w:r w:rsidR="00B615D2" w:rsidRPr="00F645FC">
        <w:rPr>
          <w:rFonts w:ascii="Times New Roman" w:hAnsi="Times New Roman" w:cs="Times New Roman"/>
          <w:sz w:val="24"/>
          <w:szCs w:val="24"/>
        </w:rPr>
        <w:t xml:space="preserve"> </w:t>
      </w:r>
      <w:r w:rsidR="00213F31" w:rsidRPr="00F645FC">
        <w:rPr>
          <w:rFonts w:ascii="Times New Roman" w:hAnsi="Times New Roman" w:cs="Times New Roman"/>
          <w:sz w:val="24"/>
          <w:szCs w:val="24"/>
        </w:rPr>
        <w:t xml:space="preserve">The severity of the disease among those infected has overwhelmed healthcare systems and frontline healthcare providers and has exhausted resources, revealing </w:t>
      </w:r>
      <w:r w:rsidR="00B615D2" w:rsidRPr="00F645FC">
        <w:rPr>
          <w:rFonts w:ascii="Times New Roman" w:hAnsi="Times New Roman" w:cs="Times New Roman"/>
          <w:sz w:val="24"/>
          <w:szCs w:val="24"/>
        </w:rPr>
        <w:t>how ill</w:t>
      </w:r>
      <w:r w:rsidR="00213F31" w:rsidRPr="00F645FC">
        <w:rPr>
          <w:rFonts w:ascii="Times New Roman" w:hAnsi="Times New Roman" w:cs="Times New Roman"/>
          <w:sz w:val="24"/>
          <w:szCs w:val="24"/>
        </w:rPr>
        <w:t>-equipped the world was to manage the pandemic</w:t>
      </w:r>
      <w:r w:rsidR="0076575D">
        <w:rPr>
          <w:rFonts w:ascii="Times New Roman" w:hAnsi="Times New Roman" w:cs="Times New Roman"/>
          <w:sz w:val="24"/>
          <w:szCs w:val="24"/>
        </w:rPr>
        <w:fldChar w:fldCharType="begin" w:fldLock="1"/>
      </w:r>
      <w:r w:rsidR="0076575D">
        <w:rPr>
          <w:rFonts w:ascii="Times New Roman" w:hAnsi="Times New Roman" w:cs="Times New Roman"/>
          <w:sz w:val="24"/>
          <w:szCs w:val="24"/>
        </w:rPr>
        <w:instrText>ADDIN CSL_CITATION {"citationItems":[{"id":"ITEM-1","itemData":{"DOI":"10.1080/00325481.2020.1761668","PMID":"32331509","abstract":"The 2019–2020 pandemic Coronavirus Disease 2019 (COVID-19) has inundated hospital systems globally, as they prepare to accommodate surge of patients requiring advanced levels of care. Pandemic preparedness has not been this urgently and widely needed in the last several decades. According to epidemiologic predictions, the peak of this pandemic has still not been reached, and hospitals everywhere need to ensure readiness to care for more patients than they usually do, and safety for healthcare workers who strive to save lives. We share our hospital-wide rapid preparedness and response to COVID-19 to help provide information to other healthcare systems globally.","author":[{"dropping-particle":"","family":"Gupta","given":"Shaili","non-dropping-particle":"","parse-names":false,"suffix":""},{"dropping-particle":"","family":"Federman","given":"Daniel G.","non-dropping-particle":"","parse-names":false,"suffix":""}],"container-title":"Postgraduate Medicine","id":"ITEM-1","issued":{"date-parts":[["2020"]]},"page":"1","publisher":"Taylor &amp; Francis","title":"Hospital preparedness for COVID-19 pandemic: experience from department of medicine at Veterans Affairs Connecticut Healthcare System","type":"article-journal","volume":"00"},"uris":["http://www.mendeley.com/documents/?uuid=e517c05e-6280-32a0-bd3a-f09deb7a04ce"]}],"mendeley":{"formattedCitation":"&lt;sup&gt;37&lt;/sup&gt;","plainTextFormattedCitation":"37"},"properties":{"noteIndex":0},"schema":"https://github.com/citation-style-language/schema/raw/master/csl-citation.json"}</w:instrText>
      </w:r>
      <w:r w:rsidR="0076575D">
        <w:rPr>
          <w:rFonts w:ascii="Times New Roman" w:hAnsi="Times New Roman" w:cs="Times New Roman"/>
          <w:sz w:val="24"/>
          <w:szCs w:val="24"/>
        </w:rPr>
        <w:fldChar w:fldCharType="separate"/>
      </w:r>
      <w:r w:rsidR="0076575D" w:rsidRPr="0076575D">
        <w:rPr>
          <w:rFonts w:ascii="Times New Roman" w:hAnsi="Times New Roman" w:cs="Times New Roman"/>
          <w:noProof/>
          <w:sz w:val="24"/>
          <w:szCs w:val="24"/>
          <w:vertAlign w:val="superscript"/>
        </w:rPr>
        <w:t>37</w:t>
      </w:r>
      <w:r w:rsidR="0076575D">
        <w:rPr>
          <w:rFonts w:ascii="Times New Roman" w:hAnsi="Times New Roman" w:cs="Times New Roman"/>
          <w:sz w:val="24"/>
          <w:szCs w:val="24"/>
        </w:rPr>
        <w:fldChar w:fldCharType="end"/>
      </w:r>
      <w:r w:rsidR="00213F31" w:rsidRPr="00F645FC">
        <w:rPr>
          <w:rFonts w:ascii="Times New Roman" w:hAnsi="Times New Roman" w:cs="Times New Roman"/>
          <w:sz w:val="24"/>
          <w:szCs w:val="24"/>
        </w:rPr>
        <w:t>.</w:t>
      </w:r>
      <w:r w:rsidR="00580FFA" w:rsidRPr="00F645FC">
        <w:rPr>
          <w:rFonts w:ascii="Times New Roman" w:hAnsi="Times New Roman" w:cs="Times New Roman"/>
          <w:sz w:val="24"/>
          <w:szCs w:val="24"/>
        </w:rPr>
        <w:t xml:space="preserve"> </w:t>
      </w:r>
      <w:r w:rsidR="006B2C75" w:rsidRPr="00F645FC">
        <w:rPr>
          <w:rFonts w:ascii="Times New Roman" w:hAnsi="Times New Roman" w:cs="Times New Roman"/>
          <w:sz w:val="24"/>
          <w:szCs w:val="24"/>
        </w:rPr>
        <w:t>However, outbreak settings often generate</w:t>
      </w:r>
      <w:r w:rsidR="00F16C18">
        <w:rPr>
          <w:rFonts w:ascii="Times New Roman" w:hAnsi="Times New Roman" w:cs="Times New Roman"/>
          <w:sz w:val="24"/>
          <w:szCs w:val="24"/>
        </w:rPr>
        <w:t xml:space="preserve"> </w:t>
      </w:r>
      <w:r w:rsidR="006B2C75" w:rsidRPr="00F645FC">
        <w:rPr>
          <w:rFonts w:ascii="Times New Roman" w:hAnsi="Times New Roman" w:cs="Times New Roman"/>
          <w:sz w:val="24"/>
          <w:szCs w:val="24"/>
        </w:rPr>
        <w:t>incomplete</w:t>
      </w:r>
      <w:r w:rsidR="00F16C18">
        <w:rPr>
          <w:rFonts w:ascii="Times New Roman" w:hAnsi="Times New Roman" w:cs="Times New Roman"/>
          <w:sz w:val="24"/>
          <w:szCs w:val="24"/>
        </w:rPr>
        <w:t xml:space="preserve"> data</w:t>
      </w:r>
      <w:r w:rsidR="006B2C75" w:rsidRPr="00F645FC">
        <w:rPr>
          <w:rFonts w:ascii="Times New Roman" w:hAnsi="Times New Roman" w:cs="Times New Roman"/>
          <w:sz w:val="24"/>
          <w:szCs w:val="24"/>
        </w:rPr>
        <w:t>, where both recovered and fatal cases go unreported.</w:t>
      </w:r>
      <w:r w:rsidR="00CF470E" w:rsidRPr="00F645FC">
        <w:rPr>
          <w:rFonts w:ascii="Times New Roman" w:hAnsi="Times New Roman" w:cs="Times New Roman"/>
          <w:sz w:val="24"/>
          <w:szCs w:val="24"/>
        </w:rPr>
        <w:t xml:space="preserve"> Many low governance </w:t>
      </w:r>
      <w:r w:rsidR="007D72DC" w:rsidRPr="00F645FC">
        <w:rPr>
          <w:rFonts w:ascii="Times New Roman" w:hAnsi="Times New Roman" w:cs="Times New Roman"/>
          <w:sz w:val="24"/>
          <w:szCs w:val="24"/>
        </w:rPr>
        <w:t>countries</w:t>
      </w:r>
      <w:r w:rsidR="00CF470E" w:rsidRPr="00F645FC">
        <w:rPr>
          <w:rFonts w:ascii="Times New Roman" w:hAnsi="Times New Roman" w:cs="Times New Roman"/>
          <w:sz w:val="24"/>
          <w:szCs w:val="24"/>
        </w:rPr>
        <w:t xml:space="preserve"> </w:t>
      </w:r>
      <w:r w:rsidR="007D72DC" w:rsidRPr="00F645FC">
        <w:rPr>
          <w:rFonts w:ascii="Times New Roman" w:hAnsi="Times New Roman" w:cs="Times New Roman"/>
          <w:sz w:val="24"/>
          <w:szCs w:val="24"/>
        </w:rPr>
        <w:t>show</w:t>
      </w:r>
      <w:r w:rsidR="00CF470E" w:rsidRPr="00F645FC">
        <w:rPr>
          <w:rFonts w:ascii="Times New Roman" w:hAnsi="Times New Roman" w:cs="Times New Roman"/>
          <w:sz w:val="24"/>
          <w:szCs w:val="24"/>
        </w:rPr>
        <w:t xml:space="preserve"> low test rate</w:t>
      </w:r>
      <w:r w:rsidR="00AA5116">
        <w:rPr>
          <w:rFonts w:ascii="Times New Roman" w:hAnsi="Times New Roman" w:cs="Times New Roman"/>
          <w:sz w:val="24"/>
          <w:szCs w:val="24"/>
        </w:rPr>
        <w:t>s</w:t>
      </w:r>
      <w:r w:rsidR="00CF470E" w:rsidRPr="00F645FC">
        <w:rPr>
          <w:rFonts w:ascii="Times New Roman" w:hAnsi="Times New Roman" w:cs="Times New Roman"/>
          <w:sz w:val="24"/>
          <w:szCs w:val="24"/>
        </w:rPr>
        <w:t xml:space="preserve"> and high governance shows </w:t>
      </w:r>
      <w:r w:rsidR="00AA5116">
        <w:rPr>
          <w:rFonts w:ascii="Times New Roman" w:hAnsi="Times New Roman" w:cs="Times New Roman"/>
          <w:sz w:val="24"/>
          <w:szCs w:val="24"/>
        </w:rPr>
        <w:t xml:space="preserve">a </w:t>
      </w:r>
      <w:r w:rsidR="00CF470E" w:rsidRPr="00F645FC">
        <w:rPr>
          <w:rFonts w:ascii="Times New Roman" w:hAnsi="Times New Roman" w:cs="Times New Roman"/>
          <w:sz w:val="24"/>
          <w:szCs w:val="24"/>
        </w:rPr>
        <w:t>huge test rate.</w:t>
      </w:r>
    </w:p>
    <w:p w14:paraId="217AAA16" w14:textId="77777777" w:rsidR="00A35206" w:rsidRPr="00F645FC" w:rsidRDefault="00A35206" w:rsidP="00F645FC">
      <w:pPr>
        <w:spacing w:after="0" w:line="480" w:lineRule="auto"/>
        <w:jc w:val="both"/>
        <w:rPr>
          <w:rFonts w:ascii="Times New Roman" w:hAnsi="Times New Roman" w:cs="Times New Roman"/>
          <w:sz w:val="24"/>
          <w:szCs w:val="24"/>
        </w:rPr>
      </w:pPr>
    </w:p>
    <w:p w14:paraId="0526962D" w14:textId="77777777" w:rsidR="008176D5" w:rsidRDefault="00AB33DB" w:rsidP="008176D5">
      <w:pPr>
        <w:tabs>
          <w:tab w:val="left" w:pos="1200"/>
        </w:tabs>
        <w:spacing w:after="0" w:line="480" w:lineRule="auto"/>
        <w:jc w:val="both"/>
        <w:rPr>
          <w:rFonts w:ascii="Times New Roman" w:hAnsi="Times New Roman" w:cs="Times New Roman"/>
          <w:b/>
          <w:bCs/>
          <w:sz w:val="24"/>
          <w:szCs w:val="24"/>
        </w:rPr>
      </w:pPr>
      <w:r w:rsidRPr="00F645FC">
        <w:rPr>
          <w:rFonts w:ascii="Times New Roman" w:hAnsi="Times New Roman" w:cs="Times New Roman"/>
          <w:b/>
          <w:bCs/>
          <w:sz w:val="24"/>
          <w:szCs w:val="24"/>
        </w:rPr>
        <w:t>Conclusion</w:t>
      </w:r>
    </w:p>
    <w:p w14:paraId="49D0D849" w14:textId="5283746F" w:rsidR="00AB33DB" w:rsidRPr="00C00F53" w:rsidRDefault="000C6577" w:rsidP="00136D0A">
      <w:pPr>
        <w:tabs>
          <w:tab w:val="left" w:pos="1200"/>
        </w:tabs>
        <w:spacing w:after="0" w:line="480" w:lineRule="auto"/>
        <w:jc w:val="both"/>
        <w:rPr>
          <w:rFonts w:ascii="Times New Roman" w:hAnsi="Times New Roman" w:cs="Times New Roman"/>
          <w:sz w:val="24"/>
          <w:szCs w:val="24"/>
        </w:rPr>
      </w:pPr>
      <w:r w:rsidRPr="000C6577">
        <w:rPr>
          <w:rFonts w:ascii="Times New Roman" w:hAnsi="Times New Roman" w:cs="Times New Roman"/>
          <w:sz w:val="24"/>
          <w:szCs w:val="24"/>
        </w:rPr>
        <w:t>The differences between countries with low and high CFRs may be driven significantly by age</w:t>
      </w:r>
      <w:r>
        <w:rPr>
          <w:rFonts w:ascii="Times New Roman" w:hAnsi="Times New Roman" w:cs="Times New Roman"/>
          <w:sz w:val="24"/>
          <w:szCs w:val="24"/>
        </w:rPr>
        <w:t>, WGI, GHSI</w:t>
      </w:r>
      <w:r w:rsidR="00932E43">
        <w:rPr>
          <w:rFonts w:ascii="Times New Roman" w:hAnsi="Times New Roman" w:cs="Times New Roman"/>
          <w:sz w:val="24"/>
          <w:szCs w:val="24"/>
        </w:rPr>
        <w:t>,</w:t>
      </w:r>
      <w:r>
        <w:rPr>
          <w:rFonts w:ascii="Times New Roman" w:hAnsi="Times New Roman" w:cs="Times New Roman"/>
          <w:sz w:val="24"/>
          <w:szCs w:val="24"/>
        </w:rPr>
        <w:t xml:space="preserve"> and diabetes</w:t>
      </w:r>
      <w:r w:rsidRPr="000C6577">
        <w:rPr>
          <w:rFonts w:ascii="Times New Roman" w:hAnsi="Times New Roman" w:cs="Times New Roman"/>
          <w:sz w:val="24"/>
          <w:szCs w:val="24"/>
        </w:rPr>
        <w:t>.</w:t>
      </w:r>
      <w:r w:rsidR="008176D5">
        <w:rPr>
          <w:rFonts w:ascii="Times New Roman" w:hAnsi="Times New Roman" w:cs="Times New Roman"/>
          <w:sz w:val="24"/>
          <w:szCs w:val="24"/>
        </w:rPr>
        <w:t xml:space="preserve"> </w:t>
      </w:r>
      <w:r w:rsidR="008176D5" w:rsidRPr="008176D5">
        <w:rPr>
          <w:rFonts w:ascii="Times New Roman" w:hAnsi="Times New Roman" w:cs="Times New Roman"/>
          <w:sz w:val="24"/>
          <w:szCs w:val="24"/>
        </w:rPr>
        <w:t xml:space="preserve">Reducing differences in </w:t>
      </w:r>
      <w:r w:rsidR="008176D5" w:rsidRPr="00F645FC">
        <w:rPr>
          <w:rFonts w:ascii="Times New Roman" w:hAnsi="Times New Roman" w:cs="Times New Roman"/>
          <w:sz w:val="24"/>
          <w:szCs w:val="24"/>
        </w:rPr>
        <w:t xml:space="preserve">case </w:t>
      </w:r>
      <w:r w:rsidR="00932E43">
        <w:rPr>
          <w:rFonts w:ascii="Times New Roman" w:hAnsi="Times New Roman" w:cs="Times New Roman"/>
          <w:sz w:val="24"/>
          <w:szCs w:val="24"/>
        </w:rPr>
        <w:t xml:space="preserve">of </w:t>
      </w:r>
      <w:r w:rsidR="008176D5" w:rsidRPr="00F645FC">
        <w:rPr>
          <w:rFonts w:ascii="Times New Roman" w:hAnsi="Times New Roman" w:cs="Times New Roman"/>
          <w:sz w:val="24"/>
          <w:szCs w:val="24"/>
        </w:rPr>
        <w:t>fatality rates</w:t>
      </w:r>
      <w:r w:rsidR="008176D5" w:rsidRPr="008176D5">
        <w:rPr>
          <w:rFonts w:ascii="Times New Roman" w:hAnsi="Times New Roman" w:cs="Times New Roman"/>
          <w:sz w:val="24"/>
          <w:szCs w:val="24"/>
        </w:rPr>
        <w:t xml:space="preserve"> over time or between countries reveals important insights for monitoring the spread of COVID-19.</w:t>
      </w:r>
      <w:r w:rsidR="00136D0A">
        <w:rPr>
          <w:rFonts w:ascii="Times New Roman" w:hAnsi="Times New Roman" w:cs="Times New Roman"/>
          <w:b/>
          <w:bCs/>
          <w:sz w:val="24"/>
          <w:szCs w:val="24"/>
        </w:rPr>
        <w:t xml:space="preserve"> </w:t>
      </w:r>
      <w:r w:rsidR="00352103" w:rsidRPr="00F645FC">
        <w:rPr>
          <w:rFonts w:ascii="Times New Roman" w:hAnsi="Times New Roman" w:cs="Times New Roman"/>
          <w:sz w:val="24"/>
          <w:szCs w:val="24"/>
        </w:rPr>
        <w:t xml:space="preserve">The findings of countries with higher GHSI and WGI and their positive correlation with higher </w:t>
      </w:r>
      <w:r w:rsidR="00E35631">
        <w:rPr>
          <w:rFonts w:ascii="Times New Roman" w:hAnsi="Times New Roman" w:cs="Times New Roman"/>
          <w:sz w:val="24"/>
          <w:szCs w:val="24"/>
        </w:rPr>
        <w:t>fatality</w:t>
      </w:r>
      <w:r w:rsidR="00352103" w:rsidRPr="00F645FC">
        <w:rPr>
          <w:rFonts w:ascii="Times New Roman" w:hAnsi="Times New Roman" w:cs="Times New Roman"/>
          <w:sz w:val="24"/>
          <w:szCs w:val="24"/>
        </w:rPr>
        <w:t xml:space="preserve"> rate matches with observed death rates in wealthier countries, however, we need a careful observation as countries are still at different stages of epidemics where countries in Africa, South America, Pacific Islands, and South Asia affected lately with COVID-19. </w:t>
      </w:r>
      <w:r w:rsidR="00D245C6" w:rsidRPr="00D245C6">
        <w:rPr>
          <w:rFonts w:ascii="Times New Roman" w:hAnsi="Times New Roman" w:cs="Times New Roman"/>
          <w:sz w:val="24"/>
          <w:szCs w:val="24"/>
        </w:rPr>
        <w:t>An accurate assessment of these differences in the CFR over country and time is important to inform and determine appropriate control and mitigation interventions such as social constraints and mobility restrictions.</w:t>
      </w:r>
      <w:r w:rsidR="00C00F53">
        <w:rPr>
          <w:rFonts w:ascii="Times New Roman" w:hAnsi="Times New Roman" w:cs="Times New Roman"/>
          <w:sz w:val="24"/>
          <w:szCs w:val="24"/>
        </w:rPr>
        <w:t xml:space="preserve"> </w:t>
      </w:r>
      <w:r w:rsidR="00836A8C" w:rsidRPr="00F645FC">
        <w:rPr>
          <w:rFonts w:ascii="Times New Roman" w:hAnsi="Times New Roman" w:cs="Times New Roman"/>
          <w:sz w:val="24"/>
          <w:szCs w:val="24"/>
        </w:rPr>
        <w:t xml:space="preserve">In </w:t>
      </w:r>
      <w:r w:rsidR="00836A8C" w:rsidRPr="00F645FC">
        <w:rPr>
          <w:rFonts w:ascii="Times New Roman" w:hAnsi="Times New Roman" w:cs="Times New Roman"/>
          <w:sz w:val="24"/>
          <w:szCs w:val="24"/>
        </w:rPr>
        <w:lastRenderedPageBreak/>
        <w:t xml:space="preserve">addition, a detailed and accurate treatment history can highlight the highest risk areas </w:t>
      </w:r>
      <w:r w:rsidR="004C374F" w:rsidRPr="00F645FC">
        <w:rPr>
          <w:rFonts w:ascii="Times New Roman" w:hAnsi="Times New Roman" w:cs="Times New Roman"/>
          <w:sz w:val="24"/>
          <w:szCs w:val="24"/>
        </w:rPr>
        <w:t xml:space="preserve">and </w:t>
      </w:r>
      <w:r w:rsidR="00836A8C" w:rsidRPr="00F645FC">
        <w:rPr>
          <w:rFonts w:ascii="Times New Roman" w:hAnsi="Times New Roman" w:cs="Times New Roman"/>
          <w:sz w:val="24"/>
          <w:szCs w:val="24"/>
        </w:rPr>
        <w:t xml:space="preserve">instruct </w:t>
      </w:r>
      <w:r w:rsidR="00A25FD1" w:rsidRPr="00F645FC">
        <w:rPr>
          <w:rFonts w:ascii="Times New Roman" w:hAnsi="Times New Roman" w:cs="Times New Roman"/>
          <w:sz w:val="24"/>
          <w:szCs w:val="24"/>
        </w:rPr>
        <w:t xml:space="preserve">them </w:t>
      </w:r>
      <w:r w:rsidR="00836A8C" w:rsidRPr="00F645FC">
        <w:rPr>
          <w:rFonts w:ascii="Times New Roman" w:hAnsi="Times New Roman" w:cs="Times New Roman"/>
          <w:sz w:val="24"/>
          <w:szCs w:val="24"/>
        </w:rPr>
        <w:t>to intervene more efficiently to reduce the spread of the virus worldwide</w:t>
      </w:r>
      <w:r w:rsidR="004C374F" w:rsidRPr="00F645FC">
        <w:rPr>
          <w:rFonts w:ascii="Times New Roman" w:hAnsi="Times New Roman" w:cs="Times New Roman"/>
          <w:sz w:val="24"/>
          <w:szCs w:val="24"/>
        </w:rPr>
        <w:t xml:space="preserve">. </w:t>
      </w:r>
    </w:p>
    <w:p w14:paraId="41A4C22C" w14:textId="68B9DDBC" w:rsidR="00BE1775" w:rsidRPr="00F645FC" w:rsidRDefault="00BE1775" w:rsidP="00F645FC">
      <w:pPr>
        <w:spacing w:after="0" w:line="480" w:lineRule="auto"/>
        <w:jc w:val="both"/>
        <w:rPr>
          <w:rFonts w:ascii="Times New Roman" w:hAnsi="Times New Roman" w:cs="Times New Roman"/>
          <w:sz w:val="24"/>
          <w:szCs w:val="24"/>
        </w:rPr>
      </w:pPr>
    </w:p>
    <w:p w14:paraId="3D7C67A3" w14:textId="14657174" w:rsidR="00BE1775" w:rsidRPr="00F645FC" w:rsidRDefault="00BE1775" w:rsidP="00F645FC">
      <w:pPr>
        <w:spacing w:after="0" w:line="480" w:lineRule="auto"/>
        <w:jc w:val="both"/>
        <w:rPr>
          <w:rFonts w:ascii="Times New Roman" w:hAnsi="Times New Roman" w:cs="Times New Roman"/>
          <w:b/>
          <w:bCs/>
          <w:sz w:val="24"/>
          <w:szCs w:val="24"/>
          <w:lang w:val="da-DK"/>
        </w:rPr>
      </w:pPr>
      <w:r w:rsidRPr="00F645FC">
        <w:rPr>
          <w:rFonts w:ascii="Times New Roman" w:hAnsi="Times New Roman" w:cs="Times New Roman"/>
          <w:b/>
          <w:bCs/>
          <w:sz w:val="24"/>
          <w:szCs w:val="24"/>
          <w:lang w:val="da-DK"/>
        </w:rPr>
        <w:t>References</w:t>
      </w:r>
    </w:p>
    <w:p w14:paraId="40AA6D88" w14:textId="47E1BE4F" w:rsidR="0076575D" w:rsidRPr="0076575D" w:rsidRDefault="00BE1775"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F645FC">
        <w:rPr>
          <w:rFonts w:ascii="Times New Roman" w:hAnsi="Times New Roman" w:cs="Times New Roman"/>
          <w:sz w:val="24"/>
          <w:szCs w:val="24"/>
        </w:rPr>
        <w:fldChar w:fldCharType="begin" w:fldLock="1"/>
      </w:r>
      <w:r w:rsidRPr="00F645FC">
        <w:rPr>
          <w:rFonts w:ascii="Times New Roman" w:hAnsi="Times New Roman" w:cs="Times New Roman"/>
          <w:sz w:val="24"/>
          <w:szCs w:val="24"/>
          <w:lang w:val="en-US"/>
        </w:rPr>
        <w:instrText xml:space="preserve">ADDIN Mendeley Bibliography CSL_BIBLIOGRAPHY </w:instrText>
      </w:r>
      <w:r w:rsidRPr="00F645FC">
        <w:rPr>
          <w:rFonts w:ascii="Times New Roman" w:hAnsi="Times New Roman" w:cs="Times New Roman"/>
          <w:sz w:val="24"/>
          <w:szCs w:val="24"/>
        </w:rPr>
        <w:fldChar w:fldCharType="separate"/>
      </w:r>
      <w:r w:rsidR="0076575D" w:rsidRPr="0076575D">
        <w:rPr>
          <w:rFonts w:ascii="Times New Roman" w:hAnsi="Times New Roman" w:cs="Times New Roman"/>
          <w:noProof/>
          <w:sz w:val="24"/>
          <w:szCs w:val="24"/>
        </w:rPr>
        <w:t>1.</w:t>
      </w:r>
      <w:r w:rsidR="0076575D" w:rsidRPr="0076575D">
        <w:rPr>
          <w:rFonts w:ascii="Times New Roman" w:hAnsi="Times New Roman" w:cs="Times New Roman"/>
          <w:noProof/>
          <w:sz w:val="24"/>
          <w:szCs w:val="24"/>
        </w:rPr>
        <w:tab/>
        <w:t xml:space="preserve">Wang, C., Horby, P. W., Hayden, F. G. &amp; Gao, G. F. A novel coronavirus outbreak of global health concern. </w:t>
      </w:r>
      <w:r w:rsidR="0076575D" w:rsidRPr="0076575D">
        <w:rPr>
          <w:rFonts w:ascii="Times New Roman" w:hAnsi="Times New Roman" w:cs="Times New Roman"/>
          <w:i/>
          <w:iCs/>
          <w:noProof/>
          <w:sz w:val="24"/>
          <w:szCs w:val="24"/>
        </w:rPr>
        <w:t>The Lancet</w:t>
      </w:r>
      <w:r w:rsidR="0076575D" w:rsidRPr="0076575D">
        <w:rPr>
          <w:rFonts w:ascii="Times New Roman" w:hAnsi="Times New Roman" w:cs="Times New Roman"/>
          <w:noProof/>
          <w:sz w:val="24"/>
          <w:szCs w:val="24"/>
        </w:rPr>
        <w:t xml:space="preserve"> vol. 395 470–473 (2020).</w:t>
      </w:r>
    </w:p>
    <w:p w14:paraId="6538D48B"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2.</w:t>
      </w:r>
      <w:r w:rsidRPr="0076575D">
        <w:rPr>
          <w:rFonts w:ascii="Times New Roman" w:hAnsi="Times New Roman" w:cs="Times New Roman"/>
          <w:noProof/>
          <w:sz w:val="24"/>
          <w:szCs w:val="24"/>
        </w:rPr>
        <w:tab/>
        <w:t xml:space="preserve">L, C. </w:t>
      </w:r>
      <w:r w:rsidRPr="0076575D">
        <w:rPr>
          <w:rFonts w:ascii="Times New Roman" w:hAnsi="Times New Roman" w:cs="Times New Roman"/>
          <w:i/>
          <w:iCs/>
          <w:noProof/>
          <w:sz w:val="24"/>
          <w:szCs w:val="24"/>
        </w:rPr>
        <w:t>et al.</w:t>
      </w:r>
      <w:r w:rsidRPr="0076575D">
        <w:rPr>
          <w:rFonts w:ascii="Times New Roman" w:hAnsi="Times New Roman" w:cs="Times New Roman"/>
          <w:noProof/>
          <w:sz w:val="24"/>
          <w:szCs w:val="24"/>
        </w:rPr>
        <w:t xml:space="preserve"> [Analysis of Clinical Features of 29 Patients With 2019 Novel Coronavirus Pneumonia]. </w:t>
      </w:r>
      <w:r w:rsidRPr="0076575D">
        <w:rPr>
          <w:rFonts w:ascii="Times New Roman" w:hAnsi="Times New Roman" w:cs="Times New Roman"/>
          <w:i/>
          <w:iCs/>
          <w:noProof/>
          <w:sz w:val="24"/>
          <w:szCs w:val="24"/>
        </w:rPr>
        <w:t>Zhonghua Jie He He Hu Xi Za Zhi</w:t>
      </w:r>
      <w:r w:rsidRPr="0076575D">
        <w:rPr>
          <w:rFonts w:ascii="Times New Roman" w:hAnsi="Times New Roman" w:cs="Times New Roman"/>
          <w:noProof/>
          <w:sz w:val="24"/>
          <w:szCs w:val="24"/>
        </w:rPr>
        <w:t xml:space="preserve"> </w:t>
      </w:r>
      <w:r w:rsidRPr="0076575D">
        <w:rPr>
          <w:rFonts w:ascii="Times New Roman" w:hAnsi="Times New Roman" w:cs="Times New Roman"/>
          <w:b/>
          <w:bCs/>
          <w:noProof/>
          <w:sz w:val="24"/>
          <w:szCs w:val="24"/>
        </w:rPr>
        <w:t>43</w:t>
      </w:r>
      <w:r w:rsidRPr="0076575D">
        <w:rPr>
          <w:rFonts w:ascii="Times New Roman" w:hAnsi="Times New Roman" w:cs="Times New Roman"/>
          <w:noProof/>
          <w:sz w:val="24"/>
          <w:szCs w:val="24"/>
        </w:rPr>
        <w:t>, (2020).</w:t>
      </w:r>
    </w:p>
    <w:p w14:paraId="503EC60A"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3.</w:t>
      </w:r>
      <w:r w:rsidRPr="0076575D">
        <w:rPr>
          <w:rFonts w:ascii="Times New Roman" w:hAnsi="Times New Roman" w:cs="Times New Roman"/>
          <w:noProof/>
          <w:sz w:val="24"/>
          <w:szCs w:val="24"/>
        </w:rPr>
        <w:tab/>
        <w:t xml:space="preserve">Chen, H. </w:t>
      </w:r>
      <w:r w:rsidRPr="0076575D">
        <w:rPr>
          <w:rFonts w:ascii="Times New Roman" w:hAnsi="Times New Roman" w:cs="Times New Roman"/>
          <w:i/>
          <w:iCs/>
          <w:noProof/>
          <w:sz w:val="24"/>
          <w:szCs w:val="24"/>
        </w:rPr>
        <w:t>et al.</w:t>
      </w:r>
      <w:r w:rsidRPr="0076575D">
        <w:rPr>
          <w:rFonts w:ascii="Times New Roman" w:hAnsi="Times New Roman" w:cs="Times New Roman"/>
          <w:noProof/>
          <w:sz w:val="24"/>
          <w:szCs w:val="24"/>
        </w:rPr>
        <w:t xml:space="preserve"> Clinical characteristics and intrauterine vertical transmission potential of COVID-19 infection in nine pregnant women: a retrospective review of medical records. </w:t>
      </w:r>
      <w:r w:rsidRPr="0076575D">
        <w:rPr>
          <w:rFonts w:ascii="Times New Roman" w:hAnsi="Times New Roman" w:cs="Times New Roman"/>
          <w:i/>
          <w:iCs/>
          <w:noProof/>
          <w:sz w:val="24"/>
          <w:szCs w:val="24"/>
        </w:rPr>
        <w:t>Lancet</w:t>
      </w:r>
      <w:r w:rsidRPr="0076575D">
        <w:rPr>
          <w:rFonts w:ascii="Times New Roman" w:hAnsi="Times New Roman" w:cs="Times New Roman"/>
          <w:noProof/>
          <w:sz w:val="24"/>
          <w:szCs w:val="24"/>
        </w:rPr>
        <w:t xml:space="preserve"> </w:t>
      </w:r>
      <w:r w:rsidRPr="0076575D">
        <w:rPr>
          <w:rFonts w:ascii="Times New Roman" w:hAnsi="Times New Roman" w:cs="Times New Roman"/>
          <w:b/>
          <w:bCs/>
          <w:noProof/>
          <w:sz w:val="24"/>
          <w:szCs w:val="24"/>
        </w:rPr>
        <w:t>395</w:t>
      </w:r>
      <w:r w:rsidRPr="0076575D">
        <w:rPr>
          <w:rFonts w:ascii="Times New Roman" w:hAnsi="Times New Roman" w:cs="Times New Roman"/>
          <w:noProof/>
          <w:sz w:val="24"/>
          <w:szCs w:val="24"/>
        </w:rPr>
        <w:t>, 809–815 (2020).</w:t>
      </w:r>
    </w:p>
    <w:p w14:paraId="13405CE8"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4.</w:t>
      </w:r>
      <w:r w:rsidRPr="0076575D">
        <w:rPr>
          <w:rFonts w:ascii="Times New Roman" w:hAnsi="Times New Roman" w:cs="Times New Roman"/>
          <w:noProof/>
          <w:sz w:val="24"/>
          <w:szCs w:val="24"/>
        </w:rPr>
        <w:tab/>
        <w:t xml:space="preserve">Chen, C., Yan, J. T., Zhou, N., Zhao, J. P. &amp; Wang, D. W. Analysis of myocardial injury in patients with COVID-19 and association between concomitant cardiovascular diseases and severity of COVID-19. </w:t>
      </w:r>
      <w:r w:rsidRPr="0076575D">
        <w:rPr>
          <w:rFonts w:ascii="Times New Roman" w:hAnsi="Times New Roman" w:cs="Times New Roman"/>
          <w:i/>
          <w:iCs/>
          <w:noProof/>
          <w:sz w:val="24"/>
          <w:szCs w:val="24"/>
        </w:rPr>
        <w:t>Zhonghua Xin Xue Guan Bing Za Zhi</w:t>
      </w:r>
      <w:r w:rsidRPr="0076575D">
        <w:rPr>
          <w:rFonts w:ascii="Times New Roman" w:hAnsi="Times New Roman" w:cs="Times New Roman"/>
          <w:noProof/>
          <w:sz w:val="24"/>
          <w:szCs w:val="24"/>
        </w:rPr>
        <w:t xml:space="preserve"> </w:t>
      </w:r>
      <w:r w:rsidRPr="0076575D">
        <w:rPr>
          <w:rFonts w:ascii="Times New Roman" w:hAnsi="Times New Roman" w:cs="Times New Roman"/>
          <w:b/>
          <w:bCs/>
          <w:noProof/>
          <w:sz w:val="24"/>
          <w:szCs w:val="24"/>
        </w:rPr>
        <w:t>48</w:t>
      </w:r>
      <w:r w:rsidRPr="0076575D">
        <w:rPr>
          <w:rFonts w:ascii="Times New Roman" w:hAnsi="Times New Roman" w:cs="Times New Roman"/>
          <w:noProof/>
          <w:sz w:val="24"/>
          <w:szCs w:val="24"/>
        </w:rPr>
        <w:t>, E008 (2020).</w:t>
      </w:r>
    </w:p>
    <w:p w14:paraId="2738D9A5"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5.</w:t>
      </w:r>
      <w:r w:rsidRPr="0076575D">
        <w:rPr>
          <w:rFonts w:ascii="Times New Roman" w:hAnsi="Times New Roman" w:cs="Times New Roman"/>
          <w:noProof/>
          <w:sz w:val="24"/>
          <w:szCs w:val="24"/>
        </w:rPr>
        <w:tab/>
        <w:t xml:space="preserve">Cai, J. </w:t>
      </w:r>
      <w:r w:rsidRPr="0076575D">
        <w:rPr>
          <w:rFonts w:ascii="Times New Roman" w:hAnsi="Times New Roman" w:cs="Times New Roman"/>
          <w:i/>
          <w:iCs/>
          <w:noProof/>
          <w:sz w:val="24"/>
          <w:szCs w:val="24"/>
        </w:rPr>
        <w:t>et al.</w:t>
      </w:r>
      <w:r w:rsidRPr="0076575D">
        <w:rPr>
          <w:rFonts w:ascii="Times New Roman" w:hAnsi="Times New Roman" w:cs="Times New Roman"/>
          <w:noProof/>
          <w:sz w:val="24"/>
          <w:szCs w:val="24"/>
        </w:rPr>
        <w:t xml:space="preserve"> A Case Series of children with 2019 novel coronavirus infection: clinical and epidemiological features. </w:t>
      </w:r>
      <w:r w:rsidRPr="0076575D">
        <w:rPr>
          <w:rFonts w:ascii="Times New Roman" w:hAnsi="Times New Roman" w:cs="Times New Roman"/>
          <w:i/>
          <w:iCs/>
          <w:noProof/>
          <w:sz w:val="24"/>
          <w:szCs w:val="24"/>
        </w:rPr>
        <w:t>Clin. Infect. Dis.</w:t>
      </w:r>
      <w:r w:rsidRPr="0076575D">
        <w:rPr>
          <w:rFonts w:ascii="Times New Roman" w:hAnsi="Times New Roman" w:cs="Times New Roman"/>
          <w:noProof/>
          <w:sz w:val="24"/>
          <w:szCs w:val="24"/>
        </w:rPr>
        <w:t xml:space="preserve"> (2020) doi:10.1093/cid/ciaa198.</w:t>
      </w:r>
    </w:p>
    <w:p w14:paraId="4B024C9B"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6.</w:t>
      </w:r>
      <w:r w:rsidRPr="0076575D">
        <w:rPr>
          <w:rFonts w:ascii="Times New Roman" w:hAnsi="Times New Roman" w:cs="Times New Roman"/>
          <w:noProof/>
          <w:sz w:val="24"/>
          <w:szCs w:val="24"/>
        </w:rPr>
        <w:tab/>
        <w:t xml:space="preserve">World Health Organization. Naming the coronavirus disease (COVID-19) and the virus that causes it. </w:t>
      </w:r>
      <w:r w:rsidRPr="0076575D">
        <w:rPr>
          <w:rFonts w:ascii="Times New Roman" w:hAnsi="Times New Roman" w:cs="Times New Roman"/>
          <w:i/>
          <w:iCs/>
          <w:noProof/>
          <w:sz w:val="24"/>
          <w:szCs w:val="24"/>
        </w:rPr>
        <w:t>World Health Organization</w:t>
      </w:r>
      <w:r w:rsidRPr="0076575D">
        <w:rPr>
          <w:rFonts w:ascii="Times New Roman" w:hAnsi="Times New Roman" w:cs="Times New Roman"/>
          <w:noProof/>
          <w:sz w:val="24"/>
          <w:szCs w:val="24"/>
        </w:rPr>
        <w:t xml:space="preserve"> 1 (2020).</w:t>
      </w:r>
    </w:p>
    <w:p w14:paraId="3241C2F5"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7.</w:t>
      </w:r>
      <w:r w:rsidRPr="0076575D">
        <w:rPr>
          <w:rFonts w:ascii="Times New Roman" w:hAnsi="Times New Roman" w:cs="Times New Roman"/>
          <w:noProof/>
          <w:sz w:val="24"/>
          <w:szCs w:val="24"/>
        </w:rPr>
        <w:tab/>
        <w:t xml:space="preserve">Worldometer. Coronavirus Cases. </w:t>
      </w:r>
      <w:r w:rsidRPr="0076575D">
        <w:rPr>
          <w:rFonts w:ascii="Times New Roman" w:hAnsi="Times New Roman" w:cs="Times New Roman"/>
          <w:i/>
          <w:iCs/>
          <w:noProof/>
          <w:sz w:val="24"/>
          <w:szCs w:val="24"/>
        </w:rPr>
        <w:t>Worldometer</w:t>
      </w:r>
      <w:r w:rsidRPr="0076575D">
        <w:rPr>
          <w:rFonts w:ascii="Times New Roman" w:hAnsi="Times New Roman" w:cs="Times New Roman"/>
          <w:noProof/>
          <w:sz w:val="24"/>
          <w:szCs w:val="24"/>
        </w:rPr>
        <w:t xml:space="preserve"> 1–22 (2020) doi:10.1101/2020.01.23.20018549V2.</w:t>
      </w:r>
    </w:p>
    <w:p w14:paraId="1FE0F305"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8.</w:t>
      </w:r>
      <w:r w:rsidRPr="0076575D">
        <w:rPr>
          <w:rFonts w:ascii="Times New Roman" w:hAnsi="Times New Roman" w:cs="Times New Roman"/>
          <w:noProof/>
          <w:sz w:val="24"/>
          <w:szCs w:val="24"/>
        </w:rPr>
        <w:tab/>
        <w:t>World Health Organization. Coronavirus disease 2019 (COVID-19) Situation Report – 97. https://www.who.int/docs/default-source/coronaviruse/situation-reports/20200426-sitrep-97-covid-19.pdf?sfvrsn=d1c3e800_6 (2020).</w:t>
      </w:r>
    </w:p>
    <w:p w14:paraId="13D7BB45"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lastRenderedPageBreak/>
        <w:t>9.</w:t>
      </w:r>
      <w:r w:rsidRPr="0076575D">
        <w:rPr>
          <w:rFonts w:ascii="Times New Roman" w:hAnsi="Times New Roman" w:cs="Times New Roman"/>
          <w:noProof/>
          <w:sz w:val="24"/>
          <w:szCs w:val="24"/>
        </w:rPr>
        <w:tab/>
        <w:t xml:space="preserve">Özdemir, Ö. Coronavirus Disease 2019 (COVID-19): Diagnosis and Management (narrative review). </w:t>
      </w:r>
      <w:r w:rsidRPr="0076575D">
        <w:rPr>
          <w:rFonts w:ascii="Times New Roman" w:hAnsi="Times New Roman" w:cs="Times New Roman"/>
          <w:i/>
          <w:iCs/>
          <w:noProof/>
          <w:sz w:val="24"/>
          <w:szCs w:val="24"/>
        </w:rPr>
        <w:t>Erciyes Med. J.</w:t>
      </w:r>
      <w:r w:rsidRPr="0076575D">
        <w:rPr>
          <w:rFonts w:ascii="Times New Roman" w:hAnsi="Times New Roman" w:cs="Times New Roman"/>
          <w:noProof/>
          <w:sz w:val="24"/>
          <w:szCs w:val="24"/>
        </w:rPr>
        <w:t xml:space="preserve"> (2020) doi:10.14744/etd.2020.99836.</w:t>
      </w:r>
    </w:p>
    <w:p w14:paraId="5637FF3C"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10.</w:t>
      </w:r>
      <w:r w:rsidRPr="0076575D">
        <w:rPr>
          <w:rFonts w:ascii="Times New Roman" w:hAnsi="Times New Roman" w:cs="Times New Roman"/>
          <w:noProof/>
          <w:sz w:val="24"/>
          <w:szCs w:val="24"/>
        </w:rPr>
        <w:tab/>
        <w:t xml:space="preserve">team, I. C.-19 health service utilization forecasting &amp; Murray, C. J. Forecasting COVID-19 impact on hospital bed-days, ICU-days, ventilator-days and deaths by US state in the next 4 months. </w:t>
      </w:r>
      <w:r w:rsidRPr="0076575D">
        <w:rPr>
          <w:rFonts w:ascii="Times New Roman" w:hAnsi="Times New Roman" w:cs="Times New Roman"/>
          <w:i/>
          <w:iCs/>
          <w:noProof/>
          <w:sz w:val="24"/>
          <w:szCs w:val="24"/>
        </w:rPr>
        <w:t>medRxiv</w:t>
      </w:r>
      <w:r w:rsidRPr="0076575D">
        <w:rPr>
          <w:rFonts w:ascii="Times New Roman" w:hAnsi="Times New Roman" w:cs="Times New Roman"/>
          <w:noProof/>
          <w:sz w:val="24"/>
          <w:szCs w:val="24"/>
        </w:rPr>
        <w:t xml:space="preserve"> </w:t>
      </w:r>
      <w:r w:rsidRPr="0076575D">
        <w:rPr>
          <w:rFonts w:ascii="Times New Roman" w:hAnsi="Times New Roman" w:cs="Times New Roman"/>
          <w:b/>
          <w:bCs/>
          <w:noProof/>
          <w:sz w:val="24"/>
          <w:szCs w:val="24"/>
        </w:rPr>
        <w:t>114</w:t>
      </w:r>
      <w:r w:rsidRPr="0076575D">
        <w:rPr>
          <w:rFonts w:ascii="Times New Roman" w:hAnsi="Times New Roman" w:cs="Times New Roman"/>
          <w:noProof/>
          <w:sz w:val="24"/>
          <w:szCs w:val="24"/>
        </w:rPr>
        <w:t>, 2020.03.27.20043752 (2020).</w:t>
      </w:r>
    </w:p>
    <w:p w14:paraId="3D479157"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11.</w:t>
      </w:r>
      <w:r w:rsidRPr="0076575D">
        <w:rPr>
          <w:rFonts w:ascii="Times New Roman" w:hAnsi="Times New Roman" w:cs="Times New Roman"/>
          <w:noProof/>
          <w:sz w:val="24"/>
          <w:szCs w:val="24"/>
        </w:rPr>
        <w:tab/>
        <w:t xml:space="preserve">Nosyk, B., Armstrong, W. S. &amp; Del Rio, C. Contact tracing for COVID-19: An opportunity to reduce health disparities and End the HIV/AIDS Epidemic in the US. </w:t>
      </w:r>
      <w:r w:rsidRPr="0076575D">
        <w:rPr>
          <w:rFonts w:ascii="Times New Roman" w:hAnsi="Times New Roman" w:cs="Times New Roman"/>
          <w:i/>
          <w:iCs/>
          <w:noProof/>
          <w:sz w:val="24"/>
          <w:szCs w:val="24"/>
        </w:rPr>
        <w:t>Clin. Infect. Dis.</w:t>
      </w:r>
      <w:r w:rsidRPr="0076575D">
        <w:rPr>
          <w:rFonts w:ascii="Times New Roman" w:hAnsi="Times New Roman" w:cs="Times New Roman"/>
          <w:noProof/>
          <w:sz w:val="24"/>
          <w:szCs w:val="24"/>
        </w:rPr>
        <w:t xml:space="preserve"> (2020) doi:10.1093/cid/ciaa501.</w:t>
      </w:r>
    </w:p>
    <w:p w14:paraId="7D9F89B3"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12.</w:t>
      </w:r>
      <w:r w:rsidRPr="0076575D">
        <w:rPr>
          <w:rFonts w:ascii="Times New Roman" w:hAnsi="Times New Roman" w:cs="Times New Roman"/>
          <w:noProof/>
          <w:sz w:val="24"/>
          <w:szCs w:val="24"/>
        </w:rPr>
        <w:tab/>
        <w:t xml:space="preserve">Khafaie, M. A. &amp; Rahim, F. Cross-country comparison of case fatality rates of Covid-19/SARS-CoV-2. </w:t>
      </w:r>
      <w:r w:rsidRPr="0076575D">
        <w:rPr>
          <w:rFonts w:ascii="Times New Roman" w:hAnsi="Times New Roman" w:cs="Times New Roman"/>
          <w:i/>
          <w:iCs/>
          <w:noProof/>
          <w:sz w:val="24"/>
          <w:szCs w:val="24"/>
        </w:rPr>
        <w:t>Osong Public Heal. Res. Perspect.</w:t>
      </w:r>
      <w:r w:rsidRPr="0076575D">
        <w:rPr>
          <w:rFonts w:ascii="Times New Roman" w:hAnsi="Times New Roman" w:cs="Times New Roman"/>
          <w:noProof/>
          <w:sz w:val="24"/>
          <w:szCs w:val="24"/>
        </w:rPr>
        <w:t xml:space="preserve"> </w:t>
      </w:r>
      <w:r w:rsidRPr="0076575D">
        <w:rPr>
          <w:rFonts w:ascii="Times New Roman" w:hAnsi="Times New Roman" w:cs="Times New Roman"/>
          <w:b/>
          <w:bCs/>
          <w:noProof/>
          <w:sz w:val="24"/>
          <w:szCs w:val="24"/>
        </w:rPr>
        <w:t>11</w:t>
      </w:r>
      <w:r w:rsidRPr="0076575D">
        <w:rPr>
          <w:rFonts w:ascii="Times New Roman" w:hAnsi="Times New Roman" w:cs="Times New Roman"/>
          <w:noProof/>
          <w:sz w:val="24"/>
          <w:szCs w:val="24"/>
        </w:rPr>
        <w:t>, 74–80 (2020).</w:t>
      </w:r>
    </w:p>
    <w:p w14:paraId="6C7282B9"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13.</w:t>
      </w:r>
      <w:r w:rsidRPr="0076575D">
        <w:rPr>
          <w:rFonts w:ascii="Times New Roman" w:hAnsi="Times New Roman" w:cs="Times New Roman"/>
          <w:noProof/>
          <w:sz w:val="24"/>
          <w:szCs w:val="24"/>
        </w:rPr>
        <w:tab/>
        <w:t xml:space="preserve">Khafaie, M. A. &amp; Rahim, F. Cross-country comparison of case fatality rates of Covid-19/SARS-CoV-2. </w:t>
      </w:r>
      <w:r w:rsidRPr="0076575D">
        <w:rPr>
          <w:rFonts w:ascii="Times New Roman" w:hAnsi="Times New Roman" w:cs="Times New Roman"/>
          <w:i/>
          <w:iCs/>
          <w:noProof/>
          <w:sz w:val="24"/>
          <w:szCs w:val="24"/>
        </w:rPr>
        <w:t>Osong Public Heal. Res. Perspect.</w:t>
      </w:r>
      <w:r w:rsidRPr="0076575D">
        <w:rPr>
          <w:rFonts w:ascii="Times New Roman" w:hAnsi="Times New Roman" w:cs="Times New Roman"/>
          <w:noProof/>
          <w:sz w:val="24"/>
          <w:szCs w:val="24"/>
        </w:rPr>
        <w:t xml:space="preserve"> </w:t>
      </w:r>
      <w:r w:rsidRPr="0076575D">
        <w:rPr>
          <w:rFonts w:ascii="Times New Roman" w:hAnsi="Times New Roman" w:cs="Times New Roman"/>
          <w:b/>
          <w:bCs/>
          <w:noProof/>
          <w:sz w:val="24"/>
          <w:szCs w:val="24"/>
        </w:rPr>
        <w:t>11</w:t>
      </w:r>
      <w:r w:rsidRPr="0076575D">
        <w:rPr>
          <w:rFonts w:ascii="Times New Roman" w:hAnsi="Times New Roman" w:cs="Times New Roman"/>
          <w:noProof/>
          <w:sz w:val="24"/>
          <w:szCs w:val="24"/>
        </w:rPr>
        <w:t>, 74–80 (2020).</w:t>
      </w:r>
    </w:p>
    <w:p w14:paraId="000DE63A"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14.</w:t>
      </w:r>
      <w:r w:rsidRPr="0076575D">
        <w:rPr>
          <w:rFonts w:ascii="Times New Roman" w:hAnsi="Times New Roman" w:cs="Times New Roman"/>
          <w:noProof/>
          <w:sz w:val="24"/>
          <w:szCs w:val="24"/>
        </w:rPr>
        <w:tab/>
        <w:t xml:space="preserve">Kahathuduwa, C. N., Dhanasekara, C. S. &amp; Chin, S.-H. Case fatality rate in COVID-19: a systematic review and meta-analysis. </w:t>
      </w:r>
      <w:r w:rsidRPr="0076575D">
        <w:rPr>
          <w:rFonts w:ascii="Times New Roman" w:hAnsi="Times New Roman" w:cs="Times New Roman"/>
          <w:i/>
          <w:iCs/>
          <w:noProof/>
          <w:sz w:val="24"/>
          <w:szCs w:val="24"/>
        </w:rPr>
        <w:t>medRxiv</w:t>
      </w:r>
      <w:r w:rsidRPr="0076575D">
        <w:rPr>
          <w:rFonts w:ascii="Times New Roman" w:hAnsi="Times New Roman" w:cs="Times New Roman"/>
          <w:noProof/>
          <w:sz w:val="24"/>
          <w:szCs w:val="24"/>
        </w:rPr>
        <w:t xml:space="preserve"> 2020.04.01.20050476 (2020) doi:10.1101/2020.04.01.20050476.</w:t>
      </w:r>
    </w:p>
    <w:p w14:paraId="3045EBA7"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15.</w:t>
      </w:r>
      <w:r w:rsidRPr="0076575D">
        <w:rPr>
          <w:rFonts w:ascii="Times New Roman" w:hAnsi="Times New Roman" w:cs="Times New Roman"/>
          <w:noProof/>
          <w:sz w:val="24"/>
          <w:szCs w:val="24"/>
        </w:rPr>
        <w:tab/>
        <w:t xml:space="preserve">Roser, M., Ritchie, H. &amp; Ortiz-Ospina, E. Case fatality rate of the ongoing COVID-19 pandemic. </w:t>
      </w:r>
      <w:r w:rsidRPr="0076575D">
        <w:rPr>
          <w:rFonts w:ascii="Times New Roman" w:hAnsi="Times New Roman" w:cs="Times New Roman"/>
          <w:i/>
          <w:iCs/>
          <w:noProof/>
          <w:sz w:val="24"/>
          <w:szCs w:val="24"/>
        </w:rPr>
        <w:t>Our World in Data</w:t>
      </w:r>
      <w:r w:rsidRPr="0076575D">
        <w:rPr>
          <w:rFonts w:ascii="Times New Roman" w:hAnsi="Times New Roman" w:cs="Times New Roman"/>
          <w:noProof/>
          <w:sz w:val="24"/>
          <w:szCs w:val="24"/>
        </w:rPr>
        <w:t xml:space="preserve"> https://ourworldindata.org/grapher/coronavirus-cfr?time=.. (2020).</w:t>
      </w:r>
    </w:p>
    <w:p w14:paraId="056E426F"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16.</w:t>
      </w:r>
      <w:r w:rsidRPr="0076575D">
        <w:rPr>
          <w:rFonts w:ascii="Times New Roman" w:hAnsi="Times New Roman" w:cs="Times New Roman"/>
          <w:noProof/>
          <w:sz w:val="24"/>
          <w:szCs w:val="24"/>
        </w:rPr>
        <w:tab/>
        <w:t xml:space="preserve">Neher, R. A., Dyrdak, R., Druelle, V., Hodcroft, E. B. &amp; Albert, J. Potential impact of seasonal forcing on a SARS-CoV-2 pandemic. </w:t>
      </w:r>
      <w:r w:rsidRPr="0076575D">
        <w:rPr>
          <w:rFonts w:ascii="Times New Roman" w:hAnsi="Times New Roman" w:cs="Times New Roman"/>
          <w:i/>
          <w:iCs/>
          <w:noProof/>
          <w:sz w:val="24"/>
          <w:szCs w:val="24"/>
        </w:rPr>
        <w:t>Swiss Med. Wkly.</w:t>
      </w:r>
      <w:r w:rsidRPr="0076575D">
        <w:rPr>
          <w:rFonts w:ascii="Times New Roman" w:hAnsi="Times New Roman" w:cs="Times New Roman"/>
          <w:noProof/>
          <w:sz w:val="24"/>
          <w:szCs w:val="24"/>
        </w:rPr>
        <w:t xml:space="preserve"> </w:t>
      </w:r>
      <w:r w:rsidRPr="0076575D">
        <w:rPr>
          <w:rFonts w:ascii="Times New Roman" w:hAnsi="Times New Roman" w:cs="Times New Roman"/>
          <w:b/>
          <w:bCs/>
          <w:noProof/>
          <w:sz w:val="24"/>
          <w:szCs w:val="24"/>
        </w:rPr>
        <w:t>150</w:t>
      </w:r>
      <w:r w:rsidRPr="0076575D">
        <w:rPr>
          <w:rFonts w:ascii="Times New Roman" w:hAnsi="Times New Roman" w:cs="Times New Roman"/>
          <w:noProof/>
          <w:sz w:val="24"/>
          <w:szCs w:val="24"/>
        </w:rPr>
        <w:t>, w20224 (2020).</w:t>
      </w:r>
    </w:p>
    <w:p w14:paraId="71F7587D"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17.</w:t>
      </w:r>
      <w:r w:rsidRPr="0076575D">
        <w:rPr>
          <w:rFonts w:ascii="Times New Roman" w:hAnsi="Times New Roman" w:cs="Times New Roman"/>
          <w:noProof/>
          <w:sz w:val="24"/>
          <w:szCs w:val="24"/>
        </w:rPr>
        <w:tab/>
        <w:t xml:space="preserve">Al-Tawfiq, J. A. &amp; Rodriguez-Morales, A. J. Super-spreading events and contribution to transmission of MERS, SARS, and SARS-CoV-2 (COVID-19). </w:t>
      </w:r>
      <w:r w:rsidRPr="0076575D">
        <w:rPr>
          <w:rFonts w:ascii="Times New Roman" w:hAnsi="Times New Roman" w:cs="Times New Roman"/>
          <w:i/>
          <w:iCs/>
          <w:noProof/>
          <w:sz w:val="24"/>
          <w:szCs w:val="24"/>
        </w:rPr>
        <w:t>J. Hosp. Infect.</w:t>
      </w:r>
      <w:r w:rsidRPr="0076575D">
        <w:rPr>
          <w:rFonts w:ascii="Times New Roman" w:hAnsi="Times New Roman" w:cs="Times New Roman"/>
          <w:noProof/>
          <w:sz w:val="24"/>
          <w:szCs w:val="24"/>
        </w:rPr>
        <w:t xml:space="preserve"> </w:t>
      </w:r>
      <w:r w:rsidRPr="0076575D">
        <w:rPr>
          <w:rFonts w:ascii="Times New Roman" w:hAnsi="Times New Roman" w:cs="Times New Roman"/>
          <w:b/>
          <w:bCs/>
          <w:noProof/>
          <w:sz w:val="24"/>
          <w:szCs w:val="24"/>
        </w:rPr>
        <w:t>105</w:t>
      </w:r>
      <w:r w:rsidRPr="0076575D">
        <w:rPr>
          <w:rFonts w:ascii="Times New Roman" w:hAnsi="Times New Roman" w:cs="Times New Roman"/>
          <w:noProof/>
          <w:sz w:val="24"/>
          <w:szCs w:val="24"/>
        </w:rPr>
        <w:t>, 111–112 (2020).</w:t>
      </w:r>
    </w:p>
    <w:p w14:paraId="390AAE25"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lastRenderedPageBreak/>
        <w:t>18.</w:t>
      </w:r>
      <w:r w:rsidRPr="0076575D">
        <w:rPr>
          <w:rFonts w:ascii="Times New Roman" w:hAnsi="Times New Roman" w:cs="Times New Roman"/>
          <w:noProof/>
          <w:sz w:val="24"/>
          <w:szCs w:val="24"/>
        </w:rPr>
        <w:tab/>
        <w:t xml:space="preserve">Al-Tawfiq, J. A., Leonardi, R., Fasoli, G. &amp; Rigamonti, D. Prevalence and fatality rates of COVID-19: What are the reasons for the wide variations worldwide? </w:t>
      </w:r>
      <w:r w:rsidRPr="0076575D">
        <w:rPr>
          <w:rFonts w:ascii="Times New Roman" w:hAnsi="Times New Roman" w:cs="Times New Roman"/>
          <w:i/>
          <w:iCs/>
          <w:noProof/>
          <w:sz w:val="24"/>
          <w:szCs w:val="24"/>
        </w:rPr>
        <w:t>Travel Medicine and Infectious Disease</w:t>
      </w:r>
      <w:r w:rsidRPr="0076575D">
        <w:rPr>
          <w:rFonts w:ascii="Times New Roman" w:hAnsi="Times New Roman" w:cs="Times New Roman"/>
          <w:noProof/>
          <w:sz w:val="24"/>
          <w:szCs w:val="24"/>
        </w:rPr>
        <w:t xml:space="preserve"> (2020) doi:10.1016/j.tmaid.2020.101711.</w:t>
      </w:r>
    </w:p>
    <w:p w14:paraId="69C7894C"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19.</w:t>
      </w:r>
      <w:r w:rsidRPr="0076575D">
        <w:rPr>
          <w:rFonts w:ascii="Times New Roman" w:hAnsi="Times New Roman" w:cs="Times New Roman"/>
          <w:noProof/>
          <w:sz w:val="24"/>
          <w:szCs w:val="24"/>
        </w:rPr>
        <w:tab/>
        <w:t>Max Roser, Hannah Ritchie, E. O.-O. and J. H. Coronavirus Pandemic (COVID-19) - Statistics and Research - Our World in Data. https://ourworldindata.org/coronavirus (2020).</w:t>
      </w:r>
    </w:p>
    <w:p w14:paraId="26EB09DE"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20.</w:t>
      </w:r>
      <w:r w:rsidRPr="0076575D">
        <w:rPr>
          <w:rFonts w:ascii="Times New Roman" w:hAnsi="Times New Roman" w:cs="Times New Roman"/>
          <w:noProof/>
          <w:sz w:val="24"/>
          <w:szCs w:val="24"/>
        </w:rPr>
        <w:tab/>
        <w:t xml:space="preserve">World Data Bank. Population density (people per sq. km of land area). </w:t>
      </w:r>
      <w:r w:rsidRPr="0076575D">
        <w:rPr>
          <w:rFonts w:ascii="Times New Roman" w:hAnsi="Times New Roman" w:cs="Times New Roman"/>
          <w:i/>
          <w:iCs/>
          <w:noProof/>
          <w:sz w:val="24"/>
          <w:szCs w:val="24"/>
        </w:rPr>
        <w:t>World Development Indecators</w:t>
      </w:r>
      <w:r w:rsidRPr="0076575D">
        <w:rPr>
          <w:rFonts w:ascii="Times New Roman" w:hAnsi="Times New Roman" w:cs="Times New Roman"/>
          <w:noProof/>
          <w:sz w:val="24"/>
          <w:szCs w:val="24"/>
        </w:rPr>
        <w:t xml:space="preserve"> https://data.worldbank.org/indicator/EN.POP.DNST (2018).</w:t>
      </w:r>
    </w:p>
    <w:p w14:paraId="21E65AA6"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21.</w:t>
      </w:r>
      <w:r w:rsidRPr="0076575D">
        <w:rPr>
          <w:rFonts w:ascii="Times New Roman" w:hAnsi="Times New Roman" w:cs="Times New Roman"/>
          <w:noProof/>
          <w:sz w:val="24"/>
          <w:szCs w:val="24"/>
        </w:rPr>
        <w:tab/>
        <w:t xml:space="preserve">The World Bank. Population ages 65 and above, total. </w:t>
      </w:r>
      <w:r w:rsidRPr="0076575D">
        <w:rPr>
          <w:rFonts w:ascii="Times New Roman" w:hAnsi="Times New Roman" w:cs="Times New Roman"/>
          <w:i/>
          <w:iCs/>
          <w:noProof/>
          <w:sz w:val="24"/>
          <w:szCs w:val="24"/>
        </w:rPr>
        <w:t>World Bank Data</w:t>
      </w:r>
      <w:r w:rsidRPr="0076575D">
        <w:rPr>
          <w:rFonts w:ascii="Times New Roman" w:hAnsi="Times New Roman" w:cs="Times New Roman"/>
          <w:noProof/>
          <w:sz w:val="24"/>
          <w:szCs w:val="24"/>
        </w:rPr>
        <w:t xml:space="preserve"> https://data.worldbank.org/indicator/SP.POP.65UP.TO.ZS (2018).</w:t>
      </w:r>
    </w:p>
    <w:p w14:paraId="1D305358"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22.</w:t>
      </w:r>
      <w:r w:rsidRPr="0076575D">
        <w:rPr>
          <w:rFonts w:ascii="Times New Roman" w:hAnsi="Times New Roman" w:cs="Times New Roman"/>
          <w:noProof/>
          <w:sz w:val="24"/>
          <w:szCs w:val="24"/>
        </w:rPr>
        <w:tab/>
        <w:t>Nuclear Threat Initiative (NTI) &amp; Johns Hopkins Center for Health Security (JHU). GHS Index. https://www.ghsindex.org/ (2020).</w:t>
      </w:r>
    </w:p>
    <w:p w14:paraId="61FA23EB"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23.</w:t>
      </w:r>
      <w:r w:rsidRPr="0076575D">
        <w:rPr>
          <w:rFonts w:ascii="Times New Roman" w:hAnsi="Times New Roman" w:cs="Times New Roman"/>
          <w:noProof/>
          <w:sz w:val="24"/>
          <w:szCs w:val="24"/>
        </w:rPr>
        <w:tab/>
        <w:t xml:space="preserve">The World Bank. GDP (current US$) | Data. </w:t>
      </w:r>
      <w:r w:rsidRPr="0076575D">
        <w:rPr>
          <w:rFonts w:ascii="Times New Roman" w:hAnsi="Times New Roman" w:cs="Times New Roman"/>
          <w:i/>
          <w:iCs/>
          <w:noProof/>
          <w:sz w:val="24"/>
          <w:szCs w:val="24"/>
        </w:rPr>
        <w:t>The World Bank</w:t>
      </w:r>
      <w:r w:rsidRPr="0076575D">
        <w:rPr>
          <w:rFonts w:ascii="Times New Roman" w:hAnsi="Times New Roman" w:cs="Times New Roman"/>
          <w:noProof/>
          <w:sz w:val="24"/>
          <w:szCs w:val="24"/>
        </w:rPr>
        <w:t xml:space="preserve"> https://data.worldbank.org/indicator/NY.GDP.MKTP.CD (2018).</w:t>
      </w:r>
    </w:p>
    <w:p w14:paraId="5440DD1D"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24.</w:t>
      </w:r>
      <w:r w:rsidRPr="0076575D">
        <w:rPr>
          <w:rFonts w:ascii="Times New Roman" w:hAnsi="Times New Roman" w:cs="Times New Roman"/>
          <w:noProof/>
          <w:sz w:val="24"/>
          <w:szCs w:val="24"/>
        </w:rPr>
        <w:tab/>
        <w:t xml:space="preserve">WGI. WGI 2019 Interactive. </w:t>
      </w:r>
      <w:r w:rsidRPr="0076575D">
        <w:rPr>
          <w:rFonts w:ascii="Times New Roman" w:hAnsi="Times New Roman" w:cs="Times New Roman"/>
          <w:i/>
          <w:iCs/>
          <w:noProof/>
          <w:sz w:val="24"/>
          <w:szCs w:val="24"/>
        </w:rPr>
        <w:t>WGI 2019</w:t>
      </w:r>
      <w:r w:rsidRPr="0076575D">
        <w:rPr>
          <w:rFonts w:ascii="Times New Roman" w:hAnsi="Times New Roman" w:cs="Times New Roman"/>
          <w:noProof/>
          <w:sz w:val="24"/>
          <w:szCs w:val="24"/>
        </w:rPr>
        <w:t xml:space="preserve"> 1 http://info.worldbank.org/governance/wgi/ (2019).</w:t>
      </w:r>
    </w:p>
    <w:p w14:paraId="576F8D35"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25.</w:t>
      </w:r>
      <w:r w:rsidRPr="0076575D">
        <w:rPr>
          <w:rFonts w:ascii="Times New Roman" w:hAnsi="Times New Roman" w:cs="Times New Roman"/>
          <w:noProof/>
          <w:sz w:val="24"/>
          <w:szCs w:val="24"/>
        </w:rPr>
        <w:tab/>
        <w:t xml:space="preserve">Ferrari, S. L. P. &amp; Cribari-Neto, F. Beta regression for modelling rates and proportions. </w:t>
      </w:r>
      <w:r w:rsidRPr="0076575D">
        <w:rPr>
          <w:rFonts w:ascii="Times New Roman" w:hAnsi="Times New Roman" w:cs="Times New Roman"/>
          <w:i/>
          <w:iCs/>
          <w:noProof/>
          <w:sz w:val="24"/>
          <w:szCs w:val="24"/>
        </w:rPr>
        <w:t>J. Appl. Stat.</w:t>
      </w:r>
      <w:r w:rsidRPr="0076575D">
        <w:rPr>
          <w:rFonts w:ascii="Times New Roman" w:hAnsi="Times New Roman" w:cs="Times New Roman"/>
          <w:noProof/>
          <w:sz w:val="24"/>
          <w:szCs w:val="24"/>
        </w:rPr>
        <w:t xml:space="preserve"> </w:t>
      </w:r>
      <w:r w:rsidRPr="0076575D">
        <w:rPr>
          <w:rFonts w:ascii="Times New Roman" w:hAnsi="Times New Roman" w:cs="Times New Roman"/>
          <w:b/>
          <w:bCs/>
          <w:noProof/>
          <w:sz w:val="24"/>
          <w:szCs w:val="24"/>
        </w:rPr>
        <w:t>31</w:t>
      </w:r>
      <w:r w:rsidRPr="0076575D">
        <w:rPr>
          <w:rFonts w:ascii="Times New Roman" w:hAnsi="Times New Roman" w:cs="Times New Roman"/>
          <w:noProof/>
          <w:sz w:val="24"/>
          <w:szCs w:val="24"/>
        </w:rPr>
        <w:t>, 799–815 (2004).</w:t>
      </w:r>
    </w:p>
    <w:p w14:paraId="6D8904C4"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26.</w:t>
      </w:r>
      <w:r w:rsidRPr="0076575D">
        <w:rPr>
          <w:rFonts w:ascii="Times New Roman" w:hAnsi="Times New Roman" w:cs="Times New Roman"/>
          <w:noProof/>
          <w:sz w:val="24"/>
          <w:szCs w:val="24"/>
        </w:rPr>
        <w:tab/>
        <w:t xml:space="preserve">Ferrari, S. L. P. Beta Regression. in </w:t>
      </w:r>
      <w:r w:rsidRPr="0076575D">
        <w:rPr>
          <w:rFonts w:ascii="Times New Roman" w:hAnsi="Times New Roman" w:cs="Times New Roman"/>
          <w:i/>
          <w:iCs/>
          <w:noProof/>
          <w:sz w:val="24"/>
          <w:szCs w:val="24"/>
        </w:rPr>
        <w:t>Wiley StatsRef: Statistics Reference Online</w:t>
      </w:r>
      <w:r w:rsidRPr="0076575D">
        <w:rPr>
          <w:rFonts w:ascii="Times New Roman" w:hAnsi="Times New Roman" w:cs="Times New Roman"/>
          <w:noProof/>
          <w:sz w:val="24"/>
          <w:szCs w:val="24"/>
        </w:rPr>
        <w:t xml:space="preserve"> 1–5 (John Wiley &amp; Sons, Ltd, 2017). doi:10.1002/9781118445112.stat08026.</w:t>
      </w:r>
    </w:p>
    <w:p w14:paraId="3C88BD3A"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27.</w:t>
      </w:r>
      <w:r w:rsidRPr="0076575D">
        <w:rPr>
          <w:rFonts w:ascii="Times New Roman" w:hAnsi="Times New Roman" w:cs="Times New Roman"/>
          <w:noProof/>
          <w:sz w:val="24"/>
          <w:szCs w:val="24"/>
        </w:rPr>
        <w:tab/>
        <w:t xml:space="preserve">Reich, N. G., Lessler, J., Cummings, D. A. T. &amp; Brookmeyer, R. Estimating Absolute and Relative Case Fatality Ratios from Infectious Disease Surveillance Data. </w:t>
      </w:r>
      <w:r w:rsidRPr="0076575D">
        <w:rPr>
          <w:rFonts w:ascii="Times New Roman" w:hAnsi="Times New Roman" w:cs="Times New Roman"/>
          <w:i/>
          <w:iCs/>
          <w:noProof/>
          <w:sz w:val="24"/>
          <w:szCs w:val="24"/>
        </w:rPr>
        <w:t>Biometrics</w:t>
      </w:r>
      <w:r w:rsidRPr="0076575D">
        <w:rPr>
          <w:rFonts w:ascii="Times New Roman" w:hAnsi="Times New Roman" w:cs="Times New Roman"/>
          <w:noProof/>
          <w:sz w:val="24"/>
          <w:szCs w:val="24"/>
        </w:rPr>
        <w:t xml:space="preserve"> </w:t>
      </w:r>
      <w:r w:rsidRPr="0076575D">
        <w:rPr>
          <w:rFonts w:ascii="Times New Roman" w:hAnsi="Times New Roman" w:cs="Times New Roman"/>
          <w:b/>
          <w:bCs/>
          <w:noProof/>
          <w:sz w:val="24"/>
          <w:szCs w:val="24"/>
        </w:rPr>
        <w:t>68</w:t>
      </w:r>
      <w:r w:rsidRPr="0076575D">
        <w:rPr>
          <w:rFonts w:ascii="Times New Roman" w:hAnsi="Times New Roman" w:cs="Times New Roman"/>
          <w:noProof/>
          <w:sz w:val="24"/>
          <w:szCs w:val="24"/>
        </w:rPr>
        <w:t>, 598–606 (2012).</w:t>
      </w:r>
    </w:p>
    <w:p w14:paraId="64D034CE"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lastRenderedPageBreak/>
        <w:t>28.</w:t>
      </w:r>
      <w:r w:rsidRPr="0076575D">
        <w:rPr>
          <w:rFonts w:ascii="Times New Roman" w:hAnsi="Times New Roman" w:cs="Times New Roman"/>
          <w:noProof/>
          <w:sz w:val="24"/>
          <w:szCs w:val="24"/>
        </w:rPr>
        <w:tab/>
        <w:t>WHO. WHO welcomes preliminary results about dexamethasone use in treating critically ill COVID-19 patients. https://www.who.int/news-room/detail/16-06-2020-who-welcomes-preliminary-results-about-dexamethasone-use-in-treating-critically-ill-covid-19-patients.</w:t>
      </w:r>
    </w:p>
    <w:p w14:paraId="2286C1C4"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29.</w:t>
      </w:r>
      <w:r w:rsidRPr="0076575D">
        <w:rPr>
          <w:rFonts w:ascii="Times New Roman" w:hAnsi="Times New Roman" w:cs="Times New Roman"/>
          <w:noProof/>
          <w:sz w:val="24"/>
          <w:szCs w:val="24"/>
        </w:rPr>
        <w:tab/>
        <w:t xml:space="preserve">NEWS, F. Coronavirus (COVID-19) Update: FDA Issues Emergency Use Authorization for Potential COVID-19 Treatment. </w:t>
      </w:r>
      <w:r w:rsidRPr="0076575D">
        <w:rPr>
          <w:rFonts w:ascii="Times New Roman" w:hAnsi="Times New Roman" w:cs="Times New Roman"/>
          <w:i/>
          <w:iCs/>
          <w:noProof/>
          <w:sz w:val="24"/>
          <w:szCs w:val="24"/>
        </w:rPr>
        <w:t>Fda News Release</w:t>
      </w:r>
      <w:r w:rsidRPr="0076575D">
        <w:rPr>
          <w:rFonts w:ascii="Times New Roman" w:hAnsi="Times New Roman" w:cs="Times New Roman"/>
          <w:noProof/>
          <w:sz w:val="24"/>
          <w:szCs w:val="24"/>
        </w:rPr>
        <w:t xml:space="preserve"> </w:t>
      </w:r>
      <w:r w:rsidRPr="0076575D">
        <w:rPr>
          <w:rFonts w:ascii="Times New Roman" w:hAnsi="Times New Roman" w:cs="Times New Roman"/>
          <w:b/>
          <w:bCs/>
          <w:noProof/>
          <w:sz w:val="24"/>
          <w:szCs w:val="24"/>
        </w:rPr>
        <w:t>3</w:t>
      </w:r>
      <w:r w:rsidRPr="0076575D">
        <w:rPr>
          <w:rFonts w:ascii="Times New Roman" w:hAnsi="Times New Roman" w:cs="Times New Roman"/>
          <w:noProof/>
          <w:sz w:val="24"/>
          <w:szCs w:val="24"/>
        </w:rPr>
        <w:t>, 54–67 (2020).</w:t>
      </w:r>
    </w:p>
    <w:p w14:paraId="26C44A81"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30.</w:t>
      </w:r>
      <w:r w:rsidRPr="0076575D">
        <w:rPr>
          <w:rFonts w:ascii="Times New Roman" w:hAnsi="Times New Roman" w:cs="Times New Roman"/>
          <w:noProof/>
          <w:sz w:val="24"/>
          <w:szCs w:val="24"/>
        </w:rPr>
        <w:tab/>
        <w:t xml:space="preserve">FDA. </w:t>
      </w:r>
      <w:r w:rsidRPr="0076575D">
        <w:rPr>
          <w:rFonts w:ascii="Times New Roman" w:hAnsi="Times New Roman" w:cs="Times New Roman"/>
          <w:i/>
          <w:iCs/>
          <w:noProof/>
          <w:sz w:val="24"/>
          <w:szCs w:val="24"/>
        </w:rPr>
        <w:t>Fact sheet for health care providers emergency use authorization (EUA) of remdesivir (GS-5734</w:t>
      </w:r>
      <w:r w:rsidRPr="0076575D">
        <w:rPr>
          <w:rFonts w:ascii="Times New Roman" w:hAnsi="Times New Roman" w:cs="Times New Roman"/>
          <w:i/>
          <w:iCs/>
          <w:noProof/>
          <w:sz w:val="24"/>
          <w:szCs w:val="24"/>
          <w:vertAlign w:val="superscript"/>
        </w:rPr>
        <w:t>TM</w:t>
      </w:r>
      <w:r w:rsidRPr="0076575D">
        <w:rPr>
          <w:rFonts w:ascii="Times New Roman" w:hAnsi="Times New Roman" w:cs="Times New Roman"/>
          <w:i/>
          <w:iCs/>
          <w:noProof/>
          <w:sz w:val="24"/>
          <w:szCs w:val="24"/>
        </w:rPr>
        <w:t>)</w:t>
      </w:r>
      <w:r w:rsidRPr="0076575D">
        <w:rPr>
          <w:rFonts w:ascii="Times New Roman" w:hAnsi="Times New Roman" w:cs="Times New Roman"/>
          <w:noProof/>
          <w:sz w:val="24"/>
          <w:szCs w:val="24"/>
        </w:rPr>
        <w:t xml:space="preserve">. </w:t>
      </w:r>
      <w:r w:rsidRPr="0076575D">
        <w:rPr>
          <w:rFonts w:ascii="Times New Roman" w:hAnsi="Times New Roman" w:cs="Times New Roman"/>
          <w:i/>
          <w:iCs/>
          <w:noProof/>
          <w:sz w:val="24"/>
          <w:szCs w:val="24"/>
        </w:rPr>
        <w:t>Food and Drug Administration</w:t>
      </w:r>
      <w:r w:rsidRPr="0076575D">
        <w:rPr>
          <w:rFonts w:ascii="Times New Roman" w:hAnsi="Times New Roman" w:cs="Times New Roman"/>
          <w:noProof/>
          <w:sz w:val="24"/>
          <w:szCs w:val="24"/>
        </w:rPr>
        <w:t xml:space="preserve"> https://www.fda.gov/emergency- (2020).</w:t>
      </w:r>
    </w:p>
    <w:p w14:paraId="536B0995"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31.</w:t>
      </w:r>
      <w:r w:rsidRPr="0076575D">
        <w:rPr>
          <w:rFonts w:ascii="Times New Roman" w:hAnsi="Times New Roman" w:cs="Times New Roman"/>
          <w:noProof/>
          <w:sz w:val="24"/>
          <w:szCs w:val="24"/>
        </w:rPr>
        <w:tab/>
        <w:t xml:space="preserve">Grein, J. </w:t>
      </w:r>
      <w:r w:rsidRPr="0076575D">
        <w:rPr>
          <w:rFonts w:ascii="Times New Roman" w:hAnsi="Times New Roman" w:cs="Times New Roman"/>
          <w:i/>
          <w:iCs/>
          <w:noProof/>
          <w:sz w:val="24"/>
          <w:szCs w:val="24"/>
        </w:rPr>
        <w:t>et al.</w:t>
      </w:r>
      <w:r w:rsidRPr="0076575D">
        <w:rPr>
          <w:rFonts w:ascii="Times New Roman" w:hAnsi="Times New Roman" w:cs="Times New Roman"/>
          <w:noProof/>
          <w:sz w:val="24"/>
          <w:szCs w:val="24"/>
        </w:rPr>
        <w:t xml:space="preserve"> Compassionate Use of Remdesivir for Patients with Severe Covid-19. </w:t>
      </w:r>
      <w:r w:rsidRPr="0076575D">
        <w:rPr>
          <w:rFonts w:ascii="Times New Roman" w:hAnsi="Times New Roman" w:cs="Times New Roman"/>
          <w:i/>
          <w:iCs/>
          <w:noProof/>
          <w:sz w:val="24"/>
          <w:szCs w:val="24"/>
        </w:rPr>
        <w:t>N. Engl. J. Med.</w:t>
      </w:r>
      <w:r w:rsidRPr="0076575D">
        <w:rPr>
          <w:rFonts w:ascii="Times New Roman" w:hAnsi="Times New Roman" w:cs="Times New Roman"/>
          <w:noProof/>
          <w:sz w:val="24"/>
          <w:szCs w:val="24"/>
        </w:rPr>
        <w:t xml:space="preserve"> </w:t>
      </w:r>
      <w:r w:rsidRPr="0076575D">
        <w:rPr>
          <w:rFonts w:ascii="Times New Roman" w:hAnsi="Times New Roman" w:cs="Times New Roman"/>
          <w:b/>
          <w:bCs/>
          <w:noProof/>
          <w:sz w:val="24"/>
          <w:szCs w:val="24"/>
        </w:rPr>
        <w:t>382</w:t>
      </w:r>
      <w:r w:rsidRPr="0076575D">
        <w:rPr>
          <w:rFonts w:ascii="Times New Roman" w:hAnsi="Times New Roman" w:cs="Times New Roman"/>
          <w:noProof/>
          <w:sz w:val="24"/>
          <w:szCs w:val="24"/>
        </w:rPr>
        <w:t>, 2327–2336 (2020).</w:t>
      </w:r>
    </w:p>
    <w:p w14:paraId="4C5B8759"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32.</w:t>
      </w:r>
      <w:r w:rsidRPr="0076575D">
        <w:rPr>
          <w:rFonts w:ascii="Times New Roman" w:hAnsi="Times New Roman" w:cs="Times New Roman"/>
          <w:noProof/>
          <w:sz w:val="24"/>
          <w:szCs w:val="24"/>
        </w:rPr>
        <w:tab/>
        <w:t>WHO. WHO / COVID-19 UPDATE | United Nations UN Audiovisual Library. https://www.unmultimedia.org/tv/unifeed/asset/2552/2552699/.</w:t>
      </w:r>
    </w:p>
    <w:p w14:paraId="6E644296"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33.</w:t>
      </w:r>
      <w:r w:rsidRPr="0076575D">
        <w:rPr>
          <w:rFonts w:ascii="Times New Roman" w:hAnsi="Times New Roman" w:cs="Times New Roman"/>
          <w:noProof/>
          <w:sz w:val="24"/>
          <w:szCs w:val="24"/>
        </w:rPr>
        <w:tab/>
        <w:t xml:space="preserve">Wu, Z. &amp; McGoogan, J. M. Characteristics of and Important Lessons from the Coronavirus Disease 2019 (COVID-19) Outbreak in China: Summary of a Report of 72314 Cases from the Chinese Center for Disease Control and Prevention. </w:t>
      </w:r>
      <w:r w:rsidRPr="0076575D">
        <w:rPr>
          <w:rFonts w:ascii="Times New Roman" w:hAnsi="Times New Roman" w:cs="Times New Roman"/>
          <w:i/>
          <w:iCs/>
          <w:noProof/>
          <w:sz w:val="24"/>
          <w:szCs w:val="24"/>
        </w:rPr>
        <w:t>JAMA - Journal of the American Medical Association</w:t>
      </w:r>
      <w:r w:rsidRPr="0076575D">
        <w:rPr>
          <w:rFonts w:ascii="Times New Roman" w:hAnsi="Times New Roman" w:cs="Times New Roman"/>
          <w:noProof/>
          <w:sz w:val="24"/>
          <w:szCs w:val="24"/>
        </w:rPr>
        <w:t xml:space="preserve"> vol. 323 1239–1242 (2020).</w:t>
      </w:r>
    </w:p>
    <w:p w14:paraId="175B6BDB"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34.</w:t>
      </w:r>
      <w:r w:rsidRPr="0076575D">
        <w:rPr>
          <w:rFonts w:ascii="Times New Roman" w:hAnsi="Times New Roman" w:cs="Times New Roman"/>
          <w:noProof/>
          <w:sz w:val="24"/>
          <w:szCs w:val="24"/>
        </w:rPr>
        <w:tab/>
        <w:t xml:space="preserve">Lanini, S. </w:t>
      </w:r>
      <w:r w:rsidRPr="0076575D">
        <w:rPr>
          <w:rFonts w:ascii="Times New Roman" w:hAnsi="Times New Roman" w:cs="Times New Roman"/>
          <w:i/>
          <w:iCs/>
          <w:noProof/>
          <w:sz w:val="24"/>
          <w:szCs w:val="24"/>
        </w:rPr>
        <w:t>et al.</w:t>
      </w:r>
      <w:r w:rsidRPr="0076575D">
        <w:rPr>
          <w:rFonts w:ascii="Times New Roman" w:hAnsi="Times New Roman" w:cs="Times New Roman"/>
          <w:noProof/>
          <w:sz w:val="24"/>
          <w:szCs w:val="24"/>
        </w:rPr>
        <w:t xml:space="preserve"> Higher Death Rates in the Italian COVID-19 Outbreak: A Comparative Modelling Analysis of 8,342 Italy and 44,672 China Cases. </w:t>
      </w:r>
      <w:r w:rsidRPr="0076575D">
        <w:rPr>
          <w:rFonts w:ascii="Times New Roman" w:hAnsi="Times New Roman" w:cs="Times New Roman"/>
          <w:i/>
          <w:iCs/>
          <w:noProof/>
          <w:sz w:val="24"/>
          <w:szCs w:val="24"/>
        </w:rPr>
        <w:t>SSRN Electron. J.</w:t>
      </w:r>
      <w:r w:rsidRPr="0076575D">
        <w:rPr>
          <w:rFonts w:ascii="Times New Roman" w:hAnsi="Times New Roman" w:cs="Times New Roman"/>
          <w:noProof/>
          <w:sz w:val="24"/>
          <w:szCs w:val="24"/>
        </w:rPr>
        <w:t xml:space="preserve"> (2020) doi:10.2139/ssrn.3556640.</w:t>
      </w:r>
    </w:p>
    <w:p w14:paraId="294571AC"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35.</w:t>
      </w:r>
      <w:r w:rsidRPr="0076575D">
        <w:rPr>
          <w:rFonts w:ascii="Times New Roman" w:hAnsi="Times New Roman" w:cs="Times New Roman"/>
          <w:noProof/>
          <w:sz w:val="24"/>
          <w:szCs w:val="24"/>
        </w:rPr>
        <w:tab/>
        <w:t xml:space="preserve">Ioannidis, J. P. A., Axfors, C. &amp; Contopoulos-Ioannidis, D. G. Population-level COVID-19 mortality risk for non-elderly individuals overall and for non-elderly individuals without underlying diseases in pandemic epicenters. </w:t>
      </w:r>
      <w:r w:rsidRPr="0076575D">
        <w:rPr>
          <w:rFonts w:ascii="Times New Roman" w:hAnsi="Times New Roman" w:cs="Times New Roman"/>
          <w:i/>
          <w:iCs/>
          <w:noProof/>
          <w:sz w:val="24"/>
          <w:szCs w:val="24"/>
        </w:rPr>
        <w:t>medRxiv</w:t>
      </w:r>
      <w:r w:rsidRPr="0076575D">
        <w:rPr>
          <w:rFonts w:ascii="Times New Roman" w:hAnsi="Times New Roman" w:cs="Times New Roman"/>
          <w:noProof/>
          <w:sz w:val="24"/>
          <w:szCs w:val="24"/>
        </w:rPr>
        <w:t xml:space="preserve"> 2020.04.05.20054361 </w:t>
      </w:r>
      <w:r w:rsidRPr="0076575D">
        <w:rPr>
          <w:rFonts w:ascii="Times New Roman" w:hAnsi="Times New Roman" w:cs="Times New Roman"/>
          <w:noProof/>
          <w:sz w:val="24"/>
          <w:szCs w:val="24"/>
        </w:rPr>
        <w:lastRenderedPageBreak/>
        <w:t>(2020) doi:10.1101/2020.04.05.20054361.</w:t>
      </w:r>
    </w:p>
    <w:p w14:paraId="6826A767"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76575D">
        <w:rPr>
          <w:rFonts w:ascii="Times New Roman" w:hAnsi="Times New Roman" w:cs="Times New Roman"/>
          <w:noProof/>
          <w:sz w:val="24"/>
          <w:szCs w:val="24"/>
        </w:rPr>
        <w:t>36.</w:t>
      </w:r>
      <w:r w:rsidRPr="0076575D">
        <w:rPr>
          <w:rFonts w:ascii="Times New Roman" w:hAnsi="Times New Roman" w:cs="Times New Roman"/>
          <w:noProof/>
          <w:sz w:val="24"/>
          <w:szCs w:val="24"/>
        </w:rPr>
        <w:tab/>
        <w:t>World Governments Need Cooperation of Every Section of Society to Defeat COVID-19 - Modern Diplomacy. https://moderndiplomacy.eu/2020/04/05/world-governments-need-cooperation-of-every-section-of-society-to-defeat-covid-19/.</w:t>
      </w:r>
    </w:p>
    <w:p w14:paraId="2DF1050B" w14:textId="77777777" w:rsidR="0076575D" w:rsidRPr="0076575D" w:rsidRDefault="0076575D" w:rsidP="0076575D">
      <w:pPr>
        <w:widowControl w:val="0"/>
        <w:autoSpaceDE w:val="0"/>
        <w:autoSpaceDN w:val="0"/>
        <w:adjustRightInd w:val="0"/>
        <w:spacing w:after="0" w:line="480" w:lineRule="auto"/>
        <w:ind w:left="640" w:hanging="640"/>
        <w:rPr>
          <w:rFonts w:ascii="Times New Roman" w:hAnsi="Times New Roman" w:cs="Times New Roman"/>
          <w:noProof/>
          <w:sz w:val="24"/>
        </w:rPr>
      </w:pPr>
      <w:r w:rsidRPr="0076575D">
        <w:rPr>
          <w:rFonts w:ascii="Times New Roman" w:hAnsi="Times New Roman" w:cs="Times New Roman"/>
          <w:noProof/>
          <w:sz w:val="24"/>
          <w:szCs w:val="24"/>
        </w:rPr>
        <w:t>37.</w:t>
      </w:r>
      <w:r w:rsidRPr="0076575D">
        <w:rPr>
          <w:rFonts w:ascii="Times New Roman" w:hAnsi="Times New Roman" w:cs="Times New Roman"/>
          <w:noProof/>
          <w:sz w:val="24"/>
          <w:szCs w:val="24"/>
        </w:rPr>
        <w:tab/>
        <w:t xml:space="preserve">Gupta, S. &amp; Federman, D. G. Hospital preparedness for COVID-19 pandemic: experience from department of medicine at Veterans Affairs Connecticut Healthcare System. </w:t>
      </w:r>
      <w:r w:rsidRPr="0076575D">
        <w:rPr>
          <w:rFonts w:ascii="Times New Roman" w:hAnsi="Times New Roman" w:cs="Times New Roman"/>
          <w:i/>
          <w:iCs/>
          <w:noProof/>
          <w:sz w:val="24"/>
          <w:szCs w:val="24"/>
        </w:rPr>
        <w:t>Postgrad. Med.</w:t>
      </w:r>
      <w:r w:rsidRPr="0076575D">
        <w:rPr>
          <w:rFonts w:ascii="Times New Roman" w:hAnsi="Times New Roman" w:cs="Times New Roman"/>
          <w:noProof/>
          <w:sz w:val="24"/>
          <w:szCs w:val="24"/>
        </w:rPr>
        <w:t xml:space="preserve"> </w:t>
      </w:r>
      <w:r w:rsidRPr="0076575D">
        <w:rPr>
          <w:rFonts w:ascii="Times New Roman" w:hAnsi="Times New Roman" w:cs="Times New Roman"/>
          <w:b/>
          <w:bCs/>
          <w:noProof/>
          <w:sz w:val="24"/>
          <w:szCs w:val="24"/>
        </w:rPr>
        <w:t>00</w:t>
      </w:r>
      <w:r w:rsidRPr="0076575D">
        <w:rPr>
          <w:rFonts w:ascii="Times New Roman" w:hAnsi="Times New Roman" w:cs="Times New Roman"/>
          <w:noProof/>
          <w:sz w:val="24"/>
          <w:szCs w:val="24"/>
        </w:rPr>
        <w:t>, 1 (2020).</w:t>
      </w:r>
    </w:p>
    <w:p w14:paraId="7362A848" w14:textId="684D3B91" w:rsidR="00715BDF" w:rsidRPr="00F645FC" w:rsidRDefault="00BE1775" w:rsidP="00F645FC">
      <w:pPr>
        <w:spacing w:after="0" w:line="480" w:lineRule="auto"/>
        <w:jc w:val="both"/>
        <w:rPr>
          <w:rFonts w:ascii="Times New Roman" w:hAnsi="Times New Roman" w:cs="Times New Roman"/>
          <w:sz w:val="24"/>
          <w:szCs w:val="24"/>
        </w:rPr>
      </w:pPr>
      <w:r w:rsidRPr="00F645FC">
        <w:rPr>
          <w:rFonts w:ascii="Times New Roman" w:hAnsi="Times New Roman" w:cs="Times New Roman"/>
          <w:sz w:val="24"/>
          <w:szCs w:val="24"/>
        </w:rPr>
        <w:fldChar w:fldCharType="end"/>
      </w:r>
    </w:p>
    <w:p w14:paraId="75A722C3" w14:textId="77777777" w:rsidR="00D30307" w:rsidRPr="00F645FC" w:rsidRDefault="00D30307" w:rsidP="00F645FC">
      <w:pPr>
        <w:spacing w:after="0" w:line="480" w:lineRule="auto"/>
        <w:rPr>
          <w:rFonts w:ascii="Times New Roman" w:hAnsi="Times New Roman" w:cs="Times New Roman"/>
          <w:sz w:val="24"/>
          <w:szCs w:val="24"/>
        </w:rPr>
      </w:pPr>
      <w:r w:rsidRPr="00F645FC">
        <w:rPr>
          <w:rFonts w:ascii="Times New Roman" w:hAnsi="Times New Roman" w:cs="Times New Roman"/>
          <w:sz w:val="24"/>
          <w:szCs w:val="24"/>
        </w:rPr>
        <w:br w:type="page"/>
      </w:r>
    </w:p>
    <w:p w14:paraId="0CCB5364" w14:textId="0E51DD65" w:rsidR="001E03D1" w:rsidRPr="007F2BA1" w:rsidRDefault="001E03D1" w:rsidP="00F645FC">
      <w:pPr>
        <w:spacing w:after="0" w:line="480" w:lineRule="auto"/>
        <w:jc w:val="both"/>
        <w:rPr>
          <w:rFonts w:ascii="Times New Roman" w:hAnsi="Times New Roman" w:cs="Times New Roman"/>
          <w:b/>
          <w:bCs/>
          <w:sz w:val="24"/>
          <w:szCs w:val="24"/>
        </w:rPr>
      </w:pPr>
      <w:r w:rsidRPr="007F2BA1">
        <w:rPr>
          <w:rFonts w:ascii="Times New Roman" w:hAnsi="Times New Roman" w:cs="Times New Roman"/>
          <w:b/>
          <w:bCs/>
          <w:sz w:val="24"/>
          <w:szCs w:val="24"/>
        </w:rPr>
        <w:lastRenderedPageBreak/>
        <w:t>Supporting information</w:t>
      </w:r>
    </w:p>
    <w:tbl>
      <w:tblPr>
        <w:tblStyle w:val="TableGrid"/>
        <w:tblW w:w="0" w:type="auto"/>
        <w:tblLook w:val="04A0" w:firstRow="1" w:lastRow="0" w:firstColumn="1" w:lastColumn="0" w:noHBand="0" w:noVBand="1"/>
      </w:tblPr>
      <w:tblGrid>
        <w:gridCol w:w="9350"/>
      </w:tblGrid>
      <w:tr w:rsidR="001E03D1" w:rsidRPr="00F645FC" w14:paraId="004C81D8" w14:textId="77777777" w:rsidTr="00A92A54">
        <w:tc>
          <w:tcPr>
            <w:tcW w:w="9350" w:type="dxa"/>
          </w:tcPr>
          <w:p w14:paraId="0A8A8CE9" w14:textId="77777777" w:rsidR="001E03D1" w:rsidRPr="00F645FC" w:rsidRDefault="001E03D1" w:rsidP="00F645FC">
            <w:pPr>
              <w:spacing w:line="480" w:lineRule="auto"/>
              <w:jc w:val="center"/>
              <w:rPr>
                <w:rFonts w:ascii="Times New Roman" w:hAnsi="Times New Roman" w:cs="Times New Roman"/>
                <w:sz w:val="24"/>
                <w:szCs w:val="24"/>
              </w:rPr>
            </w:pPr>
            <w:r w:rsidRPr="00F645FC">
              <w:rPr>
                <w:rFonts w:ascii="Times New Roman" w:hAnsi="Times New Roman" w:cs="Times New Roman"/>
                <w:noProof/>
                <w:sz w:val="24"/>
                <w:szCs w:val="24"/>
              </w:rPr>
              <w:drawing>
                <wp:inline distT="0" distB="0" distL="0" distR="0" wp14:anchorId="06552976" wp14:editId="4311368E">
                  <wp:extent cx="5324475" cy="334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118" cy="3348765"/>
                          </a:xfrm>
                          <a:prstGeom prst="rect">
                            <a:avLst/>
                          </a:prstGeom>
                          <a:noFill/>
                          <a:ln>
                            <a:noFill/>
                          </a:ln>
                        </pic:spPr>
                      </pic:pic>
                    </a:graphicData>
                  </a:graphic>
                </wp:inline>
              </w:drawing>
            </w:r>
          </w:p>
        </w:tc>
      </w:tr>
      <w:tr w:rsidR="001E03D1" w:rsidRPr="00F645FC" w14:paraId="1E7EECF5" w14:textId="77777777" w:rsidTr="00A92A54">
        <w:tc>
          <w:tcPr>
            <w:tcW w:w="9350" w:type="dxa"/>
          </w:tcPr>
          <w:p w14:paraId="121DDB9E" w14:textId="39D16118" w:rsidR="001E03D1" w:rsidRPr="00F645FC" w:rsidRDefault="001E03D1" w:rsidP="00F645FC">
            <w:pPr>
              <w:spacing w:line="480" w:lineRule="auto"/>
              <w:jc w:val="center"/>
              <w:rPr>
                <w:rFonts w:ascii="Times New Roman" w:hAnsi="Times New Roman" w:cs="Times New Roman"/>
                <w:sz w:val="24"/>
                <w:szCs w:val="24"/>
              </w:rPr>
            </w:pPr>
            <w:r w:rsidRPr="00F645FC">
              <w:rPr>
                <w:rFonts w:ascii="Times New Roman" w:hAnsi="Times New Roman" w:cs="Times New Roman"/>
                <w:b/>
                <w:sz w:val="24"/>
                <w:szCs w:val="24"/>
              </w:rPr>
              <w:t xml:space="preserve">Fig. </w:t>
            </w:r>
            <w:r w:rsidR="00AE1D2F" w:rsidRPr="00F645FC">
              <w:rPr>
                <w:rFonts w:ascii="Times New Roman" w:hAnsi="Times New Roman" w:cs="Times New Roman"/>
                <w:b/>
                <w:sz w:val="24"/>
                <w:szCs w:val="24"/>
              </w:rPr>
              <w:t>S</w:t>
            </w:r>
            <w:r w:rsidR="00E333D3" w:rsidRPr="00F645FC">
              <w:rPr>
                <w:rFonts w:ascii="Times New Roman" w:hAnsi="Times New Roman" w:cs="Times New Roman"/>
                <w:b/>
                <w:sz w:val="24"/>
                <w:szCs w:val="24"/>
              </w:rPr>
              <w:t>1</w:t>
            </w:r>
            <w:r w:rsidRPr="00F645FC">
              <w:rPr>
                <w:rFonts w:ascii="Times New Roman" w:hAnsi="Times New Roman" w:cs="Times New Roman"/>
                <w:b/>
                <w:sz w:val="24"/>
                <w:szCs w:val="24"/>
              </w:rPr>
              <w:t>: Top 20 countries with highest CFR (June 30</w:t>
            </w:r>
            <w:r w:rsidRPr="00F645FC">
              <w:rPr>
                <w:rFonts w:ascii="Times New Roman" w:hAnsi="Times New Roman" w:cs="Times New Roman"/>
                <w:b/>
                <w:sz w:val="24"/>
                <w:szCs w:val="24"/>
                <w:vertAlign w:val="superscript"/>
              </w:rPr>
              <w:t>st</w:t>
            </w:r>
            <w:r w:rsidRPr="00F645FC">
              <w:rPr>
                <w:rFonts w:ascii="Times New Roman" w:hAnsi="Times New Roman" w:cs="Times New Roman"/>
                <w:b/>
                <w:sz w:val="24"/>
                <w:szCs w:val="24"/>
              </w:rPr>
              <w:t xml:space="preserve"> 2020)</w:t>
            </w:r>
          </w:p>
        </w:tc>
      </w:tr>
    </w:tbl>
    <w:p w14:paraId="3F498A8D" w14:textId="77777777" w:rsidR="00D30307" w:rsidRPr="00F645FC" w:rsidRDefault="00D30307" w:rsidP="00F645FC">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7A3EDE" w:rsidRPr="00F645FC" w14:paraId="313C6746" w14:textId="77777777" w:rsidTr="00A92A54">
        <w:tc>
          <w:tcPr>
            <w:tcW w:w="9350" w:type="dxa"/>
          </w:tcPr>
          <w:p w14:paraId="25330465" w14:textId="37CABC4D" w:rsidR="007A3EDE" w:rsidRPr="00F645FC" w:rsidRDefault="00D30307" w:rsidP="00F645FC">
            <w:pPr>
              <w:spacing w:line="480" w:lineRule="auto"/>
              <w:jc w:val="center"/>
              <w:rPr>
                <w:rFonts w:ascii="Times New Roman" w:hAnsi="Times New Roman" w:cs="Times New Roman"/>
                <w:sz w:val="24"/>
                <w:szCs w:val="24"/>
              </w:rPr>
            </w:pPr>
            <w:r w:rsidRPr="00F645FC">
              <w:rPr>
                <w:rFonts w:ascii="Times New Roman" w:hAnsi="Times New Roman" w:cs="Times New Roman"/>
                <w:sz w:val="24"/>
                <w:szCs w:val="24"/>
              </w:rPr>
              <w:lastRenderedPageBreak/>
              <w:br w:type="page"/>
            </w:r>
            <w:r w:rsidR="007A3EDE" w:rsidRPr="00F645FC">
              <w:rPr>
                <w:rFonts w:ascii="Times New Roman" w:hAnsi="Times New Roman" w:cs="Times New Roman"/>
                <w:noProof/>
                <w:sz w:val="24"/>
                <w:szCs w:val="24"/>
              </w:rPr>
              <w:drawing>
                <wp:inline distT="0" distB="0" distL="0" distR="0" wp14:anchorId="502B0462" wp14:editId="1D541319">
                  <wp:extent cx="5324475"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657600"/>
                          </a:xfrm>
                          <a:prstGeom prst="rect">
                            <a:avLst/>
                          </a:prstGeom>
                          <a:noFill/>
                          <a:ln>
                            <a:noFill/>
                          </a:ln>
                        </pic:spPr>
                      </pic:pic>
                    </a:graphicData>
                  </a:graphic>
                </wp:inline>
              </w:drawing>
            </w:r>
          </w:p>
        </w:tc>
      </w:tr>
      <w:tr w:rsidR="007A3EDE" w:rsidRPr="00F645FC" w14:paraId="00F84992" w14:textId="77777777" w:rsidTr="00A92A54">
        <w:tc>
          <w:tcPr>
            <w:tcW w:w="9350" w:type="dxa"/>
          </w:tcPr>
          <w:p w14:paraId="7552B50A" w14:textId="2244CAB1" w:rsidR="007A3EDE" w:rsidRPr="00F645FC" w:rsidRDefault="007A3EDE" w:rsidP="00F645FC">
            <w:pPr>
              <w:spacing w:line="480" w:lineRule="auto"/>
              <w:jc w:val="center"/>
              <w:rPr>
                <w:rFonts w:ascii="Times New Roman" w:hAnsi="Times New Roman" w:cs="Times New Roman"/>
                <w:b/>
                <w:bCs/>
                <w:sz w:val="24"/>
                <w:szCs w:val="24"/>
              </w:rPr>
            </w:pPr>
            <w:r w:rsidRPr="00F645FC">
              <w:rPr>
                <w:rFonts w:ascii="Times New Roman" w:hAnsi="Times New Roman" w:cs="Times New Roman"/>
                <w:b/>
                <w:bCs/>
                <w:sz w:val="24"/>
                <w:szCs w:val="24"/>
              </w:rPr>
              <w:t>Fig. S</w:t>
            </w:r>
            <w:r w:rsidR="00BE7C19" w:rsidRPr="00F645FC">
              <w:rPr>
                <w:rFonts w:ascii="Times New Roman" w:hAnsi="Times New Roman" w:cs="Times New Roman"/>
                <w:b/>
                <w:bCs/>
                <w:sz w:val="24"/>
                <w:szCs w:val="24"/>
              </w:rPr>
              <w:t>2</w:t>
            </w:r>
            <w:r w:rsidRPr="00F645FC">
              <w:rPr>
                <w:rFonts w:ascii="Times New Roman" w:hAnsi="Times New Roman" w:cs="Times New Roman"/>
                <w:b/>
                <w:bCs/>
                <w:sz w:val="24"/>
                <w:szCs w:val="24"/>
              </w:rPr>
              <w:t xml:space="preserve">: </w:t>
            </w:r>
            <w:r w:rsidRPr="00F645FC">
              <w:rPr>
                <w:rFonts w:ascii="Times New Roman" w:hAnsi="Times New Roman" w:cs="Times New Roman"/>
                <w:b/>
                <w:bCs/>
                <w:color w:val="222222"/>
                <w:sz w:val="24"/>
                <w:szCs w:val="24"/>
                <w:shd w:val="clear" w:color="auto" w:fill="FFFFFF"/>
              </w:rPr>
              <w:t>Variation of death rate (CFR) over time (weekly) in EU countries</w:t>
            </w:r>
          </w:p>
        </w:tc>
      </w:tr>
    </w:tbl>
    <w:p w14:paraId="0207B8E6" w14:textId="7D4D01FA" w:rsidR="00D30307" w:rsidRPr="00F645FC" w:rsidRDefault="00D30307" w:rsidP="00F645FC">
      <w:pPr>
        <w:tabs>
          <w:tab w:val="left" w:pos="1200"/>
        </w:tabs>
        <w:spacing w:after="0" w:line="480" w:lineRule="auto"/>
        <w:jc w:val="both"/>
        <w:rPr>
          <w:rFonts w:ascii="Times New Roman" w:hAnsi="Times New Roman" w:cs="Times New Roman"/>
          <w:b/>
          <w:bCs/>
          <w:sz w:val="24"/>
          <w:szCs w:val="24"/>
        </w:rPr>
      </w:pPr>
    </w:p>
    <w:p w14:paraId="068B3313" w14:textId="740F178F" w:rsidR="007A3EDE" w:rsidRPr="00F645FC" w:rsidRDefault="00532AC1" w:rsidP="007F2BA1">
      <w:pPr>
        <w:tabs>
          <w:tab w:val="left" w:pos="1200"/>
        </w:tabs>
        <w:spacing w:after="0" w:line="240" w:lineRule="auto"/>
        <w:jc w:val="both"/>
        <w:rPr>
          <w:rFonts w:ascii="Times New Roman" w:hAnsi="Times New Roman" w:cs="Times New Roman"/>
          <w:b/>
          <w:bCs/>
          <w:sz w:val="24"/>
          <w:szCs w:val="24"/>
        </w:rPr>
      </w:pPr>
      <w:r w:rsidRPr="00F645FC">
        <w:rPr>
          <w:rFonts w:ascii="Times New Roman" w:hAnsi="Times New Roman" w:cs="Times New Roman"/>
          <w:b/>
          <w:bCs/>
          <w:sz w:val="24"/>
          <w:szCs w:val="24"/>
        </w:rPr>
        <w:t>Table S1:</w:t>
      </w:r>
      <w:r w:rsidR="00D461A0" w:rsidRPr="00F645FC">
        <w:rPr>
          <w:rFonts w:ascii="Times New Roman" w:hAnsi="Times New Roman" w:cs="Times New Roman"/>
          <w:b/>
          <w:bCs/>
          <w:sz w:val="24"/>
          <w:szCs w:val="24"/>
        </w:rPr>
        <w:t xml:space="preserve"> Descriptive statistics of total number of tests (per thousand)</w:t>
      </w:r>
      <w:r w:rsidR="00EE0CE8" w:rsidRPr="00F645FC">
        <w:rPr>
          <w:rFonts w:ascii="Times New Roman" w:hAnsi="Times New Roman" w:cs="Times New Roman"/>
          <w:b/>
          <w:bCs/>
          <w:sz w:val="24"/>
          <w:szCs w:val="24"/>
        </w:rPr>
        <w:t xml:space="preserve"> by WGI</w:t>
      </w:r>
      <w:r w:rsidR="00F951AD" w:rsidRPr="00F645FC">
        <w:rPr>
          <w:rFonts w:ascii="Times New Roman" w:hAnsi="Times New Roman" w:cs="Times New Roman"/>
          <w:b/>
          <w:bCs/>
          <w:sz w:val="24"/>
          <w:szCs w:val="24"/>
        </w:rPr>
        <w:t xml:space="preserve"> &amp; GHSI</w:t>
      </w:r>
    </w:p>
    <w:tbl>
      <w:tblPr>
        <w:tblStyle w:val="TableGrid"/>
        <w:tblW w:w="0" w:type="auto"/>
        <w:tblLook w:val="04A0" w:firstRow="1" w:lastRow="0" w:firstColumn="1" w:lastColumn="0" w:noHBand="0" w:noVBand="1"/>
      </w:tblPr>
      <w:tblGrid>
        <w:gridCol w:w="2136"/>
        <w:gridCol w:w="1982"/>
        <w:gridCol w:w="1982"/>
        <w:gridCol w:w="1625"/>
        <w:gridCol w:w="1625"/>
      </w:tblGrid>
      <w:tr w:rsidR="001B5E43" w:rsidRPr="00F645FC" w14:paraId="6CCD1B56" w14:textId="694CE060" w:rsidTr="00611B86">
        <w:tc>
          <w:tcPr>
            <w:tcW w:w="2136" w:type="dxa"/>
            <w:vMerge w:val="restart"/>
            <w:vAlign w:val="center"/>
          </w:tcPr>
          <w:p w14:paraId="21F57DAF" w14:textId="5C811CEF" w:rsidR="001B5E43" w:rsidRPr="00F645FC" w:rsidRDefault="001B5E43" w:rsidP="007F2BA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Stage of pandemic</w:t>
            </w:r>
          </w:p>
        </w:tc>
        <w:tc>
          <w:tcPr>
            <w:tcW w:w="7214" w:type="dxa"/>
            <w:gridSpan w:val="4"/>
          </w:tcPr>
          <w:p w14:paraId="4548A3C2" w14:textId="26809053" w:rsidR="001B5E43" w:rsidRPr="00F645FC" w:rsidRDefault="001B5E43" w:rsidP="007F2BA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Number of Test Cases (per thousand)</w:t>
            </w:r>
          </w:p>
        </w:tc>
      </w:tr>
      <w:tr w:rsidR="001B5E43" w:rsidRPr="00F645FC" w14:paraId="546DBB9E" w14:textId="0EBF1E00" w:rsidTr="001B5E43">
        <w:tc>
          <w:tcPr>
            <w:tcW w:w="2136" w:type="dxa"/>
            <w:vMerge/>
          </w:tcPr>
          <w:p w14:paraId="139EA110" w14:textId="65A78A6C" w:rsidR="001B5E43" w:rsidRPr="00F645FC" w:rsidRDefault="001B5E43" w:rsidP="007F2BA1">
            <w:pPr>
              <w:tabs>
                <w:tab w:val="left" w:pos="1200"/>
              </w:tabs>
              <w:jc w:val="center"/>
              <w:rPr>
                <w:rFonts w:ascii="Times New Roman" w:hAnsi="Times New Roman" w:cs="Times New Roman"/>
                <w:b/>
                <w:bCs/>
                <w:sz w:val="24"/>
                <w:szCs w:val="24"/>
              </w:rPr>
            </w:pPr>
          </w:p>
        </w:tc>
        <w:tc>
          <w:tcPr>
            <w:tcW w:w="1982" w:type="dxa"/>
          </w:tcPr>
          <w:p w14:paraId="4795AF2A" w14:textId="494E58E3"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b/>
                <w:bCs/>
                <w:sz w:val="24"/>
                <w:szCs w:val="24"/>
              </w:rPr>
              <w:t>Low WGI</w:t>
            </w:r>
          </w:p>
        </w:tc>
        <w:tc>
          <w:tcPr>
            <w:tcW w:w="1982" w:type="dxa"/>
          </w:tcPr>
          <w:p w14:paraId="5D1B3BA8" w14:textId="7B40FA84"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b/>
                <w:bCs/>
                <w:sz w:val="24"/>
                <w:szCs w:val="24"/>
              </w:rPr>
              <w:t>High WGI</w:t>
            </w:r>
          </w:p>
        </w:tc>
        <w:tc>
          <w:tcPr>
            <w:tcW w:w="1625" w:type="dxa"/>
          </w:tcPr>
          <w:p w14:paraId="7D1F7087" w14:textId="65808B4D" w:rsidR="001B5E43" w:rsidRPr="00F645FC" w:rsidRDefault="001B5E43" w:rsidP="007F2BA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Low GHSI</w:t>
            </w:r>
          </w:p>
        </w:tc>
        <w:tc>
          <w:tcPr>
            <w:tcW w:w="1625" w:type="dxa"/>
          </w:tcPr>
          <w:p w14:paraId="54EE9547" w14:textId="3844DFD8" w:rsidR="001B5E43" w:rsidRPr="00F645FC" w:rsidRDefault="001B5E43" w:rsidP="007F2BA1">
            <w:pPr>
              <w:tabs>
                <w:tab w:val="left" w:pos="1200"/>
              </w:tabs>
              <w:jc w:val="center"/>
              <w:rPr>
                <w:rFonts w:ascii="Times New Roman" w:hAnsi="Times New Roman" w:cs="Times New Roman"/>
                <w:b/>
                <w:bCs/>
                <w:sz w:val="24"/>
                <w:szCs w:val="24"/>
              </w:rPr>
            </w:pPr>
            <w:r w:rsidRPr="00F645FC">
              <w:rPr>
                <w:rFonts w:ascii="Times New Roman" w:hAnsi="Times New Roman" w:cs="Times New Roman"/>
                <w:b/>
                <w:bCs/>
                <w:sz w:val="24"/>
                <w:szCs w:val="24"/>
              </w:rPr>
              <w:t>High GHSI</w:t>
            </w:r>
          </w:p>
        </w:tc>
      </w:tr>
      <w:tr w:rsidR="001B5E43" w:rsidRPr="00F645FC" w14:paraId="37C3159F" w14:textId="5FE1B63C" w:rsidTr="001B5E43">
        <w:tc>
          <w:tcPr>
            <w:tcW w:w="2136" w:type="dxa"/>
          </w:tcPr>
          <w:p w14:paraId="10C382AE" w14:textId="5D665621" w:rsidR="001B5E43" w:rsidRPr="00F645FC" w:rsidRDefault="001B5E43" w:rsidP="007F2BA1">
            <w:pPr>
              <w:tabs>
                <w:tab w:val="left" w:pos="1200"/>
              </w:tabs>
              <w:rPr>
                <w:rFonts w:ascii="Times New Roman" w:hAnsi="Times New Roman" w:cs="Times New Roman"/>
                <w:b/>
                <w:bCs/>
                <w:sz w:val="24"/>
                <w:szCs w:val="24"/>
              </w:rPr>
            </w:pPr>
            <w:r w:rsidRPr="00F645FC">
              <w:rPr>
                <w:rFonts w:ascii="Times New Roman" w:hAnsi="Times New Roman" w:cs="Times New Roman"/>
                <w:b/>
                <w:bCs/>
                <w:sz w:val="24"/>
                <w:szCs w:val="24"/>
              </w:rPr>
              <w:t>Before peak</w:t>
            </w:r>
          </w:p>
        </w:tc>
        <w:tc>
          <w:tcPr>
            <w:tcW w:w="1982" w:type="dxa"/>
          </w:tcPr>
          <w:p w14:paraId="3778FE5D" w14:textId="77777777" w:rsidR="001B5E43" w:rsidRPr="00F645FC" w:rsidRDefault="001B5E43" w:rsidP="007F2BA1">
            <w:pPr>
              <w:tabs>
                <w:tab w:val="left" w:pos="1200"/>
              </w:tabs>
              <w:jc w:val="center"/>
              <w:rPr>
                <w:rFonts w:ascii="Times New Roman" w:hAnsi="Times New Roman" w:cs="Times New Roman"/>
                <w:sz w:val="24"/>
                <w:szCs w:val="24"/>
              </w:rPr>
            </w:pPr>
          </w:p>
        </w:tc>
        <w:tc>
          <w:tcPr>
            <w:tcW w:w="1982" w:type="dxa"/>
          </w:tcPr>
          <w:p w14:paraId="57C712B1" w14:textId="77777777" w:rsidR="001B5E43" w:rsidRPr="00F645FC" w:rsidRDefault="001B5E43" w:rsidP="007F2BA1">
            <w:pPr>
              <w:tabs>
                <w:tab w:val="left" w:pos="1200"/>
              </w:tabs>
              <w:jc w:val="center"/>
              <w:rPr>
                <w:rFonts w:ascii="Times New Roman" w:hAnsi="Times New Roman" w:cs="Times New Roman"/>
                <w:sz w:val="24"/>
                <w:szCs w:val="24"/>
              </w:rPr>
            </w:pPr>
          </w:p>
        </w:tc>
        <w:tc>
          <w:tcPr>
            <w:tcW w:w="1625" w:type="dxa"/>
          </w:tcPr>
          <w:p w14:paraId="6849A1A2" w14:textId="77777777" w:rsidR="001B5E43" w:rsidRPr="00F645FC" w:rsidRDefault="001B5E43" w:rsidP="007F2BA1">
            <w:pPr>
              <w:tabs>
                <w:tab w:val="left" w:pos="1200"/>
              </w:tabs>
              <w:jc w:val="center"/>
              <w:rPr>
                <w:rFonts w:ascii="Times New Roman" w:hAnsi="Times New Roman" w:cs="Times New Roman"/>
                <w:sz w:val="24"/>
                <w:szCs w:val="24"/>
              </w:rPr>
            </w:pPr>
          </w:p>
        </w:tc>
        <w:tc>
          <w:tcPr>
            <w:tcW w:w="1625" w:type="dxa"/>
          </w:tcPr>
          <w:p w14:paraId="7118F5C8" w14:textId="77777777" w:rsidR="001B5E43" w:rsidRPr="00F645FC" w:rsidRDefault="001B5E43" w:rsidP="007F2BA1">
            <w:pPr>
              <w:tabs>
                <w:tab w:val="left" w:pos="1200"/>
              </w:tabs>
              <w:jc w:val="center"/>
              <w:rPr>
                <w:rFonts w:ascii="Times New Roman" w:hAnsi="Times New Roman" w:cs="Times New Roman"/>
                <w:sz w:val="24"/>
                <w:szCs w:val="24"/>
              </w:rPr>
            </w:pPr>
          </w:p>
        </w:tc>
      </w:tr>
      <w:tr w:rsidR="001B5E43" w:rsidRPr="00F645FC" w14:paraId="58C21203" w14:textId="6599FFA0" w:rsidTr="001B5E43">
        <w:tc>
          <w:tcPr>
            <w:tcW w:w="2136" w:type="dxa"/>
          </w:tcPr>
          <w:p w14:paraId="0BC34A7F" w14:textId="66021C31"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Minimum</w:t>
            </w:r>
          </w:p>
        </w:tc>
        <w:tc>
          <w:tcPr>
            <w:tcW w:w="1982" w:type="dxa"/>
          </w:tcPr>
          <w:p w14:paraId="5E0DAF85" w14:textId="77B1B0DB"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0.65</w:t>
            </w:r>
          </w:p>
        </w:tc>
        <w:tc>
          <w:tcPr>
            <w:tcW w:w="1982" w:type="dxa"/>
          </w:tcPr>
          <w:p w14:paraId="4E1362CC" w14:textId="6BF90D35"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1.75</w:t>
            </w:r>
          </w:p>
        </w:tc>
        <w:tc>
          <w:tcPr>
            <w:tcW w:w="1625" w:type="dxa"/>
          </w:tcPr>
          <w:p w14:paraId="580A75B8" w14:textId="7D2AC35B" w:rsidR="001B5E43" w:rsidRPr="00F645FC" w:rsidRDefault="00611B86"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0.65</w:t>
            </w:r>
          </w:p>
        </w:tc>
        <w:tc>
          <w:tcPr>
            <w:tcW w:w="1625" w:type="dxa"/>
          </w:tcPr>
          <w:p w14:paraId="5FF094A2" w14:textId="6A8A0F99" w:rsidR="001B5E43" w:rsidRPr="00F645FC" w:rsidRDefault="00611B86"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1.43</w:t>
            </w:r>
          </w:p>
        </w:tc>
      </w:tr>
      <w:tr w:rsidR="001B5E43" w:rsidRPr="00F645FC" w14:paraId="1B0C67F6" w14:textId="2B830031" w:rsidTr="001B5E43">
        <w:tc>
          <w:tcPr>
            <w:tcW w:w="2136" w:type="dxa"/>
          </w:tcPr>
          <w:p w14:paraId="5227617E" w14:textId="7E3455A9"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Mean (SD)</w:t>
            </w:r>
          </w:p>
        </w:tc>
        <w:tc>
          <w:tcPr>
            <w:tcW w:w="1982" w:type="dxa"/>
          </w:tcPr>
          <w:p w14:paraId="4BD3FEE8" w14:textId="3EF5B693"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53.71 (92.00)</w:t>
            </w:r>
          </w:p>
        </w:tc>
        <w:tc>
          <w:tcPr>
            <w:tcW w:w="1982" w:type="dxa"/>
          </w:tcPr>
          <w:p w14:paraId="1EE6E5D9" w14:textId="4C7CAA62"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59.10 (62.77)</w:t>
            </w:r>
          </w:p>
        </w:tc>
        <w:tc>
          <w:tcPr>
            <w:tcW w:w="1625" w:type="dxa"/>
          </w:tcPr>
          <w:p w14:paraId="2029B992" w14:textId="6A88967F" w:rsidR="001B5E43" w:rsidRPr="00F645FC" w:rsidRDefault="00611B86"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25.89 (56.84)</w:t>
            </w:r>
          </w:p>
        </w:tc>
        <w:tc>
          <w:tcPr>
            <w:tcW w:w="1625" w:type="dxa"/>
          </w:tcPr>
          <w:p w14:paraId="5BAB1C82" w14:textId="51748ABB" w:rsidR="001B5E43" w:rsidRPr="00F645FC" w:rsidRDefault="00611B86"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66.34 (75.45)</w:t>
            </w:r>
          </w:p>
        </w:tc>
      </w:tr>
      <w:tr w:rsidR="001B5E43" w:rsidRPr="00F645FC" w14:paraId="6DDA0945" w14:textId="4E7196B8" w:rsidTr="001B5E43">
        <w:tc>
          <w:tcPr>
            <w:tcW w:w="2136" w:type="dxa"/>
          </w:tcPr>
          <w:p w14:paraId="75E5EC8D" w14:textId="0F86AA54"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Maximum</w:t>
            </w:r>
          </w:p>
        </w:tc>
        <w:tc>
          <w:tcPr>
            <w:tcW w:w="1982" w:type="dxa"/>
          </w:tcPr>
          <w:p w14:paraId="10B0C2D4" w14:textId="03376376"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363.26</w:t>
            </w:r>
          </w:p>
        </w:tc>
        <w:tc>
          <w:tcPr>
            <w:tcW w:w="1982" w:type="dxa"/>
          </w:tcPr>
          <w:p w14:paraId="682EFE2E" w14:textId="65A13C74" w:rsidR="001B5E43" w:rsidRPr="00F645FC" w:rsidRDefault="001B5E43"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296.05</w:t>
            </w:r>
          </w:p>
        </w:tc>
        <w:tc>
          <w:tcPr>
            <w:tcW w:w="1625" w:type="dxa"/>
          </w:tcPr>
          <w:p w14:paraId="3118FAEF" w14:textId="38496ED4" w:rsidR="001B5E43" w:rsidRPr="00F645FC" w:rsidRDefault="00611B86"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222.64</w:t>
            </w:r>
          </w:p>
        </w:tc>
        <w:tc>
          <w:tcPr>
            <w:tcW w:w="1625" w:type="dxa"/>
          </w:tcPr>
          <w:p w14:paraId="76AFF578" w14:textId="0BA5F666" w:rsidR="001B5E43" w:rsidRPr="00F645FC" w:rsidRDefault="008E0F61"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363.26</w:t>
            </w:r>
          </w:p>
        </w:tc>
      </w:tr>
      <w:tr w:rsidR="001B5E43" w:rsidRPr="00F645FC" w14:paraId="7BE3E40F" w14:textId="5768FA9F" w:rsidTr="001B5E43">
        <w:tc>
          <w:tcPr>
            <w:tcW w:w="2136" w:type="dxa"/>
          </w:tcPr>
          <w:p w14:paraId="4FA9B017" w14:textId="73E9DE24" w:rsidR="001B5E43" w:rsidRPr="00F645FC" w:rsidRDefault="001B5E43" w:rsidP="007F2BA1">
            <w:pPr>
              <w:tabs>
                <w:tab w:val="left" w:pos="1200"/>
              </w:tabs>
              <w:rPr>
                <w:rFonts w:ascii="Times New Roman" w:hAnsi="Times New Roman" w:cs="Times New Roman"/>
                <w:b/>
                <w:bCs/>
                <w:sz w:val="24"/>
                <w:szCs w:val="24"/>
              </w:rPr>
            </w:pPr>
            <w:r w:rsidRPr="00F645FC">
              <w:rPr>
                <w:rFonts w:ascii="Times New Roman" w:hAnsi="Times New Roman" w:cs="Times New Roman"/>
                <w:b/>
                <w:bCs/>
                <w:sz w:val="24"/>
                <w:szCs w:val="24"/>
              </w:rPr>
              <w:t>After peak</w:t>
            </w:r>
          </w:p>
        </w:tc>
        <w:tc>
          <w:tcPr>
            <w:tcW w:w="1982" w:type="dxa"/>
          </w:tcPr>
          <w:p w14:paraId="3BD52FE8" w14:textId="77777777" w:rsidR="001B5E43" w:rsidRPr="00F645FC" w:rsidRDefault="001B5E43" w:rsidP="007F2BA1">
            <w:pPr>
              <w:tabs>
                <w:tab w:val="left" w:pos="1200"/>
              </w:tabs>
              <w:jc w:val="center"/>
              <w:rPr>
                <w:rFonts w:ascii="Times New Roman" w:hAnsi="Times New Roman" w:cs="Times New Roman"/>
                <w:sz w:val="24"/>
                <w:szCs w:val="24"/>
              </w:rPr>
            </w:pPr>
          </w:p>
        </w:tc>
        <w:tc>
          <w:tcPr>
            <w:tcW w:w="1982" w:type="dxa"/>
          </w:tcPr>
          <w:p w14:paraId="7C9BB10B" w14:textId="77777777" w:rsidR="001B5E43" w:rsidRPr="00F645FC" w:rsidRDefault="001B5E43" w:rsidP="007F2BA1">
            <w:pPr>
              <w:tabs>
                <w:tab w:val="left" w:pos="1200"/>
              </w:tabs>
              <w:jc w:val="center"/>
              <w:rPr>
                <w:rFonts w:ascii="Times New Roman" w:hAnsi="Times New Roman" w:cs="Times New Roman"/>
                <w:sz w:val="24"/>
                <w:szCs w:val="24"/>
              </w:rPr>
            </w:pPr>
          </w:p>
        </w:tc>
        <w:tc>
          <w:tcPr>
            <w:tcW w:w="1625" w:type="dxa"/>
          </w:tcPr>
          <w:p w14:paraId="347882E2" w14:textId="77777777" w:rsidR="001B5E43" w:rsidRPr="00F645FC" w:rsidRDefault="001B5E43" w:rsidP="007F2BA1">
            <w:pPr>
              <w:tabs>
                <w:tab w:val="left" w:pos="1200"/>
              </w:tabs>
              <w:jc w:val="center"/>
              <w:rPr>
                <w:rFonts w:ascii="Times New Roman" w:hAnsi="Times New Roman" w:cs="Times New Roman"/>
                <w:sz w:val="24"/>
                <w:szCs w:val="24"/>
              </w:rPr>
            </w:pPr>
          </w:p>
        </w:tc>
        <w:tc>
          <w:tcPr>
            <w:tcW w:w="1625" w:type="dxa"/>
          </w:tcPr>
          <w:p w14:paraId="716393AE" w14:textId="77777777" w:rsidR="001B5E43" w:rsidRPr="00F645FC" w:rsidRDefault="001B5E43" w:rsidP="007F2BA1">
            <w:pPr>
              <w:tabs>
                <w:tab w:val="left" w:pos="1200"/>
              </w:tabs>
              <w:jc w:val="center"/>
              <w:rPr>
                <w:rFonts w:ascii="Times New Roman" w:hAnsi="Times New Roman" w:cs="Times New Roman"/>
                <w:sz w:val="24"/>
                <w:szCs w:val="24"/>
              </w:rPr>
            </w:pPr>
          </w:p>
        </w:tc>
      </w:tr>
      <w:tr w:rsidR="00D821E4" w:rsidRPr="00F645FC" w14:paraId="2F424AED" w14:textId="142565F6" w:rsidTr="001B5E43">
        <w:tc>
          <w:tcPr>
            <w:tcW w:w="2136" w:type="dxa"/>
          </w:tcPr>
          <w:p w14:paraId="27222AF3" w14:textId="04D5418F"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Minimum</w:t>
            </w:r>
          </w:p>
        </w:tc>
        <w:tc>
          <w:tcPr>
            <w:tcW w:w="1982" w:type="dxa"/>
          </w:tcPr>
          <w:p w14:paraId="64D67EEC" w14:textId="0216CCCD"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1.81</w:t>
            </w:r>
          </w:p>
        </w:tc>
        <w:tc>
          <w:tcPr>
            <w:tcW w:w="1982" w:type="dxa"/>
          </w:tcPr>
          <w:p w14:paraId="13D00AFD" w14:textId="327718C0"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0.67</w:t>
            </w:r>
          </w:p>
        </w:tc>
        <w:tc>
          <w:tcPr>
            <w:tcW w:w="1625" w:type="dxa"/>
          </w:tcPr>
          <w:p w14:paraId="136436CB" w14:textId="47C7C3BC" w:rsidR="00D821E4" w:rsidRPr="00F645FC" w:rsidRDefault="0092113D"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1.81</w:t>
            </w:r>
          </w:p>
        </w:tc>
        <w:tc>
          <w:tcPr>
            <w:tcW w:w="1625" w:type="dxa"/>
          </w:tcPr>
          <w:p w14:paraId="79C549A2" w14:textId="36BCEB59"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1.54</w:t>
            </w:r>
          </w:p>
        </w:tc>
      </w:tr>
      <w:tr w:rsidR="00D821E4" w:rsidRPr="00F645FC" w14:paraId="5FDCF3AF" w14:textId="20A6BFB1" w:rsidTr="001B5E43">
        <w:tc>
          <w:tcPr>
            <w:tcW w:w="2136" w:type="dxa"/>
          </w:tcPr>
          <w:p w14:paraId="3F8C7259" w14:textId="0440B12B"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Mean (SD)</w:t>
            </w:r>
          </w:p>
        </w:tc>
        <w:tc>
          <w:tcPr>
            <w:tcW w:w="1982" w:type="dxa"/>
          </w:tcPr>
          <w:p w14:paraId="0A0B9741" w14:textId="009F6749"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50.58 (78.28)</w:t>
            </w:r>
          </w:p>
        </w:tc>
        <w:tc>
          <w:tcPr>
            <w:tcW w:w="1982" w:type="dxa"/>
          </w:tcPr>
          <w:p w14:paraId="79B640B2" w14:textId="7C7BDC75"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44.48 (46.39)</w:t>
            </w:r>
          </w:p>
        </w:tc>
        <w:tc>
          <w:tcPr>
            <w:tcW w:w="1625" w:type="dxa"/>
          </w:tcPr>
          <w:p w14:paraId="62A365D2" w14:textId="0E186EC4" w:rsidR="00D821E4" w:rsidRPr="00F645FC" w:rsidRDefault="0092113D"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22.63 (43.54)</w:t>
            </w:r>
          </w:p>
        </w:tc>
        <w:tc>
          <w:tcPr>
            <w:tcW w:w="1625" w:type="dxa"/>
          </w:tcPr>
          <w:p w14:paraId="3814BC3F" w14:textId="089D812A"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53.65 (58.81)</w:t>
            </w:r>
          </w:p>
        </w:tc>
      </w:tr>
      <w:tr w:rsidR="00D821E4" w:rsidRPr="00F645FC" w14:paraId="7776D005" w14:textId="0E8699A7" w:rsidTr="001B5E43">
        <w:tc>
          <w:tcPr>
            <w:tcW w:w="2136" w:type="dxa"/>
          </w:tcPr>
          <w:p w14:paraId="03843101" w14:textId="40D96429"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Maximum</w:t>
            </w:r>
          </w:p>
        </w:tc>
        <w:tc>
          <w:tcPr>
            <w:tcW w:w="1982" w:type="dxa"/>
          </w:tcPr>
          <w:p w14:paraId="01589DB4" w14:textId="73660261"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259.28</w:t>
            </w:r>
          </w:p>
        </w:tc>
        <w:tc>
          <w:tcPr>
            <w:tcW w:w="1982" w:type="dxa"/>
          </w:tcPr>
          <w:p w14:paraId="3FA6A78E" w14:textId="4DE35321"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233.75</w:t>
            </w:r>
          </w:p>
        </w:tc>
        <w:tc>
          <w:tcPr>
            <w:tcW w:w="1625" w:type="dxa"/>
          </w:tcPr>
          <w:p w14:paraId="01AAE731" w14:textId="5A4C5342" w:rsidR="00D821E4" w:rsidRPr="00F645FC" w:rsidRDefault="0092113D"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156.24</w:t>
            </w:r>
          </w:p>
        </w:tc>
        <w:tc>
          <w:tcPr>
            <w:tcW w:w="1625" w:type="dxa"/>
          </w:tcPr>
          <w:p w14:paraId="5CC14A32" w14:textId="1D70D4D8" w:rsidR="00D821E4" w:rsidRPr="00F645FC" w:rsidRDefault="00D821E4" w:rsidP="007F2BA1">
            <w:pPr>
              <w:tabs>
                <w:tab w:val="left" w:pos="1200"/>
              </w:tabs>
              <w:jc w:val="center"/>
              <w:rPr>
                <w:rFonts w:ascii="Times New Roman" w:hAnsi="Times New Roman" w:cs="Times New Roman"/>
                <w:sz w:val="24"/>
                <w:szCs w:val="24"/>
              </w:rPr>
            </w:pPr>
            <w:r w:rsidRPr="00F645FC">
              <w:rPr>
                <w:rFonts w:ascii="Times New Roman" w:hAnsi="Times New Roman" w:cs="Times New Roman"/>
                <w:sz w:val="24"/>
                <w:szCs w:val="24"/>
              </w:rPr>
              <w:t>259.28</w:t>
            </w:r>
          </w:p>
        </w:tc>
      </w:tr>
    </w:tbl>
    <w:p w14:paraId="14B844DE" w14:textId="75B913B6" w:rsidR="00532AC1" w:rsidRPr="002909FE" w:rsidRDefault="00F1149A" w:rsidP="007F2BA1">
      <w:pPr>
        <w:tabs>
          <w:tab w:val="left" w:pos="1200"/>
        </w:tabs>
        <w:spacing w:after="0" w:line="240" w:lineRule="auto"/>
        <w:jc w:val="both"/>
        <w:rPr>
          <w:rFonts w:ascii="Times New Roman" w:hAnsi="Times New Roman" w:cs="Times New Roman"/>
          <w:i/>
          <w:iCs/>
          <w:sz w:val="24"/>
          <w:szCs w:val="24"/>
        </w:rPr>
      </w:pPr>
      <w:r w:rsidRPr="002909FE">
        <w:rPr>
          <w:rFonts w:ascii="Times New Roman" w:hAnsi="Times New Roman" w:cs="Times New Roman"/>
          <w:i/>
          <w:iCs/>
          <w:sz w:val="24"/>
          <w:szCs w:val="24"/>
        </w:rPr>
        <w:t>*Low = below median value</w:t>
      </w:r>
    </w:p>
    <w:p w14:paraId="1E89F68F" w14:textId="08B44190" w:rsidR="00F1149A" w:rsidRPr="002909FE" w:rsidRDefault="00F1149A" w:rsidP="007F2BA1">
      <w:pPr>
        <w:tabs>
          <w:tab w:val="left" w:pos="1200"/>
        </w:tabs>
        <w:spacing w:after="0" w:line="240" w:lineRule="auto"/>
        <w:jc w:val="both"/>
        <w:rPr>
          <w:rFonts w:ascii="Times New Roman" w:hAnsi="Times New Roman" w:cs="Times New Roman"/>
          <w:i/>
          <w:iCs/>
          <w:sz w:val="24"/>
          <w:szCs w:val="24"/>
        </w:rPr>
      </w:pPr>
      <w:r w:rsidRPr="002909FE">
        <w:rPr>
          <w:rFonts w:ascii="Times New Roman" w:hAnsi="Times New Roman" w:cs="Times New Roman"/>
          <w:i/>
          <w:iCs/>
          <w:sz w:val="24"/>
          <w:szCs w:val="24"/>
        </w:rPr>
        <w:t>*High = above or equal to median value</w:t>
      </w:r>
    </w:p>
    <w:sectPr w:rsidR="00F1149A" w:rsidRPr="002909FE" w:rsidSect="009C7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0NDc0MDayNDI0MzJS0lEKTi0uzszPAykwqgUAU8el9iwAAAA="/>
  </w:docVars>
  <w:rsids>
    <w:rsidRoot w:val="005B26F4"/>
    <w:rsid w:val="000009E7"/>
    <w:rsid w:val="00002667"/>
    <w:rsid w:val="000028A5"/>
    <w:rsid w:val="00002E3C"/>
    <w:rsid w:val="00005067"/>
    <w:rsid w:val="00005F42"/>
    <w:rsid w:val="000075E2"/>
    <w:rsid w:val="0001424B"/>
    <w:rsid w:val="0001456C"/>
    <w:rsid w:val="00016C2D"/>
    <w:rsid w:val="00016D87"/>
    <w:rsid w:val="000242B1"/>
    <w:rsid w:val="00026070"/>
    <w:rsid w:val="00027DD9"/>
    <w:rsid w:val="00035F11"/>
    <w:rsid w:val="000363D5"/>
    <w:rsid w:val="000407C9"/>
    <w:rsid w:val="00044575"/>
    <w:rsid w:val="00053624"/>
    <w:rsid w:val="00053B92"/>
    <w:rsid w:val="0005640D"/>
    <w:rsid w:val="0006147B"/>
    <w:rsid w:val="000616B9"/>
    <w:rsid w:val="000626A5"/>
    <w:rsid w:val="00064F97"/>
    <w:rsid w:val="00067CDD"/>
    <w:rsid w:val="0007558B"/>
    <w:rsid w:val="00076D27"/>
    <w:rsid w:val="000775CA"/>
    <w:rsid w:val="00082419"/>
    <w:rsid w:val="00082BA0"/>
    <w:rsid w:val="00082C66"/>
    <w:rsid w:val="00083C7D"/>
    <w:rsid w:val="00085FE5"/>
    <w:rsid w:val="00090FF7"/>
    <w:rsid w:val="00096A8C"/>
    <w:rsid w:val="000A1AEF"/>
    <w:rsid w:val="000A2641"/>
    <w:rsid w:val="000A7DAE"/>
    <w:rsid w:val="000B513D"/>
    <w:rsid w:val="000B6210"/>
    <w:rsid w:val="000B638E"/>
    <w:rsid w:val="000C26E1"/>
    <w:rsid w:val="000C2DE1"/>
    <w:rsid w:val="000C326A"/>
    <w:rsid w:val="000C4D26"/>
    <w:rsid w:val="000C5031"/>
    <w:rsid w:val="000C6577"/>
    <w:rsid w:val="000C7DCF"/>
    <w:rsid w:val="000D376F"/>
    <w:rsid w:val="000D4F68"/>
    <w:rsid w:val="000D6E89"/>
    <w:rsid w:val="000D7296"/>
    <w:rsid w:val="000D747B"/>
    <w:rsid w:val="000E1642"/>
    <w:rsid w:val="000E27E4"/>
    <w:rsid w:val="000E4EBB"/>
    <w:rsid w:val="000F0C8A"/>
    <w:rsid w:val="000F23C8"/>
    <w:rsid w:val="000F649A"/>
    <w:rsid w:val="000F6DE4"/>
    <w:rsid w:val="0010406E"/>
    <w:rsid w:val="00106792"/>
    <w:rsid w:val="00111D51"/>
    <w:rsid w:val="001166DC"/>
    <w:rsid w:val="001227AC"/>
    <w:rsid w:val="00123BE1"/>
    <w:rsid w:val="00123CE1"/>
    <w:rsid w:val="001347AA"/>
    <w:rsid w:val="00136D0A"/>
    <w:rsid w:val="00141A0A"/>
    <w:rsid w:val="00141AD3"/>
    <w:rsid w:val="00145781"/>
    <w:rsid w:val="00145D2F"/>
    <w:rsid w:val="00146532"/>
    <w:rsid w:val="001506DD"/>
    <w:rsid w:val="0015229B"/>
    <w:rsid w:val="00153246"/>
    <w:rsid w:val="00153D82"/>
    <w:rsid w:val="00157253"/>
    <w:rsid w:val="00177220"/>
    <w:rsid w:val="00181207"/>
    <w:rsid w:val="001850CF"/>
    <w:rsid w:val="00193A9C"/>
    <w:rsid w:val="00197287"/>
    <w:rsid w:val="00197B54"/>
    <w:rsid w:val="001A2BBF"/>
    <w:rsid w:val="001A3881"/>
    <w:rsid w:val="001A452B"/>
    <w:rsid w:val="001A62E4"/>
    <w:rsid w:val="001B0605"/>
    <w:rsid w:val="001B0999"/>
    <w:rsid w:val="001B0AF1"/>
    <w:rsid w:val="001B2ADE"/>
    <w:rsid w:val="001B5E43"/>
    <w:rsid w:val="001B6025"/>
    <w:rsid w:val="001B7818"/>
    <w:rsid w:val="001C1363"/>
    <w:rsid w:val="001C54B4"/>
    <w:rsid w:val="001E03D1"/>
    <w:rsid w:val="001E4344"/>
    <w:rsid w:val="001F1FF5"/>
    <w:rsid w:val="001F3338"/>
    <w:rsid w:val="001F6761"/>
    <w:rsid w:val="001F6C30"/>
    <w:rsid w:val="002000A6"/>
    <w:rsid w:val="0020339C"/>
    <w:rsid w:val="00211B10"/>
    <w:rsid w:val="00212019"/>
    <w:rsid w:val="00213F31"/>
    <w:rsid w:val="0022422C"/>
    <w:rsid w:val="00233C0D"/>
    <w:rsid w:val="00237189"/>
    <w:rsid w:val="002413FD"/>
    <w:rsid w:val="002512F4"/>
    <w:rsid w:val="002612EF"/>
    <w:rsid w:val="002631FB"/>
    <w:rsid w:val="002651F0"/>
    <w:rsid w:val="002666FC"/>
    <w:rsid w:val="00270CA7"/>
    <w:rsid w:val="00270F6F"/>
    <w:rsid w:val="00273E6B"/>
    <w:rsid w:val="00276564"/>
    <w:rsid w:val="002815DB"/>
    <w:rsid w:val="00285E8D"/>
    <w:rsid w:val="00286DBB"/>
    <w:rsid w:val="002906DA"/>
    <w:rsid w:val="002909FE"/>
    <w:rsid w:val="00297B0F"/>
    <w:rsid w:val="002A11E9"/>
    <w:rsid w:val="002A75D8"/>
    <w:rsid w:val="002B24EB"/>
    <w:rsid w:val="002B4079"/>
    <w:rsid w:val="002B5363"/>
    <w:rsid w:val="002B5C3C"/>
    <w:rsid w:val="002B7571"/>
    <w:rsid w:val="002C1D46"/>
    <w:rsid w:val="002C5142"/>
    <w:rsid w:val="002D118F"/>
    <w:rsid w:val="002D56E2"/>
    <w:rsid w:val="002E6C32"/>
    <w:rsid w:val="002F3EC7"/>
    <w:rsid w:val="00300670"/>
    <w:rsid w:val="003020A7"/>
    <w:rsid w:val="0030323E"/>
    <w:rsid w:val="00304811"/>
    <w:rsid w:val="0030502D"/>
    <w:rsid w:val="00306557"/>
    <w:rsid w:val="00311C56"/>
    <w:rsid w:val="003162D7"/>
    <w:rsid w:val="00316312"/>
    <w:rsid w:val="00316C01"/>
    <w:rsid w:val="00317ABD"/>
    <w:rsid w:val="00321F0B"/>
    <w:rsid w:val="00322120"/>
    <w:rsid w:val="0032375D"/>
    <w:rsid w:val="00324472"/>
    <w:rsid w:val="00325432"/>
    <w:rsid w:val="003364C5"/>
    <w:rsid w:val="00341A28"/>
    <w:rsid w:val="00342254"/>
    <w:rsid w:val="00347A46"/>
    <w:rsid w:val="00352103"/>
    <w:rsid w:val="0035413B"/>
    <w:rsid w:val="003654A9"/>
    <w:rsid w:val="00376E10"/>
    <w:rsid w:val="00377EFD"/>
    <w:rsid w:val="00381C85"/>
    <w:rsid w:val="00383E4F"/>
    <w:rsid w:val="003849E7"/>
    <w:rsid w:val="00385184"/>
    <w:rsid w:val="003865F4"/>
    <w:rsid w:val="00387267"/>
    <w:rsid w:val="00390111"/>
    <w:rsid w:val="00390DBF"/>
    <w:rsid w:val="003A15AD"/>
    <w:rsid w:val="003A78DD"/>
    <w:rsid w:val="003B2B29"/>
    <w:rsid w:val="003B2F85"/>
    <w:rsid w:val="003B40D8"/>
    <w:rsid w:val="003B5935"/>
    <w:rsid w:val="003F10FD"/>
    <w:rsid w:val="003F68D7"/>
    <w:rsid w:val="004013D8"/>
    <w:rsid w:val="004016E4"/>
    <w:rsid w:val="00407652"/>
    <w:rsid w:val="00414518"/>
    <w:rsid w:val="00416027"/>
    <w:rsid w:val="004163F0"/>
    <w:rsid w:val="004229E5"/>
    <w:rsid w:val="00431CDD"/>
    <w:rsid w:val="00435F0A"/>
    <w:rsid w:val="00437613"/>
    <w:rsid w:val="00437B4E"/>
    <w:rsid w:val="00443D12"/>
    <w:rsid w:val="00443EDB"/>
    <w:rsid w:val="00451980"/>
    <w:rsid w:val="00456E7C"/>
    <w:rsid w:val="00456F63"/>
    <w:rsid w:val="00456FA6"/>
    <w:rsid w:val="00467406"/>
    <w:rsid w:val="004749DB"/>
    <w:rsid w:val="00477D51"/>
    <w:rsid w:val="00497635"/>
    <w:rsid w:val="004A37CA"/>
    <w:rsid w:val="004A5DFB"/>
    <w:rsid w:val="004B4AAF"/>
    <w:rsid w:val="004B6703"/>
    <w:rsid w:val="004B700C"/>
    <w:rsid w:val="004C1084"/>
    <w:rsid w:val="004C2288"/>
    <w:rsid w:val="004C2E55"/>
    <w:rsid w:val="004C373A"/>
    <w:rsid w:val="004C374F"/>
    <w:rsid w:val="004C615C"/>
    <w:rsid w:val="004D5787"/>
    <w:rsid w:val="004E5951"/>
    <w:rsid w:val="004E6495"/>
    <w:rsid w:val="004E740D"/>
    <w:rsid w:val="004F4C00"/>
    <w:rsid w:val="00500480"/>
    <w:rsid w:val="005041BC"/>
    <w:rsid w:val="00504B44"/>
    <w:rsid w:val="00506984"/>
    <w:rsid w:val="0050724F"/>
    <w:rsid w:val="00514ADA"/>
    <w:rsid w:val="00516CCF"/>
    <w:rsid w:val="005234E9"/>
    <w:rsid w:val="005237B3"/>
    <w:rsid w:val="00523EC3"/>
    <w:rsid w:val="00524E14"/>
    <w:rsid w:val="0052671B"/>
    <w:rsid w:val="00532739"/>
    <w:rsid w:val="00532AC1"/>
    <w:rsid w:val="005372BA"/>
    <w:rsid w:val="0053747D"/>
    <w:rsid w:val="00541EAE"/>
    <w:rsid w:val="00545CE4"/>
    <w:rsid w:val="00545EE9"/>
    <w:rsid w:val="00551683"/>
    <w:rsid w:val="005527D9"/>
    <w:rsid w:val="00555464"/>
    <w:rsid w:val="005561DE"/>
    <w:rsid w:val="00560755"/>
    <w:rsid w:val="00567575"/>
    <w:rsid w:val="00573D45"/>
    <w:rsid w:val="00574A78"/>
    <w:rsid w:val="005751FF"/>
    <w:rsid w:val="00576611"/>
    <w:rsid w:val="00580FFA"/>
    <w:rsid w:val="00583FE9"/>
    <w:rsid w:val="005909A6"/>
    <w:rsid w:val="0059674C"/>
    <w:rsid w:val="00597270"/>
    <w:rsid w:val="005975AE"/>
    <w:rsid w:val="005A1D5F"/>
    <w:rsid w:val="005A27C9"/>
    <w:rsid w:val="005A64CA"/>
    <w:rsid w:val="005A7595"/>
    <w:rsid w:val="005B1875"/>
    <w:rsid w:val="005B26F4"/>
    <w:rsid w:val="005B34D5"/>
    <w:rsid w:val="005C335C"/>
    <w:rsid w:val="005C404A"/>
    <w:rsid w:val="005C4521"/>
    <w:rsid w:val="005C4EC4"/>
    <w:rsid w:val="005D69D2"/>
    <w:rsid w:val="005D729B"/>
    <w:rsid w:val="005E4672"/>
    <w:rsid w:val="005E4EDC"/>
    <w:rsid w:val="005E7DDC"/>
    <w:rsid w:val="005F1237"/>
    <w:rsid w:val="006070AA"/>
    <w:rsid w:val="00611434"/>
    <w:rsid w:val="00611B86"/>
    <w:rsid w:val="006220B4"/>
    <w:rsid w:val="00622103"/>
    <w:rsid w:val="006229F8"/>
    <w:rsid w:val="006232FB"/>
    <w:rsid w:val="006234F6"/>
    <w:rsid w:val="00623BD7"/>
    <w:rsid w:val="006242E6"/>
    <w:rsid w:val="00624CDF"/>
    <w:rsid w:val="00626781"/>
    <w:rsid w:val="006304FC"/>
    <w:rsid w:val="0063070E"/>
    <w:rsid w:val="006309CD"/>
    <w:rsid w:val="006344CC"/>
    <w:rsid w:val="0064658D"/>
    <w:rsid w:val="00652A0B"/>
    <w:rsid w:val="00654FDC"/>
    <w:rsid w:val="0065518F"/>
    <w:rsid w:val="006654A2"/>
    <w:rsid w:val="00666E0D"/>
    <w:rsid w:val="006672A0"/>
    <w:rsid w:val="00675475"/>
    <w:rsid w:val="00675841"/>
    <w:rsid w:val="0068462E"/>
    <w:rsid w:val="00685A1F"/>
    <w:rsid w:val="00690C65"/>
    <w:rsid w:val="0069138D"/>
    <w:rsid w:val="00691A6C"/>
    <w:rsid w:val="00695F62"/>
    <w:rsid w:val="006A144E"/>
    <w:rsid w:val="006A390B"/>
    <w:rsid w:val="006A507E"/>
    <w:rsid w:val="006A5577"/>
    <w:rsid w:val="006A5621"/>
    <w:rsid w:val="006A6642"/>
    <w:rsid w:val="006A6C0B"/>
    <w:rsid w:val="006B0142"/>
    <w:rsid w:val="006B0E3F"/>
    <w:rsid w:val="006B2C75"/>
    <w:rsid w:val="006B668F"/>
    <w:rsid w:val="006C6EC9"/>
    <w:rsid w:val="006C759A"/>
    <w:rsid w:val="006D1BDB"/>
    <w:rsid w:val="006D4AD2"/>
    <w:rsid w:val="006E013D"/>
    <w:rsid w:val="006E14A9"/>
    <w:rsid w:val="006E442F"/>
    <w:rsid w:val="006E5DA3"/>
    <w:rsid w:val="006F4D3B"/>
    <w:rsid w:val="006F6175"/>
    <w:rsid w:val="006F6D87"/>
    <w:rsid w:val="007110D5"/>
    <w:rsid w:val="00711720"/>
    <w:rsid w:val="00715BDF"/>
    <w:rsid w:val="00723065"/>
    <w:rsid w:val="00724AEF"/>
    <w:rsid w:val="00732696"/>
    <w:rsid w:val="00733A88"/>
    <w:rsid w:val="00746AF0"/>
    <w:rsid w:val="007607D1"/>
    <w:rsid w:val="00761DCD"/>
    <w:rsid w:val="00762D2F"/>
    <w:rsid w:val="00763A80"/>
    <w:rsid w:val="0076575D"/>
    <w:rsid w:val="007662FB"/>
    <w:rsid w:val="00767A3C"/>
    <w:rsid w:val="00774A22"/>
    <w:rsid w:val="00775C12"/>
    <w:rsid w:val="0078118D"/>
    <w:rsid w:val="00785AAA"/>
    <w:rsid w:val="00794358"/>
    <w:rsid w:val="0079514E"/>
    <w:rsid w:val="00795DE7"/>
    <w:rsid w:val="007A20CE"/>
    <w:rsid w:val="007A3EDE"/>
    <w:rsid w:val="007A619A"/>
    <w:rsid w:val="007A6209"/>
    <w:rsid w:val="007A7F5A"/>
    <w:rsid w:val="007B1404"/>
    <w:rsid w:val="007B421C"/>
    <w:rsid w:val="007B452D"/>
    <w:rsid w:val="007C3A00"/>
    <w:rsid w:val="007C542E"/>
    <w:rsid w:val="007C7CF7"/>
    <w:rsid w:val="007D32E1"/>
    <w:rsid w:val="007D72DC"/>
    <w:rsid w:val="007E1440"/>
    <w:rsid w:val="007E19B0"/>
    <w:rsid w:val="007E2341"/>
    <w:rsid w:val="007E78BE"/>
    <w:rsid w:val="007E7EEC"/>
    <w:rsid w:val="007F0E84"/>
    <w:rsid w:val="007F2BA1"/>
    <w:rsid w:val="007F3C87"/>
    <w:rsid w:val="007F5374"/>
    <w:rsid w:val="00802F73"/>
    <w:rsid w:val="00803DD1"/>
    <w:rsid w:val="00805059"/>
    <w:rsid w:val="00810A74"/>
    <w:rsid w:val="00811D82"/>
    <w:rsid w:val="00814EDA"/>
    <w:rsid w:val="008176D5"/>
    <w:rsid w:val="00823089"/>
    <w:rsid w:val="0082639A"/>
    <w:rsid w:val="008337F6"/>
    <w:rsid w:val="00835117"/>
    <w:rsid w:val="00836A8C"/>
    <w:rsid w:val="00843F69"/>
    <w:rsid w:val="0084406E"/>
    <w:rsid w:val="00851709"/>
    <w:rsid w:val="00854E94"/>
    <w:rsid w:val="00860870"/>
    <w:rsid w:val="00862711"/>
    <w:rsid w:val="008722F1"/>
    <w:rsid w:val="00873D35"/>
    <w:rsid w:val="0088223E"/>
    <w:rsid w:val="00884586"/>
    <w:rsid w:val="0088506C"/>
    <w:rsid w:val="00891509"/>
    <w:rsid w:val="00897186"/>
    <w:rsid w:val="00897CA6"/>
    <w:rsid w:val="008A07F1"/>
    <w:rsid w:val="008A2A45"/>
    <w:rsid w:val="008A315B"/>
    <w:rsid w:val="008A7975"/>
    <w:rsid w:val="008B01EB"/>
    <w:rsid w:val="008B5CBA"/>
    <w:rsid w:val="008B6DC4"/>
    <w:rsid w:val="008C124D"/>
    <w:rsid w:val="008C7140"/>
    <w:rsid w:val="008D0A06"/>
    <w:rsid w:val="008D22A9"/>
    <w:rsid w:val="008D3938"/>
    <w:rsid w:val="008D4FC4"/>
    <w:rsid w:val="008D7B1B"/>
    <w:rsid w:val="008E0F61"/>
    <w:rsid w:val="008E5D17"/>
    <w:rsid w:val="008F6511"/>
    <w:rsid w:val="00902A2C"/>
    <w:rsid w:val="00905169"/>
    <w:rsid w:val="009053EA"/>
    <w:rsid w:val="00916F19"/>
    <w:rsid w:val="0092113D"/>
    <w:rsid w:val="00926BDC"/>
    <w:rsid w:val="0092774D"/>
    <w:rsid w:val="00932E43"/>
    <w:rsid w:val="00935A42"/>
    <w:rsid w:val="00935D80"/>
    <w:rsid w:val="009379DA"/>
    <w:rsid w:val="00945A44"/>
    <w:rsid w:val="00946AD4"/>
    <w:rsid w:val="00951E2E"/>
    <w:rsid w:val="00956FE5"/>
    <w:rsid w:val="00957983"/>
    <w:rsid w:val="00960087"/>
    <w:rsid w:val="009656D2"/>
    <w:rsid w:val="00966565"/>
    <w:rsid w:val="00981E28"/>
    <w:rsid w:val="009820EC"/>
    <w:rsid w:val="009822F9"/>
    <w:rsid w:val="009902C8"/>
    <w:rsid w:val="009A5F13"/>
    <w:rsid w:val="009B4EF6"/>
    <w:rsid w:val="009C3632"/>
    <w:rsid w:val="009C39F6"/>
    <w:rsid w:val="009C481F"/>
    <w:rsid w:val="009C7F77"/>
    <w:rsid w:val="009D3F34"/>
    <w:rsid w:val="009D5303"/>
    <w:rsid w:val="009D727C"/>
    <w:rsid w:val="009D7511"/>
    <w:rsid w:val="009E4CAE"/>
    <w:rsid w:val="009E5190"/>
    <w:rsid w:val="009E6285"/>
    <w:rsid w:val="009F01ED"/>
    <w:rsid w:val="009F2FB1"/>
    <w:rsid w:val="009F7B04"/>
    <w:rsid w:val="009F7E65"/>
    <w:rsid w:val="00A02734"/>
    <w:rsid w:val="00A035D0"/>
    <w:rsid w:val="00A04FE7"/>
    <w:rsid w:val="00A0787F"/>
    <w:rsid w:val="00A078CD"/>
    <w:rsid w:val="00A10068"/>
    <w:rsid w:val="00A12F59"/>
    <w:rsid w:val="00A14099"/>
    <w:rsid w:val="00A20176"/>
    <w:rsid w:val="00A240CC"/>
    <w:rsid w:val="00A2506D"/>
    <w:rsid w:val="00A25FD1"/>
    <w:rsid w:val="00A27E87"/>
    <w:rsid w:val="00A34608"/>
    <w:rsid w:val="00A34E0D"/>
    <w:rsid w:val="00A35206"/>
    <w:rsid w:val="00A428E5"/>
    <w:rsid w:val="00A44B6E"/>
    <w:rsid w:val="00A53EF8"/>
    <w:rsid w:val="00A62FDA"/>
    <w:rsid w:val="00A66AB7"/>
    <w:rsid w:val="00A7160C"/>
    <w:rsid w:val="00A7345B"/>
    <w:rsid w:val="00A770A7"/>
    <w:rsid w:val="00A80B72"/>
    <w:rsid w:val="00A82EF4"/>
    <w:rsid w:val="00A830A5"/>
    <w:rsid w:val="00A83A8F"/>
    <w:rsid w:val="00A83B1B"/>
    <w:rsid w:val="00A92A54"/>
    <w:rsid w:val="00A92BEF"/>
    <w:rsid w:val="00A9588A"/>
    <w:rsid w:val="00A975C1"/>
    <w:rsid w:val="00AA5116"/>
    <w:rsid w:val="00AB33DB"/>
    <w:rsid w:val="00AC79FB"/>
    <w:rsid w:val="00AD6A5C"/>
    <w:rsid w:val="00AE1D2F"/>
    <w:rsid w:val="00AE56E0"/>
    <w:rsid w:val="00AE64CB"/>
    <w:rsid w:val="00B00B21"/>
    <w:rsid w:val="00B013A7"/>
    <w:rsid w:val="00B065E3"/>
    <w:rsid w:val="00B07322"/>
    <w:rsid w:val="00B13290"/>
    <w:rsid w:val="00B13813"/>
    <w:rsid w:val="00B1564F"/>
    <w:rsid w:val="00B17DE7"/>
    <w:rsid w:val="00B2575A"/>
    <w:rsid w:val="00B25ACB"/>
    <w:rsid w:val="00B37B17"/>
    <w:rsid w:val="00B37C5C"/>
    <w:rsid w:val="00B437FA"/>
    <w:rsid w:val="00B46D37"/>
    <w:rsid w:val="00B539A4"/>
    <w:rsid w:val="00B543F2"/>
    <w:rsid w:val="00B547F3"/>
    <w:rsid w:val="00B615D2"/>
    <w:rsid w:val="00B624C6"/>
    <w:rsid w:val="00B62709"/>
    <w:rsid w:val="00B703B0"/>
    <w:rsid w:val="00B707FE"/>
    <w:rsid w:val="00B70E19"/>
    <w:rsid w:val="00B750C0"/>
    <w:rsid w:val="00B7761D"/>
    <w:rsid w:val="00B811F7"/>
    <w:rsid w:val="00B86A4F"/>
    <w:rsid w:val="00B93685"/>
    <w:rsid w:val="00B96266"/>
    <w:rsid w:val="00BA1AA0"/>
    <w:rsid w:val="00BA4FB1"/>
    <w:rsid w:val="00BB2292"/>
    <w:rsid w:val="00BB45AD"/>
    <w:rsid w:val="00BC11E7"/>
    <w:rsid w:val="00BC1D1C"/>
    <w:rsid w:val="00BC3A79"/>
    <w:rsid w:val="00BC3C72"/>
    <w:rsid w:val="00BC46E3"/>
    <w:rsid w:val="00BC50BC"/>
    <w:rsid w:val="00BC73BE"/>
    <w:rsid w:val="00BD16E8"/>
    <w:rsid w:val="00BD3FB9"/>
    <w:rsid w:val="00BD499F"/>
    <w:rsid w:val="00BD4F95"/>
    <w:rsid w:val="00BD63CE"/>
    <w:rsid w:val="00BE1775"/>
    <w:rsid w:val="00BE46E0"/>
    <w:rsid w:val="00BE7C19"/>
    <w:rsid w:val="00BF1C9B"/>
    <w:rsid w:val="00BF2F96"/>
    <w:rsid w:val="00BF4286"/>
    <w:rsid w:val="00BF60BC"/>
    <w:rsid w:val="00C00F53"/>
    <w:rsid w:val="00C03351"/>
    <w:rsid w:val="00C1088B"/>
    <w:rsid w:val="00C12689"/>
    <w:rsid w:val="00C14361"/>
    <w:rsid w:val="00C14408"/>
    <w:rsid w:val="00C1533F"/>
    <w:rsid w:val="00C16224"/>
    <w:rsid w:val="00C16FFC"/>
    <w:rsid w:val="00C2027D"/>
    <w:rsid w:val="00C20EE3"/>
    <w:rsid w:val="00C25120"/>
    <w:rsid w:val="00C26919"/>
    <w:rsid w:val="00C279C6"/>
    <w:rsid w:val="00C34462"/>
    <w:rsid w:val="00C37246"/>
    <w:rsid w:val="00C467A0"/>
    <w:rsid w:val="00C47ADE"/>
    <w:rsid w:val="00C512FE"/>
    <w:rsid w:val="00C51480"/>
    <w:rsid w:val="00C569B9"/>
    <w:rsid w:val="00C6285F"/>
    <w:rsid w:val="00C6339F"/>
    <w:rsid w:val="00C65BFC"/>
    <w:rsid w:val="00C66D9F"/>
    <w:rsid w:val="00C725D0"/>
    <w:rsid w:val="00C8074E"/>
    <w:rsid w:val="00C81ED3"/>
    <w:rsid w:val="00C834A6"/>
    <w:rsid w:val="00C84F1C"/>
    <w:rsid w:val="00C85B3D"/>
    <w:rsid w:val="00C86397"/>
    <w:rsid w:val="00C87BEC"/>
    <w:rsid w:val="00C953AB"/>
    <w:rsid w:val="00CA673D"/>
    <w:rsid w:val="00CA6BC8"/>
    <w:rsid w:val="00CC04B5"/>
    <w:rsid w:val="00CC26CF"/>
    <w:rsid w:val="00CC6C78"/>
    <w:rsid w:val="00CD3B32"/>
    <w:rsid w:val="00CD575F"/>
    <w:rsid w:val="00CD7334"/>
    <w:rsid w:val="00CE0205"/>
    <w:rsid w:val="00CE23C6"/>
    <w:rsid w:val="00CE6AF5"/>
    <w:rsid w:val="00CF277C"/>
    <w:rsid w:val="00CF470E"/>
    <w:rsid w:val="00D014D4"/>
    <w:rsid w:val="00D03324"/>
    <w:rsid w:val="00D075C5"/>
    <w:rsid w:val="00D11E36"/>
    <w:rsid w:val="00D245C6"/>
    <w:rsid w:val="00D30307"/>
    <w:rsid w:val="00D313B5"/>
    <w:rsid w:val="00D31D69"/>
    <w:rsid w:val="00D32201"/>
    <w:rsid w:val="00D33E17"/>
    <w:rsid w:val="00D35556"/>
    <w:rsid w:val="00D3626B"/>
    <w:rsid w:val="00D461A0"/>
    <w:rsid w:val="00D468F8"/>
    <w:rsid w:val="00D510C1"/>
    <w:rsid w:val="00D57843"/>
    <w:rsid w:val="00D7289B"/>
    <w:rsid w:val="00D821E4"/>
    <w:rsid w:val="00D928B6"/>
    <w:rsid w:val="00D94D52"/>
    <w:rsid w:val="00DA1A98"/>
    <w:rsid w:val="00DA4015"/>
    <w:rsid w:val="00DA6136"/>
    <w:rsid w:val="00DB5915"/>
    <w:rsid w:val="00DC6CA7"/>
    <w:rsid w:val="00DC78CF"/>
    <w:rsid w:val="00DD5175"/>
    <w:rsid w:val="00DD5696"/>
    <w:rsid w:val="00DD56E7"/>
    <w:rsid w:val="00DD5CF6"/>
    <w:rsid w:val="00DD6AC9"/>
    <w:rsid w:val="00DE439D"/>
    <w:rsid w:val="00DE6604"/>
    <w:rsid w:val="00DF42F8"/>
    <w:rsid w:val="00DF5D57"/>
    <w:rsid w:val="00E07BDB"/>
    <w:rsid w:val="00E1104E"/>
    <w:rsid w:val="00E14375"/>
    <w:rsid w:val="00E144D1"/>
    <w:rsid w:val="00E1505C"/>
    <w:rsid w:val="00E16CA5"/>
    <w:rsid w:val="00E17464"/>
    <w:rsid w:val="00E21F7D"/>
    <w:rsid w:val="00E241C1"/>
    <w:rsid w:val="00E2503B"/>
    <w:rsid w:val="00E25217"/>
    <w:rsid w:val="00E25D9F"/>
    <w:rsid w:val="00E333D3"/>
    <w:rsid w:val="00E35631"/>
    <w:rsid w:val="00E35822"/>
    <w:rsid w:val="00E404B4"/>
    <w:rsid w:val="00E41924"/>
    <w:rsid w:val="00E4600C"/>
    <w:rsid w:val="00E5046B"/>
    <w:rsid w:val="00E5218B"/>
    <w:rsid w:val="00E523FF"/>
    <w:rsid w:val="00E54A1E"/>
    <w:rsid w:val="00E60165"/>
    <w:rsid w:val="00E62950"/>
    <w:rsid w:val="00E70DE9"/>
    <w:rsid w:val="00E76549"/>
    <w:rsid w:val="00E80AA7"/>
    <w:rsid w:val="00E84123"/>
    <w:rsid w:val="00E84299"/>
    <w:rsid w:val="00E90CFF"/>
    <w:rsid w:val="00E93F16"/>
    <w:rsid w:val="00EA4257"/>
    <w:rsid w:val="00EA543D"/>
    <w:rsid w:val="00EB1498"/>
    <w:rsid w:val="00EB2274"/>
    <w:rsid w:val="00EB5FDC"/>
    <w:rsid w:val="00EC4E73"/>
    <w:rsid w:val="00ED600E"/>
    <w:rsid w:val="00ED67E5"/>
    <w:rsid w:val="00EE0CE8"/>
    <w:rsid w:val="00EE4726"/>
    <w:rsid w:val="00EE5C39"/>
    <w:rsid w:val="00EE6834"/>
    <w:rsid w:val="00EE7F28"/>
    <w:rsid w:val="00EF0EE7"/>
    <w:rsid w:val="00EF41C7"/>
    <w:rsid w:val="00EF425C"/>
    <w:rsid w:val="00EF4AFF"/>
    <w:rsid w:val="00F01C10"/>
    <w:rsid w:val="00F0230F"/>
    <w:rsid w:val="00F1149A"/>
    <w:rsid w:val="00F1401E"/>
    <w:rsid w:val="00F149D4"/>
    <w:rsid w:val="00F16C18"/>
    <w:rsid w:val="00F22265"/>
    <w:rsid w:val="00F30AC0"/>
    <w:rsid w:val="00F332AB"/>
    <w:rsid w:val="00F50EDB"/>
    <w:rsid w:val="00F515F1"/>
    <w:rsid w:val="00F54A22"/>
    <w:rsid w:val="00F645FC"/>
    <w:rsid w:val="00F73E66"/>
    <w:rsid w:val="00F7771A"/>
    <w:rsid w:val="00F80965"/>
    <w:rsid w:val="00F83C88"/>
    <w:rsid w:val="00F850B8"/>
    <w:rsid w:val="00F86B69"/>
    <w:rsid w:val="00F878E6"/>
    <w:rsid w:val="00F87A9D"/>
    <w:rsid w:val="00F951AD"/>
    <w:rsid w:val="00FA1471"/>
    <w:rsid w:val="00FA2441"/>
    <w:rsid w:val="00FA67FC"/>
    <w:rsid w:val="00FB1DE2"/>
    <w:rsid w:val="00FB4495"/>
    <w:rsid w:val="00FB58B6"/>
    <w:rsid w:val="00FC1F2B"/>
    <w:rsid w:val="00FC30F4"/>
    <w:rsid w:val="00FC48F3"/>
    <w:rsid w:val="00FC7A6F"/>
    <w:rsid w:val="00FD2E9D"/>
    <w:rsid w:val="00FD39D4"/>
    <w:rsid w:val="00FD5910"/>
    <w:rsid w:val="00FE33CF"/>
    <w:rsid w:val="00FE553E"/>
    <w:rsid w:val="00FE5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9FF2"/>
  <w15:chartTrackingRefBased/>
  <w15:docId w15:val="{1654CF7A-07EE-4C7D-90AB-0DC541E4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358"/>
    <w:rPr>
      <w:color w:val="0563C1" w:themeColor="hyperlink"/>
      <w:u w:val="single"/>
    </w:rPr>
  </w:style>
  <w:style w:type="character" w:styleId="UnresolvedMention">
    <w:name w:val="Unresolved Mention"/>
    <w:basedOn w:val="DefaultParagraphFont"/>
    <w:uiPriority w:val="99"/>
    <w:semiHidden/>
    <w:unhideWhenUsed/>
    <w:rsid w:val="00794358"/>
    <w:rPr>
      <w:color w:val="605E5C"/>
      <w:shd w:val="clear" w:color="auto" w:fill="E1DFDD"/>
    </w:rPr>
  </w:style>
  <w:style w:type="character" w:styleId="FollowedHyperlink">
    <w:name w:val="FollowedHyperlink"/>
    <w:basedOn w:val="DefaultParagraphFont"/>
    <w:uiPriority w:val="99"/>
    <w:semiHidden/>
    <w:unhideWhenUsed/>
    <w:rsid w:val="00E1104E"/>
    <w:rPr>
      <w:color w:val="954F72" w:themeColor="followedHyperlink"/>
      <w:u w:val="single"/>
    </w:rPr>
  </w:style>
  <w:style w:type="table" w:styleId="TableGrid">
    <w:name w:val="Table Grid"/>
    <w:basedOn w:val="TableNormal"/>
    <w:uiPriority w:val="39"/>
    <w:rsid w:val="00385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85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85184"/>
    <w:rPr>
      <w:rFonts w:ascii="Courier New" w:eastAsia="Times New Roman" w:hAnsi="Courier New" w:cs="Courier New"/>
      <w:sz w:val="20"/>
      <w:szCs w:val="20"/>
      <w:lang w:eastAsia="en-GB"/>
    </w:rPr>
  </w:style>
  <w:style w:type="character" w:customStyle="1" w:styleId="gnkrckgcgsb">
    <w:name w:val="gnkrckgcgsb"/>
    <w:basedOn w:val="DefaultParagraphFont"/>
    <w:rsid w:val="00385184"/>
  </w:style>
  <w:style w:type="character" w:styleId="CommentReference">
    <w:name w:val="annotation reference"/>
    <w:basedOn w:val="DefaultParagraphFont"/>
    <w:uiPriority w:val="99"/>
    <w:semiHidden/>
    <w:unhideWhenUsed/>
    <w:rsid w:val="00435F0A"/>
    <w:rPr>
      <w:sz w:val="16"/>
      <w:szCs w:val="16"/>
    </w:rPr>
  </w:style>
  <w:style w:type="paragraph" w:styleId="CommentText">
    <w:name w:val="annotation text"/>
    <w:basedOn w:val="Normal"/>
    <w:link w:val="CommentTextChar"/>
    <w:uiPriority w:val="99"/>
    <w:semiHidden/>
    <w:unhideWhenUsed/>
    <w:rsid w:val="00435F0A"/>
    <w:pPr>
      <w:spacing w:line="240" w:lineRule="auto"/>
    </w:pPr>
    <w:rPr>
      <w:sz w:val="20"/>
      <w:szCs w:val="20"/>
    </w:rPr>
  </w:style>
  <w:style w:type="character" w:customStyle="1" w:styleId="CommentTextChar">
    <w:name w:val="Comment Text Char"/>
    <w:basedOn w:val="DefaultParagraphFont"/>
    <w:link w:val="CommentText"/>
    <w:uiPriority w:val="99"/>
    <w:semiHidden/>
    <w:rsid w:val="00435F0A"/>
    <w:rPr>
      <w:sz w:val="20"/>
      <w:szCs w:val="20"/>
    </w:rPr>
  </w:style>
  <w:style w:type="paragraph" w:styleId="CommentSubject">
    <w:name w:val="annotation subject"/>
    <w:basedOn w:val="CommentText"/>
    <w:next w:val="CommentText"/>
    <w:link w:val="CommentSubjectChar"/>
    <w:uiPriority w:val="99"/>
    <w:semiHidden/>
    <w:unhideWhenUsed/>
    <w:rsid w:val="00435F0A"/>
    <w:rPr>
      <w:b/>
      <w:bCs/>
    </w:rPr>
  </w:style>
  <w:style w:type="character" w:customStyle="1" w:styleId="CommentSubjectChar">
    <w:name w:val="Comment Subject Char"/>
    <w:basedOn w:val="CommentTextChar"/>
    <w:link w:val="CommentSubject"/>
    <w:uiPriority w:val="99"/>
    <w:semiHidden/>
    <w:rsid w:val="00435F0A"/>
    <w:rPr>
      <w:b/>
      <w:bCs/>
      <w:sz w:val="20"/>
      <w:szCs w:val="20"/>
    </w:rPr>
  </w:style>
  <w:style w:type="paragraph" w:styleId="BalloonText">
    <w:name w:val="Balloon Text"/>
    <w:basedOn w:val="Normal"/>
    <w:link w:val="BalloonTextChar"/>
    <w:uiPriority w:val="99"/>
    <w:semiHidden/>
    <w:unhideWhenUsed/>
    <w:rsid w:val="00435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F0A"/>
    <w:rPr>
      <w:rFonts w:ascii="Segoe UI" w:hAnsi="Segoe UI" w:cs="Segoe UI"/>
      <w:sz w:val="18"/>
      <w:szCs w:val="18"/>
    </w:rPr>
  </w:style>
  <w:style w:type="character" w:styleId="PlaceholderText">
    <w:name w:val="Placeholder Text"/>
    <w:basedOn w:val="DefaultParagraphFont"/>
    <w:uiPriority w:val="99"/>
    <w:semiHidden/>
    <w:rsid w:val="00A078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896206">
      <w:bodyDiv w:val="1"/>
      <w:marLeft w:val="0"/>
      <w:marRight w:val="0"/>
      <w:marTop w:val="0"/>
      <w:marBottom w:val="0"/>
      <w:divBdr>
        <w:top w:val="none" w:sz="0" w:space="0" w:color="auto"/>
        <w:left w:val="none" w:sz="0" w:space="0" w:color="auto"/>
        <w:bottom w:val="none" w:sz="0" w:space="0" w:color="auto"/>
        <w:right w:val="none" w:sz="0" w:space="0" w:color="auto"/>
      </w:divBdr>
    </w:div>
    <w:div w:id="785084219">
      <w:bodyDiv w:val="1"/>
      <w:marLeft w:val="0"/>
      <w:marRight w:val="0"/>
      <w:marTop w:val="0"/>
      <w:marBottom w:val="0"/>
      <w:divBdr>
        <w:top w:val="none" w:sz="0" w:space="0" w:color="auto"/>
        <w:left w:val="none" w:sz="0" w:space="0" w:color="auto"/>
        <w:bottom w:val="none" w:sz="0" w:space="0" w:color="auto"/>
        <w:right w:val="none" w:sz="0" w:space="0" w:color="auto"/>
      </w:divBdr>
    </w:div>
    <w:div w:id="1115104272">
      <w:bodyDiv w:val="1"/>
      <w:marLeft w:val="0"/>
      <w:marRight w:val="0"/>
      <w:marTop w:val="0"/>
      <w:marBottom w:val="0"/>
      <w:divBdr>
        <w:top w:val="none" w:sz="0" w:space="0" w:color="auto"/>
        <w:left w:val="none" w:sz="0" w:space="0" w:color="auto"/>
        <w:bottom w:val="none" w:sz="0" w:space="0" w:color="auto"/>
        <w:right w:val="none" w:sz="0" w:space="0" w:color="auto"/>
      </w:divBdr>
    </w:div>
    <w:div w:id="111536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35721-7C8C-4811-9F86-81C67A16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21</Pages>
  <Words>15494</Words>
  <Characters>88322</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402</cp:revision>
  <dcterms:created xsi:type="dcterms:W3CDTF">2020-06-09T18:20:00Z</dcterms:created>
  <dcterms:modified xsi:type="dcterms:W3CDTF">2020-08-08T15:12:00Z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http://www.zotero.org/styles/nature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 6th edition</vt:lpwstr>
  </property>
  <property fmtid="{D5CDD505-2E9C-101B-9397-08002B2CF9AE}" pid="7" name="Mendeley Recent Style Id 1_1">
    <vt:lpwstr>http://csl.mendeley.com/styles/16057573/harvard-the-university-of-wa-3</vt:lpwstr>
  </property>
  <property fmtid="{D5CDD505-2E9C-101B-9397-08002B2CF9AE}" pid="8" name="Mendeley Recent Style Name 1_1">
    <vt:lpwstr>Harvard - The University of Western Australia - Ray White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(deprecated)</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http://www.zotero.org/styles/sage-harvard</vt:lpwstr>
  </property>
  <property fmtid="{D5CDD505-2E9C-101B-9397-08002B2CF9AE}" pid="18" name="Mendeley Recent Style Name 6_1">
    <vt:lpwstr>SAGE - Harvard</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http://csl.mendeley.com/styles/497204981/vancouver</vt:lpwstr>
  </property>
  <property fmtid="{D5CDD505-2E9C-101B-9397-08002B2CF9AE}" pid="22" name="Mendeley Recent Style Name 8_1">
    <vt:lpwstr>Vancouver - Mohammad Hasan</vt:lpwstr>
  </property>
  <property fmtid="{D5CDD505-2E9C-101B-9397-08002B2CF9AE}" pid="23" name="Mendeley Recent Style Id 9_1">
    <vt:lpwstr>http://www.zotero.org/styles/who-europe-harvard</vt:lpwstr>
  </property>
  <property fmtid="{D5CDD505-2E9C-101B-9397-08002B2CF9AE}" pid="24" name="Mendeley Recent Style Name 9_1">
    <vt:lpwstr>WHO Regional Office for Europe - Harvard</vt:lpwstr>
  </property>
</Properties>
</file>