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2F13" w14:textId="2B44AFAF" w:rsidR="00495BEA" w:rsidRPr="00EA4394" w:rsidRDefault="00EA4FCD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394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4A4045E" w14:textId="3B9278D7" w:rsidR="00EA4FCD" w:rsidRPr="00FA009D" w:rsidRDefault="00EA4FCD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FA009D">
        <w:rPr>
          <w:rFonts w:ascii="Times New Roman" w:hAnsi="Times New Roman" w:cs="Times New Roman"/>
          <w:sz w:val="24"/>
          <w:szCs w:val="24"/>
        </w:rPr>
        <w:t>6</w:t>
      </w:r>
      <w:r w:rsidR="00EA4394">
        <w:rPr>
          <w:rFonts w:ascii="Times New Roman" w:hAnsi="Times New Roman" w:cs="Times New Roman"/>
          <w:sz w:val="24"/>
          <w:szCs w:val="24"/>
        </w:rPr>
        <w:t>,166,946</w:t>
      </w:r>
      <w:r w:rsidR="00FA009D">
        <w:rPr>
          <w:rFonts w:ascii="Times New Roman" w:hAnsi="Times New Roman" w:cs="Times New Roman"/>
          <w:sz w:val="24"/>
          <w:szCs w:val="24"/>
        </w:rPr>
        <w:t xml:space="preserve"> million</w:t>
      </w:r>
      <w:r w:rsidR="00CA178D" w:rsidRPr="00FA009D">
        <w:rPr>
          <w:rFonts w:ascii="Times New Roman" w:hAnsi="Times New Roman" w:cs="Times New Roman"/>
          <w:sz w:val="24"/>
          <w:szCs w:val="24"/>
        </w:rPr>
        <w:t xml:space="preserve"> </w:t>
      </w:r>
      <w:r w:rsidRPr="00FA009D">
        <w:rPr>
          <w:rFonts w:ascii="Times New Roman" w:hAnsi="Times New Roman" w:cs="Times New Roman"/>
          <w:sz w:val="24"/>
          <w:szCs w:val="24"/>
        </w:rPr>
        <w:t xml:space="preserve">cumulative confirmed cases and </w:t>
      </w:r>
      <w:r w:rsidR="00CA178D" w:rsidRPr="00FA009D">
        <w:rPr>
          <w:rFonts w:ascii="Times New Roman" w:hAnsi="Times New Roman" w:cs="Times New Roman"/>
          <w:sz w:val="24"/>
          <w:szCs w:val="24"/>
        </w:rPr>
        <w:t>3</w:t>
      </w:r>
      <w:r w:rsidR="00D85F4C" w:rsidRPr="00FA009D">
        <w:rPr>
          <w:rFonts w:ascii="Times New Roman" w:hAnsi="Times New Roman" w:cs="Times New Roman"/>
          <w:sz w:val="24"/>
          <w:szCs w:val="24"/>
        </w:rPr>
        <w:t>68</w:t>
      </w:r>
      <w:r w:rsidR="00CA178D" w:rsidRPr="00FA009D">
        <w:rPr>
          <w:rFonts w:ascii="Times New Roman" w:hAnsi="Times New Roman" w:cs="Times New Roman"/>
          <w:sz w:val="24"/>
          <w:szCs w:val="24"/>
        </w:rPr>
        <w:t>,</w:t>
      </w:r>
      <w:r w:rsidR="00D85F4C" w:rsidRPr="00FA009D">
        <w:rPr>
          <w:rFonts w:ascii="Times New Roman" w:hAnsi="Times New Roman" w:cs="Times New Roman"/>
          <w:sz w:val="24"/>
          <w:szCs w:val="24"/>
        </w:rPr>
        <w:t>944</w:t>
      </w:r>
      <w:r w:rsidR="00CA178D" w:rsidRPr="00FA009D">
        <w:rPr>
          <w:rFonts w:ascii="Times New Roman" w:hAnsi="Times New Roman" w:cs="Times New Roman"/>
          <w:sz w:val="24"/>
          <w:szCs w:val="24"/>
        </w:rPr>
        <w:t xml:space="preserve"> </w:t>
      </w:r>
      <w:r w:rsidRPr="00FA009D">
        <w:rPr>
          <w:rFonts w:ascii="Times New Roman" w:hAnsi="Times New Roman" w:cs="Times New Roman"/>
          <w:sz w:val="24"/>
          <w:szCs w:val="24"/>
        </w:rPr>
        <w:t>deaths had been documented globally as of M</w:t>
      </w:r>
      <w:r w:rsidR="00AD27D5" w:rsidRPr="00FA009D">
        <w:rPr>
          <w:rFonts w:ascii="Times New Roman" w:hAnsi="Times New Roman" w:cs="Times New Roman"/>
          <w:sz w:val="24"/>
          <w:szCs w:val="24"/>
        </w:rPr>
        <w:t>ay</w:t>
      </w:r>
      <w:r w:rsidRPr="00FA009D">
        <w:rPr>
          <w:rFonts w:ascii="Times New Roman" w:hAnsi="Times New Roman" w:cs="Times New Roman"/>
          <w:sz w:val="24"/>
          <w:szCs w:val="24"/>
        </w:rPr>
        <w:t xml:space="preserve"> </w:t>
      </w:r>
      <w:r w:rsidR="00AD27D5" w:rsidRPr="00FA009D">
        <w:rPr>
          <w:rFonts w:ascii="Times New Roman" w:hAnsi="Times New Roman" w:cs="Times New Roman"/>
          <w:sz w:val="24"/>
          <w:szCs w:val="24"/>
        </w:rPr>
        <w:t>31</w:t>
      </w:r>
      <w:r w:rsidRPr="00FA009D">
        <w:rPr>
          <w:rFonts w:ascii="Times New Roman" w:hAnsi="Times New Roman" w:cs="Times New Roman"/>
          <w:sz w:val="24"/>
          <w:szCs w:val="24"/>
        </w:rPr>
        <w:t xml:space="preserve">, 2020. </w:t>
      </w:r>
      <w:r w:rsidR="00AD27D5" w:rsidRPr="00FA009D">
        <w:rPr>
          <w:rFonts w:ascii="Times New Roman" w:hAnsi="Times New Roman" w:cs="Times New Roman"/>
          <w:sz w:val="24"/>
          <w:szCs w:val="24"/>
        </w:rPr>
        <w:t>United States</w:t>
      </w:r>
      <w:r w:rsidRPr="00FA009D">
        <w:rPr>
          <w:rFonts w:ascii="Times New Roman" w:hAnsi="Times New Roman" w:cs="Times New Roman"/>
          <w:sz w:val="24"/>
          <w:szCs w:val="24"/>
        </w:rPr>
        <w:t xml:space="preserve">, </w:t>
      </w:r>
      <w:r w:rsidR="00AD27D5" w:rsidRPr="00FA009D">
        <w:rPr>
          <w:rFonts w:ascii="Times New Roman" w:hAnsi="Times New Roman" w:cs="Times New Roman"/>
          <w:sz w:val="24"/>
          <w:szCs w:val="24"/>
        </w:rPr>
        <w:t>Brazil</w:t>
      </w:r>
      <w:r w:rsidRPr="00FA009D">
        <w:rPr>
          <w:rFonts w:ascii="Times New Roman" w:hAnsi="Times New Roman" w:cs="Times New Roman"/>
          <w:sz w:val="24"/>
          <w:szCs w:val="24"/>
        </w:rPr>
        <w:t xml:space="preserve"> and </w:t>
      </w:r>
      <w:r w:rsidR="00AD27D5" w:rsidRPr="00FA009D">
        <w:rPr>
          <w:rFonts w:ascii="Times New Roman" w:hAnsi="Times New Roman" w:cs="Times New Roman"/>
          <w:sz w:val="24"/>
          <w:szCs w:val="24"/>
        </w:rPr>
        <w:t>Russia</w:t>
      </w:r>
      <w:r w:rsidRPr="00FA009D">
        <w:rPr>
          <w:rFonts w:ascii="Times New Roman" w:hAnsi="Times New Roman" w:cs="Times New Roman"/>
          <w:sz w:val="24"/>
          <w:szCs w:val="24"/>
        </w:rPr>
        <w:t xml:space="preserve"> were the three countries with the most cases of COVID-19. Moreover, </w:t>
      </w:r>
      <w:r w:rsidR="006130BF" w:rsidRPr="00FA009D">
        <w:rPr>
          <w:rFonts w:ascii="Times New Roman" w:hAnsi="Times New Roman" w:cs="Times New Roman"/>
          <w:sz w:val="24"/>
          <w:szCs w:val="24"/>
        </w:rPr>
        <w:t>United States</w:t>
      </w:r>
      <w:r w:rsidRPr="00FA009D">
        <w:rPr>
          <w:rFonts w:ascii="Times New Roman" w:hAnsi="Times New Roman" w:cs="Times New Roman"/>
          <w:sz w:val="24"/>
          <w:szCs w:val="24"/>
        </w:rPr>
        <w:t xml:space="preserve">, </w:t>
      </w:r>
      <w:r w:rsidR="006130BF" w:rsidRPr="00FA009D">
        <w:rPr>
          <w:rFonts w:ascii="Times New Roman" w:hAnsi="Times New Roman" w:cs="Times New Roman"/>
          <w:sz w:val="24"/>
          <w:szCs w:val="24"/>
        </w:rPr>
        <w:t>United Kingdom</w:t>
      </w:r>
      <w:r w:rsidRPr="00FA009D">
        <w:rPr>
          <w:rFonts w:ascii="Times New Roman" w:hAnsi="Times New Roman" w:cs="Times New Roman"/>
          <w:sz w:val="24"/>
          <w:szCs w:val="24"/>
        </w:rPr>
        <w:t xml:space="preserve"> and I</w:t>
      </w:r>
      <w:r w:rsidR="006130BF" w:rsidRPr="00FA009D">
        <w:rPr>
          <w:rFonts w:ascii="Times New Roman" w:hAnsi="Times New Roman" w:cs="Times New Roman"/>
          <w:sz w:val="24"/>
          <w:szCs w:val="24"/>
        </w:rPr>
        <w:t>taly</w:t>
      </w:r>
      <w:r w:rsidRPr="00FA009D">
        <w:rPr>
          <w:rFonts w:ascii="Times New Roman" w:hAnsi="Times New Roman" w:cs="Times New Roman"/>
          <w:sz w:val="24"/>
          <w:szCs w:val="24"/>
        </w:rPr>
        <w:t xml:space="preserve"> had the most deaths of COVID-1</w:t>
      </w:r>
      <w:r w:rsidR="00EF0382" w:rsidRPr="00FA009D">
        <w:rPr>
          <w:rFonts w:ascii="Times New Roman" w:hAnsi="Times New Roman" w:cs="Times New Roman"/>
          <w:sz w:val="24"/>
          <w:szCs w:val="24"/>
        </w:rPr>
        <w:t>9.</w:t>
      </w:r>
      <w:r w:rsidR="00C008E8" w:rsidRPr="00FA009D">
        <w:rPr>
          <w:rFonts w:ascii="Times New Roman" w:hAnsi="Times New Roman" w:cs="Times New Roman"/>
          <w:sz w:val="24"/>
          <w:szCs w:val="24"/>
        </w:rPr>
        <w:t xml:space="preserve"> Distribution of worldwide total deaths (per million) of COVID-19 are presented in Fig. 1.</w:t>
      </w:r>
      <w:r w:rsidR="00DE5AD7">
        <w:rPr>
          <w:rFonts w:ascii="Times New Roman" w:hAnsi="Times New Roman" w:cs="Times New Roman"/>
          <w:sz w:val="24"/>
          <w:szCs w:val="24"/>
        </w:rPr>
        <w:t xml:space="preserve"> </w:t>
      </w:r>
      <w:r w:rsidR="00DE5AD7" w:rsidRPr="00FA009D">
        <w:rPr>
          <w:rFonts w:ascii="Times New Roman" w:hAnsi="Times New Roman" w:cs="Times New Roman"/>
          <w:sz w:val="24"/>
          <w:szCs w:val="24"/>
        </w:rPr>
        <w:t xml:space="preserve">Distribution of worldwide </w:t>
      </w:r>
      <w:r w:rsidR="00DE5AD7">
        <w:rPr>
          <w:rFonts w:ascii="Times New Roman" w:hAnsi="Times New Roman" w:cs="Times New Roman"/>
          <w:sz w:val="24"/>
          <w:szCs w:val="24"/>
        </w:rPr>
        <w:t xml:space="preserve">daily </w:t>
      </w:r>
      <w:r w:rsidR="00DE5AD7" w:rsidRPr="00FA009D">
        <w:rPr>
          <w:rFonts w:ascii="Times New Roman" w:hAnsi="Times New Roman" w:cs="Times New Roman"/>
          <w:sz w:val="24"/>
          <w:szCs w:val="24"/>
        </w:rPr>
        <w:t>total deaths</w:t>
      </w:r>
      <w:r w:rsidR="00DE5AD7">
        <w:rPr>
          <w:rFonts w:ascii="Times New Roman" w:hAnsi="Times New Roman" w:cs="Times New Roman"/>
          <w:sz w:val="24"/>
          <w:szCs w:val="24"/>
        </w:rPr>
        <w:t xml:space="preserve"> and cases</w:t>
      </w:r>
      <w:r w:rsidR="00DE5AD7" w:rsidRPr="00FA009D">
        <w:rPr>
          <w:rFonts w:ascii="Times New Roman" w:hAnsi="Times New Roman" w:cs="Times New Roman"/>
          <w:sz w:val="24"/>
          <w:szCs w:val="24"/>
        </w:rPr>
        <w:t xml:space="preserve"> (per million) of COVID-19 </w:t>
      </w:r>
      <w:r w:rsidR="00DE5AD7">
        <w:rPr>
          <w:rFonts w:ascii="Times New Roman" w:hAnsi="Times New Roman" w:cs="Times New Roman"/>
          <w:sz w:val="24"/>
          <w:szCs w:val="24"/>
        </w:rPr>
        <w:t xml:space="preserve">from January 1, 2020 to May 31, 2020 </w:t>
      </w:r>
      <w:r w:rsidR="00DE5AD7" w:rsidRPr="00FA009D">
        <w:rPr>
          <w:rFonts w:ascii="Times New Roman" w:hAnsi="Times New Roman" w:cs="Times New Roman"/>
          <w:sz w:val="24"/>
          <w:szCs w:val="24"/>
        </w:rPr>
        <w:t xml:space="preserve">are presented in Fig. </w:t>
      </w:r>
      <w:r w:rsidR="00DE5AD7">
        <w:rPr>
          <w:rFonts w:ascii="Times New Roman" w:hAnsi="Times New Roman" w:cs="Times New Roman"/>
          <w:sz w:val="24"/>
          <w:szCs w:val="24"/>
        </w:rPr>
        <w:t>2</w:t>
      </w:r>
      <w:r w:rsidR="00DE5AD7" w:rsidRPr="00FA009D">
        <w:rPr>
          <w:rFonts w:ascii="Times New Roman" w:hAnsi="Times New Roman" w:cs="Times New Roman"/>
          <w:sz w:val="24"/>
          <w:szCs w:val="24"/>
        </w:rPr>
        <w:t>.</w:t>
      </w:r>
      <w:r w:rsidR="00DE5AD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A4FCD" w:rsidRPr="00FA009D" w14:paraId="28707E96" w14:textId="77777777" w:rsidTr="0001441F">
        <w:tc>
          <w:tcPr>
            <w:tcW w:w="9350" w:type="dxa"/>
          </w:tcPr>
          <w:p w14:paraId="187DAD5D" w14:textId="77777777" w:rsidR="00EA4FCD" w:rsidRPr="00FA009D" w:rsidRDefault="00EA4FCD" w:rsidP="00613D79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EAB731" wp14:editId="4A36746E">
                  <wp:extent cx="5419725" cy="31962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702" cy="3198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FCD" w:rsidRPr="00FA009D" w14:paraId="01676718" w14:textId="77777777" w:rsidTr="0001441F">
        <w:tc>
          <w:tcPr>
            <w:tcW w:w="9350" w:type="dxa"/>
          </w:tcPr>
          <w:p w14:paraId="7EB50400" w14:textId="77777777" w:rsidR="00EA4FCD" w:rsidRPr="00FA009D" w:rsidRDefault="00EA4FCD" w:rsidP="0001441F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Fig. 1. As of May 31</w:t>
            </w:r>
            <w:r w:rsidRPr="00FA009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st </w:t>
            </w:r>
            <w:r w:rsidRPr="00FA0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2020, distribution of total deaths (per million) of COVID-19 worldwide</w:t>
            </w:r>
          </w:p>
        </w:tc>
      </w:tr>
    </w:tbl>
    <w:p w14:paraId="356901FA" w14:textId="77777777" w:rsidR="00EA4FCD" w:rsidRPr="00FA009D" w:rsidRDefault="00EA4FCD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04"/>
        <w:gridCol w:w="4746"/>
      </w:tblGrid>
      <w:tr w:rsidR="00613D79" w:rsidRPr="00FA009D" w14:paraId="2075DFDD" w14:textId="348BBAB4" w:rsidTr="00613D79">
        <w:trPr>
          <w:jc w:val="center"/>
        </w:trPr>
        <w:tc>
          <w:tcPr>
            <w:tcW w:w="2462" w:type="pct"/>
          </w:tcPr>
          <w:p w14:paraId="71032380" w14:textId="045F0561" w:rsidR="00613D79" w:rsidRPr="00FA009D" w:rsidRDefault="00613D79" w:rsidP="003B3B2D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E0AF1" wp14:editId="315D823E">
                  <wp:extent cx="2714625" cy="2105025"/>
                  <wp:effectExtent l="0" t="0" r="9525" b="952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4157D21-9CC6-4897-B8BA-F1448A643F2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538" w:type="pct"/>
          </w:tcPr>
          <w:p w14:paraId="6F866DEB" w14:textId="1D384EAD" w:rsidR="00613D79" w:rsidRDefault="00613D79" w:rsidP="003B3B2D">
            <w:pPr>
              <w:tabs>
                <w:tab w:val="left" w:pos="120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2EF8CD" wp14:editId="780AB36B">
                  <wp:extent cx="2867025" cy="2105025"/>
                  <wp:effectExtent l="0" t="0" r="9525" b="952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F6E652-1E08-4A4B-B7E7-C0A30293A5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613D79" w:rsidRPr="00FA009D" w14:paraId="2A9113B0" w14:textId="1333CB1B" w:rsidTr="00613D79">
        <w:trPr>
          <w:jc w:val="center"/>
        </w:trPr>
        <w:tc>
          <w:tcPr>
            <w:tcW w:w="5000" w:type="pct"/>
            <w:gridSpan w:val="2"/>
          </w:tcPr>
          <w:p w14:paraId="450392AA" w14:textId="3B702967" w:rsidR="00613D79" w:rsidRPr="00613D79" w:rsidRDefault="00613D79" w:rsidP="00613D79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3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Fig. 2. Worldwide distribution of daily deaths</w:t>
            </w:r>
            <w:r w:rsidR="00DE5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cases</w:t>
            </w:r>
            <w:r w:rsidRPr="00613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COVID-19 in 2020</w:t>
            </w:r>
          </w:p>
        </w:tc>
      </w:tr>
    </w:tbl>
    <w:p w14:paraId="0F406601" w14:textId="7D32B0FC" w:rsidR="003B3B2D" w:rsidRDefault="003B3B2D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CAE6F" w14:textId="77777777" w:rsidR="00D344D2" w:rsidRPr="00FA009D" w:rsidRDefault="00D344D2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B8AD4" w14:textId="77777777" w:rsidR="00613D79" w:rsidRDefault="00613D79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8DE60" w14:textId="3B3CAED2" w:rsidR="00495BEA" w:rsidRPr="00FA009D" w:rsidRDefault="00495BEA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Table 1. Variance inflation factor (VIF) value to examine multicollinearity in the </w:t>
      </w:r>
      <w:r w:rsidR="002C0344" w:rsidRPr="00FA009D">
        <w:rPr>
          <w:rFonts w:ascii="Times New Roman" w:hAnsi="Times New Roman" w:cs="Times New Roman"/>
          <w:b/>
          <w:bCs/>
          <w:sz w:val="24"/>
          <w:szCs w:val="24"/>
        </w:rPr>
        <w:t>data set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5"/>
        <w:gridCol w:w="4585"/>
      </w:tblGrid>
      <w:tr w:rsidR="00495BEA" w:rsidRPr="00FA009D" w14:paraId="209F0465" w14:textId="77777777" w:rsidTr="00E628BD">
        <w:tc>
          <w:tcPr>
            <w:tcW w:w="2548" w:type="pct"/>
            <w:vAlign w:val="center"/>
          </w:tcPr>
          <w:p w14:paraId="4047CD96" w14:textId="77777777" w:rsidR="00495BEA" w:rsidRPr="00FA009D" w:rsidRDefault="00495BEA" w:rsidP="00BC0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A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Variables</w:t>
            </w:r>
          </w:p>
        </w:tc>
        <w:tc>
          <w:tcPr>
            <w:tcW w:w="2452" w:type="pct"/>
            <w:vAlign w:val="center"/>
          </w:tcPr>
          <w:p w14:paraId="1DA6BCA0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VIF</w:t>
            </w:r>
          </w:p>
        </w:tc>
      </w:tr>
      <w:tr w:rsidR="002C0344" w:rsidRPr="00FA009D" w14:paraId="73BE5D3D" w14:textId="77777777" w:rsidTr="00E628BD">
        <w:tc>
          <w:tcPr>
            <w:tcW w:w="2548" w:type="pct"/>
            <w:vAlign w:val="center"/>
          </w:tcPr>
          <w:p w14:paraId="1432354A" w14:textId="40C4DD2B" w:rsidR="002C0344" w:rsidRPr="00FA009D" w:rsidRDefault="00A41FC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Total deaths per million</w:t>
            </w:r>
          </w:p>
        </w:tc>
        <w:tc>
          <w:tcPr>
            <w:tcW w:w="2452" w:type="pct"/>
            <w:vAlign w:val="center"/>
          </w:tcPr>
          <w:p w14:paraId="65331520" w14:textId="6C8418A1" w:rsidR="002C0344" w:rsidRPr="00FA009D" w:rsidRDefault="00EF38E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495BEA" w:rsidRPr="00FA009D" w14:paraId="792388CE" w14:textId="77777777" w:rsidTr="00E628BD">
        <w:tc>
          <w:tcPr>
            <w:tcW w:w="2548" w:type="pct"/>
            <w:vAlign w:val="center"/>
          </w:tcPr>
          <w:p w14:paraId="0F7847FF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Total Cases per million</w:t>
            </w:r>
          </w:p>
        </w:tc>
        <w:tc>
          <w:tcPr>
            <w:tcW w:w="2452" w:type="pct"/>
            <w:vAlign w:val="center"/>
          </w:tcPr>
          <w:p w14:paraId="146EC90C" w14:textId="60EA6126" w:rsidR="00495BEA" w:rsidRPr="00FA009D" w:rsidRDefault="00EF38E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2.</w:t>
            </w:r>
            <w:r w:rsidR="00826176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495BEA" w:rsidRPr="00FA009D" w14:paraId="26D77E66" w14:textId="77777777" w:rsidTr="00E628BD">
        <w:tc>
          <w:tcPr>
            <w:tcW w:w="2548" w:type="pct"/>
            <w:vAlign w:val="center"/>
          </w:tcPr>
          <w:p w14:paraId="6344308F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Population Density (per square Kilometre)</w:t>
            </w:r>
          </w:p>
        </w:tc>
        <w:tc>
          <w:tcPr>
            <w:tcW w:w="2452" w:type="pct"/>
            <w:vAlign w:val="center"/>
          </w:tcPr>
          <w:p w14:paraId="4A07C32D" w14:textId="21DCD7D8" w:rsidR="00495BEA" w:rsidRPr="00FA009D" w:rsidRDefault="00A41FC8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</w:t>
            </w:r>
            <w:r w:rsidR="00826176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</w:p>
        </w:tc>
      </w:tr>
      <w:tr w:rsidR="00495BEA" w:rsidRPr="00FA009D" w14:paraId="695380B2" w14:textId="77777777" w:rsidTr="00E628BD">
        <w:tc>
          <w:tcPr>
            <w:tcW w:w="2548" w:type="pct"/>
            <w:vAlign w:val="center"/>
          </w:tcPr>
          <w:p w14:paraId="3418DBDB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Population ages 65 and above (% of total population)</w:t>
            </w:r>
          </w:p>
        </w:tc>
        <w:tc>
          <w:tcPr>
            <w:tcW w:w="2452" w:type="pct"/>
            <w:vAlign w:val="center"/>
          </w:tcPr>
          <w:p w14:paraId="3B2CEF75" w14:textId="787C21D6" w:rsidR="00A41FC8" w:rsidRPr="00FA009D" w:rsidRDefault="00A41FC8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4.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79</w:t>
            </w:r>
          </w:p>
          <w:p w14:paraId="38B7415E" w14:textId="45EB3438" w:rsidR="00495BEA" w:rsidRPr="00FA009D" w:rsidRDefault="00495BEA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5BEA" w:rsidRPr="00FA009D" w14:paraId="6070663E" w14:textId="77777777" w:rsidTr="00E628BD">
        <w:tc>
          <w:tcPr>
            <w:tcW w:w="2548" w:type="pct"/>
            <w:vAlign w:val="center"/>
          </w:tcPr>
          <w:p w14:paraId="33C209C6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452" w:type="pct"/>
            <w:vAlign w:val="center"/>
          </w:tcPr>
          <w:p w14:paraId="35FDB0B2" w14:textId="56CB8208" w:rsidR="00495BEA" w:rsidRPr="00FA009D" w:rsidRDefault="00A41FC8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3.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38</w:t>
            </w:r>
          </w:p>
        </w:tc>
      </w:tr>
      <w:tr w:rsidR="00495BEA" w:rsidRPr="00FA009D" w14:paraId="01975820" w14:textId="77777777" w:rsidTr="00E628BD">
        <w:tc>
          <w:tcPr>
            <w:tcW w:w="2548" w:type="pct"/>
            <w:vAlign w:val="center"/>
          </w:tcPr>
          <w:p w14:paraId="530F4099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Gross Domestic Product (per million)</w:t>
            </w:r>
          </w:p>
        </w:tc>
        <w:tc>
          <w:tcPr>
            <w:tcW w:w="2452" w:type="pct"/>
            <w:vAlign w:val="center"/>
          </w:tcPr>
          <w:p w14:paraId="0B2E12E3" w14:textId="3A6B7C3A" w:rsidR="00495BEA" w:rsidRPr="00FA009D" w:rsidRDefault="004010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E1E39"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A41FC8" w:rsidRPr="00FA009D" w14:paraId="4B7C9F77" w14:textId="77777777" w:rsidTr="00E628BD">
        <w:tc>
          <w:tcPr>
            <w:tcW w:w="2548" w:type="pct"/>
            <w:vAlign w:val="center"/>
          </w:tcPr>
          <w:p w14:paraId="43135D48" w14:textId="7B411A5D" w:rsidR="00A41FC8" w:rsidRPr="00FA009D" w:rsidRDefault="00A41FC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Human development Index</w:t>
            </w:r>
          </w:p>
        </w:tc>
        <w:tc>
          <w:tcPr>
            <w:tcW w:w="2452" w:type="pct"/>
            <w:vAlign w:val="center"/>
          </w:tcPr>
          <w:p w14:paraId="58EE5D42" w14:textId="3AFC96BE" w:rsidR="00A41FC8" w:rsidRPr="00FA009D" w:rsidRDefault="000D0C1A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5.63</w:t>
            </w:r>
          </w:p>
        </w:tc>
      </w:tr>
      <w:tr w:rsidR="00A41FC8" w:rsidRPr="00FA009D" w14:paraId="67BA94F4" w14:textId="77777777" w:rsidTr="00E628BD">
        <w:tc>
          <w:tcPr>
            <w:tcW w:w="2548" w:type="pct"/>
            <w:vAlign w:val="center"/>
          </w:tcPr>
          <w:p w14:paraId="1924180D" w14:textId="61AC93CB" w:rsidR="00A41FC8" w:rsidRPr="00FA009D" w:rsidRDefault="00A41FC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Social Progress index</w:t>
            </w:r>
          </w:p>
        </w:tc>
        <w:tc>
          <w:tcPr>
            <w:tcW w:w="2452" w:type="pct"/>
            <w:vAlign w:val="center"/>
          </w:tcPr>
          <w:p w14:paraId="18BB6266" w14:textId="3EA1C789" w:rsidR="00A41FC8" w:rsidRPr="00FA009D" w:rsidRDefault="000D0C1A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5.09</w:t>
            </w:r>
          </w:p>
        </w:tc>
      </w:tr>
      <w:tr w:rsidR="00A41FC8" w:rsidRPr="00FA009D" w14:paraId="29CF06E9" w14:textId="77777777" w:rsidTr="00E628BD">
        <w:tc>
          <w:tcPr>
            <w:tcW w:w="2548" w:type="pct"/>
            <w:vAlign w:val="center"/>
          </w:tcPr>
          <w:p w14:paraId="69CE9E7D" w14:textId="3360E0B3" w:rsidR="00A41FC8" w:rsidRPr="00FA009D" w:rsidRDefault="00A41FC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Social Mobility Index</w:t>
            </w:r>
          </w:p>
        </w:tc>
        <w:tc>
          <w:tcPr>
            <w:tcW w:w="2452" w:type="pct"/>
            <w:vAlign w:val="center"/>
          </w:tcPr>
          <w:p w14:paraId="36A317A6" w14:textId="440BEB89" w:rsidR="00A41FC8" w:rsidRPr="00FA009D" w:rsidRDefault="000D0C1A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9.56</w:t>
            </w:r>
          </w:p>
        </w:tc>
      </w:tr>
      <w:tr w:rsidR="00495BEA" w:rsidRPr="00FA009D" w14:paraId="7F8594D3" w14:textId="77777777" w:rsidTr="00E628BD">
        <w:tc>
          <w:tcPr>
            <w:tcW w:w="2548" w:type="pct"/>
            <w:vAlign w:val="center"/>
          </w:tcPr>
          <w:p w14:paraId="261C65F2" w14:textId="77777777" w:rsidR="00495BEA" w:rsidRPr="00FA009D" w:rsidRDefault="00495BEA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Worldwide Governance Indicators</w:t>
            </w:r>
          </w:p>
        </w:tc>
        <w:tc>
          <w:tcPr>
            <w:tcW w:w="2452" w:type="pct"/>
            <w:vAlign w:val="center"/>
          </w:tcPr>
          <w:p w14:paraId="2A7FAFBC" w14:textId="75B5B7CA" w:rsidR="00495BEA" w:rsidRPr="00FA009D" w:rsidRDefault="000D0C1A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9.</w:t>
            </w:r>
            <w:r w:rsidR="008E1E39" w:rsidRPr="00FA009D">
              <w:rPr>
                <w:rStyle w:val="gnkrckgcgs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91</w:t>
            </w:r>
          </w:p>
        </w:tc>
      </w:tr>
      <w:tr w:rsidR="00A41FC8" w:rsidRPr="00FA009D" w14:paraId="1191F015" w14:textId="77777777" w:rsidTr="00E628BD">
        <w:tc>
          <w:tcPr>
            <w:tcW w:w="2548" w:type="pct"/>
            <w:vAlign w:val="center"/>
          </w:tcPr>
          <w:p w14:paraId="3678146B" w14:textId="46A5FD17" w:rsidR="00A41FC8" w:rsidRPr="00FA009D" w:rsidRDefault="00A41FC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452" w:type="pct"/>
            <w:vAlign w:val="center"/>
          </w:tcPr>
          <w:p w14:paraId="37B40E36" w14:textId="7272447C" w:rsidR="00A41FC8" w:rsidRPr="00FA009D" w:rsidRDefault="004010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8E1E39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</w:tbl>
    <w:p w14:paraId="42AB5CD3" w14:textId="6117A9D1" w:rsidR="00495BEA" w:rsidRPr="00FA009D" w:rsidRDefault="00495BEA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** </w:t>
      </w:r>
      <w:r w:rsidR="007D6160" w:rsidRPr="00FA009D">
        <w:rPr>
          <w:rFonts w:ascii="Times New Roman" w:hAnsi="Times New Roman" w:cs="Times New Roman"/>
          <w:sz w:val="24"/>
          <w:szCs w:val="24"/>
        </w:rPr>
        <w:t>VIF:</w:t>
      </w:r>
      <w:r w:rsidR="00C313B5" w:rsidRPr="00FA009D">
        <w:rPr>
          <w:rFonts w:ascii="Times New Roman" w:hAnsi="Times New Roman" w:cs="Times New Roman"/>
          <w:sz w:val="24"/>
          <w:szCs w:val="24"/>
        </w:rPr>
        <w:t xml:space="preserve"> </w:t>
      </w:r>
      <w:r w:rsidR="00437A53" w:rsidRPr="00FA009D">
        <w:rPr>
          <w:rFonts w:ascii="Times New Roman" w:hAnsi="Times New Roman" w:cs="Times New Roman"/>
          <w:sz w:val="24"/>
          <w:szCs w:val="24"/>
        </w:rPr>
        <w:t>10</w:t>
      </w:r>
    </w:p>
    <w:p w14:paraId="7492859D" w14:textId="77777777" w:rsidR="006219F1" w:rsidRPr="00FA009D" w:rsidRDefault="006219F1" w:rsidP="00621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DAEAF" w14:textId="4958F3EC" w:rsidR="00E628BD" w:rsidRPr="00FA009D" w:rsidRDefault="00E628BD" w:rsidP="006219F1">
      <w:pPr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b/>
          <w:bCs/>
          <w:sz w:val="24"/>
          <w:szCs w:val="24"/>
        </w:rPr>
        <w:t>Table 2. Overdispersion Test of the Poisson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8BD" w:rsidRPr="00FA009D" w14:paraId="34C8CA42" w14:textId="77777777" w:rsidTr="00093E41">
        <w:tc>
          <w:tcPr>
            <w:tcW w:w="4675" w:type="dxa"/>
          </w:tcPr>
          <w:p w14:paraId="57B36C41" w14:textId="77777777" w:rsidR="00E628BD" w:rsidRPr="00FA009D" w:rsidRDefault="00E628BD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Dispersion ratio</w:t>
            </w:r>
          </w:p>
        </w:tc>
        <w:tc>
          <w:tcPr>
            <w:tcW w:w="4675" w:type="dxa"/>
          </w:tcPr>
          <w:p w14:paraId="194CDD0C" w14:textId="06B991EE" w:rsidR="00E628BD" w:rsidRPr="00FA009D" w:rsidRDefault="008310E7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96D26" w:rsidRPr="00FA00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6D26" w:rsidRPr="00FA00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28BD" w:rsidRPr="00FA009D" w14:paraId="0A0C4BA3" w14:textId="77777777" w:rsidTr="00093E41">
        <w:tc>
          <w:tcPr>
            <w:tcW w:w="4675" w:type="dxa"/>
          </w:tcPr>
          <w:p w14:paraId="160428F6" w14:textId="77777777" w:rsidR="00E628BD" w:rsidRPr="00FA009D" w:rsidRDefault="00E628B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Pearson's Chi-Squared</w:t>
            </w:r>
          </w:p>
        </w:tc>
        <w:tc>
          <w:tcPr>
            <w:tcW w:w="4675" w:type="dxa"/>
          </w:tcPr>
          <w:p w14:paraId="38A416D2" w14:textId="63C7CBB6" w:rsidR="00E628BD" w:rsidRPr="00FA009D" w:rsidRDefault="008310E7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207</w:t>
            </w:r>
            <w:r w:rsidR="00796D26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83</w:t>
            </w:r>
            <w:r w:rsidR="00C313B5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="00796D26"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30</w:t>
            </w:r>
          </w:p>
        </w:tc>
      </w:tr>
      <w:tr w:rsidR="00E628BD" w:rsidRPr="00FA009D" w14:paraId="7854C813" w14:textId="77777777" w:rsidTr="00093E41">
        <w:tc>
          <w:tcPr>
            <w:tcW w:w="4675" w:type="dxa"/>
          </w:tcPr>
          <w:p w14:paraId="14BE5B6C" w14:textId="77777777" w:rsidR="00E628BD" w:rsidRPr="00FA009D" w:rsidRDefault="00E628B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p-value</w:t>
            </w:r>
          </w:p>
        </w:tc>
        <w:tc>
          <w:tcPr>
            <w:tcW w:w="4675" w:type="dxa"/>
          </w:tcPr>
          <w:p w14:paraId="65C60258" w14:textId="77777777" w:rsidR="00E628BD" w:rsidRPr="00FA009D" w:rsidRDefault="00E628B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 0.001</w:t>
            </w:r>
          </w:p>
        </w:tc>
      </w:tr>
    </w:tbl>
    <w:p w14:paraId="678C867F" w14:textId="77777777" w:rsidR="00E628BD" w:rsidRPr="00FA009D" w:rsidRDefault="00E628BD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>**If the dispersion ratio is close to one, a Poisson model fits well to the data. Dispersion ratios larger than one indicate overdispersion, thus a negative binomial model or similar might fit better to the data. A p-value &lt; .05 indicates overdispersion</w:t>
      </w:r>
    </w:p>
    <w:p w14:paraId="7F01D9AE" w14:textId="77777777" w:rsidR="00495BEA" w:rsidRPr="00FA009D" w:rsidRDefault="00495BEA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BAE054" w14:textId="7C762E11" w:rsidR="00D03288" w:rsidRPr="00FA009D" w:rsidRDefault="00AC31B4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373D63" w:rsidRPr="00FA009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23A64" w:rsidRPr="00FA009D">
        <w:rPr>
          <w:rFonts w:ascii="Times New Roman" w:hAnsi="Times New Roman" w:cs="Times New Roman"/>
          <w:b/>
          <w:bCs/>
          <w:sz w:val="24"/>
          <w:szCs w:val="24"/>
        </w:rPr>
        <w:t>Variance inflation factor (VIF) value to examine multicollinearity in the final model</w:t>
      </w:r>
      <w:r w:rsidR="00E33D47"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 (NB)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5"/>
        <w:gridCol w:w="4585"/>
      </w:tblGrid>
      <w:tr w:rsidR="00D03288" w:rsidRPr="00FA009D" w14:paraId="56E4CF6D" w14:textId="77777777" w:rsidTr="00D03288">
        <w:tc>
          <w:tcPr>
            <w:tcW w:w="2548" w:type="pct"/>
          </w:tcPr>
          <w:p w14:paraId="1AE8B023" w14:textId="03635403" w:rsidR="00D03288" w:rsidRPr="00FA009D" w:rsidRDefault="00D03288" w:rsidP="00BC04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A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Variables</w:t>
            </w:r>
          </w:p>
        </w:tc>
        <w:tc>
          <w:tcPr>
            <w:tcW w:w="2452" w:type="pct"/>
          </w:tcPr>
          <w:p w14:paraId="6BB9EDCD" w14:textId="03CE651B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VIF</w:t>
            </w:r>
          </w:p>
        </w:tc>
      </w:tr>
      <w:tr w:rsidR="00D03288" w:rsidRPr="00FA009D" w14:paraId="45607FC9" w14:textId="77777777" w:rsidTr="00D03288">
        <w:tc>
          <w:tcPr>
            <w:tcW w:w="2548" w:type="pct"/>
          </w:tcPr>
          <w:p w14:paraId="22F66F7A" w14:textId="71616359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Total Cases per million</w:t>
            </w:r>
          </w:p>
        </w:tc>
        <w:tc>
          <w:tcPr>
            <w:tcW w:w="2452" w:type="pct"/>
          </w:tcPr>
          <w:p w14:paraId="631F5DDB" w14:textId="3369551B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.70</w:t>
            </w:r>
          </w:p>
        </w:tc>
      </w:tr>
      <w:tr w:rsidR="00D03288" w:rsidRPr="00FA009D" w14:paraId="26215DB0" w14:textId="77777777" w:rsidTr="00D03288">
        <w:tc>
          <w:tcPr>
            <w:tcW w:w="2548" w:type="pct"/>
          </w:tcPr>
          <w:p w14:paraId="5228400F" w14:textId="58E4ED25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Population Density (per square Kilometre)</w:t>
            </w:r>
          </w:p>
        </w:tc>
        <w:tc>
          <w:tcPr>
            <w:tcW w:w="2452" w:type="pct"/>
          </w:tcPr>
          <w:p w14:paraId="6D2E5936" w14:textId="48B17F25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</w:tr>
      <w:tr w:rsidR="00D03288" w:rsidRPr="00FA009D" w14:paraId="0EFD8CA3" w14:textId="77777777" w:rsidTr="00D03288">
        <w:tc>
          <w:tcPr>
            <w:tcW w:w="2548" w:type="pct"/>
          </w:tcPr>
          <w:p w14:paraId="6913E028" w14:textId="79BC94A5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Population ages 65 and above (% of total population)</w:t>
            </w:r>
          </w:p>
        </w:tc>
        <w:tc>
          <w:tcPr>
            <w:tcW w:w="2452" w:type="pct"/>
          </w:tcPr>
          <w:p w14:paraId="3A8B59B7" w14:textId="5707E2E7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D03288" w:rsidRPr="00FA009D" w14:paraId="7A32984B" w14:textId="77777777" w:rsidTr="00D03288">
        <w:tc>
          <w:tcPr>
            <w:tcW w:w="2548" w:type="pct"/>
          </w:tcPr>
          <w:p w14:paraId="2AABD448" w14:textId="64166399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452" w:type="pct"/>
          </w:tcPr>
          <w:p w14:paraId="1CFB9291" w14:textId="5B40453F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.78</w:t>
            </w:r>
          </w:p>
        </w:tc>
      </w:tr>
      <w:tr w:rsidR="00D03288" w:rsidRPr="00FA009D" w14:paraId="63634154" w14:textId="77777777" w:rsidTr="00D03288">
        <w:tc>
          <w:tcPr>
            <w:tcW w:w="2548" w:type="pct"/>
          </w:tcPr>
          <w:p w14:paraId="34CEA4BA" w14:textId="198CC1B5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Gross Domestic Product (per million)</w:t>
            </w:r>
          </w:p>
        </w:tc>
        <w:tc>
          <w:tcPr>
            <w:tcW w:w="2452" w:type="pct"/>
          </w:tcPr>
          <w:p w14:paraId="76923E0C" w14:textId="7949CE18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.58</w:t>
            </w:r>
          </w:p>
        </w:tc>
      </w:tr>
      <w:tr w:rsidR="00D03288" w:rsidRPr="00FA009D" w14:paraId="7991DF34" w14:textId="77777777" w:rsidTr="00D03288">
        <w:tc>
          <w:tcPr>
            <w:tcW w:w="2548" w:type="pct"/>
          </w:tcPr>
          <w:p w14:paraId="2404B3AB" w14:textId="6C9B6BB1" w:rsidR="00D03288" w:rsidRPr="00FA009D" w:rsidRDefault="00D03288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Worldwide Governance Indicators</w:t>
            </w:r>
          </w:p>
        </w:tc>
        <w:tc>
          <w:tcPr>
            <w:tcW w:w="2452" w:type="pct"/>
          </w:tcPr>
          <w:p w14:paraId="636D7798" w14:textId="04CF03DF" w:rsidR="00D03288" w:rsidRPr="00FA009D" w:rsidRDefault="00796D26" w:rsidP="00BC0485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4.51</w:t>
            </w:r>
          </w:p>
        </w:tc>
      </w:tr>
    </w:tbl>
    <w:p w14:paraId="20D38129" w14:textId="36D31A11" w:rsidR="00AC31B4" w:rsidRPr="00FA009D" w:rsidRDefault="00AC31B4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** </w:t>
      </w:r>
      <w:r w:rsidR="007D6160" w:rsidRPr="00FA009D">
        <w:rPr>
          <w:rFonts w:ascii="Times New Roman" w:hAnsi="Times New Roman" w:cs="Times New Roman"/>
          <w:sz w:val="24"/>
          <w:szCs w:val="24"/>
        </w:rPr>
        <w:t>VIF:</w:t>
      </w:r>
      <w:r w:rsidR="00623A64" w:rsidRPr="00FA009D">
        <w:rPr>
          <w:rFonts w:ascii="Times New Roman" w:hAnsi="Times New Roman" w:cs="Times New Roman"/>
          <w:sz w:val="24"/>
          <w:szCs w:val="24"/>
        </w:rPr>
        <w:t xml:space="preserve"> </w:t>
      </w:r>
      <w:r w:rsidR="00FA248E" w:rsidRPr="00FA009D">
        <w:rPr>
          <w:rFonts w:ascii="Times New Roman" w:hAnsi="Times New Roman" w:cs="Times New Roman"/>
          <w:sz w:val="24"/>
          <w:szCs w:val="24"/>
        </w:rPr>
        <w:t>5</w:t>
      </w:r>
    </w:p>
    <w:p w14:paraId="5C9F2718" w14:textId="77777777" w:rsidR="00FA248E" w:rsidRPr="00FA009D" w:rsidRDefault="00FA248E" w:rsidP="00FA24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71020" w14:textId="72AC7205" w:rsidR="00B51959" w:rsidRPr="00FA009D" w:rsidRDefault="00244C38" w:rsidP="00FA248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999142"/>
      <w:r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B169ED" w:rsidRPr="00FA009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84438" w:rsidRPr="00FA009D">
        <w:rPr>
          <w:rFonts w:ascii="Times New Roman" w:hAnsi="Times New Roman" w:cs="Times New Roman"/>
          <w:b/>
          <w:bCs/>
          <w:sz w:val="24"/>
          <w:szCs w:val="24"/>
        </w:rPr>
        <w:t>Influence of factors associated with total deaths using n</w:t>
      </w:r>
      <w:r w:rsidR="00FA336B"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egative </w:t>
      </w:r>
      <w:r w:rsidR="00B84438" w:rsidRPr="00FA009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A336B"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inomial </w:t>
      </w:r>
      <w:r w:rsidR="00B84438" w:rsidRPr="00FA009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FA336B" w:rsidRPr="00FA009D">
        <w:rPr>
          <w:rFonts w:ascii="Times New Roman" w:hAnsi="Times New Roman" w:cs="Times New Roman"/>
          <w:b/>
          <w:bCs/>
          <w:sz w:val="24"/>
          <w:szCs w:val="24"/>
        </w:rPr>
        <w:t xml:space="preserve">egression </w:t>
      </w:r>
      <w:r w:rsidR="00B84438" w:rsidRPr="00FA009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A336B" w:rsidRPr="00FA009D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160"/>
        <w:gridCol w:w="1980"/>
        <w:gridCol w:w="1345"/>
      </w:tblGrid>
      <w:tr w:rsidR="000E3F2D" w:rsidRPr="00FA009D" w14:paraId="234F4F77" w14:textId="77777777" w:rsidTr="000E3F2D">
        <w:tc>
          <w:tcPr>
            <w:tcW w:w="3865" w:type="dxa"/>
          </w:tcPr>
          <w:p w14:paraId="45330B5F" w14:textId="76262126" w:rsidR="000E3F2D" w:rsidRPr="00FA009D" w:rsidRDefault="000E3F2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2160" w:type="dxa"/>
          </w:tcPr>
          <w:p w14:paraId="524812CD" w14:textId="3AB8F34D" w:rsidR="000E3F2D" w:rsidRPr="00FA009D" w:rsidRDefault="00E73120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</w:p>
        </w:tc>
        <w:tc>
          <w:tcPr>
            <w:tcW w:w="1980" w:type="dxa"/>
          </w:tcPr>
          <w:p w14:paraId="320633C4" w14:textId="6E973393" w:rsidR="000E3F2D" w:rsidRPr="00FA009D" w:rsidRDefault="000E3F2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95%CI</w:t>
            </w:r>
          </w:p>
        </w:tc>
        <w:tc>
          <w:tcPr>
            <w:tcW w:w="1345" w:type="dxa"/>
          </w:tcPr>
          <w:p w14:paraId="32FCB242" w14:textId="41AD9D86" w:rsidR="000E3F2D" w:rsidRPr="00FA009D" w:rsidRDefault="000E3F2D" w:rsidP="00BC0485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440E27" w:rsidRPr="00FA009D" w14:paraId="447DF22D" w14:textId="77777777" w:rsidTr="000E3F2D">
        <w:tc>
          <w:tcPr>
            <w:tcW w:w="3865" w:type="dxa"/>
          </w:tcPr>
          <w:p w14:paraId="1716EA1F" w14:textId="2EC085EF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Gross Domestic Product (per million)</w:t>
            </w:r>
          </w:p>
        </w:tc>
        <w:tc>
          <w:tcPr>
            <w:tcW w:w="2160" w:type="dxa"/>
          </w:tcPr>
          <w:p w14:paraId="65205232" w14:textId="2C7864E4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</w:t>
            </w:r>
          </w:p>
        </w:tc>
        <w:tc>
          <w:tcPr>
            <w:tcW w:w="1980" w:type="dxa"/>
          </w:tcPr>
          <w:p w14:paraId="23FE2514" w14:textId="21C35AFE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1.01-1.02</w:t>
            </w:r>
          </w:p>
        </w:tc>
        <w:tc>
          <w:tcPr>
            <w:tcW w:w="1345" w:type="dxa"/>
          </w:tcPr>
          <w:p w14:paraId="67E12CBB" w14:textId="5E8685C8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40E27" w:rsidRPr="00FA009D" w14:paraId="38DF28AA" w14:textId="77777777" w:rsidTr="000E3F2D">
        <w:tc>
          <w:tcPr>
            <w:tcW w:w="3865" w:type="dxa"/>
          </w:tcPr>
          <w:p w14:paraId="17CA0682" w14:textId="6427DB12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Population Density (per square Kilometre)</w:t>
            </w:r>
          </w:p>
        </w:tc>
        <w:tc>
          <w:tcPr>
            <w:tcW w:w="2160" w:type="dxa"/>
          </w:tcPr>
          <w:p w14:paraId="3C6855E2" w14:textId="69C73CBE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1980" w:type="dxa"/>
          </w:tcPr>
          <w:p w14:paraId="09B3A2D6" w14:textId="1B72453A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0.99-1.01</w:t>
            </w:r>
          </w:p>
        </w:tc>
        <w:tc>
          <w:tcPr>
            <w:tcW w:w="1345" w:type="dxa"/>
          </w:tcPr>
          <w:p w14:paraId="4B7A9627" w14:textId="09D693BF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0.736</w:t>
            </w:r>
          </w:p>
        </w:tc>
      </w:tr>
      <w:tr w:rsidR="00440E27" w:rsidRPr="00FA009D" w14:paraId="0A6650D4" w14:textId="77777777" w:rsidTr="000E3F2D">
        <w:tc>
          <w:tcPr>
            <w:tcW w:w="3865" w:type="dxa"/>
          </w:tcPr>
          <w:p w14:paraId="7F7F8B70" w14:textId="756E131C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AC2"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160" w:type="dxa"/>
          </w:tcPr>
          <w:p w14:paraId="5B154710" w14:textId="07EEB96B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1.11</w:t>
            </w:r>
          </w:p>
        </w:tc>
        <w:tc>
          <w:tcPr>
            <w:tcW w:w="1980" w:type="dxa"/>
          </w:tcPr>
          <w:p w14:paraId="5A5428EC" w14:textId="6C4BE5BB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1.06-1.16</w:t>
            </w:r>
          </w:p>
        </w:tc>
        <w:tc>
          <w:tcPr>
            <w:tcW w:w="1345" w:type="dxa"/>
          </w:tcPr>
          <w:p w14:paraId="69B2C617" w14:textId="36B9290D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40E27" w:rsidRPr="00FA009D" w14:paraId="277B0422" w14:textId="77777777" w:rsidTr="000E3F2D">
        <w:tc>
          <w:tcPr>
            <w:tcW w:w="3865" w:type="dxa"/>
          </w:tcPr>
          <w:p w14:paraId="6E5F00B0" w14:textId="22556815" w:rsidR="00440E27" w:rsidRPr="00ED5AC2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5AC2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(% of total population)</w:t>
            </w:r>
          </w:p>
        </w:tc>
        <w:tc>
          <w:tcPr>
            <w:tcW w:w="2160" w:type="dxa"/>
          </w:tcPr>
          <w:p w14:paraId="4DAA538D" w14:textId="7868A3C6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1.01</w:t>
            </w:r>
          </w:p>
        </w:tc>
        <w:tc>
          <w:tcPr>
            <w:tcW w:w="1980" w:type="dxa"/>
          </w:tcPr>
          <w:p w14:paraId="1A542C8E" w14:textId="615FCAC7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0.99-1.03</w:t>
            </w:r>
          </w:p>
        </w:tc>
        <w:tc>
          <w:tcPr>
            <w:tcW w:w="1345" w:type="dxa"/>
          </w:tcPr>
          <w:p w14:paraId="2A3DFF61" w14:textId="32F32B35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0.207</w:t>
            </w:r>
          </w:p>
        </w:tc>
      </w:tr>
      <w:tr w:rsidR="00440E27" w:rsidRPr="00FA009D" w14:paraId="068220AB" w14:textId="77777777" w:rsidTr="000E3F2D">
        <w:tc>
          <w:tcPr>
            <w:tcW w:w="3865" w:type="dxa"/>
          </w:tcPr>
          <w:p w14:paraId="080DEBAA" w14:textId="492C0611" w:rsidR="00440E27" w:rsidRPr="00ED5AC2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Global Health Security Index</w:t>
            </w:r>
          </w:p>
        </w:tc>
        <w:tc>
          <w:tcPr>
            <w:tcW w:w="2160" w:type="dxa"/>
          </w:tcPr>
          <w:p w14:paraId="19167E13" w14:textId="35CD4DD9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</w:t>
            </w:r>
          </w:p>
        </w:tc>
        <w:tc>
          <w:tcPr>
            <w:tcW w:w="1980" w:type="dxa"/>
          </w:tcPr>
          <w:p w14:paraId="0EEF6F6B" w14:textId="20303D26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0.99-1.00</w:t>
            </w:r>
          </w:p>
        </w:tc>
        <w:tc>
          <w:tcPr>
            <w:tcW w:w="1345" w:type="dxa"/>
          </w:tcPr>
          <w:p w14:paraId="129202CD" w14:textId="75A6A0EF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  <w:tr w:rsidR="00440E27" w:rsidRPr="00FA009D" w14:paraId="400F947F" w14:textId="77777777" w:rsidTr="000E3F2D">
        <w:tc>
          <w:tcPr>
            <w:tcW w:w="3865" w:type="dxa"/>
          </w:tcPr>
          <w:p w14:paraId="75A89C63" w14:textId="65FD7242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Worldwide Governance Indicators</w:t>
            </w:r>
          </w:p>
        </w:tc>
        <w:tc>
          <w:tcPr>
            <w:tcW w:w="2160" w:type="dxa"/>
          </w:tcPr>
          <w:p w14:paraId="608486A9" w14:textId="1478F1A1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0.76</w:t>
            </w:r>
          </w:p>
        </w:tc>
        <w:tc>
          <w:tcPr>
            <w:tcW w:w="1980" w:type="dxa"/>
          </w:tcPr>
          <w:p w14:paraId="572EF59B" w14:textId="7EDA6A40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FA009D"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0.54-1.07</w:t>
            </w:r>
          </w:p>
        </w:tc>
        <w:tc>
          <w:tcPr>
            <w:tcW w:w="1345" w:type="dxa"/>
          </w:tcPr>
          <w:p w14:paraId="3F9130F2" w14:textId="1C2B255E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</w:tr>
      <w:tr w:rsidR="00440E27" w:rsidRPr="00FA009D" w14:paraId="15579CE7" w14:textId="77777777" w:rsidTr="000E3F2D">
        <w:tc>
          <w:tcPr>
            <w:tcW w:w="3865" w:type="dxa"/>
          </w:tcPr>
          <w:p w14:paraId="34A858A1" w14:textId="56FA1B88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test </w:t>
            </w:r>
            <w:r w:rsidRPr="00FA009D">
              <w:rPr>
                <w:rFonts w:ascii="Times New Roman" w:hAnsi="Times New Roman" w:cs="Times New Roman"/>
                <w:sz w:val="24"/>
                <w:szCs w:val="24"/>
              </w:rPr>
              <w:t>(per million)</w:t>
            </w:r>
          </w:p>
        </w:tc>
        <w:tc>
          <w:tcPr>
            <w:tcW w:w="2160" w:type="dxa"/>
          </w:tcPr>
          <w:p w14:paraId="395CEE82" w14:textId="2F905CCB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D36B8C9" w14:textId="033F5444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775BBC66" w14:textId="00DEED39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E27" w:rsidRPr="00FA009D" w14:paraId="05491AF0" w14:textId="77777777" w:rsidTr="000E3F2D">
        <w:tc>
          <w:tcPr>
            <w:tcW w:w="3865" w:type="dxa"/>
          </w:tcPr>
          <w:p w14:paraId="5D2B0988" w14:textId="581CF0AD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7198869" w14:textId="41C39B90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931477" w14:textId="735C94C1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A84D76B" w14:textId="50449D8A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E27" w:rsidRPr="00FA009D" w14:paraId="4FBE6C02" w14:textId="77777777" w:rsidTr="000E3F2D">
        <w:tc>
          <w:tcPr>
            <w:tcW w:w="3865" w:type="dxa"/>
          </w:tcPr>
          <w:p w14:paraId="609B0E5A" w14:textId="14F82852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7827022" w14:textId="6A7C00CC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2148F3C" w14:textId="40E9F580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9C7C432" w14:textId="0833A913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E27" w:rsidRPr="00FA009D" w14:paraId="3643201F" w14:textId="77777777" w:rsidTr="000E3F2D">
        <w:tc>
          <w:tcPr>
            <w:tcW w:w="3865" w:type="dxa"/>
          </w:tcPr>
          <w:p w14:paraId="632FF2ED" w14:textId="735E5166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875E6A" w14:textId="209EAB30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13DED11" w14:textId="13AAF5A6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FBC4F83" w14:textId="32376F06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E27" w:rsidRPr="00FA009D" w14:paraId="5E3F852A" w14:textId="77777777" w:rsidTr="000E3F2D">
        <w:tc>
          <w:tcPr>
            <w:tcW w:w="3865" w:type="dxa"/>
          </w:tcPr>
          <w:p w14:paraId="483407CC" w14:textId="5A9BBA93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1C0257" w14:textId="387C1023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92864B" w14:textId="3BA4B337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5036B80C" w14:textId="021A07AA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E27" w:rsidRPr="00FA009D" w14:paraId="777193B5" w14:textId="77777777" w:rsidTr="000E3F2D">
        <w:tc>
          <w:tcPr>
            <w:tcW w:w="3865" w:type="dxa"/>
          </w:tcPr>
          <w:p w14:paraId="1F53D176" w14:textId="450C6A57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975F60" w14:textId="5FC77A64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332D8F7" w14:textId="00412F7D" w:rsidR="00440E27" w:rsidRPr="00FA009D" w:rsidRDefault="00440E27" w:rsidP="00440E27">
            <w:pPr>
              <w:pStyle w:val="HTMLPreformatted"/>
              <w:shd w:val="clear" w:color="auto" w:fill="FFFFFF"/>
              <w:wordWrap w:val="0"/>
              <w:spacing w:line="225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</w:tcPr>
          <w:p w14:paraId="30BA5592" w14:textId="0A83E051" w:rsidR="00440E27" w:rsidRPr="00FA009D" w:rsidRDefault="00440E27" w:rsidP="00440E27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0616D3C6" w14:textId="645A9E99" w:rsidR="00FD24D3" w:rsidRPr="00FA009D" w:rsidRDefault="009151DB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>**</w:t>
      </w:r>
      <w:r w:rsidR="00EB5120" w:rsidRPr="00FA009D">
        <w:rPr>
          <w:rFonts w:ascii="Times New Roman" w:hAnsi="Times New Roman" w:cs="Times New Roman"/>
          <w:sz w:val="24"/>
          <w:szCs w:val="24"/>
        </w:rPr>
        <w:t>We might be interested in looking at incident rate ratios</w:t>
      </w:r>
      <w:r w:rsidR="003C2669" w:rsidRPr="00FA009D">
        <w:rPr>
          <w:rFonts w:ascii="Times New Roman" w:hAnsi="Times New Roman" w:cs="Times New Roman"/>
          <w:sz w:val="24"/>
          <w:szCs w:val="24"/>
        </w:rPr>
        <w:t xml:space="preserve"> (IRR)</w:t>
      </w:r>
      <w:r w:rsidR="00EB5120" w:rsidRPr="00FA009D">
        <w:rPr>
          <w:rFonts w:ascii="Times New Roman" w:hAnsi="Times New Roman" w:cs="Times New Roman"/>
          <w:sz w:val="24"/>
          <w:szCs w:val="24"/>
        </w:rPr>
        <w:t xml:space="preserve"> rather than coefficients. To do this, we can exponentiate our model coefficients. The same applies to the confidence intervals.</w:t>
      </w:r>
    </w:p>
    <w:p w14:paraId="74A4D182" w14:textId="52214BDE" w:rsidR="00EB5120" w:rsidRPr="00FA009D" w:rsidRDefault="00EB5120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10" w:history="1">
        <w:r w:rsidRPr="00FA009D">
          <w:rPr>
            <w:rStyle w:val="Hyperlink"/>
            <w:rFonts w:ascii="Times New Roman" w:hAnsi="Times New Roman" w:cs="Times New Roman"/>
            <w:sz w:val="24"/>
            <w:szCs w:val="24"/>
          </w:rPr>
          <w:t>https://stats.idre.ucla.edu/r/dae/negative-binomial-regression/</w:t>
        </w:r>
      </w:hyperlink>
    </w:p>
    <w:p w14:paraId="6268589E" w14:textId="77777777" w:rsidR="0023655C" w:rsidRPr="00FA009D" w:rsidRDefault="0023655C" w:rsidP="00BC0485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CCAAD1" w14:textId="0DA7BFCA" w:rsidR="009151DB" w:rsidRPr="00FA009D" w:rsidRDefault="009151DB" w:rsidP="00BC0485">
      <w:pPr>
        <w:tabs>
          <w:tab w:val="left" w:pos="1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009D">
        <w:rPr>
          <w:rFonts w:ascii="Times New Roman" w:hAnsi="Times New Roman" w:cs="Times New Roman"/>
          <w:b/>
          <w:bCs/>
          <w:sz w:val="24"/>
          <w:szCs w:val="24"/>
        </w:rPr>
        <w:t>The output above indicates that,</w:t>
      </w:r>
    </w:p>
    <w:p w14:paraId="556A5781" w14:textId="06ADFF03" w:rsidR="008441EC" w:rsidRPr="00FA009D" w:rsidRDefault="008441EC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>The percent change in the incident rate of total deaths is a 0.01% increase in per million</w:t>
      </w:r>
      <w:r w:rsidR="00683719" w:rsidRPr="00FA009D">
        <w:rPr>
          <w:rFonts w:ascii="Times New Roman" w:hAnsi="Times New Roman" w:cs="Times New Roman"/>
          <w:sz w:val="24"/>
          <w:szCs w:val="24"/>
        </w:rPr>
        <w:t xml:space="preserve"> people</w:t>
      </w:r>
      <w:r w:rsidRPr="00FA009D">
        <w:rPr>
          <w:rFonts w:ascii="Times New Roman" w:hAnsi="Times New Roman" w:cs="Times New Roman"/>
          <w:sz w:val="24"/>
          <w:szCs w:val="24"/>
        </w:rPr>
        <w:t xml:space="preserve"> for every unit increase of total cases in per million people.</w:t>
      </w:r>
    </w:p>
    <w:p w14:paraId="2B003DD2" w14:textId="4B7B4C94" w:rsidR="0009198C" w:rsidRPr="00FA009D" w:rsidRDefault="0009198C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The percent change in the incident rate of total deaths is a 0.01% increase in per million for every unit increase </w:t>
      </w:r>
      <w:r w:rsidR="00146133" w:rsidRPr="00FA009D">
        <w:rPr>
          <w:rFonts w:ascii="Times New Roman" w:hAnsi="Times New Roman" w:cs="Times New Roman"/>
          <w:sz w:val="24"/>
          <w:szCs w:val="24"/>
        </w:rPr>
        <w:t>of</w:t>
      </w:r>
      <w:r w:rsidRPr="00FA009D">
        <w:rPr>
          <w:rFonts w:ascii="Times New Roman" w:hAnsi="Times New Roman" w:cs="Times New Roman"/>
          <w:sz w:val="24"/>
          <w:szCs w:val="24"/>
        </w:rPr>
        <w:t xml:space="preserve"> population density in per square </w:t>
      </w:r>
      <w:r w:rsidR="00146133" w:rsidRPr="00FA009D">
        <w:rPr>
          <w:rFonts w:ascii="Times New Roman" w:hAnsi="Times New Roman" w:cs="Times New Roman"/>
          <w:sz w:val="24"/>
          <w:szCs w:val="24"/>
        </w:rPr>
        <w:t>kilometre</w:t>
      </w:r>
      <w:r w:rsidRPr="00FA009D">
        <w:rPr>
          <w:rFonts w:ascii="Times New Roman" w:hAnsi="Times New Roman" w:cs="Times New Roman"/>
          <w:sz w:val="24"/>
          <w:szCs w:val="24"/>
        </w:rPr>
        <w:t>.</w:t>
      </w:r>
    </w:p>
    <w:p w14:paraId="27BE1A73" w14:textId="0CBB5404" w:rsidR="00683719" w:rsidRPr="00FA009D" w:rsidRDefault="00683719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>The percent change in the incident rate of total deaths is a 1</w:t>
      </w:r>
      <w:r w:rsidR="009B0FAD" w:rsidRPr="00FA009D">
        <w:rPr>
          <w:rFonts w:ascii="Times New Roman" w:hAnsi="Times New Roman" w:cs="Times New Roman"/>
          <w:sz w:val="24"/>
          <w:szCs w:val="24"/>
        </w:rPr>
        <w:t>1</w:t>
      </w:r>
      <w:r w:rsidRPr="00FA009D">
        <w:rPr>
          <w:rFonts w:ascii="Times New Roman" w:hAnsi="Times New Roman" w:cs="Times New Roman"/>
          <w:sz w:val="24"/>
          <w:szCs w:val="24"/>
        </w:rPr>
        <w:t>% increase in per million for every unit increase of population ages 65 and above in total population percentage.</w:t>
      </w:r>
    </w:p>
    <w:p w14:paraId="243E3B3A" w14:textId="0CD32C03" w:rsidR="00AC56B6" w:rsidRPr="00FA009D" w:rsidRDefault="00AC56B6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>The percent change in the incident rate of total deaths is a 0.0</w:t>
      </w:r>
      <w:r w:rsidR="0081690D" w:rsidRPr="00FA009D">
        <w:rPr>
          <w:rFonts w:ascii="Times New Roman" w:hAnsi="Times New Roman" w:cs="Times New Roman"/>
          <w:sz w:val="24"/>
          <w:szCs w:val="24"/>
        </w:rPr>
        <w:t>1</w:t>
      </w:r>
      <w:r w:rsidRPr="00FA009D">
        <w:rPr>
          <w:rFonts w:ascii="Times New Roman" w:hAnsi="Times New Roman" w:cs="Times New Roman"/>
          <w:sz w:val="24"/>
          <w:szCs w:val="24"/>
        </w:rPr>
        <w:t xml:space="preserve">% increase in per million for every unit increase of global health </w:t>
      </w:r>
      <w:r w:rsidR="00495BEA" w:rsidRPr="00FA009D">
        <w:rPr>
          <w:rFonts w:ascii="Times New Roman" w:hAnsi="Times New Roman" w:cs="Times New Roman"/>
          <w:sz w:val="24"/>
          <w:szCs w:val="24"/>
        </w:rPr>
        <w:t xml:space="preserve">security </w:t>
      </w:r>
      <w:r w:rsidRPr="00FA009D">
        <w:rPr>
          <w:rFonts w:ascii="Times New Roman" w:hAnsi="Times New Roman" w:cs="Times New Roman"/>
          <w:sz w:val="24"/>
          <w:szCs w:val="24"/>
        </w:rPr>
        <w:t>index.</w:t>
      </w:r>
    </w:p>
    <w:p w14:paraId="63717D73" w14:textId="43C6DBC0" w:rsidR="00495BEA" w:rsidRPr="00FA009D" w:rsidRDefault="00495BEA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The percent change in the incident rate of total deaths is a </w:t>
      </w:r>
      <w:r w:rsidR="009B0FAD" w:rsidRPr="00FA009D">
        <w:rPr>
          <w:rFonts w:ascii="Times New Roman" w:hAnsi="Times New Roman" w:cs="Times New Roman"/>
          <w:sz w:val="24"/>
          <w:szCs w:val="24"/>
        </w:rPr>
        <w:t>1</w:t>
      </w:r>
      <w:r w:rsidRPr="00FA009D">
        <w:rPr>
          <w:rFonts w:ascii="Times New Roman" w:hAnsi="Times New Roman" w:cs="Times New Roman"/>
          <w:sz w:val="24"/>
          <w:szCs w:val="24"/>
        </w:rPr>
        <w:t>% decrease in per million for every unit increase of Gross Domestic Product in per million.</w:t>
      </w:r>
    </w:p>
    <w:p w14:paraId="0D37E9DD" w14:textId="2E5B776C" w:rsidR="00495BEA" w:rsidRPr="00FA009D" w:rsidRDefault="00495BEA" w:rsidP="00BC0485">
      <w:pPr>
        <w:pStyle w:val="ListParagraph"/>
        <w:numPr>
          <w:ilvl w:val="0"/>
          <w:numId w:val="1"/>
        </w:num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009D">
        <w:rPr>
          <w:rFonts w:ascii="Times New Roman" w:hAnsi="Times New Roman" w:cs="Times New Roman"/>
          <w:sz w:val="24"/>
          <w:szCs w:val="24"/>
        </w:rPr>
        <w:t xml:space="preserve">The percent change in the incident rate of total deaths is a </w:t>
      </w:r>
      <w:r w:rsidR="00EA535E" w:rsidRPr="00FA009D">
        <w:rPr>
          <w:rFonts w:ascii="Times New Roman" w:hAnsi="Times New Roman" w:cs="Times New Roman"/>
          <w:sz w:val="24"/>
          <w:szCs w:val="24"/>
        </w:rPr>
        <w:t>2</w:t>
      </w:r>
      <w:r w:rsidR="0081690D" w:rsidRPr="00FA009D">
        <w:rPr>
          <w:rFonts w:ascii="Times New Roman" w:hAnsi="Times New Roman" w:cs="Times New Roman"/>
          <w:sz w:val="24"/>
          <w:szCs w:val="24"/>
        </w:rPr>
        <w:t>4</w:t>
      </w:r>
      <w:r w:rsidRPr="00FA009D">
        <w:rPr>
          <w:rFonts w:ascii="Times New Roman" w:hAnsi="Times New Roman" w:cs="Times New Roman"/>
          <w:sz w:val="24"/>
          <w:szCs w:val="24"/>
        </w:rPr>
        <w:t>% decrease in per million for every unit increase of worldwide governance indicators.</w:t>
      </w:r>
    </w:p>
    <w:p w14:paraId="3621DE06" w14:textId="275FAE33" w:rsidR="00F061E1" w:rsidRPr="00FA009D" w:rsidRDefault="00F061E1" w:rsidP="00BC04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61E1" w:rsidRPr="00FA009D" w:rsidSect="00691A6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9ACA2" w14:textId="77777777" w:rsidR="00970B5D" w:rsidRDefault="00970B5D" w:rsidP="006219F1">
      <w:pPr>
        <w:spacing w:after="0" w:line="240" w:lineRule="auto"/>
      </w:pPr>
      <w:r>
        <w:separator/>
      </w:r>
    </w:p>
  </w:endnote>
  <w:endnote w:type="continuationSeparator" w:id="0">
    <w:p w14:paraId="68BCDFC2" w14:textId="77777777" w:rsidR="00970B5D" w:rsidRDefault="00970B5D" w:rsidP="0062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184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C958A" w14:textId="526C5163" w:rsidR="006219F1" w:rsidRDefault="006219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6F84EC" w14:textId="77777777" w:rsidR="006219F1" w:rsidRDefault="0062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81CFD" w14:textId="77777777" w:rsidR="00970B5D" w:rsidRDefault="00970B5D" w:rsidP="006219F1">
      <w:pPr>
        <w:spacing w:after="0" w:line="240" w:lineRule="auto"/>
      </w:pPr>
      <w:r>
        <w:separator/>
      </w:r>
    </w:p>
  </w:footnote>
  <w:footnote w:type="continuationSeparator" w:id="0">
    <w:p w14:paraId="1EE03A9B" w14:textId="77777777" w:rsidR="00970B5D" w:rsidRDefault="00970B5D" w:rsidP="0062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80430"/>
    <w:multiLevelType w:val="hybridMultilevel"/>
    <w:tmpl w:val="6C429FA0"/>
    <w:lvl w:ilvl="0" w:tplc="BCEC27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D4E"/>
    <w:multiLevelType w:val="hybridMultilevel"/>
    <w:tmpl w:val="6C429FA0"/>
    <w:lvl w:ilvl="0" w:tplc="BCEC27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A2"/>
    <w:rsid w:val="000550A2"/>
    <w:rsid w:val="00062947"/>
    <w:rsid w:val="0009198C"/>
    <w:rsid w:val="000B0A37"/>
    <w:rsid w:val="000D0C1A"/>
    <w:rsid w:val="000E3F2D"/>
    <w:rsid w:val="00146133"/>
    <w:rsid w:val="001D46A2"/>
    <w:rsid w:val="002216C3"/>
    <w:rsid w:val="0023655C"/>
    <w:rsid w:val="00244C38"/>
    <w:rsid w:val="00270AC4"/>
    <w:rsid w:val="00282822"/>
    <w:rsid w:val="0028323F"/>
    <w:rsid w:val="002A3C12"/>
    <w:rsid w:val="002B7571"/>
    <w:rsid w:val="002C0344"/>
    <w:rsid w:val="00306F48"/>
    <w:rsid w:val="003544FF"/>
    <w:rsid w:val="00373D63"/>
    <w:rsid w:val="00387060"/>
    <w:rsid w:val="003B34B2"/>
    <w:rsid w:val="003B3B2D"/>
    <w:rsid w:val="003B7105"/>
    <w:rsid w:val="003C2669"/>
    <w:rsid w:val="003C4362"/>
    <w:rsid w:val="00401026"/>
    <w:rsid w:val="004019A7"/>
    <w:rsid w:val="004026FC"/>
    <w:rsid w:val="00437A53"/>
    <w:rsid w:val="00440E27"/>
    <w:rsid w:val="00493136"/>
    <w:rsid w:val="00494FEC"/>
    <w:rsid w:val="00495BEA"/>
    <w:rsid w:val="00573E3A"/>
    <w:rsid w:val="005748C0"/>
    <w:rsid w:val="00583E3D"/>
    <w:rsid w:val="006130BF"/>
    <w:rsid w:val="00613D79"/>
    <w:rsid w:val="006166E7"/>
    <w:rsid w:val="006167D6"/>
    <w:rsid w:val="006219F1"/>
    <w:rsid w:val="00623A64"/>
    <w:rsid w:val="00683719"/>
    <w:rsid w:val="00687BF2"/>
    <w:rsid w:val="00691A6C"/>
    <w:rsid w:val="006A5621"/>
    <w:rsid w:val="006C2082"/>
    <w:rsid w:val="006E4FBF"/>
    <w:rsid w:val="006E6B80"/>
    <w:rsid w:val="00705F96"/>
    <w:rsid w:val="00706C28"/>
    <w:rsid w:val="00725E95"/>
    <w:rsid w:val="00796D26"/>
    <w:rsid w:val="007B6F25"/>
    <w:rsid w:val="007D6160"/>
    <w:rsid w:val="007D7509"/>
    <w:rsid w:val="007E13A9"/>
    <w:rsid w:val="0081690D"/>
    <w:rsid w:val="00826176"/>
    <w:rsid w:val="008310E7"/>
    <w:rsid w:val="008441EC"/>
    <w:rsid w:val="008443BC"/>
    <w:rsid w:val="00850A44"/>
    <w:rsid w:val="008D7B1B"/>
    <w:rsid w:val="008E1E39"/>
    <w:rsid w:val="009151DB"/>
    <w:rsid w:val="00970B5D"/>
    <w:rsid w:val="009B0FAD"/>
    <w:rsid w:val="009F6BAF"/>
    <w:rsid w:val="00A41FC8"/>
    <w:rsid w:val="00A72780"/>
    <w:rsid w:val="00AC31B4"/>
    <w:rsid w:val="00AC56B6"/>
    <w:rsid w:val="00AD130C"/>
    <w:rsid w:val="00AD27D5"/>
    <w:rsid w:val="00AD50DC"/>
    <w:rsid w:val="00B169ED"/>
    <w:rsid w:val="00B51959"/>
    <w:rsid w:val="00B52E95"/>
    <w:rsid w:val="00B84438"/>
    <w:rsid w:val="00BA1AA0"/>
    <w:rsid w:val="00BC0485"/>
    <w:rsid w:val="00C008E8"/>
    <w:rsid w:val="00C13D36"/>
    <w:rsid w:val="00C2317C"/>
    <w:rsid w:val="00C313B5"/>
    <w:rsid w:val="00C46DC3"/>
    <w:rsid w:val="00C7166B"/>
    <w:rsid w:val="00CA178D"/>
    <w:rsid w:val="00CA5514"/>
    <w:rsid w:val="00CB6216"/>
    <w:rsid w:val="00D03288"/>
    <w:rsid w:val="00D22420"/>
    <w:rsid w:val="00D344D2"/>
    <w:rsid w:val="00D85F4C"/>
    <w:rsid w:val="00DC5C03"/>
    <w:rsid w:val="00DE5AD7"/>
    <w:rsid w:val="00DF612E"/>
    <w:rsid w:val="00E274DC"/>
    <w:rsid w:val="00E33D47"/>
    <w:rsid w:val="00E42917"/>
    <w:rsid w:val="00E628BD"/>
    <w:rsid w:val="00E73120"/>
    <w:rsid w:val="00EA4394"/>
    <w:rsid w:val="00EA4FCD"/>
    <w:rsid w:val="00EA535E"/>
    <w:rsid w:val="00EB5120"/>
    <w:rsid w:val="00EC1115"/>
    <w:rsid w:val="00ED5AC2"/>
    <w:rsid w:val="00ED692A"/>
    <w:rsid w:val="00EF0382"/>
    <w:rsid w:val="00EF38E6"/>
    <w:rsid w:val="00F061E1"/>
    <w:rsid w:val="00F24660"/>
    <w:rsid w:val="00F50EDB"/>
    <w:rsid w:val="00FA009D"/>
    <w:rsid w:val="00FA248E"/>
    <w:rsid w:val="00FA336B"/>
    <w:rsid w:val="00FC6EB4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135B"/>
  <w15:chartTrackingRefBased/>
  <w15:docId w15:val="{117726FF-EFB2-46FD-8B3E-2BA2AB62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4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306F48"/>
  </w:style>
  <w:style w:type="paragraph" w:styleId="BalloonText">
    <w:name w:val="Balloon Text"/>
    <w:basedOn w:val="Normal"/>
    <w:link w:val="BalloonTextChar"/>
    <w:uiPriority w:val="99"/>
    <w:semiHidden/>
    <w:unhideWhenUsed/>
    <w:rsid w:val="00FA3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B51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9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1"/>
  </w:style>
  <w:style w:type="paragraph" w:styleId="Footer">
    <w:name w:val="footer"/>
    <w:basedOn w:val="Normal"/>
    <w:link w:val="FooterChar"/>
    <w:uiPriority w:val="99"/>
    <w:unhideWhenUsed/>
    <w:rsid w:val="0062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ats.idre.ucla.edu/r/dae/negative-binomial-regression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COVID19-Factors\Graph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Sheet1!$A$1:$A$142</c:f>
              <c:numCache>
                <c:formatCode>[$-409]d\-mmm;@</c:formatCode>
                <c:ptCount val="142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43898</c:v>
                </c:pt>
                <c:pt idx="63">
                  <c:v>43901</c:v>
                </c:pt>
                <c:pt idx="64">
                  <c:v>43905</c:v>
                </c:pt>
                <c:pt idx="65">
                  <c:v>43906</c:v>
                </c:pt>
                <c:pt idx="66">
                  <c:v>43907</c:v>
                </c:pt>
                <c:pt idx="67">
                  <c:v>43908</c:v>
                </c:pt>
                <c:pt idx="68">
                  <c:v>43909</c:v>
                </c:pt>
                <c:pt idx="69">
                  <c:v>43910</c:v>
                </c:pt>
                <c:pt idx="70">
                  <c:v>43911</c:v>
                </c:pt>
                <c:pt idx="71">
                  <c:v>43912</c:v>
                </c:pt>
                <c:pt idx="72">
                  <c:v>43913</c:v>
                </c:pt>
                <c:pt idx="73">
                  <c:v>43914</c:v>
                </c:pt>
                <c:pt idx="74">
                  <c:v>43915</c:v>
                </c:pt>
                <c:pt idx="75">
                  <c:v>43916</c:v>
                </c:pt>
                <c:pt idx="76">
                  <c:v>43917</c:v>
                </c:pt>
                <c:pt idx="77">
                  <c:v>43918</c:v>
                </c:pt>
                <c:pt idx="78">
                  <c:v>43919</c:v>
                </c:pt>
                <c:pt idx="79">
                  <c:v>43920</c:v>
                </c:pt>
                <c:pt idx="80">
                  <c:v>43921</c:v>
                </c:pt>
                <c:pt idx="81">
                  <c:v>43922</c:v>
                </c:pt>
                <c:pt idx="82">
                  <c:v>43923</c:v>
                </c:pt>
                <c:pt idx="83">
                  <c:v>43924</c:v>
                </c:pt>
                <c:pt idx="84">
                  <c:v>43925</c:v>
                </c:pt>
                <c:pt idx="85">
                  <c:v>43926</c:v>
                </c:pt>
                <c:pt idx="86">
                  <c:v>43927</c:v>
                </c:pt>
                <c:pt idx="87">
                  <c:v>43928</c:v>
                </c:pt>
                <c:pt idx="88">
                  <c:v>43929</c:v>
                </c:pt>
                <c:pt idx="89">
                  <c:v>43930</c:v>
                </c:pt>
                <c:pt idx="90">
                  <c:v>43931</c:v>
                </c:pt>
                <c:pt idx="91">
                  <c:v>43932</c:v>
                </c:pt>
                <c:pt idx="92">
                  <c:v>43933</c:v>
                </c:pt>
                <c:pt idx="93">
                  <c:v>43934</c:v>
                </c:pt>
                <c:pt idx="94">
                  <c:v>43935</c:v>
                </c:pt>
                <c:pt idx="95">
                  <c:v>43936</c:v>
                </c:pt>
                <c:pt idx="96">
                  <c:v>43937</c:v>
                </c:pt>
                <c:pt idx="97">
                  <c:v>43938</c:v>
                </c:pt>
                <c:pt idx="98">
                  <c:v>43939</c:v>
                </c:pt>
                <c:pt idx="99">
                  <c:v>43940</c:v>
                </c:pt>
                <c:pt idx="100">
                  <c:v>43941</c:v>
                </c:pt>
                <c:pt idx="101">
                  <c:v>43942</c:v>
                </c:pt>
                <c:pt idx="102">
                  <c:v>43943</c:v>
                </c:pt>
                <c:pt idx="103">
                  <c:v>43944</c:v>
                </c:pt>
                <c:pt idx="104">
                  <c:v>43945</c:v>
                </c:pt>
                <c:pt idx="105">
                  <c:v>43946</c:v>
                </c:pt>
                <c:pt idx="106">
                  <c:v>43947</c:v>
                </c:pt>
                <c:pt idx="107">
                  <c:v>43948</c:v>
                </c:pt>
                <c:pt idx="108">
                  <c:v>43949</c:v>
                </c:pt>
                <c:pt idx="109">
                  <c:v>43950</c:v>
                </c:pt>
                <c:pt idx="110">
                  <c:v>43951</c:v>
                </c:pt>
                <c:pt idx="111">
                  <c:v>43952</c:v>
                </c:pt>
                <c:pt idx="112">
                  <c:v>43953</c:v>
                </c:pt>
                <c:pt idx="113">
                  <c:v>43954</c:v>
                </c:pt>
                <c:pt idx="114">
                  <c:v>43955</c:v>
                </c:pt>
                <c:pt idx="115">
                  <c:v>43956</c:v>
                </c:pt>
                <c:pt idx="116">
                  <c:v>43957</c:v>
                </c:pt>
                <c:pt idx="117">
                  <c:v>43958</c:v>
                </c:pt>
                <c:pt idx="118">
                  <c:v>43959</c:v>
                </c:pt>
                <c:pt idx="119">
                  <c:v>43960</c:v>
                </c:pt>
                <c:pt idx="120">
                  <c:v>43961</c:v>
                </c:pt>
                <c:pt idx="121">
                  <c:v>43962</c:v>
                </c:pt>
                <c:pt idx="122">
                  <c:v>43963</c:v>
                </c:pt>
                <c:pt idx="123">
                  <c:v>43964</c:v>
                </c:pt>
                <c:pt idx="124">
                  <c:v>43965</c:v>
                </c:pt>
                <c:pt idx="125">
                  <c:v>43966</c:v>
                </c:pt>
                <c:pt idx="126">
                  <c:v>43967</c:v>
                </c:pt>
                <c:pt idx="127">
                  <c:v>43968</c:v>
                </c:pt>
                <c:pt idx="128">
                  <c:v>43969</c:v>
                </c:pt>
                <c:pt idx="129">
                  <c:v>43970</c:v>
                </c:pt>
                <c:pt idx="130">
                  <c:v>43971</c:v>
                </c:pt>
                <c:pt idx="131">
                  <c:v>43972</c:v>
                </c:pt>
                <c:pt idx="132">
                  <c:v>43973</c:v>
                </c:pt>
                <c:pt idx="133">
                  <c:v>43974</c:v>
                </c:pt>
                <c:pt idx="134">
                  <c:v>43975</c:v>
                </c:pt>
                <c:pt idx="135">
                  <c:v>43976</c:v>
                </c:pt>
                <c:pt idx="136">
                  <c:v>43977</c:v>
                </c:pt>
                <c:pt idx="137">
                  <c:v>43978</c:v>
                </c:pt>
                <c:pt idx="138">
                  <c:v>43979</c:v>
                </c:pt>
                <c:pt idx="139">
                  <c:v>43980</c:v>
                </c:pt>
                <c:pt idx="140">
                  <c:v>43981</c:v>
                </c:pt>
                <c:pt idx="141">
                  <c:v>43982</c:v>
                </c:pt>
              </c:numCache>
            </c:numRef>
          </c:cat>
          <c:val>
            <c:numRef>
              <c:f>Sheet1!$B$1:$B$142</c:f>
              <c:numCache>
                <c:formatCode>General</c:formatCode>
                <c:ptCount val="1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0.02</c:v>
                </c:pt>
                <c:pt idx="46">
                  <c:v>0.02</c:v>
                </c:pt>
                <c:pt idx="47">
                  <c:v>0.02</c:v>
                </c:pt>
                <c:pt idx="48">
                  <c:v>0.02</c:v>
                </c:pt>
                <c:pt idx="49">
                  <c:v>0.02</c:v>
                </c:pt>
                <c:pt idx="50">
                  <c:v>0.02</c:v>
                </c:pt>
                <c:pt idx="51">
                  <c:v>0.03</c:v>
                </c:pt>
                <c:pt idx="52">
                  <c:v>0.03</c:v>
                </c:pt>
                <c:pt idx="53">
                  <c:v>0.03</c:v>
                </c:pt>
                <c:pt idx="54">
                  <c:v>0.03</c:v>
                </c:pt>
                <c:pt idx="55">
                  <c:v>0.04</c:v>
                </c:pt>
                <c:pt idx="56">
                  <c:v>0.04</c:v>
                </c:pt>
                <c:pt idx="57">
                  <c:v>0.04</c:v>
                </c:pt>
                <c:pt idx="58">
                  <c:v>0.04</c:v>
                </c:pt>
                <c:pt idx="59">
                  <c:v>0.05</c:v>
                </c:pt>
                <c:pt idx="60">
                  <c:v>0.05</c:v>
                </c:pt>
                <c:pt idx="61">
                  <c:v>0.5</c:v>
                </c:pt>
                <c:pt idx="62">
                  <c:v>0.66</c:v>
                </c:pt>
                <c:pt idx="63">
                  <c:v>1.03</c:v>
                </c:pt>
                <c:pt idx="64">
                  <c:v>1.59</c:v>
                </c:pt>
                <c:pt idx="65">
                  <c:v>2.09</c:v>
                </c:pt>
                <c:pt idx="66">
                  <c:v>2.44</c:v>
                </c:pt>
                <c:pt idx="67">
                  <c:v>2.9</c:v>
                </c:pt>
                <c:pt idx="68">
                  <c:v>3.48</c:v>
                </c:pt>
                <c:pt idx="69">
                  <c:v>3.35</c:v>
                </c:pt>
                <c:pt idx="70">
                  <c:v>3.45</c:v>
                </c:pt>
                <c:pt idx="71">
                  <c:v>4.6500000000000004</c:v>
                </c:pt>
                <c:pt idx="72">
                  <c:v>4.74</c:v>
                </c:pt>
                <c:pt idx="73">
                  <c:v>4.83</c:v>
                </c:pt>
                <c:pt idx="74">
                  <c:v>5.22</c:v>
                </c:pt>
                <c:pt idx="75">
                  <c:v>5.44</c:v>
                </c:pt>
                <c:pt idx="76">
                  <c:v>5.98</c:v>
                </c:pt>
                <c:pt idx="77">
                  <c:v>6.43</c:v>
                </c:pt>
                <c:pt idx="78">
                  <c:v>7.1</c:v>
                </c:pt>
                <c:pt idx="79">
                  <c:v>8.0399999999999991</c:v>
                </c:pt>
                <c:pt idx="80">
                  <c:v>8.8800000000000008</c:v>
                </c:pt>
                <c:pt idx="81">
                  <c:v>9.74</c:v>
                </c:pt>
                <c:pt idx="82">
                  <c:v>10.6</c:v>
                </c:pt>
                <c:pt idx="83">
                  <c:v>12.06</c:v>
                </c:pt>
                <c:pt idx="84">
                  <c:v>13.29</c:v>
                </c:pt>
                <c:pt idx="85">
                  <c:v>14.54</c:v>
                </c:pt>
                <c:pt idx="86">
                  <c:v>15.58</c:v>
                </c:pt>
                <c:pt idx="87">
                  <c:v>16.68</c:v>
                </c:pt>
                <c:pt idx="88">
                  <c:v>18.559999999999999</c:v>
                </c:pt>
                <c:pt idx="89">
                  <c:v>19.440000000000001</c:v>
                </c:pt>
                <c:pt idx="90">
                  <c:v>20.54</c:v>
                </c:pt>
                <c:pt idx="91">
                  <c:v>21.7</c:v>
                </c:pt>
                <c:pt idx="92">
                  <c:v>22.76</c:v>
                </c:pt>
                <c:pt idx="93">
                  <c:v>23.49</c:v>
                </c:pt>
                <c:pt idx="94">
                  <c:v>24.25</c:v>
                </c:pt>
                <c:pt idx="95">
                  <c:v>25.34</c:v>
                </c:pt>
                <c:pt idx="96">
                  <c:v>26.67</c:v>
                </c:pt>
                <c:pt idx="97">
                  <c:v>28.26</c:v>
                </c:pt>
                <c:pt idx="98">
                  <c:v>29.47</c:v>
                </c:pt>
                <c:pt idx="99">
                  <c:v>30.44</c:v>
                </c:pt>
                <c:pt idx="100">
                  <c:v>31.34</c:v>
                </c:pt>
                <c:pt idx="101">
                  <c:v>32.32</c:v>
                </c:pt>
                <c:pt idx="102">
                  <c:v>33.369999999999997</c:v>
                </c:pt>
                <c:pt idx="103">
                  <c:v>34.840000000000003</c:v>
                </c:pt>
                <c:pt idx="104">
                  <c:v>35.79</c:v>
                </c:pt>
                <c:pt idx="105">
                  <c:v>36.86</c:v>
                </c:pt>
                <c:pt idx="106">
                  <c:v>38.53</c:v>
                </c:pt>
                <c:pt idx="107">
                  <c:v>39.26</c:v>
                </c:pt>
                <c:pt idx="108">
                  <c:v>39.880000000000003</c:v>
                </c:pt>
                <c:pt idx="109">
                  <c:v>40.82</c:v>
                </c:pt>
                <c:pt idx="110">
                  <c:v>41.55</c:v>
                </c:pt>
                <c:pt idx="111">
                  <c:v>42.04</c:v>
                </c:pt>
                <c:pt idx="112">
                  <c:v>42.58</c:v>
                </c:pt>
                <c:pt idx="113">
                  <c:v>43.18</c:v>
                </c:pt>
                <c:pt idx="114">
                  <c:v>43.7</c:v>
                </c:pt>
                <c:pt idx="115">
                  <c:v>44.19</c:v>
                </c:pt>
                <c:pt idx="116">
                  <c:v>44.86</c:v>
                </c:pt>
                <c:pt idx="117">
                  <c:v>45.55</c:v>
                </c:pt>
                <c:pt idx="118">
                  <c:v>46.17</c:v>
                </c:pt>
                <c:pt idx="119">
                  <c:v>46.8</c:v>
                </c:pt>
                <c:pt idx="120">
                  <c:v>47.23</c:v>
                </c:pt>
                <c:pt idx="121">
                  <c:v>47.65</c:v>
                </c:pt>
                <c:pt idx="122">
                  <c:v>48.08</c:v>
                </c:pt>
                <c:pt idx="123">
                  <c:v>48.64</c:v>
                </c:pt>
                <c:pt idx="124">
                  <c:v>49.29</c:v>
                </c:pt>
                <c:pt idx="125">
                  <c:v>49.55</c:v>
                </c:pt>
                <c:pt idx="126">
                  <c:v>50.21</c:v>
                </c:pt>
                <c:pt idx="127">
                  <c:v>50.68</c:v>
                </c:pt>
                <c:pt idx="128">
                  <c:v>50.98</c:v>
                </c:pt>
                <c:pt idx="129">
                  <c:v>51.25</c:v>
                </c:pt>
                <c:pt idx="130">
                  <c:v>51.69</c:v>
                </c:pt>
                <c:pt idx="131">
                  <c:v>52.12</c:v>
                </c:pt>
                <c:pt idx="132">
                  <c:v>52.54</c:v>
                </c:pt>
                <c:pt idx="133">
                  <c:v>52.88</c:v>
                </c:pt>
                <c:pt idx="134">
                  <c:v>53.35</c:v>
                </c:pt>
                <c:pt idx="135">
                  <c:v>53.39</c:v>
                </c:pt>
                <c:pt idx="136">
                  <c:v>53.79</c:v>
                </c:pt>
                <c:pt idx="137">
                  <c:v>54.16</c:v>
                </c:pt>
                <c:pt idx="138">
                  <c:v>54.6</c:v>
                </c:pt>
                <c:pt idx="139">
                  <c:v>54.98</c:v>
                </c:pt>
                <c:pt idx="140">
                  <c:v>55.35</c:v>
                </c:pt>
                <c:pt idx="141">
                  <c:v>55.67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9-491A-81AC-E1DF0D407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728272"/>
        <c:axId val="455729584"/>
      </c:lineChart>
      <c:dateAx>
        <c:axId val="45572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800" b="0" i="0" baseline="0">
                    <a:effectLst/>
                  </a:rPr>
                  <a:t>A</a:t>
                </a:r>
                <a:endParaRPr lang="en-GB" sz="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29584"/>
        <c:crosses val="autoZero"/>
        <c:auto val="1"/>
        <c:lblOffset val="100"/>
        <c:baseTimeUnit val="days"/>
        <c:majorUnit val="1"/>
        <c:majorTimeUnit val="months"/>
        <c:minorUnit val="1"/>
        <c:minorTimeUnit val="months"/>
      </c:dateAx>
      <c:valAx>
        <c:axId val="4557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2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Sheet1!$A$144:$A$285</c:f>
              <c:numCache>
                <c:formatCode>[$-409]d\-mmm;@</c:formatCode>
                <c:ptCount val="142"/>
                <c:pt idx="0">
                  <c:v>43831</c:v>
                </c:pt>
                <c:pt idx="1">
                  <c:v>43832</c:v>
                </c:pt>
                <c:pt idx="2">
                  <c:v>43833</c:v>
                </c:pt>
                <c:pt idx="3">
                  <c:v>43834</c:v>
                </c:pt>
                <c:pt idx="4">
                  <c:v>43835</c:v>
                </c:pt>
                <c:pt idx="5">
                  <c:v>43836</c:v>
                </c:pt>
                <c:pt idx="6">
                  <c:v>43837</c:v>
                </c:pt>
                <c:pt idx="7">
                  <c:v>43838</c:v>
                </c:pt>
                <c:pt idx="8">
                  <c:v>43839</c:v>
                </c:pt>
                <c:pt idx="9">
                  <c:v>43840</c:v>
                </c:pt>
                <c:pt idx="10">
                  <c:v>43841</c:v>
                </c:pt>
                <c:pt idx="11">
                  <c:v>43842</c:v>
                </c:pt>
                <c:pt idx="12">
                  <c:v>43843</c:v>
                </c:pt>
                <c:pt idx="13">
                  <c:v>43844</c:v>
                </c:pt>
                <c:pt idx="14">
                  <c:v>43845</c:v>
                </c:pt>
                <c:pt idx="15">
                  <c:v>43846</c:v>
                </c:pt>
                <c:pt idx="16">
                  <c:v>43847</c:v>
                </c:pt>
                <c:pt idx="17">
                  <c:v>43848</c:v>
                </c:pt>
                <c:pt idx="18">
                  <c:v>43849</c:v>
                </c:pt>
                <c:pt idx="19">
                  <c:v>43850</c:v>
                </c:pt>
                <c:pt idx="20">
                  <c:v>43851</c:v>
                </c:pt>
                <c:pt idx="21">
                  <c:v>43852</c:v>
                </c:pt>
                <c:pt idx="22">
                  <c:v>43853</c:v>
                </c:pt>
                <c:pt idx="23">
                  <c:v>43854</c:v>
                </c:pt>
                <c:pt idx="24">
                  <c:v>43855</c:v>
                </c:pt>
                <c:pt idx="25">
                  <c:v>43856</c:v>
                </c:pt>
                <c:pt idx="26">
                  <c:v>43857</c:v>
                </c:pt>
                <c:pt idx="27">
                  <c:v>43858</c:v>
                </c:pt>
                <c:pt idx="28">
                  <c:v>43859</c:v>
                </c:pt>
                <c:pt idx="29">
                  <c:v>43860</c:v>
                </c:pt>
                <c:pt idx="30">
                  <c:v>43861</c:v>
                </c:pt>
                <c:pt idx="31">
                  <c:v>43862</c:v>
                </c:pt>
                <c:pt idx="32">
                  <c:v>43863</c:v>
                </c:pt>
                <c:pt idx="33">
                  <c:v>43864</c:v>
                </c:pt>
                <c:pt idx="34">
                  <c:v>43865</c:v>
                </c:pt>
                <c:pt idx="35">
                  <c:v>43866</c:v>
                </c:pt>
                <c:pt idx="36">
                  <c:v>43867</c:v>
                </c:pt>
                <c:pt idx="37">
                  <c:v>43868</c:v>
                </c:pt>
                <c:pt idx="38">
                  <c:v>43869</c:v>
                </c:pt>
                <c:pt idx="39">
                  <c:v>43870</c:v>
                </c:pt>
                <c:pt idx="40">
                  <c:v>43871</c:v>
                </c:pt>
                <c:pt idx="41">
                  <c:v>43872</c:v>
                </c:pt>
                <c:pt idx="42">
                  <c:v>43873</c:v>
                </c:pt>
                <c:pt idx="43">
                  <c:v>43874</c:v>
                </c:pt>
                <c:pt idx="44">
                  <c:v>43875</c:v>
                </c:pt>
                <c:pt idx="45">
                  <c:v>43876</c:v>
                </c:pt>
                <c:pt idx="46">
                  <c:v>43877</c:v>
                </c:pt>
                <c:pt idx="47">
                  <c:v>43878</c:v>
                </c:pt>
                <c:pt idx="48">
                  <c:v>43879</c:v>
                </c:pt>
                <c:pt idx="49">
                  <c:v>43880</c:v>
                </c:pt>
                <c:pt idx="50">
                  <c:v>43881</c:v>
                </c:pt>
                <c:pt idx="51">
                  <c:v>43882</c:v>
                </c:pt>
                <c:pt idx="52">
                  <c:v>43883</c:v>
                </c:pt>
                <c:pt idx="53">
                  <c:v>43884</c:v>
                </c:pt>
                <c:pt idx="54">
                  <c:v>43885</c:v>
                </c:pt>
                <c:pt idx="55">
                  <c:v>43886</c:v>
                </c:pt>
                <c:pt idx="56">
                  <c:v>43887</c:v>
                </c:pt>
                <c:pt idx="57">
                  <c:v>43888</c:v>
                </c:pt>
                <c:pt idx="58">
                  <c:v>43889</c:v>
                </c:pt>
                <c:pt idx="59">
                  <c:v>43890</c:v>
                </c:pt>
                <c:pt idx="60">
                  <c:v>43891</c:v>
                </c:pt>
                <c:pt idx="61">
                  <c:v>43892</c:v>
                </c:pt>
                <c:pt idx="62">
                  <c:v>43898</c:v>
                </c:pt>
                <c:pt idx="63">
                  <c:v>43901</c:v>
                </c:pt>
                <c:pt idx="64">
                  <c:v>43905</c:v>
                </c:pt>
                <c:pt idx="65">
                  <c:v>43906</c:v>
                </c:pt>
                <c:pt idx="66">
                  <c:v>43907</c:v>
                </c:pt>
                <c:pt idx="67">
                  <c:v>43908</c:v>
                </c:pt>
                <c:pt idx="68">
                  <c:v>43909</c:v>
                </c:pt>
                <c:pt idx="69">
                  <c:v>43910</c:v>
                </c:pt>
                <c:pt idx="70">
                  <c:v>43911</c:v>
                </c:pt>
                <c:pt idx="71">
                  <c:v>43912</c:v>
                </c:pt>
                <c:pt idx="72">
                  <c:v>43913</c:v>
                </c:pt>
                <c:pt idx="73">
                  <c:v>43914</c:v>
                </c:pt>
                <c:pt idx="74">
                  <c:v>43915</c:v>
                </c:pt>
                <c:pt idx="75">
                  <c:v>43916</c:v>
                </c:pt>
                <c:pt idx="76">
                  <c:v>43917</c:v>
                </c:pt>
                <c:pt idx="77">
                  <c:v>43918</c:v>
                </c:pt>
                <c:pt idx="78">
                  <c:v>43919</c:v>
                </c:pt>
                <c:pt idx="79">
                  <c:v>43920</c:v>
                </c:pt>
                <c:pt idx="80">
                  <c:v>43921</c:v>
                </c:pt>
                <c:pt idx="81">
                  <c:v>43922</c:v>
                </c:pt>
                <c:pt idx="82">
                  <c:v>43923</c:v>
                </c:pt>
                <c:pt idx="83">
                  <c:v>43924</c:v>
                </c:pt>
                <c:pt idx="84">
                  <c:v>43925</c:v>
                </c:pt>
                <c:pt idx="85">
                  <c:v>43926</c:v>
                </c:pt>
                <c:pt idx="86">
                  <c:v>43927</c:v>
                </c:pt>
                <c:pt idx="87">
                  <c:v>43928</c:v>
                </c:pt>
                <c:pt idx="88">
                  <c:v>43929</c:v>
                </c:pt>
                <c:pt idx="89">
                  <c:v>43930</c:v>
                </c:pt>
                <c:pt idx="90">
                  <c:v>43931</c:v>
                </c:pt>
                <c:pt idx="91">
                  <c:v>43932</c:v>
                </c:pt>
                <c:pt idx="92">
                  <c:v>43933</c:v>
                </c:pt>
                <c:pt idx="93">
                  <c:v>43934</c:v>
                </c:pt>
                <c:pt idx="94">
                  <c:v>43935</c:v>
                </c:pt>
                <c:pt idx="95">
                  <c:v>43936</c:v>
                </c:pt>
                <c:pt idx="96">
                  <c:v>43937</c:v>
                </c:pt>
                <c:pt idx="97">
                  <c:v>43938</c:v>
                </c:pt>
                <c:pt idx="98">
                  <c:v>43939</c:v>
                </c:pt>
                <c:pt idx="99">
                  <c:v>43940</c:v>
                </c:pt>
                <c:pt idx="100">
                  <c:v>43941</c:v>
                </c:pt>
                <c:pt idx="101">
                  <c:v>43942</c:v>
                </c:pt>
                <c:pt idx="102">
                  <c:v>43943</c:v>
                </c:pt>
                <c:pt idx="103">
                  <c:v>43944</c:v>
                </c:pt>
                <c:pt idx="104">
                  <c:v>43945</c:v>
                </c:pt>
                <c:pt idx="105">
                  <c:v>43946</c:v>
                </c:pt>
                <c:pt idx="106">
                  <c:v>43947</c:v>
                </c:pt>
                <c:pt idx="107">
                  <c:v>43948</c:v>
                </c:pt>
                <c:pt idx="108">
                  <c:v>43949</c:v>
                </c:pt>
                <c:pt idx="109">
                  <c:v>43950</c:v>
                </c:pt>
                <c:pt idx="110">
                  <c:v>43951</c:v>
                </c:pt>
                <c:pt idx="111">
                  <c:v>43952</c:v>
                </c:pt>
                <c:pt idx="112">
                  <c:v>43953</c:v>
                </c:pt>
                <c:pt idx="113">
                  <c:v>43954</c:v>
                </c:pt>
                <c:pt idx="114">
                  <c:v>43955</c:v>
                </c:pt>
                <c:pt idx="115">
                  <c:v>43956</c:v>
                </c:pt>
                <c:pt idx="116">
                  <c:v>43957</c:v>
                </c:pt>
                <c:pt idx="117">
                  <c:v>43958</c:v>
                </c:pt>
                <c:pt idx="118">
                  <c:v>43959</c:v>
                </c:pt>
                <c:pt idx="119">
                  <c:v>43960</c:v>
                </c:pt>
                <c:pt idx="120">
                  <c:v>43961</c:v>
                </c:pt>
                <c:pt idx="121">
                  <c:v>43962</c:v>
                </c:pt>
                <c:pt idx="122">
                  <c:v>43963</c:v>
                </c:pt>
                <c:pt idx="123">
                  <c:v>43964</c:v>
                </c:pt>
                <c:pt idx="124">
                  <c:v>43965</c:v>
                </c:pt>
                <c:pt idx="125">
                  <c:v>43966</c:v>
                </c:pt>
                <c:pt idx="126">
                  <c:v>43967</c:v>
                </c:pt>
                <c:pt idx="127">
                  <c:v>43968</c:v>
                </c:pt>
                <c:pt idx="128">
                  <c:v>43969</c:v>
                </c:pt>
                <c:pt idx="129">
                  <c:v>43970</c:v>
                </c:pt>
                <c:pt idx="130">
                  <c:v>43971</c:v>
                </c:pt>
                <c:pt idx="131">
                  <c:v>43972</c:v>
                </c:pt>
                <c:pt idx="132">
                  <c:v>43973</c:v>
                </c:pt>
                <c:pt idx="133">
                  <c:v>43974</c:v>
                </c:pt>
                <c:pt idx="134">
                  <c:v>43975</c:v>
                </c:pt>
                <c:pt idx="135">
                  <c:v>43976</c:v>
                </c:pt>
                <c:pt idx="136">
                  <c:v>43977</c:v>
                </c:pt>
                <c:pt idx="137">
                  <c:v>43978</c:v>
                </c:pt>
                <c:pt idx="138">
                  <c:v>43979</c:v>
                </c:pt>
                <c:pt idx="139">
                  <c:v>43980</c:v>
                </c:pt>
                <c:pt idx="140">
                  <c:v>43981</c:v>
                </c:pt>
                <c:pt idx="141">
                  <c:v>43982</c:v>
                </c:pt>
              </c:numCache>
            </c:numRef>
          </c:cat>
          <c:val>
            <c:numRef>
              <c:f>Sheet1!$B$144:$B$285</c:f>
              <c:numCache>
                <c:formatCode>General</c:formatCode>
                <c:ptCount val="1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0.02</c:v>
                </c:pt>
                <c:pt idx="24">
                  <c:v>0.03</c:v>
                </c:pt>
                <c:pt idx="25">
                  <c:v>0.04</c:v>
                </c:pt>
                <c:pt idx="26">
                  <c:v>0.05</c:v>
                </c:pt>
                <c:pt idx="27">
                  <c:v>0.08</c:v>
                </c:pt>
                <c:pt idx="28">
                  <c:v>0.1</c:v>
                </c:pt>
                <c:pt idx="29">
                  <c:v>0.14000000000000001</c:v>
                </c:pt>
                <c:pt idx="30">
                  <c:v>0.17</c:v>
                </c:pt>
                <c:pt idx="31">
                  <c:v>0.21</c:v>
                </c:pt>
                <c:pt idx="32">
                  <c:v>0.25</c:v>
                </c:pt>
                <c:pt idx="33">
                  <c:v>0.28000000000000003</c:v>
                </c:pt>
                <c:pt idx="34">
                  <c:v>0.31</c:v>
                </c:pt>
                <c:pt idx="35">
                  <c:v>0.38</c:v>
                </c:pt>
                <c:pt idx="36">
                  <c:v>0.43</c:v>
                </c:pt>
                <c:pt idx="37">
                  <c:v>0.47</c:v>
                </c:pt>
                <c:pt idx="38">
                  <c:v>0.52</c:v>
                </c:pt>
                <c:pt idx="39">
                  <c:v>0.56999999999999995</c:v>
                </c:pt>
                <c:pt idx="40">
                  <c:v>0.61</c:v>
                </c:pt>
                <c:pt idx="41">
                  <c:v>0.65</c:v>
                </c:pt>
                <c:pt idx="42">
                  <c:v>0.67</c:v>
                </c:pt>
                <c:pt idx="43">
                  <c:v>0.84</c:v>
                </c:pt>
                <c:pt idx="44">
                  <c:v>0.91</c:v>
                </c:pt>
                <c:pt idx="45">
                  <c:v>0.96</c:v>
                </c:pt>
                <c:pt idx="46">
                  <c:v>1</c:v>
                </c:pt>
                <c:pt idx="47">
                  <c:v>1.03</c:v>
                </c:pt>
                <c:pt idx="48">
                  <c:v>1.06</c:v>
                </c:pt>
                <c:pt idx="49">
                  <c:v>1.0900000000000001</c:v>
                </c:pt>
                <c:pt idx="50">
                  <c:v>1.1200000000000001</c:v>
                </c:pt>
                <c:pt idx="51">
                  <c:v>1.1499999999999999</c:v>
                </c:pt>
                <c:pt idx="52">
                  <c:v>1.24</c:v>
                </c:pt>
                <c:pt idx="53">
                  <c:v>1.36</c:v>
                </c:pt>
                <c:pt idx="54">
                  <c:v>1.45</c:v>
                </c:pt>
                <c:pt idx="55">
                  <c:v>1.55</c:v>
                </c:pt>
                <c:pt idx="56">
                  <c:v>1.89</c:v>
                </c:pt>
                <c:pt idx="57">
                  <c:v>2.2400000000000002</c:v>
                </c:pt>
                <c:pt idx="58">
                  <c:v>3.07</c:v>
                </c:pt>
                <c:pt idx="59">
                  <c:v>3.99</c:v>
                </c:pt>
                <c:pt idx="60">
                  <c:v>4.4400000000000004</c:v>
                </c:pt>
                <c:pt idx="61">
                  <c:v>8.2799999999999994</c:v>
                </c:pt>
                <c:pt idx="62">
                  <c:v>27.01</c:v>
                </c:pt>
                <c:pt idx="63">
                  <c:v>41.16</c:v>
                </c:pt>
                <c:pt idx="64">
                  <c:v>50.9</c:v>
                </c:pt>
                <c:pt idx="65">
                  <c:v>67.650000000000006</c:v>
                </c:pt>
                <c:pt idx="66">
                  <c:v>68.790000000000006</c:v>
                </c:pt>
                <c:pt idx="67">
                  <c:v>73.16</c:v>
                </c:pt>
                <c:pt idx="68">
                  <c:v>83.01</c:v>
                </c:pt>
                <c:pt idx="69">
                  <c:v>101.74</c:v>
                </c:pt>
                <c:pt idx="70">
                  <c:v>114.21</c:v>
                </c:pt>
                <c:pt idx="71">
                  <c:v>124.75</c:v>
                </c:pt>
                <c:pt idx="72">
                  <c:v>140.82</c:v>
                </c:pt>
                <c:pt idx="73">
                  <c:v>155.5</c:v>
                </c:pt>
                <c:pt idx="74">
                  <c:v>168.14</c:v>
                </c:pt>
                <c:pt idx="75">
                  <c:v>186.79</c:v>
                </c:pt>
                <c:pt idx="76">
                  <c:v>237.24</c:v>
                </c:pt>
                <c:pt idx="77">
                  <c:v>259.11</c:v>
                </c:pt>
                <c:pt idx="78">
                  <c:v>284.77</c:v>
                </c:pt>
                <c:pt idx="79">
                  <c:v>303.77999999999997</c:v>
                </c:pt>
                <c:pt idx="80">
                  <c:v>319.85000000000002</c:v>
                </c:pt>
                <c:pt idx="81">
                  <c:v>327.87</c:v>
                </c:pt>
                <c:pt idx="82">
                  <c:v>349.99</c:v>
                </c:pt>
                <c:pt idx="83">
                  <c:v>373.69</c:v>
                </c:pt>
                <c:pt idx="84">
                  <c:v>403.09</c:v>
                </c:pt>
                <c:pt idx="85">
                  <c:v>426.71</c:v>
                </c:pt>
                <c:pt idx="86">
                  <c:v>444.68</c:v>
                </c:pt>
                <c:pt idx="87">
                  <c:v>463.51</c:v>
                </c:pt>
                <c:pt idx="88">
                  <c:v>485.33</c:v>
                </c:pt>
                <c:pt idx="89">
                  <c:v>512.29</c:v>
                </c:pt>
                <c:pt idx="90">
                  <c:v>534.62</c:v>
                </c:pt>
                <c:pt idx="91">
                  <c:v>554.5</c:v>
                </c:pt>
                <c:pt idx="92">
                  <c:v>572.89</c:v>
                </c:pt>
                <c:pt idx="93">
                  <c:v>588.33000000000004</c:v>
                </c:pt>
                <c:pt idx="94">
                  <c:v>600.53</c:v>
                </c:pt>
                <c:pt idx="95">
                  <c:v>623.65</c:v>
                </c:pt>
                <c:pt idx="96">
                  <c:v>644.17999999999995</c:v>
                </c:pt>
                <c:pt idx="97">
                  <c:v>665.86</c:v>
                </c:pt>
                <c:pt idx="98">
                  <c:v>680.59</c:v>
                </c:pt>
                <c:pt idx="99">
                  <c:v>697.74</c:v>
                </c:pt>
                <c:pt idx="100">
                  <c:v>711.03</c:v>
                </c:pt>
                <c:pt idx="101">
                  <c:v>729.54</c:v>
                </c:pt>
                <c:pt idx="102">
                  <c:v>745.73</c:v>
                </c:pt>
                <c:pt idx="103">
                  <c:v>760.25</c:v>
                </c:pt>
                <c:pt idx="104">
                  <c:v>775.6</c:v>
                </c:pt>
                <c:pt idx="105">
                  <c:v>790.8</c:v>
                </c:pt>
                <c:pt idx="106">
                  <c:v>801.09</c:v>
                </c:pt>
                <c:pt idx="107">
                  <c:v>821.64</c:v>
                </c:pt>
                <c:pt idx="108">
                  <c:v>831.94</c:v>
                </c:pt>
                <c:pt idx="109">
                  <c:v>844.02</c:v>
                </c:pt>
                <c:pt idx="110">
                  <c:v>863.68</c:v>
                </c:pt>
                <c:pt idx="111">
                  <c:v>880.34</c:v>
                </c:pt>
                <c:pt idx="112">
                  <c:v>889.36</c:v>
                </c:pt>
                <c:pt idx="113">
                  <c:v>900.51</c:v>
                </c:pt>
                <c:pt idx="114">
                  <c:v>911.31</c:v>
                </c:pt>
                <c:pt idx="115">
                  <c:v>925.39</c:v>
                </c:pt>
                <c:pt idx="116">
                  <c:v>937.71</c:v>
                </c:pt>
                <c:pt idx="117">
                  <c:v>958.38</c:v>
                </c:pt>
                <c:pt idx="118">
                  <c:v>973.16</c:v>
                </c:pt>
                <c:pt idx="119">
                  <c:v>986.93</c:v>
                </c:pt>
                <c:pt idx="120">
                  <c:v>1003.06</c:v>
                </c:pt>
                <c:pt idx="121">
                  <c:v>1014.27</c:v>
                </c:pt>
                <c:pt idx="122">
                  <c:v>1026.3399999999999</c:v>
                </c:pt>
                <c:pt idx="123">
                  <c:v>1041.8</c:v>
                </c:pt>
                <c:pt idx="124">
                  <c:v>1056.92</c:v>
                </c:pt>
                <c:pt idx="125">
                  <c:v>1069.1400000000001</c:v>
                </c:pt>
                <c:pt idx="126">
                  <c:v>1084.4100000000001</c:v>
                </c:pt>
                <c:pt idx="127">
                  <c:v>1099.03</c:v>
                </c:pt>
                <c:pt idx="128">
                  <c:v>1112.56</c:v>
                </c:pt>
                <c:pt idx="129">
                  <c:v>1126.08</c:v>
                </c:pt>
                <c:pt idx="130">
                  <c:v>1142.81</c:v>
                </c:pt>
                <c:pt idx="131">
                  <c:v>1160.1400000000001</c:v>
                </c:pt>
                <c:pt idx="132">
                  <c:v>1176.98</c:v>
                </c:pt>
                <c:pt idx="133">
                  <c:v>1195.52</c:v>
                </c:pt>
                <c:pt idx="134">
                  <c:v>1214.69</c:v>
                </c:pt>
                <c:pt idx="135">
                  <c:v>1229.8</c:v>
                </c:pt>
                <c:pt idx="136">
                  <c:v>1245.69</c:v>
                </c:pt>
                <c:pt idx="137">
                  <c:v>1263.79</c:v>
                </c:pt>
                <c:pt idx="138">
                  <c:v>1280.8800000000001</c:v>
                </c:pt>
                <c:pt idx="139">
                  <c:v>1300.8</c:v>
                </c:pt>
                <c:pt idx="140">
                  <c:v>1320.68</c:v>
                </c:pt>
                <c:pt idx="141">
                  <c:v>1342.01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2-4E15-AD58-9DB348078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276248"/>
        <c:axId val="310274936"/>
      </c:lineChart>
      <c:dateAx>
        <c:axId val="31027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800" b="0" i="0" baseline="0">
                    <a:effectLst/>
                  </a:rPr>
                  <a:t>B</a:t>
                </a:r>
                <a:endParaRPr lang="en-GB" sz="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\-mmm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74936"/>
        <c:crosses val="autoZero"/>
        <c:auto val="1"/>
        <c:lblOffset val="100"/>
        <c:baseTimeUnit val="days"/>
        <c:majorUnit val="1"/>
        <c:majorTimeUnit val="months"/>
      </c:dateAx>
      <c:valAx>
        <c:axId val="31027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76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105</cp:revision>
  <dcterms:created xsi:type="dcterms:W3CDTF">2020-05-28T18:07:00Z</dcterms:created>
  <dcterms:modified xsi:type="dcterms:W3CDTF">2020-07-18T16:25:00Z</dcterms:modified>
</cp:coreProperties>
</file>