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7FF5FC" w14:textId="77777777" w:rsidR="004C518E" w:rsidRPr="00ED29CA" w:rsidRDefault="004C518E" w:rsidP="00D145CC">
      <w:pPr>
        <w:spacing w:after="0" w:line="240" w:lineRule="auto"/>
        <w:jc w:val="center"/>
        <w:rPr>
          <w:rFonts w:ascii="Arial" w:hAnsi="Arial" w:cs="Arial"/>
          <w:b/>
          <w:color w:val="000000" w:themeColor="text1"/>
          <w:sz w:val="40"/>
          <w:szCs w:val="24"/>
        </w:rPr>
      </w:pPr>
      <w:r w:rsidRPr="00ED29CA">
        <w:rPr>
          <w:rFonts w:ascii="Arial" w:hAnsi="Arial" w:cs="Arial"/>
          <w:b/>
          <w:color w:val="000000" w:themeColor="text1"/>
          <w:sz w:val="40"/>
          <w:szCs w:val="24"/>
        </w:rPr>
        <w:t>Case-fatality rate of COVID-19 is declining since May 2020</w:t>
      </w:r>
    </w:p>
    <w:p w14:paraId="0A0CA13D" w14:textId="77777777" w:rsidR="00CA5A64" w:rsidRPr="00ED29CA" w:rsidRDefault="00CA5A64" w:rsidP="00D145CC">
      <w:pPr>
        <w:spacing w:after="0" w:line="480" w:lineRule="auto"/>
        <w:jc w:val="center"/>
        <w:rPr>
          <w:rFonts w:ascii="Arial" w:hAnsi="Arial" w:cs="Arial"/>
          <w:b/>
          <w:color w:val="000000" w:themeColor="text1"/>
          <w:sz w:val="24"/>
          <w:szCs w:val="24"/>
        </w:rPr>
      </w:pPr>
    </w:p>
    <w:p w14:paraId="219248B9" w14:textId="77777777" w:rsidR="004C518E" w:rsidRPr="00ED29CA" w:rsidRDefault="004C518E" w:rsidP="00D145CC">
      <w:pPr>
        <w:spacing w:after="0" w:line="480" w:lineRule="auto"/>
        <w:jc w:val="center"/>
        <w:rPr>
          <w:rFonts w:ascii="Arial" w:hAnsi="Arial" w:cs="Arial"/>
          <w:b/>
          <w:color w:val="000000" w:themeColor="text1"/>
          <w:sz w:val="24"/>
          <w:szCs w:val="24"/>
        </w:rPr>
      </w:pPr>
      <w:r w:rsidRPr="00ED29CA">
        <w:rPr>
          <w:rFonts w:ascii="Arial" w:hAnsi="Arial" w:cs="Arial"/>
          <w:b/>
          <w:color w:val="000000" w:themeColor="text1"/>
          <w:sz w:val="24"/>
          <w:szCs w:val="24"/>
        </w:rPr>
        <w:t>Mohammad Nayeem Hasan</w:t>
      </w:r>
      <w:r w:rsidRPr="00ED29CA">
        <w:rPr>
          <w:rFonts w:ascii="Arial" w:hAnsi="Arial" w:cs="Arial"/>
          <w:b/>
          <w:color w:val="000000" w:themeColor="text1"/>
          <w:sz w:val="24"/>
          <w:szCs w:val="24"/>
          <w:vertAlign w:val="superscript"/>
        </w:rPr>
        <w:t>1</w:t>
      </w:r>
      <w:r w:rsidRPr="00ED29CA">
        <w:rPr>
          <w:rFonts w:ascii="Arial" w:hAnsi="Arial" w:cs="Arial"/>
          <w:b/>
          <w:color w:val="000000" w:themeColor="text1"/>
          <w:sz w:val="24"/>
          <w:szCs w:val="24"/>
        </w:rPr>
        <w:t>, Najmul Haider</w:t>
      </w:r>
      <w:r w:rsidRPr="00ED29CA">
        <w:rPr>
          <w:rFonts w:ascii="Arial" w:hAnsi="Arial" w:cs="Arial"/>
          <w:b/>
          <w:color w:val="000000" w:themeColor="text1"/>
          <w:sz w:val="24"/>
          <w:szCs w:val="24"/>
          <w:vertAlign w:val="superscript"/>
        </w:rPr>
        <w:t>2</w:t>
      </w:r>
      <w:r w:rsidRPr="00ED29CA">
        <w:rPr>
          <w:rFonts w:ascii="Arial" w:hAnsi="Arial" w:cs="Arial"/>
          <w:b/>
          <w:color w:val="000000" w:themeColor="text1"/>
          <w:sz w:val="24"/>
          <w:szCs w:val="24"/>
        </w:rPr>
        <w:t>, Richard A Kock</w:t>
      </w:r>
      <w:r w:rsidRPr="00ED29CA">
        <w:rPr>
          <w:rFonts w:ascii="Arial" w:hAnsi="Arial" w:cs="Arial"/>
          <w:b/>
          <w:color w:val="000000" w:themeColor="text1"/>
          <w:sz w:val="24"/>
          <w:szCs w:val="24"/>
          <w:vertAlign w:val="superscript"/>
        </w:rPr>
        <w:t>2</w:t>
      </w:r>
      <w:r w:rsidRPr="00ED29CA">
        <w:rPr>
          <w:rFonts w:ascii="Arial" w:hAnsi="Arial" w:cs="Arial"/>
          <w:b/>
          <w:color w:val="000000" w:themeColor="text1"/>
          <w:sz w:val="24"/>
          <w:szCs w:val="24"/>
        </w:rPr>
        <w:t>, Md. Jamal Uddin</w:t>
      </w:r>
      <w:r w:rsidRPr="00ED29CA">
        <w:rPr>
          <w:rFonts w:ascii="Arial" w:hAnsi="Arial" w:cs="Arial"/>
          <w:b/>
          <w:color w:val="000000" w:themeColor="text1"/>
          <w:sz w:val="24"/>
          <w:szCs w:val="24"/>
          <w:vertAlign w:val="superscript"/>
        </w:rPr>
        <w:t>1</w:t>
      </w:r>
      <w:bookmarkStart w:id="0" w:name="_GoBack"/>
      <w:bookmarkEnd w:id="0"/>
    </w:p>
    <w:p w14:paraId="03FCB774" w14:textId="77777777" w:rsidR="004C518E" w:rsidRPr="00ED29CA" w:rsidRDefault="004C518E" w:rsidP="00D145CC">
      <w:pPr>
        <w:spacing w:after="0" w:line="480" w:lineRule="auto"/>
        <w:jc w:val="center"/>
        <w:rPr>
          <w:rFonts w:ascii="Arial" w:hAnsi="Arial" w:cs="Arial"/>
          <w:sz w:val="24"/>
          <w:szCs w:val="24"/>
        </w:rPr>
      </w:pPr>
    </w:p>
    <w:p w14:paraId="1116933E" w14:textId="70BC7E74" w:rsidR="004C518E" w:rsidRPr="00ED29CA" w:rsidRDefault="004C518E" w:rsidP="00D145CC">
      <w:pPr>
        <w:spacing w:after="0" w:line="480" w:lineRule="auto"/>
        <w:jc w:val="center"/>
        <w:rPr>
          <w:rFonts w:ascii="Arial" w:hAnsi="Arial" w:cs="Arial"/>
          <w:sz w:val="24"/>
          <w:szCs w:val="24"/>
        </w:rPr>
      </w:pPr>
      <w:r w:rsidRPr="00ED29CA">
        <w:rPr>
          <w:rFonts w:ascii="Arial" w:hAnsi="Arial" w:cs="Arial"/>
          <w:sz w:val="24"/>
          <w:szCs w:val="24"/>
          <w:vertAlign w:val="superscript"/>
        </w:rPr>
        <w:t xml:space="preserve">1 </w:t>
      </w:r>
      <w:r w:rsidRPr="00ED29CA">
        <w:rPr>
          <w:rFonts w:ascii="Arial" w:hAnsi="Arial" w:cs="Arial"/>
          <w:sz w:val="24"/>
          <w:szCs w:val="24"/>
        </w:rPr>
        <w:t>Department of Statistics, Shahjalal University of Science and Technology, Sylhet 3114, Bangladesh.</w:t>
      </w:r>
    </w:p>
    <w:p w14:paraId="2A1B6A8C" w14:textId="77777777" w:rsidR="004C518E" w:rsidRPr="00ED29CA" w:rsidRDefault="004C518E" w:rsidP="00D145CC">
      <w:pPr>
        <w:spacing w:after="0" w:line="480" w:lineRule="auto"/>
        <w:jc w:val="center"/>
        <w:rPr>
          <w:rFonts w:ascii="Arial" w:hAnsi="Arial" w:cs="Arial"/>
          <w:color w:val="000000" w:themeColor="text1"/>
          <w:sz w:val="24"/>
          <w:szCs w:val="24"/>
        </w:rPr>
      </w:pPr>
      <w:r w:rsidRPr="00ED29CA">
        <w:rPr>
          <w:rFonts w:ascii="Arial" w:hAnsi="Arial" w:cs="Arial"/>
          <w:sz w:val="24"/>
          <w:szCs w:val="24"/>
          <w:vertAlign w:val="superscript"/>
        </w:rPr>
        <w:t xml:space="preserve">2 </w:t>
      </w:r>
      <w:r w:rsidRPr="00ED29CA">
        <w:rPr>
          <w:rFonts w:ascii="Arial" w:hAnsi="Arial" w:cs="Arial"/>
          <w:sz w:val="24"/>
          <w:szCs w:val="24"/>
        </w:rPr>
        <w:t>The Royal Veterinary College, University of London, Hawkshead Lane, North Mymms, Hatfield, Hertfordshire</w:t>
      </w:r>
    </w:p>
    <w:p w14:paraId="78D33919" w14:textId="77777777" w:rsidR="004C518E" w:rsidRPr="00ED29CA" w:rsidRDefault="004C518E" w:rsidP="00D145CC">
      <w:pPr>
        <w:spacing w:after="0" w:line="480" w:lineRule="auto"/>
        <w:jc w:val="both"/>
        <w:rPr>
          <w:rFonts w:ascii="Arial" w:hAnsi="Arial" w:cs="Arial"/>
          <w:color w:val="000000" w:themeColor="text1"/>
          <w:sz w:val="24"/>
          <w:szCs w:val="24"/>
        </w:rPr>
      </w:pPr>
    </w:p>
    <w:p w14:paraId="5A4275C8" w14:textId="77777777" w:rsidR="004C518E" w:rsidRPr="00ED29CA" w:rsidRDefault="004C518E" w:rsidP="00D145CC">
      <w:pPr>
        <w:spacing w:after="0" w:line="480" w:lineRule="auto"/>
        <w:jc w:val="both"/>
        <w:rPr>
          <w:rFonts w:ascii="Arial" w:hAnsi="Arial" w:cs="Arial"/>
          <w:b/>
          <w:color w:val="000000" w:themeColor="text1"/>
          <w:sz w:val="24"/>
          <w:szCs w:val="24"/>
        </w:rPr>
      </w:pPr>
      <w:r w:rsidRPr="00ED29CA">
        <w:rPr>
          <w:rFonts w:ascii="Arial" w:hAnsi="Arial" w:cs="Arial"/>
          <w:b/>
          <w:color w:val="000000" w:themeColor="text1"/>
          <w:sz w:val="24"/>
          <w:szCs w:val="24"/>
        </w:rPr>
        <w:t>Abstract:</w:t>
      </w:r>
    </w:p>
    <w:p w14:paraId="42AD63AE" w14:textId="77777777" w:rsidR="004C518E" w:rsidRPr="00ED29CA" w:rsidRDefault="004C518E" w:rsidP="00D145CC">
      <w:pPr>
        <w:spacing w:after="0" w:line="480" w:lineRule="auto"/>
        <w:jc w:val="both"/>
        <w:rPr>
          <w:rFonts w:ascii="Arial" w:hAnsi="Arial" w:cs="Arial"/>
          <w:b/>
          <w:color w:val="000000" w:themeColor="text1"/>
          <w:sz w:val="24"/>
          <w:szCs w:val="24"/>
        </w:rPr>
      </w:pPr>
      <w:r w:rsidRPr="00ED29CA">
        <w:rPr>
          <w:rFonts w:ascii="Arial" w:hAnsi="Arial" w:cs="Arial"/>
          <w:b/>
          <w:color w:val="000000" w:themeColor="text1"/>
          <w:sz w:val="24"/>
          <w:szCs w:val="24"/>
        </w:rPr>
        <w:t>Background</w:t>
      </w:r>
    </w:p>
    <w:p w14:paraId="10D5E4E1" w14:textId="77777777" w:rsidR="004C518E" w:rsidRPr="00ED29CA" w:rsidRDefault="004C518E" w:rsidP="00D145CC">
      <w:pPr>
        <w:spacing w:after="0" w:line="480" w:lineRule="auto"/>
        <w:jc w:val="both"/>
        <w:rPr>
          <w:rFonts w:ascii="Arial" w:hAnsi="Arial" w:cs="Arial"/>
          <w:b/>
          <w:color w:val="000000" w:themeColor="text1"/>
          <w:sz w:val="24"/>
          <w:szCs w:val="24"/>
        </w:rPr>
      </w:pPr>
      <w:r w:rsidRPr="00ED29CA">
        <w:rPr>
          <w:rFonts w:ascii="Arial" w:hAnsi="Arial" w:cs="Arial"/>
          <w:color w:val="000000" w:themeColor="text1"/>
          <w:sz w:val="24"/>
          <w:szCs w:val="24"/>
        </w:rPr>
        <w:t xml:space="preserve">The Case fatality rate (CFR) of any disease defined as the risk of death among infected cases indicates the severity of the infection. The objective of this study was to understand the variation of reported CFR (rCFR) of COVID-19 based on reported </w:t>
      </w:r>
      <w:r w:rsidR="003863F7" w:rsidRPr="00ED29CA">
        <w:rPr>
          <w:rFonts w:ascii="Arial" w:hAnsi="Arial" w:cs="Arial"/>
          <w:color w:val="000000" w:themeColor="text1"/>
          <w:sz w:val="24"/>
          <w:szCs w:val="24"/>
        </w:rPr>
        <w:t xml:space="preserve">COVID-19 cases and deaths </w:t>
      </w:r>
      <w:r w:rsidRPr="00ED29CA">
        <w:rPr>
          <w:rFonts w:ascii="Arial" w:hAnsi="Arial" w:cs="Arial"/>
          <w:color w:val="000000" w:themeColor="text1"/>
          <w:sz w:val="24"/>
          <w:szCs w:val="24"/>
        </w:rPr>
        <w:t xml:space="preserve">data globally over </w:t>
      </w:r>
      <w:r w:rsidR="00FC5DB8" w:rsidRPr="00ED29CA">
        <w:rPr>
          <w:rFonts w:ascii="Arial" w:hAnsi="Arial" w:cs="Arial"/>
          <w:color w:val="000000" w:themeColor="text1"/>
          <w:sz w:val="24"/>
          <w:szCs w:val="24"/>
        </w:rPr>
        <w:t>time</w:t>
      </w:r>
      <w:r w:rsidR="00FD3C3E" w:rsidRPr="00ED29CA">
        <w:rPr>
          <w:rFonts w:ascii="Arial" w:hAnsi="Arial" w:cs="Arial"/>
          <w:color w:val="000000" w:themeColor="text1"/>
          <w:sz w:val="24"/>
          <w:szCs w:val="24"/>
        </w:rPr>
        <w:t xml:space="preserve"> and to identify variables that</w:t>
      </w:r>
      <w:r w:rsidRPr="00ED29CA">
        <w:rPr>
          <w:rFonts w:ascii="Arial" w:hAnsi="Arial" w:cs="Arial"/>
          <w:color w:val="000000" w:themeColor="text1"/>
          <w:sz w:val="24"/>
          <w:szCs w:val="24"/>
        </w:rPr>
        <w:t xml:space="preserve"> explain these differences in the rCFR of COVID-19 pandemic</w:t>
      </w:r>
      <w:r w:rsidR="00FD3C3E" w:rsidRPr="00ED29CA">
        <w:rPr>
          <w:rFonts w:ascii="Arial" w:hAnsi="Arial" w:cs="Arial"/>
          <w:color w:val="000000" w:themeColor="text1"/>
          <w:sz w:val="24"/>
          <w:szCs w:val="24"/>
        </w:rPr>
        <w:t xml:space="preserve"> in different situations</w:t>
      </w:r>
      <w:r w:rsidRPr="00ED29CA">
        <w:rPr>
          <w:rFonts w:ascii="Arial" w:hAnsi="Arial" w:cs="Arial"/>
          <w:color w:val="000000" w:themeColor="text1"/>
          <w:sz w:val="24"/>
          <w:szCs w:val="24"/>
        </w:rPr>
        <w:t xml:space="preserve">. </w:t>
      </w:r>
    </w:p>
    <w:p w14:paraId="78BA36F8" w14:textId="77777777" w:rsidR="004C518E" w:rsidRPr="00ED29CA" w:rsidRDefault="004C518E" w:rsidP="00D145CC">
      <w:pPr>
        <w:spacing w:after="0" w:line="480" w:lineRule="auto"/>
        <w:jc w:val="both"/>
        <w:rPr>
          <w:rFonts w:ascii="Arial" w:hAnsi="Arial" w:cs="Arial"/>
          <w:b/>
          <w:color w:val="000000" w:themeColor="text1"/>
          <w:sz w:val="24"/>
          <w:szCs w:val="24"/>
        </w:rPr>
      </w:pPr>
    </w:p>
    <w:p w14:paraId="1ADBC0E1" w14:textId="77777777" w:rsidR="004C518E" w:rsidRPr="00ED29CA" w:rsidRDefault="004C518E" w:rsidP="00D145CC">
      <w:pPr>
        <w:spacing w:after="0" w:line="480" w:lineRule="auto"/>
        <w:jc w:val="both"/>
        <w:rPr>
          <w:rFonts w:ascii="Arial" w:hAnsi="Arial" w:cs="Arial"/>
          <w:b/>
          <w:color w:val="000000" w:themeColor="text1"/>
          <w:sz w:val="24"/>
          <w:szCs w:val="24"/>
        </w:rPr>
      </w:pPr>
      <w:r w:rsidRPr="00ED29CA">
        <w:rPr>
          <w:rFonts w:ascii="Arial" w:hAnsi="Arial" w:cs="Arial"/>
          <w:b/>
          <w:color w:val="000000" w:themeColor="text1"/>
          <w:sz w:val="24"/>
          <w:szCs w:val="24"/>
        </w:rPr>
        <w:t>Methods</w:t>
      </w:r>
    </w:p>
    <w:p w14:paraId="7B834A15" w14:textId="77777777" w:rsidR="004C518E" w:rsidRPr="00ED29CA" w:rsidRDefault="004C518E" w:rsidP="00D145CC">
      <w:pPr>
        <w:spacing w:after="0" w:line="480" w:lineRule="auto"/>
        <w:jc w:val="both"/>
        <w:rPr>
          <w:rFonts w:ascii="Arial" w:hAnsi="Arial" w:cs="Arial"/>
          <w:b/>
          <w:color w:val="000000" w:themeColor="text1"/>
          <w:sz w:val="24"/>
          <w:szCs w:val="24"/>
        </w:rPr>
      </w:pPr>
      <w:r w:rsidRPr="00ED29CA">
        <w:rPr>
          <w:rFonts w:ascii="Arial" w:hAnsi="Arial" w:cs="Arial"/>
          <w:color w:val="000000" w:themeColor="text1"/>
          <w:sz w:val="24"/>
          <w:szCs w:val="24"/>
        </w:rPr>
        <w:t xml:space="preserve">We collected </w:t>
      </w:r>
      <w:r w:rsidR="00B66B46" w:rsidRPr="00ED29CA">
        <w:rPr>
          <w:rFonts w:ascii="Arial" w:hAnsi="Arial" w:cs="Arial"/>
          <w:color w:val="000000" w:themeColor="text1"/>
          <w:sz w:val="24"/>
          <w:szCs w:val="24"/>
        </w:rPr>
        <w:t xml:space="preserve">daily </w:t>
      </w:r>
      <w:r w:rsidR="006938E6" w:rsidRPr="00ED29CA">
        <w:rPr>
          <w:rFonts w:ascii="Arial" w:hAnsi="Arial" w:cs="Arial"/>
          <w:color w:val="000000" w:themeColor="text1"/>
          <w:sz w:val="24"/>
          <w:szCs w:val="24"/>
        </w:rPr>
        <w:t xml:space="preserve">COVID-19 cases and deaths </w:t>
      </w:r>
      <w:r w:rsidRPr="00ED29CA">
        <w:rPr>
          <w:rFonts w:ascii="Arial" w:hAnsi="Arial" w:cs="Arial"/>
          <w:color w:val="000000" w:themeColor="text1"/>
          <w:sz w:val="24"/>
          <w:szCs w:val="24"/>
        </w:rPr>
        <w:t>data from the WHO</w:t>
      </w:r>
      <w:r w:rsidR="00C67230" w:rsidRPr="00ED29CA">
        <w:rPr>
          <w:rFonts w:ascii="Arial" w:hAnsi="Arial" w:cs="Arial"/>
          <w:color w:val="000000" w:themeColor="text1"/>
          <w:sz w:val="24"/>
          <w:szCs w:val="24"/>
        </w:rPr>
        <w:t>’s</w:t>
      </w:r>
      <w:r w:rsidRPr="00ED29CA">
        <w:rPr>
          <w:rFonts w:ascii="Arial" w:hAnsi="Arial" w:cs="Arial"/>
          <w:color w:val="000000" w:themeColor="text1"/>
          <w:sz w:val="24"/>
          <w:szCs w:val="24"/>
        </w:rPr>
        <w:t xml:space="preserve"> daily </w:t>
      </w:r>
      <w:r w:rsidR="00C67230" w:rsidRPr="00ED29CA">
        <w:rPr>
          <w:rFonts w:ascii="Arial" w:hAnsi="Arial" w:cs="Arial"/>
          <w:color w:val="000000" w:themeColor="text1"/>
          <w:sz w:val="24"/>
          <w:szCs w:val="24"/>
        </w:rPr>
        <w:t xml:space="preserve">situation reports from January </w:t>
      </w:r>
      <w:r w:rsidRPr="00ED29CA">
        <w:rPr>
          <w:rFonts w:ascii="Arial" w:hAnsi="Arial" w:cs="Arial"/>
          <w:color w:val="000000" w:themeColor="text1"/>
          <w:sz w:val="24"/>
          <w:szCs w:val="24"/>
        </w:rPr>
        <w:t xml:space="preserve">1 to August </w:t>
      </w:r>
      <w:r w:rsidR="00180ECF" w:rsidRPr="00ED29CA">
        <w:rPr>
          <w:rFonts w:ascii="Arial" w:hAnsi="Arial" w:cs="Arial"/>
          <w:color w:val="000000" w:themeColor="text1"/>
          <w:sz w:val="24"/>
          <w:szCs w:val="24"/>
        </w:rPr>
        <w:t>31</w:t>
      </w:r>
      <w:r w:rsidRPr="00ED29CA">
        <w:rPr>
          <w:rFonts w:ascii="Arial" w:hAnsi="Arial" w:cs="Arial"/>
          <w:color w:val="000000" w:themeColor="text1"/>
          <w:sz w:val="24"/>
          <w:szCs w:val="24"/>
        </w:rPr>
        <w:t>, 2020</w:t>
      </w:r>
      <w:r w:rsidR="003A2273" w:rsidRPr="00ED29CA">
        <w:rPr>
          <w:rFonts w:ascii="Arial" w:hAnsi="Arial" w:cs="Arial"/>
          <w:color w:val="000000" w:themeColor="text1"/>
          <w:sz w:val="24"/>
          <w:szCs w:val="24"/>
        </w:rPr>
        <w:t xml:space="preserve"> (Epidemiological week 1-35)</w:t>
      </w:r>
      <w:r w:rsidRPr="00ED29CA">
        <w:rPr>
          <w:rFonts w:ascii="Arial" w:hAnsi="Arial" w:cs="Arial"/>
          <w:color w:val="000000" w:themeColor="text1"/>
          <w:sz w:val="24"/>
          <w:szCs w:val="24"/>
        </w:rPr>
        <w:t xml:space="preserve">. Further, we collected explanatory variables for each country including population density, gross domestic product (GDP), worldwide governance indicator (WGI), Global Health Security Index (GHSI), the prevalence of obesity, the percentage of people </w:t>
      </w:r>
      <w:r w:rsidR="00DD79FE" w:rsidRPr="00ED29CA">
        <w:rPr>
          <w:rFonts w:ascii="Arial" w:hAnsi="Arial" w:cs="Arial"/>
          <w:color w:val="000000" w:themeColor="text1"/>
          <w:sz w:val="24"/>
          <w:szCs w:val="24"/>
        </w:rPr>
        <w:t>aged</w:t>
      </w:r>
      <w:r w:rsidRPr="00ED29CA">
        <w:rPr>
          <w:rFonts w:ascii="Arial" w:hAnsi="Arial" w:cs="Arial"/>
          <w:color w:val="000000" w:themeColor="text1"/>
          <w:sz w:val="24"/>
          <w:szCs w:val="24"/>
        </w:rPr>
        <w:t xml:space="preserve"> 65 </w:t>
      </w:r>
      <w:r w:rsidR="00DD79FE" w:rsidRPr="00ED29CA">
        <w:rPr>
          <w:rFonts w:ascii="Arial" w:hAnsi="Arial" w:cs="Arial"/>
          <w:color w:val="000000" w:themeColor="text1"/>
          <w:sz w:val="24"/>
          <w:szCs w:val="24"/>
        </w:rPr>
        <w:t>and above</w:t>
      </w:r>
      <w:r w:rsidRPr="00ED29CA">
        <w:rPr>
          <w:rFonts w:ascii="Arial" w:hAnsi="Arial" w:cs="Arial"/>
          <w:color w:val="000000" w:themeColor="text1"/>
          <w:sz w:val="24"/>
          <w:szCs w:val="24"/>
        </w:rPr>
        <w:t xml:space="preserve">. </w:t>
      </w:r>
      <w:r w:rsidR="007C65D2" w:rsidRPr="00ED29CA">
        <w:rPr>
          <w:rFonts w:ascii="Arial" w:hAnsi="Arial" w:cs="Arial"/>
          <w:color w:val="000000" w:themeColor="text1"/>
          <w:sz w:val="24"/>
          <w:szCs w:val="24"/>
        </w:rPr>
        <w:t xml:space="preserve">We performed an autoregressive integrated moving average (ARIMA) and </w:t>
      </w:r>
      <w:r w:rsidR="007C65D2" w:rsidRPr="00ED29CA">
        <w:rPr>
          <w:rFonts w:ascii="Arial" w:hAnsi="Arial" w:cs="Arial"/>
          <w:color w:val="000000" w:themeColor="text1"/>
          <w:sz w:val="24"/>
          <w:szCs w:val="24"/>
        </w:rPr>
        <w:lastRenderedPageBreak/>
        <w:t>automatic forecasting time-</w:t>
      </w:r>
      <w:r w:rsidR="00AD27CD" w:rsidRPr="00ED29CA">
        <w:rPr>
          <w:rFonts w:ascii="Arial" w:hAnsi="Arial" w:cs="Arial"/>
          <w:color w:val="000000" w:themeColor="text1"/>
          <w:sz w:val="24"/>
          <w:szCs w:val="24"/>
        </w:rPr>
        <w:t>series model to predict 10-days</w:t>
      </w:r>
      <w:r w:rsidR="00E033BB" w:rsidRPr="00ED29CA">
        <w:rPr>
          <w:rFonts w:ascii="Arial" w:hAnsi="Arial" w:cs="Arial"/>
          <w:color w:val="000000" w:themeColor="text1"/>
          <w:sz w:val="24"/>
          <w:szCs w:val="24"/>
        </w:rPr>
        <w:t xml:space="preserve"> </w:t>
      </w:r>
      <w:r w:rsidR="007C65D2" w:rsidRPr="00ED29CA">
        <w:rPr>
          <w:rFonts w:ascii="Arial" w:hAnsi="Arial" w:cs="Arial"/>
          <w:bCs/>
          <w:color w:val="000000" w:themeColor="text1"/>
          <w:sz w:val="24"/>
          <w:szCs w:val="24"/>
        </w:rPr>
        <w:t>CFR</w:t>
      </w:r>
      <w:r w:rsidR="00C742F9" w:rsidRPr="00ED29CA">
        <w:rPr>
          <w:rFonts w:ascii="Arial" w:hAnsi="Arial" w:cs="Arial"/>
          <w:color w:val="000000" w:themeColor="text1"/>
          <w:sz w:val="24"/>
          <w:szCs w:val="24"/>
        </w:rPr>
        <w:t xml:space="preserve"> and compared with the r</w:t>
      </w:r>
      <w:r w:rsidR="007C65D2" w:rsidRPr="00ED29CA">
        <w:rPr>
          <w:rFonts w:ascii="Arial" w:hAnsi="Arial" w:cs="Arial"/>
          <w:bCs/>
          <w:color w:val="000000" w:themeColor="text1"/>
          <w:sz w:val="24"/>
          <w:szCs w:val="24"/>
        </w:rPr>
        <w:t>CFR data</w:t>
      </w:r>
      <w:r w:rsidR="007C65D2" w:rsidRPr="00ED29CA">
        <w:rPr>
          <w:rFonts w:ascii="Arial" w:hAnsi="Arial" w:cs="Arial"/>
          <w:color w:val="000000" w:themeColor="text1"/>
          <w:sz w:val="24"/>
          <w:szCs w:val="24"/>
        </w:rPr>
        <w:t xml:space="preserve">. </w:t>
      </w:r>
      <w:r w:rsidRPr="00ED29CA">
        <w:rPr>
          <w:rFonts w:ascii="Arial" w:hAnsi="Arial" w:cs="Arial"/>
          <w:color w:val="000000" w:themeColor="text1"/>
          <w:sz w:val="24"/>
          <w:szCs w:val="24"/>
        </w:rPr>
        <w:t xml:space="preserve">We used beta regression models to investigate the association between the </w:t>
      </w:r>
      <w:r w:rsidR="00FA4498" w:rsidRPr="00ED29CA">
        <w:rPr>
          <w:rFonts w:ascii="Arial" w:hAnsi="Arial" w:cs="Arial"/>
          <w:color w:val="000000" w:themeColor="text1"/>
          <w:sz w:val="24"/>
          <w:szCs w:val="24"/>
        </w:rPr>
        <w:t>r</w:t>
      </w:r>
      <w:r w:rsidRPr="00ED29CA">
        <w:rPr>
          <w:rFonts w:ascii="Arial" w:hAnsi="Arial" w:cs="Arial"/>
          <w:color w:val="000000" w:themeColor="text1"/>
          <w:sz w:val="24"/>
          <w:szCs w:val="24"/>
        </w:rPr>
        <w:t xml:space="preserve">CFR and potential predictors of each country </w:t>
      </w:r>
      <w:r w:rsidR="00AE3E6A" w:rsidRPr="00ED29CA">
        <w:rPr>
          <w:rFonts w:ascii="Arial" w:hAnsi="Arial" w:cs="Arial"/>
          <w:color w:val="000000" w:themeColor="text1"/>
          <w:sz w:val="24"/>
          <w:szCs w:val="24"/>
        </w:rPr>
        <w:t xml:space="preserve">and </w:t>
      </w:r>
      <w:r w:rsidRPr="00ED29CA">
        <w:rPr>
          <w:rFonts w:ascii="Arial" w:hAnsi="Arial" w:cs="Arial"/>
          <w:color w:val="000000" w:themeColor="text1"/>
          <w:sz w:val="24"/>
          <w:szCs w:val="24"/>
        </w:rPr>
        <w:t>reported incidence rate ratios (IRRs)</w:t>
      </w:r>
      <w:r w:rsidR="00AE3E6A" w:rsidRPr="00ED29CA">
        <w:rPr>
          <w:rFonts w:ascii="Arial" w:hAnsi="Arial" w:cs="Arial"/>
          <w:color w:val="000000" w:themeColor="text1"/>
          <w:sz w:val="24"/>
          <w:szCs w:val="24"/>
        </w:rPr>
        <w:t xml:space="preserve"> of each variable</w:t>
      </w:r>
      <w:r w:rsidRPr="00ED29CA">
        <w:rPr>
          <w:rFonts w:ascii="Arial" w:hAnsi="Arial" w:cs="Arial"/>
          <w:color w:val="000000" w:themeColor="text1"/>
          <w:sz w:val="24"/>
          <w:szCs w:val="24"/>
        </w:rPr>
        <w:t xml:space="preserve">. </w:t>
      </w:r>
    </w:p>
    <w:p w14:paraId="76BDF95E" w14:textId="77777777" w:rsidR="007C65D2" w:rsidRPr="00ED29CA" w:rsidRDefault="007C65D2" w:rsidP="00D145CC">
      <w:pPr>
        <w:spacing w:after="0" w:line="480" w:lineRule="auto"/>
        <w:jc w:val="both"/>
        <w:rPr>
          <w:rFonts w:ascii="Arial" w:hAnsi="Arial" w:cs="Arial"/>
          <w:b/>
          <w:color w:val="000000" w:themeColor="text1"/>
          <w:sz w:val="24"/>
          <w:szCs w:val="24"/>
        </w:rPr>
      </w:pPr>
    </w:p>
    <w:p w14:paraId="71148128" w14:textId="77777777" w:rsidR="004C518E" w:rsidRPr="00ED29CA" w:rsidRDefault="004C518E" w:rsidP="00D145CC">
      <w:pPr>
        <w:spacing w:after="0" w:line="480" w:lineRule="auto"/>
        <w:jc w:val="both"/>
        <w:rPr>
          <w:rFonts w:ascii="Arial" w:hAnsi="Arial" w:cs="Arial"/>
          <w:b/>
          <w:color w:val="000000" w:themeColor="text1"/>
          <w:sz w:val="24"/>
          <w:szCs w:val="24"/>
        </w:rPr>
      </w:pPr>
      <w:r w:rsidRPr="00ED29CA">
        <w:rPr>
          <w:rFonts w:ascii="Arial" w:hAnsi="Arial" w:cs="Arial"/>
          <w:b/>
          <w:color w:val="000000" w:themeColor="text1"/>
          <w:sz w:val="24"/>
          <w:szCs w:val="24"/>
        </w:rPr>
        <w:t>Results</w:t>
      </w:r>
    </w:p>
    <w:p w14:paraId="3AABDF08" w14:textId="77777777" w:rsidR="004C518E" w:rsidRPr="00ED29CA" w:rsidRDefault="004C518E" w:rsidP="00D145CC">
      <w:pPr>
        <w:spacing w:after="0" w:line="480" w:lineRule="auto"/>
        <w:jc w:val="both"/>
        <w:rPr>
          <w:rFonts w:ascii="Arial" w:hAnsi="Arial" w:cs="Arial"/>
          <w:color w:val="000000" w:themeColor="text1"/>
          <w:sz w:val="24"/>
          <w:szCs w:val="24"/>
        </w:rPr>
      </w:pPr>
      <w:r w:rsidRPr="00ED29CA">
        <w:rPr>
          <w:rFonts w:ascii="Arial" w:hAnsi="Arial" w:cs="Arial"/>
          <w:color w:val="000000" w:themeColor="text1"/>
          <w:sz w:val="24"/>
          <w:szCs w:val="24"/>
        </w:rPr>
        <w:t>The weekly global cumulative COVID-19 rCFR reached the peak at 7.23 during 17</w:t>
      </w:r>
      <w:r w:rsidRPr="00ED29CA">
        <w:rPr>
          <w:rFonts w:ascii="Arial" w:hAnsi="Arial" w:cs="Arial"/>
          <w:color w:val="000000" w:themeColor="text1"/>
          <w:sz w:val="24"/>
          <w:szCs w:val="24"/>
          <w:vertAlign w:val="superscript"/>
        </w:rPr>
        <w:t>th</w:t>
      </w:r>
      <w:r w:rsidRPr="00ED29CA">
        <w:rPr>
          <w:rFonts w:ascii="Arial" w:hAnsi="Arial" w:cs="Arial"/>
          <w:color w:val="000000" w:themeColor="text1"/>
          <w:sz w:val="24"/>
          <w:szCs w:val="24"/>
        </w:rPr>
        <w:t xml:space="preserve"> Epidemiological week (April 22-28, 2020). We found a positive and in</w:t>
      </w:r>
      <w:r w:rsidR="00E7106D" w:rsidRPr="00ED29CA">
        <w:rPr>
          <w:rFonts w:ascii="Arial" w:hAnsi="Arial" w:cs="Arial"/>
          <w:color w:val="000000" w:themeColor="text1"/>
          <w:sz w:val="24"/>
          <w:szCs w:val="24"/>
        </w:rPr>
        <w:t xml:space="preserve">creasing trend for global daily </w:t>
      </w:r>
      <w:r w:rsidRPr="00ED29CA">
        <w:rPr>
          <w:rFonts w:ascii="Arial" w:hAnsi="Arial" w:cs="Arial"/>
          <w:color w:val="000000" w:themeColor="text1"/>
          <w:sz w:val="24"/>
          <w:szCs w:val="24"/>
        </w:rPr>
        <w:t>rCFR of COVID-19 until 17th Epidemiological week and then a strong declining trend  up until 35</w:t>
      </w:r>
      <w:r w:rsidRPr="00ED29CA">
        <w:rPr>
          <w:rFonts w:ascii="Arial" w:hAnsi="Arial" w:cs="Arial"/>
          <w:color w:val="000000" w:themeColor="text1"/>
          <w:sz w:val="24"/>
          <w:szCs w:val="24"/>
          <w:vertAlign w:val="superscript"/>
        </w:rPr>
        <w:t>th</w:t>
      </w:r>
      <w:r w:rsidR="00DB670F" w:rsidRPr="00ED29CA">
        <w:rPr>
          <w:rFonts w:ascii="Arial" w:hAnsi="Arial" w:cs="Arial"/>
          <w:color w:val="000000" w:themeColor="text1"/>
          <w:sz w:val="24"/>
          <w:szCs w:val="24"/>
        </w:rPr>
        <w:t xml:space="preserve"> week</w:t>
      </w:r>
      <w:r w:rsidR="004C7960" w:rsidRPr="00ED29CA">
        <w:rPr>
          <w:rFonts w:ascii="Arial" w:hAnsi="Arial" w:cs="Arial"/>
          <w:color w:val="000000" w:themeColor="text1"/>
          <w:sz w:val="24"/>
          <w:szCs w:val="24"/>
        </w:rPr>
        <w:t xml:space="preserve"> at 3.4</w:t>
      </w:r>
      <w:r w:rsidR="00DB670F" w:rsidRPr="00ED29CA">
        <w:rPr>
          <w:rFonts w:ascii="Arial" w:hAnsi="Arial" w:cs="Arial"/>
          <w:color w:val="000000" w:themeColor="text1"/>
          <w:sz w:val="24"/>
          <w:szCs w:val="24"/>
        </w:rPr>
        <w:t xml:space="preserve"> (August 25-31,</w:t>
      </w:r>
      <w:r w:rsidRPr="00ED29CA">
        <w:rPr>
          <w:rFonts w:ascii="Arial" w:hAnsi="Arial" w:cs="Arial"/>
          <w:color w:val="000000" w:themeColor="text1"/>
          <w:sz w:val="24"/>
          <w:szCs w:val="24"/>
        </w:rPr>
        <w:t xml:space="preserve"> 2020) in ARIMA and automatic forecasting time-series model (Root Mean Square Error</w:t>
      </w:r>
      <w:r w:rsidRPr="00ED29CA">
        <w:rPr>
          <w:rFonts w:ascii="Arial" w:hAnsi="Arial" w:cs="Arial"/>
          <w:color w:val="000000" w:themeColor="text1"/>
          <w:sz w:val="24"/>
          <w:szCs w:val="24"/>
          <w:vertAlign w:val="superscript"/>
        </w:rPr>
        <w:t xml:space="preserve"> </w:t>
      </w:r>
      <w:r w:rsidRPr="00ED29CA">
        <w:rPr>
          <w:rFonts w:ascii="Arial" w:hAnsi="Arial" w:cs="Arial"/>
          <w:color w:val="000000" w:themeColor="text1"/>
          <w:sz w:val="24"/>
          <w:szCs w:val="24"/>
        </w:rPr>
        <w:t>: 0. 22 and 0.44 respectively)</w:t>
      </w:r>
      <w:r w:rsidR="008B4687" w:rsidRPr="00ED29CA">
        <w:rPr>
          <w:rFonts w:ascii="Arial" w:hAnsi="Arial" w:cs="Arial"/>
          <w:color w:val="000000" w:themeColor="text1"/>
          <w:sz w:val="24"/>
          <w:szCs w:val="24"/>
        </w:rPr>
        <w:t xml:space="preserve"> (</w:t>
      </w:r>
      <w:r w:rsidR="008B4687" w:rsidRPr="00ED29CA">
        <w:rPr>
          <w:rFonts w:ascii="Arial" w:hAnsi="Arial" w:cs="Arial"/>
          <w:b/>
          <w:color w:val="000000" w:themeColor="text1"/>
          <w:sz w:val="24"/>
          <w:szCs w:val="24"/>
        </w:rPr>
        <w:t>Fig 1</w:t>
      </w:r>
      <w:r w:rsidR="008B4687" w:rsidRPr="00ED29CA">
        <w:rPr>
          <w:rFonts w:ascii="Arial" w:hAnsi="Arial" w:cs="Arial"/>
          <w:color w:val="000000" w:themeColor="text1"/>
          <w:sz w:val="24"/>
          <w:szCs w:val="24"/>
        </w:rPr>
        <w:t>)</w:t>
      </w:r>
      <w:r w:rsidRPr="00ED29CA">
        <w:rPr>
          <w:rFonts w:ascii="Arial" w:hAnsi="Arial" w:cs="Arial"/>
          <w:color w:val="000000" w:themeColor="text1"/>
          <w:sz w:val="24"/>
          <w:szCs w:val="24"/>
        </w:rPr>
        <w:t>. In both epidemiological periods (pre-and post-peak of r</w:t>
      </w:r>
      <w:r w:rsidRPr="00ED29CA">
        <w:rPr>
          <w:rFonts w:ascii="Arial" w:hAnsi="Arial" w:cs="Arial"/>
          <w:bCs/>
          <w:color w:val="000000" w:themeColor="text1"/>
          <w:sz w:val="24"/>
          <w:szCs w:val="24"/>
        </w:rPr>
        <w:t>CFR</w:t>
      </w:r>
      <w:r w:rsidRPr="00ED29CA">
        <w:rPr>
          <w:rFonts w:ascii="Arial" w:hAnsi="Arial" w:cs="Arial"/>
          <w:color w:val="000000" w:themeColor="text1"/>
          <w:sz w:val="24"/>
          <w:szCs w:val="24"/>
        </w:rPr>
        <w:t xml:space="preserve">), </w:t>
      </w:r>
      <w:r w:rsidR="007D4E80" w:rsidRPr="00ED29CA">
        <w:rPr>
          <w:rFonts w:ascii="Arial" w:hAnsi="Arial" w:cs="Arial"/>
          <w:color w:val="000000" w:themeColor="text1"/>
          <w:sz w:val="24"/>
          <w:szCs w:val="24"/>
        </w:rPr>
        <w:t xml:space="preserve">the percentage of people aged 65 and above </w:t>
      </w:r>
      <w:r w:rsidRPr="00ED29CA">
        <w:rPr>
          <w:rFonts w:ascii="Arial" w:hAnsi="Arial" w:cs="Arial"/>
          <w:color w:val="000000" w:themeColor="text1"/>
          <w:sz w:val="24"/>
          <w:szCs w:val="24"/>
        </w:rPr>
        <w:t xml:space="preserve">(IRR: </w:t>
      </w:r>
      <w:r w:rsidR="007D4E80" w:rsidRPr="00ED29CA">
        <w:rPr>
          <w:rFonts w:ascii="Arial" w:hAnsi="Arial" w:cs="Arial"/>
          <w:color w:val="000000" w:themeColor="text1"/>
          <w:sz w:val="24"/>
          <w:szCs w:val="24"/>
        </w:rPr>
        <w:t>1.07</w:t>
      </w:r>
      <w:r w:rsidRPr="00ED29CA">
        <w:rPr>
          <w:rFonts w:ascii="Arial" w:hAnsi="Arial" w:cs="Arial"/>
          <w:color w:val="000000" w:themeColor="text1"/>
          <w:sz w:val="24"/>
          <w:szCs w:val="24"/>
        </w:rPr>
        <w:t xml:space="preserve">, 95% CI: </w:t>
      </w:r>
      <w:r w:rsidR="007D4E80" w:rsidRPr="00ED29CA">
        <w:rPr>
          <w:rFonts w:ascii="Arial" w:hAnsi="Arial" w:cs="Arial"/>
          <w:color w:val="000000" w:themeColor="text1"/>
          <w:sz w:val="24"/>
          <w:szCs w:val="24"/>
        </w:rPr>
        <w:t>1.04-1.10</w:t>
      </w:r>
      <w:r w:rsidR="00396FA7" w:rsidRPr="00ED29CA">
        <w:rPr>
          <w:rFonts w:ascii="Arial" w:hAnsi="Arial" w:cs="Arial"/>
          <w:color w:val="000000" w:themeColor="text1"/>
          <w:sz w:val="24"/>
          <w:szCs w:val="24"/>
        </w:rPr>
        <w:t xml:space="preserve"> and 1.01</w:t>
      </w:r>
      <w:r w:rsidRPr="00ED29CA">
        <w:rPr>
          <w:rFonts w:ascii="Arial" w:hAnsi="Arial" w:cs="Arial"/>
          <w:color w:val="000000" w:themeColor="text1"/>
          <w:sz w:val="24"/>
          <w:szCs w:val="24"/>
        </w:rPr>
        <w:t xml:space="preserve"> [1.01-</w:t>
      </w:r>
      <w:r w:rsidR="00396FA7" w:rsidRPr="00ED29CA">
        <w:rPr>
          <w:rFonts w:ascii="Arial" w:hAnsi="Arial" w:cs="Arial"/>
          <w:color w:val="000000" w:themeColor="text1"/>
          <w:sz w:val="24"/>
          <w:szCs w:val="24"/>
        </w:rPr>
        <w:t>1</w:t>
      </w:r>
      <w:r w:rsidRPr="00ED29CA">
        <w:rPr>
          <w:rFonts w:ascii="Arial" w:hAnsi="Arial" w:cs="Arial"/>
          <w:color w:val="000000" w:themeColor="text1"/>
          <w:sz w:val="24"/>
          <w:szCs w:val="24"/>
        </w:rPr>
        <w:t>.</w:t>
      </w:r>
      <w:r w:rsidR="00396FA7" w:rsidRPr="00ED29CA">
        <w:rPr>
          <w:rFonts w:ascii="Arial" w:hAnsi="Arial" w:cs="Arial"/>
          <w:color w:val="000000" w:themeColor="text1"/>
          <w:sz w:val="24"/>
          <w:szCs w:val="24"/>
        </w:rPr>
        <w:t>02</w:t>
      </w:r>
      <w:r w:rsidRPr="00ED29CA">
        <w:rPr>
          <w:rFonts w:ascii="Arial" w:hAnsi="Arial" w:cs="Arial"/>
          <w:color w:val="000000" w:themeColor="text1"/>
          <w:sz w:val="24"/>
          <w:szCs w:val="24"/>
        </w:rPr>
        <w:t>], respectively)</w:t>
      </w:r>
      <w:r w:rsidR="001A6D22" w:rsidRPr="00ED29CA">
        <w:rPr>
          <w:rFonts w:ascii="Arial" w:hAnsi="Arial" w:cs="Arial"/>
          <w:color w:val="000000" w:themeColor="text1"/>
          <w:sz w:val="24"/>
          <w:szCs w:val="24"/>
        </w:rPr>
        <w:t xml:space="preserve">, the prevalence of obesity (IRR: 0.97 [0.95-0.99] and 1.01 [1.01-1.02], and COVID-19 </w:t>
      </w:r>
      <w:r w:rsidRPr="00ED29CA">
        <w:rPr>
          <w:rFonts w:ascii="Arial" w:hAnsi="Arial" w:cs="Arial"/>
          <w:color w:val="000000" w:themeColor="text1"/>
          <w:sz w:val="24"/>
          <w:szCs w:val="24"/>
        </w:rPr>
        <w:t xml:space="preserve">tests per </w:t>
      </w:r>
      <w:r w:rsidR="00F2341E" w:rsidRPr="00ED29CA">
        <w:rPr>
          <w:rFonts w:ascii="Arial" w:hAnsi="Arial" w:cs="Arial"/>
          <w:color w:val="000000" w:themeColor="text1"/>
          <w:sz w:val="24"/>
          <w:szCs w:val="24"/>
        </w:rPr>
        <w:t>thousand population</w:t>
      </w:r>
      <w:r w:rsidRPr="00ED29CA">
        <w:rPr>
          <w:rFonts w:ascii="Arial" w:hAnsi="Arial" w:cs="Arial"/>
          <w:color w:val="000000" w:themeColor="text1"/>
          <w:sz w:val="24"/>
          <w:szCs w:val="24"/>
        </w:rPr>
        <w:t xml:space="preserve"> (0.98 [0.94-0.99] and 0.9</w:t>
      </w:r>
      <w:r w:rsidR="00C910C1" w:rsidRPr="00ED29CA">
        <w:rPr>
          <w:rFonts w:ascii="Arial" w:hAnsi="Arial" w:cs="Arial"/>
          <w:color w:val="000000" w:themeColor="text1"/>
          <w:sz w:val="24"/>
          <w:szCs w:val="24"/>
        </w:rPr>
        <w:t>9 [0.98-0.99], respectively) were</w:t>
      </w:r>
      <w:r w:rsidRPr="00ED29CA">
        <w:rPr>
          <w:rFonts w:ascii="Arial" w:hAnsi="Arial" w:cs="Arial"/>
          <w:color w:val="000000" w:themeColor="text1"/>
          <w:sz w:val="24"/>
          <w:szCs w:val="24"/>
        </w:rPr>
        <w:t xml:space="preserve"> significantly associated with the COVID-19 r</w:t>
      </w:r>
      <w:r w:rsidRPr="00ED29CA">
        <w:rPr>
          <w:rFonts w:ascii="Arial" w:hAnsi="Arial" w:cs="Arial"/>
          <w:bCs/>
          <w:color w:val="000000" w:themeColor="text1"/>
          <w:sz w:val="24"/>
          <w:szCs w:val="24"/>
        </w:rPr>
        <w:t>CFR</w:t>
      </w:r>
      <w:r w:rsidRPr="00ED29CA">
        <w:rPr>
          <w:rFonts w:ascii="Arial" w:hAnsi="Arial" w:cs="Arial"/>
          <w:color w:val="000000" w:themeColor="text1"/>
          <w:sz w:val="24"/>
          <w:szCs w:val="24"/>
        </w:rPr>
        <w:t xml:space="preserve">. </w:t>
      </w:r>
    </w:p>
    <w:p w14:paraId="6E98075A" w14:textId="77777777" w:rsidR="004C518E" w:rsidRPr="00ED29CA" w:rsidRDefault="004C518E" w:rsidP="00D145CC">
      <w:pPr>
        <w:spacing w:after="0" w:line="480" w:lineRule="auto"/>
        <w:jc w:val="both"/>
        <w:rPr>
          <w:rFonts w:ascii="Arial" w:hAnsi="Arial" w:cs="Arial"/>
          <w:b/>
          <w:color w:val="000000" w:themeColor="text1"/>
          <w:sz w:val="24"/>
          <w:szCs w:val="24"/>
        </w:rPr>
      </w:pPr>
    </w:p>
    <w:p w14:paraId="595EF28B" w14:textId="77777777" w:rsidR="003729D3" w:rsidRPr="00ED29CA" w:rsidRDefault="003729D3" w:rsidP="00D145CC">
      <w:pPr>
        <w:spacing w:after="0" w:line="480" w:lineRule="auto"/>
        <w:jc w:val="both"/>
        <w:rPr>
          <w:rFonts w:ascii="Arial" w:hAnsi="Arial" w:cs="Arial"/>
          <w:b/>
          <w:color w:val="000000" w:themeColor="text1"/>
          <w:sz w:val="24"/>
          <w:szCs w:val="24"/>
        </w:rPr>
      </w:pPr>
    </w:p>
    <w:p w14:paraId="2A8B993C" w14:textId="77777777" w:rsidR="003729D3" w:rsidRPr="00ED29CA" w:rsidRDefault="003729D3" w:rsidP="00D145CC">
      <w:pPr>
        <w:spacing w:after="0" w:line="480" w:lineRule="auto"/>
        <w:jc w:val="both"/>
        <w:rPr>
          <w:rFonts w:ascii="Arial" w:hAnsi="Arial" w:cs="Arial"/>
          <w:b/>
          <w:color w:val="000000" w:themeColor="text1"/>
          <w:sz w:val="24"/>
          <w:szCs w:val="24"/>
        </w:rPr>
      </w:pPr>
    </w:p>
    <w:p w14:paraId="48826B5D" w14:textId="77777777" w:rsidR="003729D3" w:rsidRPr="00ED29CA" w:rsidRDefault="003729D3" w:rsidP="00D145CC">
      <w:pPr>
        <w:spacing w:after="0" w:line="480" w:lineRule="auto"/>
        <w:jc w:val="both"/>
        <w:rPr>
          <w:rFonts w:ascii="Arial" w:hAnsi="Arial" w:cs="Arial"/>
          <w:b/>
          <w:color w:val="000000" w:themeColor="text1"/>
          <w:sz w:val="24"/>
          <w:szCs w:val="24"/>
        </w:rPr>
      </w:pPr>
    </w:p>
    <w:p w14:paraId="4E5D9D16" w14:textId="77777777" w:rsidR="003729D3" w:rsidRPr="00ED29CA" w:rsidRDefault="003729D3" w:rsidP="00D145CC">
      <w:pPr>
        <w:spacing w:after="0" w:line="480" w:lineRule="auto"/>
        <w:jc w:val="both"/>
        <w:rPr>
          <w:rFonts w:ascii="Arial" w:hAnsi="Arial" w:cs="Arial"/>
          <w:b/>
          <w:color w:val="000000" w:themeColor="text1"/>
          <w:sz w:val="24"/>
          <w:szCs w:val="24"/>
        </w:rPr>
      </w:pPr>
    </w:p>
    <w:p w14:paraId="786027B6" w14:textId="77777777" w:rsidR="003729D3" w:rsidRPr="00ED29CA" w:rsidRDefault="003729D3" w:rsidP="00D145CC">
      <w:pPr>
        <w:spacing w:after="0" w:line="480" w:lineRule="auto"/>
        <w:jc w:val="both"/>
        <w:rPr>
          <w:rFonts w:ascii="Arial" w:hAnsi="Arial" w:cs="Arial"/>
          <w:b/>
          <w:color w:val="000000" w:themeColor="text1"/>
          <w:sz w:val="24"/>
          <w:szCs w:val="24"/>
        </w:rPr>
      </w:pPr>
    </w:p>
    <w:p w14:paraId="1BE05F57" w14:textId="77777777" w:rsidR="003729D3" w:rsidRPr="00ED29CA" w:rsidRDefault="003729D3" w:rsidP="00D145CC">
      <w:pPr>
        <w:spacing w:after="0" w:line="480" w:lineRule="auto"/>
        <w:jc w:val="both"/>
        <w:rPr>
          <w:rFonts w:ascii="Arial" w:hAnsi="Arial" w:cs="Arial"/>
          <w:b/>
          <w:color w:val="000000" w:themeColor="text1"/>
          <w:sz w:val="24"/>
          <w:szCs w:val="24"/>
        </w:rPr>
      </w:pPr>
    </w:p>
    <w:p w14:paraId="09B64794" w14:textId="77777777" w:rsidR="003729D3" w:rsidRPr="00ED29CA" w:rsidRDefault="003729D3" w:rsidP="00D145CC">
      <w:pPr>
        <w:spacing w:after="0" w:line="480" w:lineRule="auto"/>
        <w:jc w:val="both"/>
        <w:rPr>
          <w:rFonts w:ascii="Arial" w:hAnsi="Arial" w:cs="Arial"/>
          <w:b/>
          <w:color w:val="000000" w:themeColor="text1"/>
          <w:sz w:val="24"/>
          <w:szCs w:val="24"/>
        </w:rPr>
      </w:pPr>
    </w:p>
    <w:p w14:paraId="30E4AA5F" w14:textId="77777777" w:rsidR="003729D3" w:rsidRPr="00ED29CA" w:rsidRDefault="003729D3" w:rsidP="00D145CC">
      <w:pPr>
        <w:spacing w:after="0" w:line="480" w:lineRule="auto"/>
        <w:jc w:val="both"/>
        <w:rPr>
          <w:rFonts w:ascii="Arial" w:hAnsi="Arial" w:cs="Arial"/>
          <w:b/>
          <w:color w:val="000000" w:themeColor="text1"/>
          <w:sz w:val="24"/>
          <w:szCs w:val="24"/>
        </w:rPr>
      </w:pPr>
    </w:p>
    <w:p w14:paraId="4F68BB6E" w14:textId="77777777" w:rsidR="003729D3" w:rsidRPr="00ED29CA" w:rsidRDefault="003729D3" w:rsidP="00D145CC">
      <w:pPr>
        <w:spacing w:after="0" w:line="480" w:lineRule="auto"/>
        <w:jc w:val="both"/>
        <w:rPr>
          <w:rFonts w:ascii="Arial" w:hAnsi="Arial" w:cs="Arial"/>
          <w:b/>
          <w:color w:val="000000" w:themeColor="text1"/>
          <w:sz w:val="24"/>
          <w:szCs w:val="24"/>
        </w:rPr>
      </w:pPr>
    </w:p>
    <w:p w14:paraId="7FEB3849" w14:textId="77777777" w:rsidR="003729D3" w:rsidRPr="00ED29CA" w:rsidRDefault="003729D3" w:rsidP="00D145CC">
      <w:pPr>
        <w:spacing w:after="0" w:line="480" w:lineRule="auto"/>
        <w:jc w:val="both"/>
        <w:rPr>
          <w:rFonts w:ascii="Arial" w:hAnsi="Arial" w:cs="Arial"/>
          <w:b/>
          <w:color w:val="000000" w:themeColor="text1"/>
          <w:sz w:val="24"/>
          <w:szCs w:val="24"/>
        </w:rPr>
      </w:pPr>
    </w:p>
    <w:tbl>
      <w:tblPr>
        <w:tblStyle w:val="TableGrid"/>
        <w:tblW w:w="5000" w:type="pct"/>
        <w:tblLook w:val="04A0" w:firstRow="1" w:lastRow="0" w:firstColumn="1" w:lastColumn="0" w:noHBand="0" w:noVBand="1"/>
      </w:tblPr>
      <w:tblGrid>
        <w:gridCol w:w="9016"/>
      </w:tblGrid>
      <w:tr w:rsidR="003729D3" w:rsidRPr="00ED29CA" w14:paraId="5D5CD72A" w14:textId="77777777" w:rsidTr="00A8129C">
        <w:tc>
          <w:tcPr>
            <w:tcW w:w="5000" w:type="pct"/>
          </w:tcPr>
          <w:p w14:paraId="7DDB33BD" w14:textId="2364E546" w:rsidR="003729D3" w:rsidRPr="00ED29CA" w:rsidRDefault="00D145CC" w:rsidP="00D145CC">
            <w:pPr>
              <w:tabs>
                <w:tab w:val="left" w:pos="2985"/>
              </w:tabs>
              <w:jc w:val="both"/>
              <w:rPr>
                <w:rFonts w:ascii="Arial" w:hAnsi="Arial" w:cs="Arial"/>
                <w:bCs/>
                <w:sz w:val="24"/>
                <w:szCs w:val="24"/>
              </w:rPr>
            </w:pPr>
            <w:r w:rsidRPr="00ED29CA">
              <w:rPr>
                <w:rFonts w:ascii="Arial" w:hAnsi="Arial" w:cs="Arial"/>
                <w:bCs/>
                <w:sz w:val="24"/>
                <w:szCs w:val="24"/>
              </w:rPr>
              <w:t>Fig 1: Top: Observed and predicted daily worldwide daily cumulative reported Case-fatality rate (cCFR) using Auto-Regressive Integrated Moving Average (ARIMA) model. Bottom: Observed and predicted daily worldwide daily cumulative rCFR using Automatic Forcasting time-series model (Prophet). The black dots indicate observed data, blue line indicate the predictive CFR and shaded area indicate 95% confidence interval of predicted CFR.</w:t>
            </w:r>
          </w:p>
        </w:tc>
      </w:tr>
      <w:tr w:rsidR="00D145CC" w:rsidRPr="00ED29CA" w14:paraId="0B92C034" w14:textId="77777777" w:rsidTr="00040915">
        <w:trPr>
          <w:trHeight w:val="1706"/>
        </w:trPr>
        <w:tc>
          <w:tcPr>
            <w:tcW w:w="5000" w:type="pct"/>
          </w:tcPr>
          <w:p w14:paraId="4DB749B0" w14:textId="6FD530AD" w:rsidR="00D145CC" w:rsidRPr="00ED29CA" w:rsidRDefault="00D145CC" w:rsidP="00D145CC">
            <w:pPr>
              <w:tabs>
                <w:tab w:val="left" w:pos="2985"/>
              </w:tabs>
              <w:jc w:val="center"/>
              <w:rPr>
                <w:rFonts w:ascii="Arial" w:hAnsi="Arial" w:cs="Arial"/>
                <w:sz w:val="24"/>
                <w:szCs w:val="24"/>
              </w:rPr>
            </w:pPr>
            <w:r w:rsidRPr="00ED29CA">
              <w:rPr>
                <w:rFonts w:ascii="Arial" w:hAnsi="Arial" w:cs="Arial"/>
                <w:noProof/>
                <w:sz w:val="24"/>
                <w:szCs w:val="24"/>
                <w:lang w:eastAsia="en-GB"/>
              </w:rPr>
              <w:drawing>
                <wp:inline distT="0" distB="0" distL="0" distR="0" wp14:anchorId="46B86BB2" wp14:editId="02CE7788">
                  <wp:extent cx="4486275" cy="525170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9451" cy="5255424"/>
                          </a:xfrm>
                          <a:prstGeom prst="rect">
                            <a:avLst/>
                          </a:prstGeom>
                          <a:noFill/>
                          <a:ln>
                            <a:noFill/>
                          </a:ln>
                        </pic:spPr>
                      </pic:pic>
                    </a:graphicData>
                  </a:graphic>
                </wp:inline>
              </w:drawing>
            </w:r>
          </w:p>
        </w:tc>
      </w:tr>
    </w:tbl>
    <w:p w14:paraId="6A8320A7" w14:textId="77777777" w:rsidR="009356F0" w:rsidRPr="00ED29CA" w:rsidRDefault="009356F0" w:rsidP="00D145CC">
      <w:pPr>
        <w:spacing w:after="0" w:line="480" w:lineRule="auto"/>
        <w:jc w:val="both"/>
        <w:rPr>
          <w:rFonts w:ascii="Arial" w:hAnsi="Arial" w:cs="Arial"/>
          <w:b/>
          <w:color w:val="000000" w:themeColor="text1"/>
          <w:sz w:val="24"/>
          <w:szCs w:val="24"/>
        </w:rPr>
      </w:pPr>
    </w:p>
    <w:p w14:paraId="43889CE8" w14:textId="77777777" w:rsidR="004C518E" w:rsidRPr="00ED29CA" w:rsidRDefault="004C518E" w:rsidP="00D145CC">
      <w:pPr>
        <w:spacing w:after="0" w:line="480" w:lineRule="auto"/>
        <w:jc w:val="both"/>
        <w:rPr>
          <w:rFonts w:ascii="Arial" w:hAnsi="Arial" w:cs="Arial"/>
          <w:b/>
          <w:color w:val="000000" w:themeColor="text1"/>
          <w:sz w:val="24"/>
          <w:szCs w:val="24"/>
        </w:rPr>
      </w:pPr>
      <w:r w:rsidRPr="00ED29CA">
        <w:rPr>
          <w:rFonts w:ascii="Arial" w:hAnsi="Arial" w:cs="Arial"/>
          <w:b/>
          <w:color w:val="000000" w:themeColor="text1"/>
          <w:sz w:val="24"/>
          <w:szCs w:val="24"/>
        </w:rPr>
        <w:t xml:space="preserve">Conclusions </w:t>
      </w:r>
    </w:p>
    <w:p w14:paraId="6AF83BE2" w14:textId="68E043AE" w:rsidR="004C518E" w:rsidRPr="00ED29CA" w:rsidRDefault="00ED29CA" w:rsidP="00D145CC">
      <w:pPr>
        <w:spacing w:after="0" w:line="480" w:lineRule="auto"/>
        <w:jc w:val="both"/>
        <w:rPr>
          <w:rFonts w:ascii="Arial" w:hAnsi="Arial" w:cs="Arial"/>
          <w:color w:val="000000" w:themeColor="text1"/>
          <w:sz w:val="24"/>
          <w:szCs w:val="24"/>
        </w:rPr>
      </w:pPr>
      <w:r>
        <w:rPr>
          <w:rFonts w:ascii="Arial" w:hAnsi="Arial" w:cs="Arial"/>
          <w:color w:val="000000" w:themeColor="text1"/>
          <w:sz w:val="24"/>
          <w:szCs w:val="24"/>
        </w:rPr>
        <w:t>G</w:t>
      </w:r>
      <w:r w:rsidR="004C518E" w:rsidRPr="00ED29CA">
        <w:rPr>
          <w:rFonts w:ascii="Arial" w:hAnsi="Arial" w:cs="Arial"/>
          <w:color w:val="000000" w:themeColor="text1"/>
          <w:sz w:val="24"/>
          <w:szCs w:val="24"/>
        </w:rPr>
        <w:t xml:space="preserve">lobal cumulative rCFR of COVID-19 is decreasing since May 2020. However, </w:t>
      </w:r>
      <w:r w:rsidR="00C94A67" w:rsidRPr="00ED29CA">
        <w:rPr>
          <w:rFonts w:ascii="Arial" w:hAnsi="Arial" w:cs="Arial"/>
          <w:color w:val="000000" w:themeColor="text1"/>
          <w:sz w:val="24"/>
          <w:szCs w:val="24"/>
        </w:rPr>
        <w:t xml:space="preserve">the percentage of people aged 65 and above </w:t>
      </w:r>
      <w:r w:rsidR="00693B8A" w:rsidRPr="00ED29CA">
        <w:rPr>
          <w:rFonts w:ascii="Arial" w:hAnsi="Arial" w:cs="Arial"/>
          <w:color w:val="000000" w:themeColor="text1"/>
          <w:sz w:val="24"/>
          <w:szCs w:val="24"/>
        </w:rPr>
        <w:t xml:space="preserve">and </w:t>
      </w:r>
      <w:r w:rsidR="00C94A67" w:rsidRPr="00ED29CA">
        <w:rPr>
          <w:rFonts w:ascii="Arial" w:hAnsi="Arial" w:cs="Arial"/>
          <w:color w:val="000000" w:themeColor="text1"/>
          <w:sz w:val="24"/>
          <w:szCs w:val="24"/>
        </w:rPr>
        <w:t>related comorbidities</w:t>
      </w:r>
      <w:r w:rsidR="00693B8A" w:rsidRPr="00ED29CA">
        <w:rPr>
          <w:rFonts w:ascii="Arial" w:hAnsi="Arial" w:cs="Arial"/>
          <w:color w:val="000000" w:themeColor="text1"/>
          <w:sz w:val="24"/>
          <w:szCs w:val="24"/>
        </w:rPr>
        <w:t xml:space="preserve"> (</w:t>
      </w:r>
      <w:r w:rsidR="002543A8" w:rsidRPr="00ED29CA">
        <w:rPr>
          <w:rFonts w:ascii="Arial" w:hAnsi="Arial" w:cs="Arial"/>
          <w:color w:val="000000" w:themeColor="text1"/>
          <w:sz w:val="24"/>
          <w:szCs w:val="24"/>
        </w:rPr>
        <w:t xml:space="preserve">e.g. </w:t>
      </w:r>
      <w:r w:rsidR="00693B8A" w:rsidRPr="00ED29CA">
        <w:rPr>
          <w:rFonts w:ascii="Arial" w:hAnsi="Arial" w:cs="Arial"/>
          <w:color w:val="000000" w:themeColor="text1"/>
          <w:sz w:val="24"/>
          <w:szCs w:val="24"/>
        </w:rPr>
        <w:t xml:space="preserve">prevalence </w:t>
      </w:r>
      <w:r w:rsidR="00C476F7" w:rsidRPr="00ED29CA">
        <w:rPr>
          <w:rFonts w:ascii="Arial" w:hAnsi="Arial" w:cs="Arial"/>
          <w:color w:val="000000" w:themeColor="text1"/>
          <w:sz w:val="24"/>
          <w:szCs w:val="24"/>
        </w:rPr>
        <w:t xml:space="preserve">of </w:t>
      </w:r>
      <w:r w:rsidR="00693B8A" w:rsidRPr="00ED29CA">
        <w:rPr>
          <w:rFonts w:ascii="Arial" w:hAnsi="Arial" w:cs="Arial"/>
          <w:color w:val="000000" w:themeColor="text1"/>
          <w:sz w:val="24"/>
          <w:szCs w:val="24"/>
        </w:rPr>
        <w:t xml:space="preserve">obesity) </w:t>
      </w:r>
      <w:r w:rsidR="004C518E" w:rsidRPr="00ED29CA">
        <w:rPr>
          <w:rFonts w:ascii="Arial" w:hAnsi="Arial" w:cs="Arial"/>
          <w:color w:val="000000" w:themeColor="text1"/>
          <w:sz w:val="24"/>
          <w:szCs w:val="24"/>
        </w:rPr>
        <w:t xml:space="preserve">of the country played a key role in the </w:t>
      </w:r>
      <w:r w:rsidR="00291E79" w:rsidRPr="00ED29CA">
        <w:rPr>
          <w:rFonts w:ascii="Arial" w:hAnsi="Arial" w:cs="Arial"/>
          <w:color w:val="000000" w:themeColor="text1"/>
          <w:sz w:val="24"/>
          <w:szCs w:val="24"/>
        </w:rPr>
        <w:t xml:space="preserve">variation </w:t>
      </w:r>
      <w:r w:rsidR="004C518E" w:rsidRPr="00ED29CA">
        <w:rPr>
          <w:rFonts w:ascii="Arial" w:hAnsi="Arial" w:cs="Arial"/>
          <w:color w:val="000000" w:themeColor="text1"/>
          <w:sz w:val="24"/>
          <w:szCs w:val="24"/>
        </w:rPr>
        <w:t>r</w:t>
      </w:r>
      <w:r w:rsidR="004C518E" w:rsidRPr="00ED29CA">
        <w:rPr>
          <w:rFonts w:ascii="Arial" w:hAnsi="Arial" w:cs="Arial"/>
          <w:bCs/>
          <w:color w:val="000000" w:themeColor="text1"/>
          <w:sz w:val="24"/>
          <w:szCs w:val="24"/>
        </w:rPr>
        <w:t xml:space="preserve">CFR </w:t>
      </w:r>
      <w:r w:rsidR="00291E79" w:rsidRPr="00ED29CA">
        <w:rPr>
          <w:rFonts w:ascii="Arial" w:hAnsi="Arial" w:cs="Arial"/>
          <w:color w:val="000000" w:themeColor="text1"/>
          <w:sz w:val="24"/>
          <w:szCs w:val="24"/>
        </w:rPr>
        <w:t xml:space="preserve">in </w:t>
      </w:r>
      <w:r w:rsidR="00C80D43" w:rsidRPr="00ED29CA">
        <w:rPr>
          <w:rFonts w:ascii="Arial" w:hAnsi="Arial" w:cs="Arial"/>
          <w:color w:val="000000" w:themeColor="text1"/>
          <w:sz w:val="24"/>
          <w:szCs w:val="24"/>
        </w:rPr>
        <w:t>different</w:t>
      </w:r>
      <w:r w:rsidR="00291E79" w:rsidRPr="00ED29CA">
        <w:rPr>
          <w:rFonts w:ascii="Arial" w:hAnsi="Arial" w:cs="Arial"/>
          <w:color w:val="000000" w:themeColor="text1"/>
          <w:sz w:val="24"/>
          <w:szCs w:val="24"/>
        </w:rPr>
        <w:t xml:space="preserve"> </w:t>
      </w:r>
      <w:r w:rsidR="00C80D43" w:rsidRPr="00ED29CA">
        <w:rPr>
          <w:rFonts w:ascii="Arial" w:hAnsi="Arial" w:cs="Arial"/>
          <w:color w:val="000000" w:themeColor="text1"/>
          <w:sz w:val="24"/>
          <w:szCs w:val="24"/>
        </w:rPr>
        <w:t>countries</w:t>
      </w:r>
      <w:r w:rsidR="004C518E" w:rsidRPr="00ED29CA">
        <w:rPr>
          <w:rFonts w:ascii="Arial" w:hAnsi="Arial" w:cs="Arial"/>
          <w:color w:val="000000" w:themeColor="text1"/>
          <w:sz w:val="24"/>
          <w:szCs w:val="24"/>
        </w:rPr>
        <w:t xml:space="preserve">. Although </w:t>
      </w:r>
      <w:r w:rsidR="00321865" w:rsidRPr="00ED29CA">
        <w:rPr>
          <w:rFonts w:ascii="Arial" w:hAnsi="Arial" w:cs="Arial"/>
          <w:color w:val="000000" w:themeColor="text1"/>
          <w:sz w:val="24"/>
          <w:szCs w:val="24"/>
        </w:rPr>
        <w:t>number</w:t>
      </w:r>
      <w:r w:rsidR="004C518E" w:rsidRPr="00ED29CA">
        <w:rPr>
          <w:rFonts w:ascii="Arial" w:hAnsi="Arial" w:cs="Arial"/>
          <w:color w:val="000000" w:themeColor="text1"/>
          <w:sz w:val="24"/>
          <w:szCs w:val="24"/>
        </w:rPr>
        <w:t xml:space="preserve"> of </w:t>
      </w:r>
      <w:r w:rsidR="00321865" w:rsidRPr="00ED29CA">
        <w:rPr>
          <w:rFonts w:ascii="Arial" w:hAnsi="Arial" w:cs="Arial"/>
          <w:color w:val="000000" w:themeColor="text1"/>
          <w:sz w:val="24"/>
          <w:szCs w:val="24"/>
        </w:rPr>
        <w:t>tests/thousand</w:t>
      </w:r>
      <w:r w:rsidR="004C518E" w:rsidRPr="00ED29CA">
        <w:rPr>
          <w:rFonts w:ascii="Arial" w:hAnsi="Arial" w:cs="Arial"/>
          <w:color w:val="000000" w:themeColor="text1"/>
          <w:sz w:val="24"/>
          <w:szCs w:val="24"/>
        </w:rPr>
        <w:t xml:space="preserve"> population is negatively associated, our analyses indicate that the declining trend of global COVID-19 r</w:t>
      </w:r>
      <w:r w:rsidR="004C518E" w:rsidRPr="00ED29CA">
        <w:rPr>
          <w:rFonts w:ascii="Arial" w:hAnsi="Arial" w:cs="Arial"/>
          <w:bCs/>
          <w:color w:val="000000" w:themeColor="text1"/>
          <w:sz w:val="24"/>
          <w:szCs w:val="24"/>
        </w:rPr>
        <w:t xml:space="preserve">CFR </w:t>
      </w:r>
      <w:r w:rsidR="004C518E" w:rsidRPr="00ED29CA">
        <w:rPr>
          <w:rFonts w:ascii="Arial" w:hAnsi="Arial" w:cs="Arial"/>
          <w:color w:val="000000" w:themeColor="text1"/>
          <w:sz w:val="24"/>
          <w:szCs w:val="24"/>
        </w:rPr>
        <w:t>is not merely because of increased COVID-19 testing, as t</w:t>
      </w:r>
      <w:r w:rsidR="00C53B3A" w:rsidRPr="00ED29CA">
        <w:rPr>
          <w:rFonts w:ascii="Arial" w:hAnsi="Arial" w:cs="Arial"/>
          <w:color w:val="000000" w:themeColor="text1"/>
          <w:sz w:val="24"/>
          <w:szCs w:val="24"/>
        </w:rPr>
        <w:t>esting has poor predictive value</w:t>
      </w:r>
      <w:r w:rsidR="004C518E" w:rsidRPr="00ED29CA">
        <w:rPr>
          <w:rFonts w:ascii="Arial" w:hAnsi="Arial" w:cs="Arial"/>
          <w:color w:val="000000" w:themeColor="text1"/>
          <w:sz w:val="24"/>
          <w:szCs w:val="24"/>
        </w:rPr>
        <w:t>. More studies are needed to understand the reason behind the decreased r</w:t>
      </w:r>
      <w:r w:rsidR="004C518E" w:rsidRPr="00ED29CA">
        <w:rPr>
          <w:rFonts w:ascii="Arial" w:hAnsi="Arial" w:cs="Arial"/>
          <w:bCs/>
          <w:color w:val="000000" w:themeColor="text1"/>
          <w:sz w:val="24"/>
          <w:szCs w:val="24"/>
        </w:rPr>
        <w:t>CFR</w:t>
      </w:r>
      <w:r w:rsidR="004C518E" w:rsidRPr="00ED29CA">
        <w:rPr>
          <w:rFonts w:ascii="Arial" w:hAnsi="Arial" w:cs="Arial"/>
          <w:color w:val="000000" w:themeColor="text1"/>
          <w:sz w:val="24"/>
          <w:szCs w:val="24"/>
        </w:rPr>
        <w:t xml:space="preserve">. </w:t>
      </w:r>
    </w:p>
    <w:p w14:paraId="501E3181" w14:textId="5A966159" w:rsidR="003722C3" w:rsidRDefault="003722C3" w:rsidP="00D145CC">
      <w:pPr>
        <w:jc w:val="both"/>
        <w:rPr>
          <w:rFonts w:ascii="Arial" w:hAnsi="Arial" w:cs="Arial"/>
        </w:rPr>
      </w:pPr>
    </w:p>
    <w:p w14:paraId="56217C88" w14:textId="5DB34825" w:rsidR="00ED29CA" w:rsidRDefault="00ED29CA" w:rsidP="00D145CC">
      <w:pPr>
        <w:jc w:val="both"/>
        <w:rPr>
          <w:rFonts w:ascii="Arial" w:hAnsi="Arial" w:cs="Arial"/>
        </w:rPr>
      </w:pPr>
    </w:p>
    <w:p w14:paraId="41E38C02" w14:textId="679D7B43" w:rsidR="00ED29CA" w:rsidRDefault="00E20D09" w:rsidP="00D145CC">
      <w:pPr>
        <w:jc w:val="both"/>
        <w:rPr>
          <w:rFonts w:ascii="Arial" w:hAnsi="Arial" w:cs="Arial"/>
          <w:b/>
          <w:bCs/>
        </w:rPr>
      </w:pPr>
      <w:r w:rsidRPr="00E20D09">
        <w:rPr>
          <w:rFonts w:ascii="Arial" w:hAnsi="Arial" w:cs="Arial"/>
          <w:b/>
          <w:bCs/>
        </w:rPr>
        <w:t>Tweeter accounts:</w:t>
      </w:r>
    </w:p>
    <w:p w14:paraId="1F8EB460" w14:textId="4CE1CA3D" w:rsidR="00E20D09" w:rsidRPr="003B68BE" w:rsidRDefault="00E20D09" w:rsidP="00D145CC">
      <w:pPr>
        <w:jc w:val="both"/>
        <w:rPr>
          <w:rFonts w:ascii="Arial" w:hAnsi="Arial" w:cs="Arial"/>
        </w:rPr>
      </w:pPr>
      <w:r w:rsidRPr="003B68BE">
        <w:rPr>
          <w:rFonts w:ascii="Arial" w:hAnsi="Arial" w:cs="Arial"/>
        </w:rPr>
        <w:t>1)</w:t>
      </w:r>
      <w:r w:rsidR="003B68BE" w:rsidRPr="003B68BE">
        <w:t xml:space="preserve"> </w:t>
      </w:r>
      <w:r w:rsidR="003B68BE" w:rsidRPr="003B68BE">
        <w:rPr>
          <w:rFonts w:ascii="Arial" w:hAnsi="Arial" w:cs="Arial"/>
        </w:rPr>
        <w:t>Mohammad Nayeem Hasan</w:t>
      </w:r>
      <w:r w:rsidR="00AE69BB">
        <w:rPr>
          <w:rFonts w:ascii="Arial" w:hAnsi="Arial" w:cs="Arial"/>
        </w:rPr>
        <w:t xml:space="preserve"> (</w:t>
      </w:r>
      <w:r w:rsidR="00D7330D" w:rsidRPr="00D7330D">
        <w:rPr>
          <w:rFonts w:ascii="Arial" w:hAnsi="Arial" w:cs="Arial"/>
        </w:rPr>
        <w:t>@nayeem5847</w:t>
      </w:r>
      <w:r w:rsidR="00D7330D">
        <w:rPr>
          <w:rFonts w:ascii="Arial" w:hAnsi="Arial" w:cs="Arial"/>
        </w:rPr>
        <w:t>)</w:t>
      </w:r>
    </w:p>
    <w:p w14:paraId="0606A9B9" w14:textId="0D185A62" w:rsidR="00E20D09" w:rsidRPr="003B68BE" w:rsidRDefault="00E20D09" w:rsidP="00D145CC">
      <w:pPr>
        <w:jc w:val="both"/>
        <w:rPr>
          <w:rFonts w:ascii="Arial" w:hAnsi="Arial" w:cs="Arial"/>
        </w:rPr>
      </w:pPr>
      <w:r w:rsidRPr="003B68BE">
        <w:rPr>
          <w:rFonts w:ascii="Arial" w:hAnsi="Arial" w:cs="Arial"/>
        </w:rPr>
        <w:t>2)</w:t>
      </w:r>
      <w:r w:rsidR="003B68BE" w:rsidRPr="003B68BE">
        <w:rPr>
          <w:rFonts w:ascii="Arial" w:hAnsi="Arial" w:cs="Arial"/>
        </w:rPr>
        <w:t xml:space="preserve"> Najmul Haider</w:t>
      </w:r>
      <w:r w:rsidR="00AE69BB">
        <w:rPr>
          <w:rFonts w:ascii="Arial" w:hAnsi="Arial" w:cs="Arial"/>
        </w:rPr>
        <w:t xml:space="preserve"> (</w:t>
      </w:r>
      <w:r w:rsidR="00D7330D" w:rsidRPr="00D7330D">
        <w:rPr>
          <w:rFonts w:ascii="Arial" w:hAnsi="Arial" w:cs="Arial"/>
        </w:rPr>
        <w:t>@HaiderNajmul</w:t>
      </w:r>
      <w:r w:rsidR="00D7330D">
        <w:rPr>
          <w:rFonts w:ascii="Arial" w:hAnsi="Arial" w:cs="Arial"/>
        </w:rPr>
        <w:t>)</w:t>
      </w:r>
    </w:p>
    <w:p w14:paraId="294AE80A" w14:textId="7A501B5E" w:rsidR="00E20D09" w:rsidRPr="003B68BE" w:rsidRDefault="00E20D09" w:rsidP="00D145CC">
      <w:pPr>
        <w:jc w:val="both"/>
        <w:rPr>
          <w:rFonts w:ascii="Arial" w:hAnsi="Arial" w:cs="Arial"/>
        </w:rPr>
      </w:pPr>
      <w:r w:rsidRPr="003B68BE">
        <w:rPr>
          <w:rFonts w:ascii="Arial" w:hAnsi="Arial" w:cs="Arial"/>
        </w:rPr>
        <w:t>3)</w:t>
      </w:r>
      <w:r w:rsidR="003B68BE" w:rsidRPr="003B68BE">
        <w:rPr>
          <w:rFonts w:ascii="Arial" w:hAnsi="Arial" w:cs="Arial"/>
        </w:rPr>
        <w:t xml:space="preserve"> Richard A Kock</w:t>
      </w:r>
      <w:r w:rsidR="00AE69BB">
        <w:rPr>
          <w:rFonts w:ascii="Arial" w:hAnsi="Arial" w:cs="Arial"/>
        </w:rPr>
        <w:t xml:space="preserve"> (</w:t>
      </w:r>
      <w:r w:rsidR="00781F91" w:rsidRPr="00781F91">
        <w:rPr>
          <w:rFonts w:ascii="Arial" w:hAnsi="Arial" w:cs="Arial"/>
        </w:rPr>
        <w:t>@RichardKock6</w:t>
      </w:r>
      <w:r w:rsidR="00781F91">
        <w:rPr>
          <w:rFonts w:ascii="Arial" w:hAnsi="Arial" w:cs="Arial"/>
        </w:rPr>
        <w:t>)</w:t>
      </w:r>
    </w:p>
    <w:p w14:paraId="7B4EA9A3" w14:textId="435EBB74" w:rsidR="003B68BE" w:rsidRPr="003B68BE" w:rsidRDefault="00E20D09" w:rsidP="003B68BE">
      <w:pPr>
        <w:jc w:val="both"/>
        <w:rPr>
          <w:rFonts w:ascii="Arial" w:hAnsi="Arial" w:cs="Arial"/>
        </w:rPr>
      </w:pPr>
      <w:r w:rsidRPr="003B68BE">
        <w:rPr>
          <w:rFonts w:ascii="Arial" w:hAnsi="Arial" w:cs="Arial"/>
        </w:rPr>
        <w:t>4)</w:t>
      </w:r>
      <w:r w:rsidR="003B68BE" w:rsidRPr="003B68BE">
        <w:rPr>
          <w:rFonts w:ascii="Arial" w:hAnsi="Arial" w:cs="Arial"/>
        </w:rPr>
        <w:t xml:space="preserve"> Md. Jamal Uddin</w:t>
      </w:r>
      <w:r w:rsidR="00AE69BB">
        <w:rPr>
          <w:rFonts w:ascii="Arial" w:hAnsi="Arial" w:cs="Arial"/>
        </w:rPr>
        <w:t xml:space="preserve"> (</w:t>
      </w:r>
      <w:r w:rsidR="00900277">
        <w:rPr>
          <w:rFonts w:ascii="Arial" w:hAnsi="Arial" w:cs="Arial"/>
        </w:rPr>
        <w:t>)</w:t>
      </w:r>
    </w:p>
    <w:p w14:paraId="3DFED9EA" w14:textId="13CEDC50" w:rsidR="00E20D09" w:rsidRPr="00E20D09" w:rsidRDefault="00E20D09" w:rsidP="00D145CC">
      <w:pPr>
        <w:jc w:val="both"/>
        <w:rPr>
          <w:rFonts w:ascii="Arial" w:hAnsi="Arial" w:cs="Arial"/>
          <w:b/>
          <w:bCs/>
        </w:rPr>
      </w:pPr>
    </w:p>
    <w:sectPr w:rsidR="00E20D09" w:rsidRPr="00E20D0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FD48A5" w14:textId="77777777" w:rsidR="00FF0586" w:rsidRDefault="00FF0586" w:rsidP="001C29BA">
      <w:pPr>
        <w:spacing w:after="0" w:line="240" w:lineRule="auto"/>
      </w:pPr>
      <w:r>
        <w:separator/>
      </w:r>
    </w:p>
  </w:endnote>
  <w:endnote w:type="continuationSeparator" w:id="0">
    <w:p w14:paraId="7FB81DBD" w14:textId="77777777" w:rsidR="00FF0586" w:rsidRDefault="00FF0586" w:rsidP="001C2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0CD7F" w14:textId="77777777" w:rsidR="001C29BA" w:rsidRDefault="001C29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7856332"/>
      <w:docPartObj>
        <w:docPartGallery w:val="Page Numbers (Bottom of Page)"/>
        <w:docPartUnique/>
      </w:docPartObj>
    </w:sdtPr>
    <w:sdtEndPr>
      <w:rPr>
        <w:noProof/>
      </w:rPr>
    </w:sdtEndPr>
    <w:sdtContent>
      <w:p w14:paraId="2A36420D" w14:textId="086DE30E" w:rsidR="001C29BA" w:rsidRDefault="001C29BA">
        <w:pPr>
          <w:pStyle w:val="Footer"/>
          <w:jc w:val="center"/>
        </w:pPr>
        <w:r>
          <w:fldChar w:fldCharType="begin"/>
        </w:r>
        <w:r>
          <w:instrText xml:space="preserve"> PAGE   \* MERGEFORMAT </w:instrText>
        </w:r>
        <w:r>
          <w:fldChar w:fldCharType="separate"/>
        </w:r>
        <w:r w:rsidR="002E766D">
          <w:rPr>
            <w:noProof/>
          </w:rPr>
          <w:t>3</w:t>
        </w:r>
        <w:r>
          <w:rPr>
            <w:noProof/>
          </w:rPr>
          <w:fldChar w:fldCharType="end"/>
        </w:r>
      </w:p>
    </w:sdtContent>
  </w:sdt>
  <w:p w14:paraId="7E90BA7F" w14:textId="77777777" w:rsidR="001C29BA" w:rsidRDefault="001C29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951BF" w14:textId="77777777" w:rsidR="001C29BA" w:rsidRDefault="001C29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952EC6" w14:textId="77777777" w:rsidR="00FF0586" w:rsidRDefault="00FF0586" w:rsidP="001C29BA">
      <w:pPr>
        <w:spacing w:after="0" w:line="240" w:lineRule="auto"/>
      </w:pPr>
      <w:r>
        <w:separator/>
      </w:r>
    </w:p>
  </w:footnote>
  <w:footnote w:type="continuationSeparator" w:id="0">
    <w:p w14:paraId="73EBB160" w14:textId="77777777" w:rsidR="00FF0586" w:rsidRDefault="00FF0586" w:rsidP="001C2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8C02C" w14:textId="77777777" w:rsidR="001C29BA" w:rsidRDefault="001C29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6913F" w14:textId="77777777" w:rsidR="001C29BA" w:rsidRDefault="001C29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02B9E" w14:textId="77777777" w:rsidR="001C29BA" w:rsidRDefault="001C29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F7F"/>
    <w:rsid w:val="00024025"/>
    <w:rsid w:val="000B7814"/>
    <w:rsid w:val="000C2C6A"/>
    <w:rsid w:val="00180ECF"/>
    <w:rsid w:val="00190A9C"/>
    <w:rsid w:val="001A6D22"/>
    <w:rsid w:val="001B3258"/>
    <w:rsid w:val="001B54B8"/>
    <w:rsid w:val="001C29BA"/>
    <w:rsid w:val="001F25C0"/>
    <w:rsid w:val="00232273"/>
    <w:rsid w:val="002543A8"/>
    <w:rsid w:val="00271120"/>
    <w:rsid w:val="00291E79"/>
    <w:rsid w:val="002E766D"/>
    <w:rsid w:val="002F56B5"/>
    <w:rsid w:val="00321865"/>
    <w:rsid w:val="003239D1"/>
    <w:rsid w:val="003722C3"/>
    <w:rsid w:val="003729D3"/>
    <w:rsid w:val="003863F7"/>
    <w:rsid w:val="00394B0D"/>
    <w:rsid w:val="00396FA7"/>
    <w:rsid w:val="003A2273"/>
    <w:rsid w:val="003B68BE"/>
    <w:rsid w:val="00437BD1"/>
    <w:rsid w:val="004C518E"/>
    <w:rsid w:val="004C7960"/>
    <w:rsid w:val="004D3D26"/>
    <w:rsid w:val="004D7C62"/>
    <w:rsid w:val="005759DC"/>
    <w:rsid w:val="005D1766"/>
    <w:rsid w:val="00601357"/>
    <w:rsid w:val="00604D2B"/>
    <w:rsid w:val="00623666"/>
    <w:rsid w:val="00623726"/>
    <w:rsid w:val="006938E6"/>
    <w:rsid w:val="00693B8A"/>
    <w:rsid w:val="00781F91"/>
    <w:rsid w:val="0078223E"/>
    <w:rsid w:val="007C65D2"/>
    <w:rsid w:val="007D07E2"/>
    <w:rsid w:val="007D4E80"/>
    <w:rsid w:val="00850F98"/>
    <w:rsid w:val="008552C0"/>
    <w:rsid w:val="008733E5"/>
    <w:rsid w:val="008B4687"/>
    <w:rsid w:val="00900277"/>
    <w:rsid w:val="009356F0"/>
    <w:rsid w:val="009C1B20"/>
    <w:rsid w:val="00A25D75"/>
    <w:rsid w:val="00A52982"/>
    <w:rsid w:val="00AB7826"/>
    <w:rsid w:val="00AD27CD"/>
    <w:rsid w:val="00AE3E6A"/>
    <w:rsid w:val="00AE69BB"/>
    <w:rsid w:val="00AF38A2"/>
    <w:rsid w:val="00B347CD"/>
    <w:rsid w:val="00B66B46"/>
    <w:rsid w:val="00B759B7"/>
    <w:rsid w:val="00BA6CF7"/>
    <w:rsid w:val="00BD4551"/>
    <w:rsid w:val="00BF51F2"/>
    <w:rsid w:val="00C05E6C"/>
    <w:rsid w:val="00C476F7"/>
    <w:rsid w:val="00C53B3A"/>
    <w:rsid w:val="00C54B93"/>
    <w:rsid w:val="00C67230"/>
    <w:rsid w:val="00C742F9"/>
    <w:rsid w:val="00C80D43"/>
    <w:rsid w:val="00C910C1"/>
    <w:rsid w:val="00C94A67"/>
    <w:rsid w:val="00CA5A64"/>
    <w:rsid w:val="00CB7EFA"/>
    <w:rsid w:val="00CF2F7F"/>
    <w:rsid w:val="00CF49C5"/>
    <w:rsid w:val="00D145CC"/>
    <w:rsid w:val="00D34523"/>
    <w:rsid w:val="00D44B11"/>
    <w:rsid w:val="00D7330D"/>
    <w:rsid w:val="00DB670F"/>
    <w:rsid w:val="00DD2534"/>
    <w:rsid w:val="00DD79FE"/>
    <w:rsid w:val="00DF5086"/>
    <w:rsid w:val="00E033BB"/>
    <w:rsid w:val="00E12E5D"/>
    <w:rsid w:val="00E20B0C"/>
    <w:rsid w:val="00E20D09"/>
    <w:rsid w:val="00E22635"/>
    <w:rsid w:val="00E26D1E"/>
    <w:rsid w:val="00E400A2"/>
    <w:rsid w:val="00E51DE3"/>
    <w:rsid w:val="00E7106D"/>
    <w:rsid w:val="00ED29CA"/>
    <w:rsid w:val="00EE3FE0"/>
    <w:rsid w:val="00F16C3D"/>
    <w:rsid w:val="00F2341E"/>
    <w:rsid w:val="00FA4498"/>
    <w:rsid w:val="00FC5DB8"/>
    <w:rsid w:val="00FD3C3E"/>
    <w:rsid w:val="00FF05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95FB1"/>
  <w15:chartTrackingRefBased/>
  <w15:docId w15:val="{305B026B-86EA-429C-801F-5F39904B6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1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2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38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38A2"/>
    <w:rPr>
      <w:rFonts w:ascii="Segoe UI" w:hAnsi="Segoe UI" w:cs="Segoe UI"/>
      <w:sz w:val="18"/>
      <w:szCs w:val="18"/>
    </w:rPr>
  </w:style>
  <w:style w:type="paragraph" w:styleId="Header">
    <w:name w:val="header"/>
    <w:basedOn w:val="Normal"/>
    <w:link w:val="HeaderChar"/>
    <w:uiPriority w:val="99"/>
    <w:unhideWhenUsed/>
    <w:rsid w:val="001C29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9BA"/>
  </w:style>
  <w:style w:type="paragraph" w:styleId="Footer">
    <w:name w:val="footer"/>
    <w:basedOn w:val="Normal"/>
    <w:link w:val="FooterChar"/>
    <w:uiPriority w:val="99"/>
    <w:unhideWhenUsed/>
    <w:rsid w:val="001C29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Royal Veterinary College</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Najmul</dc:creator>
  <cp:keywords/>
  <dc:description/>
  <cp:lastModifiedBy>Haider, Najmul</cp:lastModifiedBy>
  <cp:revision>2</cp:revision>
  <cp:lastPrinted>2020-09-17T11:46:00Z</cp:lastPrinted>
  <dcterms:created xsi:type="dcterms:W3CDTF">2020-09-17T18:16:00Z</dcterms:created>
  <dcterms:modified xsi:type="dcterms:W3CDTF">2020-09-17T18:16:00Z</dcterms:modified>
</cp:coreProperties>
</file>