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76951" w14:textId="77777777" w:rsidR="00094275" w:rsidRPr="00094275" w:rsidRDefault="00094275" w:rsidP="00094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t>1300'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t>0'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t>$0/$&amp;15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t>456%: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br/>
        <w:t>"11-*$"5*0/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t>0'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t>8"45&amp;8"5&amp;3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br w:type="column"/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lastRenderedPageBreak/>
        <w:t>#"4&amp;%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t>4637&amp;*--"/$&amp;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t>50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br/>
        <w:t>.0/*503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t>4"34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br w:type="column"/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lastRenderedPageBreak/>
        <w:t>$07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br w:type="column"/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lastRenderedPageBreak/>
        <w:t/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t>13&amp;7"-&amp;/$&amp;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t>*/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t>4065)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t>"'3*$"/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br/>
        <w:t>$0..6/*5*&amp;4</w:t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</w:r>
      <w:r w:rsidRPr="00094275">
        <w:rPr>
          <w:rFonts w:ascii="Times New Roman" w:eastAsia="Times New Roman" w:hAnsi="Times New Roman" w:cs="Times New Roman"/>
          <w:color w:val="FFFFFF"/>
          <w:sz w:val="44"/>
          <w:szCs w:val="44"/>
          <w:lang w:bidi="ar-SA"/>
        </w:rPr>
        <w:br/>
      </w:r>
      <w:r w:rsidRPr="00094275">
        <w:rPr>
          <w:rFonts w:ascii="CenturyGothic-Bold-Identity-H" w:eastAsia="Times New Roman" w:hAnsi="CenturyGothic-Bold-Identity-H" w:cs="Times New Roman"/>
          <w:b/>
          <w:bCs/>
          <w:color w:val="231F20"/>
          <w:sz w:val="16"/>
          <w:szCs w:val="16"/>
          <w:lang w:bidi="ar-SA"/>
        </w:rPr>
        <w:t>77</w:t>
      </w:r>
      <w:r w:rsidRPr="00094275">
        <w:rPr>
          <w:rFonts w:ascii="CenturyGothic-Bold-Identity-H" w:eastAsia="Times New Roman" w:hAnsi="CenturyGothic-Bold-Identity-H" w:cs="Times New Roman"/>
          <w:b/>
          <w:bCs/>
          <w:color w:val="231F20"/>
          <w:sz w:val="16"/>
          <w:szCs w:val="16"/>
          <w:lang w:bidi="ar-SA"/>
        </w:rPr>
        <w:separator/>
      </w:r>
      <w:r w:rsidRPr="00094275">
        <w:rPr>
          <w:rFonts w:ascii="CenturyGothic-Bold-Identity-H" w:eastAsia="Times New Roman" w:hAnsi="CenturyGothic-Bold-Identity-H" w:cs="Times New Roman"/>
          <w:b/>
          <w:bCs/>
          <w:color w:val="231F20"/>
          <w:sz w:val="16"/>
          <w:szCs w:val="16"/>
          <w:lang w:bidi="ar-SA"/>
        </w:rPr>
        <w:t/>
      </w:r>
      <w:r w:rsidRPr="00094275">
        <w:rPr>
          <w:rFonts w:ascii="CenturyGothic-Bold-Identity-H" w:eastAsia="Times New Roman" w:hAnsi="CenturyGothic-Bold-Identity-H" w:cs="Times New Roman"/>
          <w:b/>
          <w:bCs/>
          <w:color w:val="231F20"/>
          <w:sz w:val="16"/>
          <w:szCs w:val="16"/>
          <w:lang w:bidi="ar-SA"/>
        </w:rPr>
        <w:t/>
      </w:r>
      <w:r w:rsidRPr="00094275">
        <w:rPr>
          <w:rFonts w:ascii="CenturyGothic-Bold-Identity-H" w:eastAsia="Times New Roman" w:hAnsi="CenturyGothic-Bold-Identity-H" w:cs="Times New Roman"/>
          <w:b/>
          <w:bCs/>
          <w:color w:val="231F20"/>
          <w:sz w:val="16"/>
          <w:szCs w:val="16"/>
          <w:lang w:bidi="ar-SA"/>
        </w:rPr>
        <w:t/>
      </w:r>
      <w:r w:rsidRPr="00094275">
        <w:rPr>
          <w:rFonts w:ascii="CenturyGothic-Bold-Identity-H" w:eastAsia="Times New Roman" w:hAnsi="CenturyGothic-Bold-Identity-H" w:cs="Times New Roman"/>
          <w:b/>
          <w:bCs/>
          <w:color w:val="231F20"/>
          <w:sz w:val="16"/>
          <w:szCs w:val="16"/>
          <w:lang w:bidi="ar-SA"/>
        </w:rPr>
        <w:t/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40"/>
          <w:szCs w:val="40"/>
          <w:lang w:bidi="ar-SA"/>
        </w:rPr>
        <w:t>PROOF OF CONCEPT STUDY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40"/>
          <w:szCs w:val="40"/>
          <w:lang w:bidi="ar-SA"/>
        </w:rPr>
        <w:br/>
        <w:t>Application of wastewater-based surveillance to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40"/>
          <w:szCs w:val="40"/>
          <w:lang w:bidi="ar-SA"/>
        </w:rPr>
        <w:br/>
        <w:t>monitor SARS-CoV-2 prevalence in South African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40"/>
          <w:szCs w:val="40"/>
          <w:lang w:bidi="ar-SA"/>
        </w:rPr>
        <w:br/>
        <w:t>communities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40"/>
          <w:szCs w:val="4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4"/>
          <w:szCs w:val="24"/>
          <w:lang w:bidi="ar-SA"/>
        </w:rPr>
        <w:t>Report to the</w:t>
      </w:r>
      <w:r w:rsidRPr="00094275">
        <w:rPr>
          <w:rFonts w:ascii="ArialMT" w:eastAsia="Times New Roman" w:hAnsi="ArialMT" w:cs="Times New Roman"/>
          <w:color w:val="231F20"/>
          <w:sz w:val="24"/>
          <w:szCs w:val="24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4"/>
          <w:szCs w:val="24"/>
          <w:lang w:bidi="ar-SA"/>
        </w:rPr>
        <w:t>Water Research Commission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4"/>
          <w:szCs w:val="24"/>
          <w:lang w:bidi="ar-SA"/>
        </w:rPr>
        <w:t>by</w:t>
      </w:r>
      <w:r w:rsidRPr="00094275">
        <w:rPr>
          <w:rFonts w:ascii="ArialMT" w:eastAsia="Times New Roman" w:hAnsi="ArialMT" w:cs="Times New Roman"/>
          <w:color w:val="231F20"/>
          <w:sz w:val="24"/>
          <w:szCs w:val="24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4"/>
          <w:szCs w:val="24"/>
          <w:lang w:bidi="ar-SA"/>
        </w:rPr>
        <w:t>Gina Pocock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16"/>
          <w:szCs w:val="16"/>
          <w:lang w:bidi="ar-SA"/>
        </w:rPr>
        <w:t>1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4"/>
          <w:szCs w:val="24"/>
          <w:lang w:bidi="ar-SA"/>
        </w:rPr>
        <w:t>, Leanne Coetzee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16"/>
          <w:szCs w:val="16"/>
          <w:lang w:bidi="ar-SA"/>
        </w:rPr>
        <w:t>1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4"/>
          <w:szCs w:val="24"/>
          <w:lang w:bidi="ar-SA"/>
        </w:rPr>
        <w:t>, Janet Mans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16"/>
          <w:szCs w:val="16"/>
          <w:lang w:bidi="ar-SA"/>
        </w:rPr>
        <w:t>2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4"/>
          <w:szCs w:val="24"/>
          <w:lang w:bidi="ar-SA"/>
        </w:rPr>
        <w:t>, Maureen Taylor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16"/>
          <w:szCs w:val="16"/>
          <w:lang w:bidi="ar-SA"/>
        </w:rPr>
        <w:t xml:space="preserve">2 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4"/>
          <w:szCs w:val="24"/>
          <w:lang w:bidi="ar-SA"/>
        </w:rPr>
        <w:t>and Bettina Genthe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16"/>
          <w:szCs w:val="16"/>
          <w:lang w:bidi="ar-SA"/>
        </w:rPr>
        <w:t>3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16"/>
          <w:szCs w:val="16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t>1</w:t>
      </w:r>
      <w:r w:rsidRPr="00094275">
        <w:rPr>
          <w:rFonts w:ascii="ArialMT" w:eastAsia="Times New Roman" w:hAnsi="ArialMT" w:cs="Times New Roman"/>
          <w:color w:val="231F20"/>
          <w:sz w:val="24"/>
          <w:szCs w:val="24"/>
          <w:lang w:bidi="ar-SA"/>
        </w:rPr>
        <w:t>Waterlab (Pty) Ltd</w:t>
      </w:r>
      <w:r w:rsidRPr="00094275">
        <w:rPr>
          <w:rFonts w:ascii="ArialMT" w:eastAsia="Times New Roman" w:hAnsi="ArialMT" w:cs="Times New Roman"/>
          <w:color w:val="231F20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t>2</w:t>
      </w:r>
      <w:r w:rsidRPr="00094275">
        <w:rPr>
          <w:rFonts w:ascii="ArialMT" w:eastAsia="Times New Roman" w:hAnsi="ArialMT" w:cs="Times New Roman"/>
          <w:color w:val="231F20"/>
          <w:sz w:val="24"/>
          <w:szCs w:val="24"/>
          <w:lang w:bidi="ar-SA"/>
        </w:rPr>
        <w:t>University of Pretoria, Department of Medical Virology</w:t>
      </w:r>
      <w:r w:rsidRPr="00094275">
        <w:rPr>
          <w:rFonts w:ascii="ArialMT" w:eastAsia="Times New Roman" w:hAnsi="ArialMT" w:cs="Times New Roman"/>
          <w:color w:val="231F20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t>3</w:t>
      </w:r>
      <w:r w:rsidRPr="00094275">
        <w:rPr>
          <w:rFonts w:ascii="ArialMT" w:eastAsia="Times New Roman" w:hAnsi="ArialMT" w:cs="Times New Roman"/>
          <w:color w:val="231F20"/>
          <w:sz w:val="24"/>
          <w:szCs w:val="24"/>
          <w:lang w:bidi="ar-SA"/>
        </w:rPr>
        <w:t>CSIR Stellenbosch</w:t>
      </w:r>
      <w:r w:rsidRPr="00094275">
        <w:rPr>
          <w:rFonts w:ascii="ArialMT" w:eastAsia="Times New Roman" w:hAnsi="ArialMT" w:cs="Times New Roman"/>
          <w:color w:val="231F20"/>
          <w:sz w:val="24"/>
          <w:szCs w:val="24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4"/>
          <w:szCs w:val="24"/>
          <w:lang w:bidi="ar-SA"/>
        </w:rPr>
        <w:t>WRC Report no. TT 832/20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4"/>
          <w:szCs w:val="24"/>
          <w:lang w:bidi="ar-SA"/>
        </w:rPr>
        <w:br/>
        <w:t>ISBN 978-0-6392-0187-0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4"/>
          <w:szCs w:val="24"/>
          <w:lang w:bidi="ar-SA"/>
        </w:rPr>
        <w:br/>
        <w:t>September 2020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ii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Obtainable from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lang w:bidi="ar-SA"/>
        </w:rPr>
        <w:t>Water Research Commission</w:t>
      </w:r>
      <w:r w:rsidRPr="00094275">
        <w:rPr>
          <w:rFonts w:ascii="ArialMT" w:eastAsia="Times New Roman" w:hAnsi="ArialMT" w:cs="Times New Roman"/>
          <w:color w:val="231F20"/>
          <w:lang w:bidi="ar-SA"/>
        </w:rPr>
        <w:br/>
        <w:t>Private Bag X03</w:t>
      </w:r>
      <w:r w:rsidRPr="00094275">
        <w:rPr>
          <w:rFonts w:ascii="ArialMT" w:eastAsia="Times New Roman" w:hAnsi="ArialMT" w:cs="Times New Roman"/>
          <w:color w:val="231F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lang w:bidi="ar-SA"/>
        </w:rPr>
        <w:t>Gezina</w:t>
      </w:r>
      <w:proofErr w:type="spellEnd"/>
      <w:r w:rsidRPr="00094275">
        <w:rPr>
          <w:rFonts w:ascii="ArialMT" w:eastAsia="Times New Roman" w:hAnsi="ArialMT" w:cs="Times New Roman"/>
          <w:color w:val="231F20"/>
          <w:lang w:bidi="ar-SA"/>
        </w:rPr>
        <w:t>, 0031</w:t>
      </w:r>
      <w:r w:rsidRPr="00094275">
        <w:rPr>
          <w:rFonts w:ascii="ArialMT" w:eastAsia="Times New Roman" w:hAnsi="ArialMT" w:cs="Times New Roman"/>
          <w:color w:val="231F20"/>
          <w:lang w:bidi="ar-SA"/>
        </w:rPr>
        <w:br/>
      </w:r>
      <w:r w:rsidRPr="00094275">
        <w:rPr>
          <w:rFonts w:ascii="ArialMT" w:eastAsia="Times New Roman" w:hAnsi="ArialMT" w:cs="Times New Roman"/>
          <w:color w:val="3953A4"/>
          <w:lang w:bidi="ar-SA"/>
        </w:rPr>
        <w:t xml:space="preserve">orders@wrc.org.za </w:t>
      </w:r>
      <w:r w:rsidRPr="00094275">
        <w:rPr>
          <w:rFonts w:ascii="ArialMT" w:eastAsia="Times New Roman" w:hAnsi="ArialMT" w:cs="Times New Roman"/>
          <w:color w:val="231F20"/>
          <w:lang w:bidi="ar-SA"/>
        </w:rPr>
        <w:t xml:space="preserve">or download from </w:t>
      </w:r>
      <w:r w:rsidRPr="00094275">
        <w:rPr>
          <w:rFonts w:ascii="ArialMT" w:eastAsia="Times New Roman" w:hAnsi="ArialMT" w:cs="Times New Roman"/>
          <w:color w:val="3953A4"/>
          <w:lang w:bidi="ar-SA"/>
        </w:rPr>
        <w:t>www.wrc.org.za</w:t>
      </w:r>
      <w:r w:rsidRPr="00094275">
        <w:rPr>
          <w:rFonts w:ascii="ArialMT" w:eastAsia="Times New Roman" w:hAnsi="ArialMT" w:cs="Times New Roman"/>
          <w:color w:val="3953A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publication of this report emanates from a WRC-funded research project no.C2020-2021-00353.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DISCLAIMER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This report has been reviewed by the Water Research Commission (WRC) and approved for publication.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Approval does not signify that the contents necessarily reflect the views and policies of the WRC, nor does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mention of trade names or commercial products constitute endorsement or recommendation for use.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lang w:bidi="ar-SA"/>
        </w:rPr>
        <w:t>Printed in the Republic of South Africa</w:t>
      </w:r>
      <w:r w:rsidRPr="00094275">
        <w:rPr>
          <w:rFonts w:ascii="ArialMT" w:eastAsia="Times New Roman" w:hAnsi="ArialMT" w:cs="Times New Roman"/>
          <w:color w:val="231F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© WATER RESEARCH COMMISSION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iii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t>EXECUTIVE SUMMARY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____________________________________________________________________________________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BACKGROUND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Coronaviruses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) are named for the crown-like spikes on their surface. They are enveloped, with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lipid membrane envelope around the surface of the virus. The lipid envelope makes coronaviruses more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fragile than other viruses and is relevant to understanding their sensitivity to disinfection and their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persistence in the environment and transmission. Coronaviruses mostly infect animals, such as bats, birds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mammals, which act as an intermediate host reservoir. Human coronaviruses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HCoVs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) were first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identified in the mid-1960s and so far, a total of seven have been reported to be capable of infecting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humans. Four of them, the 29E (alpha coronavirus); NL63 (alpha coronavirus); OC43 (beta coronavirus)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and HKU1 (beta coronavirus), cause mild to moderate disease. Since the beginning of the 21st century,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three more coronaviruses have crossed the animal-human species barrier to cause deadly pneumonia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humans, namely the Severe Acute Respiratory Syndrome (SARS-CoV-1),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Middle-East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Respiratory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Syndrome (MERS), and the current Severe Acute Respiratory Syndrome 2 (SARS-CoV-2). SARS-CoV-2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is the newest of the family of coronaviruses associated with human infections that are grouped into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beta-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genus, with 79% genetic similarity to SARS-CoV-1. The outbreak was declared a Public Health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Emergency of International Concern on 30 January 2020 and on 11 February 2020 the World Health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Organization (WHO) announced a name for the new coronavirus disease: COVID-19. On March 11, WHO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upgraded the status of the COVID-19 outbreak from epidemic to pandemic. Many COVID-19 infections are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asymptomatic and unless tested, can remain undetected. Likewise, the current total picture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SARS-CoV-2 virus circulation in the population of South Africa is incomplete and the number of COVID-19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patients most likely underestimated, mainly due to the limitations regarding testing.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Once in the body, the virus can be shed through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faeces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urine, as well as through saliva and other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respiratory discharges. The virus and/or its remnants are introduced into water resources and wastewater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environment through the discharge of human waste and bodily fluids containing the virus,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e.g.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from brushing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teeth, mouth washing, coughing and sneezing while bathing or showering, washing of hands or clothes,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discarding tissues and wipes into the toilet. As a complementary approach to monitoring the spread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COVID-19, many countries have since implemented wastewater-based epidemiology (WBE). WBE is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relatively new environmental concept for determining the exposure of populations to substances of concern,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is based on the analysis of target biomarkers related to that substance of concern in raw wastewater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in order to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obtain qualitative and quantitative data on the health of communities within a given wastewater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catchment. WBE has been used to help inform broader infectious disease epidemiological surveillance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mitigation efforts such as the Global Polio Eradication Initiative. Environmental water surveillance has also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been used and recommended for monitoring the spread of other infectious disease-causing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microorganisms such as typhoid, early warning of hepatitis A and norovirus outbreaks, as well as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antimicrobial resistance.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Thus, the presence / absence of SARS-CoV-2 and/or remnants in wastewater treatment plant influent can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determine the presence of infected individuals in a community and can be used as an epidemiological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indicator, especially where community testing is not possible. The main aim of this study is to test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feasibility of applying the WBE and environmental water surveillance concept in South Africa as a tool that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provides valuable additional information about the spread of the virus as a complement to health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surveillance,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and also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 an early warning system for infection in a community providing a more sensitive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rapid indication of changes in infection rates before such effects become detectable by clinical health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surveillance. Critically, this will provide decision support for officials determining the timing and severity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public health interventions to mitigate the overall spread of the disease. This study serves as a short-term,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proof of concept study prior to the roll-out of a national surveillance, and also involves preliminary testing,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optimisation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validation of sampling and virus analysis methods, as well as results interpretation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reporting in the South African context.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iv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OBJECTIVES OF THE STUDY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The overall aim of this proof of concept study is preliminary testing,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optimisation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validation of sampling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virus analysis methods, as well as results interpretation and reporting in the South African context.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study was based on the detection of SARS-CoV-2 signal (RNA) in wastewater and environmental 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 as a means of assessing the presence of infected individuals in a community to consider as an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epidemiological surveillance tool. The specific objectives of the study were as follows: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1. Compile state of knowledge reports on SARS-CoV-2 in water and sanitation environments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 Testing and validation of a sampling protocol for raw sewage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 Testing and validation of the virus extraction and analysis protocol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4. Testing and validation of a sampling protocol for surface and groundwater, depending on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success of objective 3 above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5. Development of preliminary methodology for quantification of viral load as an indicator of number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infected individuals in a community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6. Guidance on data analysis/interpretation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7. Recommendations for data communication and integration into national reporting platforms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METHODOLOGY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Sampling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: Wastewater was collected as 24-hour composite samples from 10 wastewater treatment works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(WWTWs) in 5 provinces, over a period of 4 weeks. Additional duplicate grab samples were taken from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selected WWTWs during the morning peak flow period. Additional composite samples from wastewater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treatment plants at selected power stations, mines and other defined communities were included in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testing. As an indicator for SARS-CoV-2 prevalence in non-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sewered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communities, four surface water grab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samples were also collected from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Jukskei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 downstream of Alexandra informal settlement,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Hennops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 downstream of Tembisa informal settlement, as well as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Blougatspruit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in the Cradle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Humankind and a surface water runoff sample from an informal settlement in Alexandra.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Virus recovery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: Three virus recovery methods were tested based on their ease of use and cost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effectiveness, namely, PEG 8000/NaCl precipitation, skimmed milk flocculation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hydroxide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adsorption-flocculation. Virus recovery efficiency was determined making use of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1-2 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sewage samples were received and stored at 4°C until processing. Samples were mixed thoroughly and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200 mL aliquot was used for each of the three recovery methods. A total of 49 wastewater treatment works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 were collected which included 19 duplicate samples to include a total of 68 wastewater samples,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which 29 samples were recovered with PEG/NaCl, 19 samples were recovered with skimmed milk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20 samples were recovered with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Al(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OH)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>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Viral nucleic acid extraction, detection and quantification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: Viral nucleic acid extraction was performed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with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QIAamp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Ultrasens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Virus Kit (Qiagen). Screening for SARS-CoV-2 was done with a commercial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real time multiplex RT-PCR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), and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repeated with inhouse assays using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Pathogen +IC RT-PCR kit (Qiagen) on the QuantStudio5 real time PCR platform.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targeted the E gene, N gene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RdRp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gene as well as an internal control in a single reaction, whereas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duplex assays targeted the N1 or N2 regions of the N gene, as well as an internal control. Ct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values below 40 were considered positive. Five gene targets for each recovered sample were tested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three assays,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totalling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204 RT-PCR reactions.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RESULTS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SARS-CoV-2 recovery, extraction and detection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All three virus recovery methods tested were effective in the recovery of the SARS-CoV-2 virus and both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kits detected the virus RNA.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SARS-CoV-2 analysis in wastewater samples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SymbolMT-Identity-H" w:eastAsia="Times New Roman" w:hAnsi="SymbolMT-Identity-H" w:cs="Times New Roman"/>
          <w:color w:val="231F20"/>
          <w:sz w:val="20"/>
          <w:szCs w:val="20"/>
          <w:lang w:bidi="ar-SA"/>
        </w:rPr>
        <w:t xml:space="preserve">x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Of the total of 68 wastewater samples, 50 were positive for all 5 targets (70.4%), 16 were positive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for 4 targets (20.4%), 9 were positive for 3 targets (13%), 2 were positive for 1 target (2.94%)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only 1 (1.47%) was negative.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SymbolMT-Identity-H" w:eastAsia="Times New Roman" w:hAnsi="SymbolMT-Identity-H" w:cs="Times New Roman"/>
          <w:color w:val="231F20"/>
          <w:sz w:val="20"/>
          <w:szCs w:val="20"/>
          <w:lang w:bidi="ar-SA"/>
        </w:rPr>
        <w:t xml:space="preserve">x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Of the 10 defined community wastewater samples tested 8 were positive for all 5 targets (80%), 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 positive for 4 targets (10%), and 1 was negative.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SARS-CoV-2 analysis in environmental water samples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Of the 4 surface water samples all tested strongly positive with a 200 mL sample volume being sufficient to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elicit a response.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SARS-CoV-2 concentration in samples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Virus quantification was successfully carried out with genome copies/mL ranging between 1,2 and 2,7×10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>4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for N1 and 4,2-5,5 × 10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4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for N3 target genes.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CONCLUSION AND RECOMMENDATIONS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detection of SARS-CoV-2 RNA in 98% of wastewater and environmental samples collected, has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demonstrated the proof of concept. Raw sewage samples from Gauteng, Western Cape, KwaZulu-Natal,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Mpumalanga and Free State provinces with representation over 4-week period were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analysed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Composite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and grab samples were tested with grab samples being able to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detected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higher virus signal than 24 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composite samples (92 tested in total).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vi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1. Testing and validation of the virus extraction and analysis methods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Three virus extraction methods were tested based on instrumentation availability and affordability including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PEG/NaCl precipitation; skimmed milk flocculation and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Al(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OH)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3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adsorption-flocculation methods illustrating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that highly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specialised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laboratory equipment is not necessary.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Methods need to achieve reproducible high quality and quantitative information. In order to address this, it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is recommended that the evaluation and validation of methods includes a minimally acceptable QA/QC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including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a) positive control;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b) negative control;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c) estimated limit of detection;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d) reporting of equivalent volume of sample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analysed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Additional validation controls include: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a) inhibition control;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b) initial recovery controls;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c) ongoing precision recovery controls and lastly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d) matrix spike, where a known concentration of target virus is added to the samples before sample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preparation and assay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2. Potential for implementing environmental surveillance of SARS-CoV-2 as a proxy for SARS-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CoV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-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2 monitoring in non-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sewered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communities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Methods for viral recovery, extraction and detection were tested,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optimised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validated for surface 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samples. Environmental samples were collected from different locations, with viral RNA detected in all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3. Development of preliminary methodology for quantification of viral load as an indicator of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number of infected individuals in a community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Method to quantify the viral load makes use of the Ct number with a proposed categorical data analysis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recommended based on the Global Polio Surveillance scheme, and quantification of genome copies/mL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 found to range between 1,2-2,7 × 10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4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for N1 and 4,2-5,5 × 10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4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for N3 target genes.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4. Guidance on data analysis/interpretation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International interpretation of data is being followed as described in Objective 5 which was described by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Water Research Foundation webinars held during the first peak of the Covid-19 pandemic.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18"/>
          <w:szCs w:val="18"/>
          <w:lang w:bidi="ar-SA"/>
        </w:rPr>
        <w:t>General use case: Source Water Research Foundation 2020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vii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various use-cases presented highlight the importance of trend monitoring through the various phases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of the pandemic. Although translating the viral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titres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from wastewater into the actual number of cases within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 community is highly challenging, if not impossible, monitoring trends in viral load can be used successfully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to implement an early warning system.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5. Recommendations for data communication and integration into national reporting platforms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Data communication can take place either as part of Polio Surveillance scheme run by the NICD, following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methodology for reporting based on categorical presentation of Ct value ranges or on a separate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Covid-19 Data Centre platform. An example of such is presented below.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18"/>
          <w:szCs w:val="18"/>
          <w:lang w:bidi="ar-SA"/>
        </w:rPr>
        <w:lastRenderedPageBreak/>
        <w:t>Example of proposed Covid-19 surveillance dashboard as per the NICD poliovirus surveillance platform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18"/>
          <w:szCs w:val="18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Mapping of surveillance sites to indicate current status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viii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t>ACKNOWLEDGEMENTS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____________________________________________________________________________________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authors would like to thank the Reference Group of the WRC Project 2020-2021-00353 for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assistance and the constructive discussions during the duration of the project: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4710"/>
      </w:tblGrid>
      <w:tr w:rsidR="00094275" w:rsidRPr="00094275" w14:paraId="4A57612C" w14:textId="77777777" w:rsidTr="00094275"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043E9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Dr N </w:t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Kalebaila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  <w:t xml:space="preserve">Dr Louis De Wet 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Mr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JN </w:t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Bhagwan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A024E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Water Research Commission (Research Manager)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Waterlab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(Pty) Ltd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  <w:t>Water Research Commission</w:t>
            </w:r>
          </w:p>
        </w:tc>
      </w:tr>
      <w:tr w:rsidR="00094275" w:rsidRPr="00094275" w14:paraId="4098F6F3" w14:textId="77777777" w:rsidTr="00094275"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7B1F9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Dr Valerie Naidoo 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60E5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Water Research Commission</w:t>
            </w:r>
          </w:p>
        </w:tc>
      </w:tr>
      <w:tr w:rsidR="00094275" w:rsidRPr="00094275" w14:paraId="2D7CBC6B" w14:textId="77777777" w:rsidTr="00094275"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6A63D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Dr </w:t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Shafick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Adams 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  <w:t xml:space="preserve">Dr Chantal </w:t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Ramcharan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-Kotze 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  <w:t xml:space="preserve">Prof Stanley </w:t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Liphadzi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  <w:t xml:space="preserve">Dr Eunice </w:t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Ubomba-Jaswa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  <w:t xml:space="preserve">Dr </w:t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Samkelisiwe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Hlophe-Ginindza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Mr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Bonani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Madikizela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Mr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Yazeed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van </w:t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Wyk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  <w:t xml:space="preserve">Dr Sudhir Pillay 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4374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Water Research Commission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  <w:t>Water Research Commission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  <w:t>Water Research Commission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  <w:t>Water Research Commission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  <w:t>Water Research Commission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  <w:t>Water Research Commission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  <w:t>Water Research Commission</w:t>
            </w: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br/>
              <w:t>Water Research Commission</w:t>
            </w:r>
          </w:p>
        </w:tc>
      </w:tr>
      <w:tr w:rsidR="00094275" w:rsidRPr="00094275" w14:paraId="152A72A3" w14:textId="77777777" w:rsidTr="00094275"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51157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Dr John </w:t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Zvimba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7007C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Water Research Commission</w:t>
            </w:r>
          </w:p>
        </w:tc>
      </w:tr>
    </w:tbl>
    <w:p w14:paraId="187C85AC" w14:textId="77777777" w:rsidR="00094275" w:rsidRPr="00094275" w:rsidRDefault="00094275" w:rsidP="00094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project team also wishes to thank Ekurhuleni Water Care Company (ERWAT), the City of Cape Town,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City of Tshwane and the iLembe District Municipality as well as Eskom for assistance with provision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 for this study.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ix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t>CONTENTS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____________________________________________________________________________________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EXECUTIVE SUMMARY ..............................................................................................................................iii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ACKNOWLEDGEMENTS ..........................................................................................................................viii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CONTENTS .................................................................................................................................................. ix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LIST OF FIGURES .......................................................................................................................................xi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LIST OF TABLES.......................................................................................................................................xiii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CHAPTER 1: INTRODUCTION .................................................................................................................1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1.1 THE SARS-COV-2 VIRUS ................................................................................................................. 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1.2 SARS-COV-2 PERSISTENCE AND FATE IN THE ENVIRONMENT ............................................... 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1.2.1 SARS-CoV-2 shedding by infected individuals .................................................................... 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1.2.2 SARS-CoV-2 persistence in the environment and susceptibility to disinfection ..................3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1.3 ENVIRONMENTAL SURVEILLANCE OF SARS-COV-2 .................................................................. 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1.3.1 Overview .............................................................................................................................. 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1.3.2 Methods for SARS-CoV-2 analysis in environmental samples............................................ 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1.3.2.1 Virus recovery from wastewater ......................................................................... 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1.3.2.2 Virus detection and quantification....................................................................... 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1.3.3 Using wastewater based epidemiology for monitoring COVID-19 infections ......................7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1.4 ENVIRONMENTAL SURVEILLANCE OF SARS-COV-2 IN THE SOUTH AFRICAN CONTEXT ....8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1.5 AIMS AND OBJECTIVES OF THE STUDY....................................................................................... 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CHAPTER 2: METHODOLOGY ..............................................................................................................10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2.1 ETHICS APPROVAL .......................................................................................................................10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2.2 SAMPLING SITES ...........................................................................................................................10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2.2.1 Selection of sampling sites ................................................................................................10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2.2.2 Western Cape ....................................................................................................................11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2.2.3 Gauteng .............................................................................................................................12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2.2.4 KwaZulu-Natal....................................................................................................................14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2.2.5 Mpumalanga and Free State .............................................................................................14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2.3 SAMPLING METHODOLOGY .........................................................................................................16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2.3.1 Sampling of wastewater treatment plant influent ...............................................................16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2.3.2 Sampling of industry sewage package plants, prison and hospital ...................................16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2.3.3 Sampling of surface environmental samples .....................................................................17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2.4 METHODS FOR SAMPLE PROCESSING AND ANALYSIS ..........................................................17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2.4.1 Viral recovery .....................................................................................................................17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2.4.1.1 Sample clarification ..........................................................................................17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2.4.1.2 Polyethylene glycol 8000/sodium chloride precipitation ...................................17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2.4.1.3 Skimmed-Milk flocculation ................................................................................18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2.4.1.4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hydroxide adsorption-precipitation..................................................18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2.4.2 Viral detection ....................................................................................................................20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2.4.2.1 Nucleic acid extraction......................................................................................20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2.4.2.2 Viral detection using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Allplex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™ 2019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nCoV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......................................20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2.4.2.3 Viral detection using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® Pathogen RT-PCR + IC N1 and N3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assays...............................................................................................................21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x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2.4.2.4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® Pathogen RT-PCR + IC assay ................................21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2.4.3 Viral quantification ..............................................................................................................21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2.4.4 Construction of standard curves ........................................................................................22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2.4.4.1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.......................................................................................................22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2.4.4.2 SARS-CoV-2 N1 and N3 ..................................................................................22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2.5 DATA INTERPRETATION AND VISUALIZATION ..........................................................................22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CHAPTER 3: RESULTS AND DISCUSSION .........................................................................................23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3.1 SARS-COV-2 ANALYSIS IN MUNICIPAL WASTEWATER SAMPLES ..........................................23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3.1.1 Determining viral extraction efficiency using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recovery from wastewater .......23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3.1.2 SARS-CoV-2 recovery using PEG precipitation and skimmed milk methods ...................25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3.1.3 SARS-CoV-2 detection in wastewater ...............................................................................28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3.1.4 Trends in Ct values ............................................................................................................31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3.1.5 Viral quantification ..............................................................................................................34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3.2 SARS-COV-2 ANALYSIS IN WASTEWATER SAMPLES FROM DEFINED POPULATIONS: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MINES, POWER STATIONS AND PRISON SAMPLE RESULTS ..............................................................35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3.2.1 Power stations, mines and prison ......................................................................................35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3.2.2 Hospital samples ................................................................................................................36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3.3 SARS-COV-2 ANALYSIS IN SURFACE WATER ...........................................................................38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3.3.1 Water quality ......................................................................................................................38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3.3.2 Detection of SARS-CoV-2 in surface water .......................................................................39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3.4 DATA VISUALIZATION AND RESULTS INTERPRETATION ........................................................41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3.4.1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Visualising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trends in Ct values and data interpretation ......................................................41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3.4.2 Data reporting ....................................................................................................................47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3.5 SUMMARY OF FINDINGS ..............................................................................................................47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3.5.1 Grab vs. composite wastewater samples ..........................................................................47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3.5.2 Use of primary sludge for SARS-CoV-2 monitoring...........................................................47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3.5.3 Efficiency of virus recovery ................................................................................................48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3.5.4 Methods for viral detection .................................................................................................49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3.5.5 SARS-CoV-2 detection in non-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sewered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samples ..............................................................49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3.5.6 Data interpretation and reporting .......................................................................................49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CHAPTER 4: CONCLUSION AND RECOMMENDATIONS ...................................................................50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4.1 CONCLUSIONS...............................................................................................................................50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4.2 RECOMMENDATIONS FOR SCALING UP INTO NATIONAL SURVEILLANCE PROGRAMME .51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4.2.1 Sampling methodology ......................................................................................................51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4.2.2 SARS-CoV-2 detection ......................................................................................................51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4.2.3 Recovery methods .............................................................................................................51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4.2.4 SARS-CoV-2 gene assays.................................................................................................52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4.2.5 Viral quantification ..............................................................................................................52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4.2.6 Upstream sampling and monitoring of smaller defined populations ..................................52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4.2.7 Analysis of non-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sewered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environmental water samples ....................................................52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4.2.8 Data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visualisation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trend monitoring .............................................................................53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REFERENCES ............................................................................................................................................54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APPENDIX A: COVID-19 CASES IN SELECTED PROVINCES AS OF 16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14"/>
          <w:szCs w:val="14"/>
          <w:lang w:bidi="ar-SA"/>
        </w:rPr>
        <w:t xml:space="preserve">TH 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JUNE 2020 ......................60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xi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t>LIST OF FIGURES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____________________________________________________________________________________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1-1: SARS-CoV-2 key structure includes S, N, M, E and RNA (a); incapacitation process (b)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degradation (c). The subsequent analysis of SARS-CoV-2 RNA (typically after conversion to DNA) may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follow RNA extraction from intact,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incapacitated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or degraded virus and combinations thereof (Hill et al.,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2020). ............................................................................................................................................................ 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1-2: General use case: Source Water Research Foundation 2020 .................................................. 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2-1: Provincial breakdown of confirmed Covid-19 cases as of 16 June 2020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https://www.nicd.ac.za/diseases-a-z-index/covid-19/surveillance-reports/ ................................................ 10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2-2: Map showing the selected sites for sampling .......................................................................... 11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2-3: Map of sampling locations in the Western Cape by type ......................................................... 12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2-4: Map of sampling locations in Gauteng by type ........................................................................ 13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2-5: Map of sampling locations in KwaZulu-Natal by type .............................................................. 14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2-6: Map of sampling locations in Mpumalanga by type ................................................................. 15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2-7: Map of sampling locations in Free State by type ..................................................................... 15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2-8: Sampling and sample preparation methodology flow chart representation ............................. 16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2-9: Workflow for virus recovery from wastewater samples, comparing the PEG precipitation,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skimmed milk flocculation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Hydroxide Adsorption-Precipitation methods .......................... 19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2-10: Workflow for virus extraction and detection in wastewater samples...................................... 20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Figure 3-1: A) Real time RT-PCR amplification curves of 10-fold serial dilutions of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RNA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starting at 1.4 × 10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>5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B) Standard curve generated from the dilution series shown in A. The standard curve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ranges from Ct 16.1 (140 000 TCID50) to Ct 36.9 (0.014 TCID50). .......................................................... 23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Figure 3-2: Internal control amplification during 60 RT-PCR reactions in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recovery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experiment .................................................................................................................................................. 25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3-3: SARS-CoV-2 gene amplification and internal control (IC) for composite and grab samples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weeks 1-4, with PEG recovery. Ct value of 40 and below were considered positive ................................. 26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3-4: SARS-CoV-2 gene amplification and internal control (IC) for weeks 1-4, comparing PEG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skimmed milk recovery. Ct value of 40 and below were considered positive ............................................ 27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Figure 3-5: A comparison of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N1 and N3 assays with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2019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nCoV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Western Cape samples .............................................................................................................................. 28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3-6: Comparison of Ct values for sewage influent samples per assay method .............................. 29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3-7: Comparison of Ct values for all samples per assay method .................................................... 29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3-8: Comparison of Ct values by recovery method and assay ....................................................... 30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3-9: Comparison of Ct values by inactivation/ re-suspension method and assay method ............. 31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3-10: N gene Ct values over time for the composite and grab samples from Gauteng; two WWTW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from the City of Ekurhuleni (GP_ERWAT1, GP_ERWAT2) and one WWTW from the City of Tshwane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(GP_TSHWN1), overlaid with the active case number for the province at the time of sampling (Source: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https://www.covid19sa.org/provincial-breakdown) ..................................................................................... 32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xii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3-11: N gene Ct values over time for the composite and grab samples from the City of Ekurhuleni;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overlaid with the daily increases in cases for the City at the time of sampling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https://github.com/dsfsi/covid19za/blob/master/data/district_data/gp_ekurhuleni.csv ............................... 32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3-12: N gene Ct values over time for the composite samples from the iLembe District Municipality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recovered with skimmed milk and PEG; overlaid with the active case number for the province at the time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sampling (Source: https://www.covid19sa.org/provincial-breakdown) ................................................... 33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3-13: N gene Ct values over time for the composite and grab samples from the Western Cape;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three WWTW from the City of Cape Town (WC_CCT2, WCCT3, WC_CCT4) and one WWTW from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Cape Winelands District (WC_STB1), overlaid with the active case number for the province at the time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sampling (Source: https://www.covid19sa.org/provincial-breakdown) ....................................................... 33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3-14: Detection of SARS-CoV-2 N-gene plasmid in serial ten-fold dilution range using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Pathogen + IC RT-PCR kit, as well as the standard curve generated from the amplification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data. Slope -3.237, r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>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=0.997, Efficiency= 103.6% for the N1 target and Slope -3.102, r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>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=0.993, Efficiency=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110.1% for the N3 target............................................................................................................................. 34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3-15: Correlation between Ct values obtained for N1 (n=41) and N3 (n=59) targets using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and concentrations (genome copies/mL) obtained after adjusting for extraction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efficiency based on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................................................................................................................. 35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3-16: SARS-CoV-2 gene detection for prison, power station and mine .......................................... 36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Figure 3-17: Detection of SARS-CoV-2 samples in hospital wastewater over a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4 week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period ................ 37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Figure 3-18: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Covid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case numbers for the Western Cape, with period of hospital sampling indicated in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block............................................................................................................................................................ 37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3-19: Detection of SARS-CoV-2 in surface water ........................................................................... 39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3-20: Number of SARS-CoV-2 gene targets amplified per sample site and recovery volume ....... 40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3-22: Trends in Ct values, by minimum Ct value per site for wastewater treatment works. A black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triangle is indicative of a negative result (Ct &gt;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40)......................................................................................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43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3-23: Trends in Ct values, by minimum Ct value per site for prison and hospital sites. A black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triangle is indicative of a negative result (Ct &gt;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40)......................................................................................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44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3-24: Trends in Ct values, by minimum Ct value per site for the power station and mine sites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black triangle is indicative of a negative result (Ct &gt; 40) ............................................................................ 45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3-25: Trends in Ct values, by minimum Ct value per site for surface water samples ..................... 46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Figure 3-25: Mapping of surveillance sites to indicate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current status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........................................................ 46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3-26: Example of proposed Covid-19 surveillance dashboard as per the NICD poliovirus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surveillance platform ................................................................................................................................... 47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4-1: General use case: Source Water Research Foundation 2020 ................................................ 53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xiii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t>LIST OF TABLES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____________________________________________________________________________________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Table 2-1: Primers and probes for SARS-CoV-2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detection ............................................. 21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Table 3-1: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recovery efficiency from grab and composite raw wastewater samples. .............. 24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Table 3-2: Surface water quality analysis results ....................................................................................... 38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Table 3-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3:Typical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Values for Untreated Domestic Wastewater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Nozaic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&amp; Freese, 2009) ......................... 38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t>CHAPTER 1: INTRODUCTION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____________________________________________________________________________________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THE SARS-COV-2 VIRUS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Coronaviruses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) belong to the family of </w:t>
      </w:r>
      <w:proofErr w:type="spellStart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Coronaviridae</w:t>
      </w:r>
      <w:proofErr w:type="spellEnd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and they are a large and diverse family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viruses. The name ‘corona’ comes from their round appearance and the spikes on their surface that can be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likened to a solar corona (Figure 1-1(a)). Coronaviruses are enveloped, which means that there is a lipid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membrane envelope around the surface of the virus, while ‘naked’ viruses do not have this. The lipid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envelope makes coronaviruses more fragile than other viruses (Walls et al., 2020) and is hence relevant to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understanding their environmental persistence and transmission and their susceptibility to inactivation by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disinfection. The lipidic structure holds the membrane (M), envelope (E) and spike (S) proteins together,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with the spike protein protruding from the envelope (Figure 1-1(a)). Since the spike protein is responsible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for the connection with the host cells in humans, the virus loses its infectivity if the lipid envelope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destroyed (Figure 1-1(b)) (Walls et al., 2020; Wu et al., 2020a, 2020b, 2020c). Their genome is made up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single-stranded RNA (Figure 1-1(a)), which makes them highly susceptible to UV disinfection. When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screening for the virus in wastewater, scientists detect the genetic information that codes for the key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proteins in its structure.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Eurosurveillance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Centers for Disease Control and Prevention have provided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references listing commonly used primers for the detection of SARS-CoV-2 virus.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Eurosurveillance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primers target regions of RNA that code for the envelope (E), while the CDC N1 and N2 primers detect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fragments of RNA that code for the nucleocapsid (N) protein (Figure 1-1(a)).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1-1: SARS-CoV-2 key structure includes S, N, M, E and RNA (a); incapacitation process (b)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and degradation (c). The subsequent analysis of SARS-CoV-2 RNA (typically after conversion to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 xml:space="preserve">DNA) may follow RNA extraction from intact, </w:t>
      </w:r>
      <w:proofErr w:type="gram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incapacitated</w:t>
      </w:r>
      <w:proofErr w:type="gram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or degraded virus and combinations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thereof (Hill et al., 2020).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Coronaviruses mostly infect animals, such as, bats, birds and mammals, which act as an intermediate host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reservoir. Human coronaviruses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HCoVs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) were first identified in the mid-1960s and so far, a total of seven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have been reports to be capable of infecting humans. Four of them, the 29E (alpha coronavirus); NL63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(alpha coronavirus); OC43 (beta coronavirus) and HKU1 (beta coronavirus), cause mild to moderate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disease, and may even go unnoticed. However, since the beginning of the 21st century, three more human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coronaviruses have been identified and cause deadly pneumonia in humans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Drosten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2003;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Zaki</w:t>
      </w:r>
      <w:proofErr w:type="spellEnd"/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et al., 2012). These include Severe Acute Respiratory Syndrome (SARS-CoV-1),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Middle-East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Respiratory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Syndrome (MERS), and now Severe Acute Respiratory Syndrome 2 (SARS-CoV-2). This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is the newest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the family of coronaviruses associated with human infections that are grouped into the beta-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genus,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with 79% genetic similarity to SARS-CoV-1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Gorbalenya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2020; Lu et al., 2020).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SARS-CoV-2 was revealed after testing of fluid from a patient’s lungs on 3 January 2020, following reports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several patients presenting with a strange pneumonia in November and December 2019 in Wuhan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Province, China. The first publications about this virus referred to it as the ‘novel coronavirus’, and the name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2019-nCoV was used to denote it. Since more has become known about the virus, it has been designated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SARS-CoV-2 and is associated with the current pandemic of atypical pneumonia (the disease is designated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as COVID-19). SARS-CoV-2 is transmitted from person-to-person via the respiratory system through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sneezing, coughing and secretions, and by contact with contaminated surfaces (Huang et al., 2020; Zhu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et al., 2020).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SARS-COV-2 PERSISTENCE AND FATE IN THE ENVIRONMENT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1.2.1 SARS-CoV-2 shedding by infected individuals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Once in this body, the virus will be shed from the upper respiratory and gastrointestinal systems into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wastewater and the environment, e.g. through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faeces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urine, from brushing teeth, mouth washing,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coughing and sneezing while bathing or showering, washing of hands or clothes, and discarding tissues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wipes into the toilet. Wu et al. (2020b) found excretion of the SARS-CoV-2 virus after 3 weeks in phlegm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4 weeks in stools. The same article noted that there was no association between disease severity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the extended duration of the virus in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faeces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The presence of gastrointestinal symptoms was not associated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with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faecal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sample viral RNA positivity.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Other researchers have examined clinical specimens from 73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hospitalised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patients infected with SARSCoV-2. Thirty-nine patients tested positive for SARS-CoV-2 RNA in stool samples and 17 of those patients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remained positive for SARS-CoV-2 in stools after becoming negative in respiratory samples, suggesting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that viral gastrointestinal infection, or at least shedding, can remain for some time after clearance of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virus in the respiratory tract (Xiao et al., 2020a; Xu et al., 2020). This finding has now been repeated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various studies showing the extended duration of shedding of the virus in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faecal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samples.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Sethuraman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al. (2020) reported that in some cases, viral RNA can be detected in stool samples by RT-PCR 6 weeks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after the first positive test.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 recent systematic review on the prevalence of gastrointestinal symptoms and SARS-CoV-2 shedding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faeces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analysed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data from 23 published and 6 preprint studies with a total of 4805 COVID-19 patients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Parasa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2020). Of these patients 7.4% (95% CI, 4.3%-12.2%) reported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diarrhoea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4.6% (95% CI,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2.6%-8%) reported nausea or vomiting. Eight of the included studies reported SARS-CoV-2 in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faeces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shedding was detected in 40.5% (95% CI, 27.4%-55.1%) of patients. Pan and colleagues (2020) evaluated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SARS-CoV-2 shedding in different clinical specimens and found virus concentrations ranging between 550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>FRSLHV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SHU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P/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WR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" w:eastAsia="Times New Roman" w:hAnsi="Arial" w:cs="Arial"/>
          <w:color w:val="231F20"/>
          <w:sz w:val="20"/>
          <w:szCs w:val="20"/>
          <w:lang w:bidi="ar-SA"/>
        </w:rPr>
        <w:t>௖î௖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5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copies per mL in stool. Three studies have been able to confirm infectious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SARS-CoV-2 in stool from COVID-19 patients (Wang et al., 2020b, Xiao et al., 2020b, Zhang et al., 2020b).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SARS-CoV-2 was cultured from the stool of a patient in China around 15 days after the onset of disease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(Zhang et al., 2020b).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virus was detectable by electron microscopy in the inoculated cell cultures. Xiao and co-workers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(2020b) inoculated Vero E6 cells with a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faecal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specimen with Ct values of 23.34 for the 1lab gene and 20.82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for the N gene and could observe cytopathic effect after a second passage. Virus particles with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characteristic coronavirus morphology could be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visualised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by electron microscopy and the complete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genome was determined from the cultured virus, indicating 5 nucleotide difference with the original Wuhan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strain (Xiao et al., 2020b). Wang et al. (2020b) detected SARS-CoV-2 in 44/153 COVID-19 patients with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mean Ct value of 31.4 ± 4.2, ranging from 22.3-38.4. These are limited studies on relatively low numbers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of patients, but it indicates that SARS-CoV-2 is shed at relatively high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titres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in the stool of some individuals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public health measures should take this into account.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Epidemiological investigations conducted by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Mizumoto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 (2020) on the Diamond Princess cruise ship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suggested that less than 20% of infected people were asymptomatic. Most of the infected people were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reported to exhibit moderate nonspecific symptoms including fever, headache, body aches, intense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tiredness and/or dry cough. However, infected people can shed SARS-CoV-2 for a few days before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onset of symptoms and for several days after recovery. Another extensive study based on the Iceland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population shows that 43% of SARS-CoV-2 positive patients did not report any symptoms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Gudbjartsson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et al., 2020). In this context, a clear majority of infected carriers may silently contaminate susceptible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people. Therefore, the contamination of raw wastewaters may occur before the significant appearance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clinical cases. Understanding how the disease affects the human body, and how the virus is shed, can give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key insights into the virus shedding rates in wastewater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and also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on the applicability of complementary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wastewater-based surveillance techniques for monitoring COVID-19 infections. One important question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how much of this virus is excreted in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faeces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given that viruses, including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are commonly shed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faeces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(Wang et al., 2005a; Wang et al., 2005b, WHO, 2011; Mans et al., 2014; Wang et al., 2020b).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1.2.2 SARS-CoV-2 persistence in the environment and susceptibility to disinfection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Chin et al. (2020) noted that the SARS-CoV-2 virus is susceptible to standard disinfection methods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 undetected after 5 minute contact with household bleach (sodium hypochlorite) at various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concentrations (1:49 and 1:99 dilution ratios), ethanol (70%), povidone-iodine (7.5%), chloroxylenol (0.05%)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and chlorhexidine (0.05%).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Chin et al. (2020) also reviewed the stability of SARS-CoV-2 within the environment by incubating the virus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 virus transport medium at various temperatures for up to 14 days and then tested for infectivity. SARSCoV-2 virus infectivity was also assayed following incubation on different surfaces, exposure to varying pH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values and different disinfectants. The authors found that infectivity was still detectable on day 14 when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virus was incubated at 4°C, whereas at 70°C the virus was inactivated in 5 minutes. In the same article,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stability of the virus on various surfaces was tested by dropping the cultured virus onto surfaces left at room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temperature (22°C) and a relative humidity of 65%. They found that treated smooth surfaces, particularly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steel and plastic, support the persistence of infective virus more than rougher surfaces such as tissue paper,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wood and cloth. The virus was stable at a range of pH values (at room temperature).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Van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Doremalen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 (2020) compared SARS-CoV-2 to the 2005 SARS-CoV-1 in terms of viability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aerosols, finding that, like SARS-CoV-1, SARS-CoV-2 also remains viable in aerosols (testing was for 3 h).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Although there is limited data on the survival of SARS-CoV-2 in water, because they behave similarly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aerosols, similar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behaviour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is likely for SARS-CoV-1 and SARS-CoV-2 in water and wastewater. SARSCoV-1 was predicted to be very stable at 4°C in filtered tap water, and was found to remain live in stools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for 6 days at room temperature, with fragments of SARS-CoV-1 being detected in wastewater for up to 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days, making it less stable in wastewater than poliovirus (Gundy et al., 2009).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ENVIRONMENTAL SURVEILLANCE OF SARS-COV-2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1.3.1 Overview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Many COVID-19 infections are asymptomatic and unless tested, can remain undetected. As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complementary approach to monitoring the spread of COVID-19, many countries have since implemented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wastewater-based surveillance of COVID-19 infections by monitoring the absence and presence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concentration of SARS-CoV-2 viral particles in wastewater and contaminated environmental water sources.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Environmental surveillance has also been used and recommended for other infectious disease-causing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microorganisms such as typhoid (WHO, 2018), early warning of hepatitis A and norovirus outbreaks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Hellmér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2014), as well as for antimicrobial resistance (Hendriksen et al., 2019), with modelling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techniques used to assist both the design and interpretation of those efforts (Wang et al., 2020a, 2020b).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 compartmental epidemiological model developed by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Danchin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 (2020) suggested that contaminated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natural water bodies could become environmental reservoirs of SARS-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which would require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enforcement of strict post-epidemic measures to prevent re-infection. Currently however, the minimal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infectious dose (MID) of SARS-CoV-2, that is, the number of viral particles that causes an infection,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humans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is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unknown (Kitajima et al., 2020) and while SARS-CoV-2 has been detected in sewage and has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been described to survive for 14 days in sewage at 4°C, and 2 days at 20°C, no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faecal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-oral transmission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has yet been described for COVID-19. Due to its lipid envelope, it is expected that the new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will be less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abundant as an infectious virus in wastewater when compared to other known enteric viruses, and less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stable when exposed to water treatment processes in water and wastewater treatment plants. In the context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surveillance, the presence or absence of the virus in wastewater is relevant, not due to the potential risk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infection spread, but because of the potential to determine the presence of infected individuals in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community. More research is required to determine the potential for infection due to exposure to untreated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wastewater or environmental sources contaminated with untreated wastewater.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1.3.2 Methods for SARS-CoV-2 analysis in environmental samples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In laboratories, identification of SARS-CoV-2 mainly includes viral isolation and viral nucleic acid detection.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Accurate detection of SARS-CoV-2 RNA is of notable value. Reverse transcriptase polymerase chain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reaction (RT-PCR) assays targeting small regions of the SARS-CoV-2 genome have now been developed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are routinely applied in clinical testing (Corman et al., 2020). The detection of SARS-CoV-2 RNA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untreated domestic wastewater has been reported in Australia (Ahmed et al., 2020a), the Netherlands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Medema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2020), USA (Wu et al., 2020d,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Nemudryi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2020,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Peccia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2020), France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Wuertzer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et al., 2020a; 2020b), China (Zhang et al., 2020a), Israel (Bar-Or et al., 2020), Turkey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Kocamemi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2020), Spain (Randazzo et al., 2020a, 2020b), Italy (La Rosa et al., 2020), and Japan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Haramoto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2020). A review of the methods used is presented below.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1.3.2.1 Virus recovery from wastewater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Due to the stringent biosafety requirements of working with SARS-CoV-2, a model virus with similar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structural and morphological characteristics can be used as a surrogate for estimating the recovery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efficiency of SARS-CoV-2 concentration methods. A handful of non-human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porcine epidemic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diarrhoea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virus (Randazzo et al., 2020b) and avian infectious bronchitis virus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Kocamemi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2020) have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been used to estimate human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recoveries. Randazzo et al., 2020b found that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flocculationbased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concentration methods recovered approximately 11% and 3% of the seeded porcine epidemic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diarrhoea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virus from untreated and treated wastewater, respectively. These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recoveries were similar to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the recoveries of the nonenveloped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which is often used as a process control for enteric virus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detection in environmental samples (da Silva et al., 2007;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Sima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2011; Farkas et al., 2018).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Ahmed et al., 2020b evaluated the efficiencies of murine hepatitis virus (MHV) recovery from wastewater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using various virus concentration methods previously used to detect SARS-CoV-2 in wastewater (Ahmed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et al., 2020a;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Medema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2020; Wu et al., 2020b). MHV is an enveloped and positive-sense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singlestranded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RNA Beta-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which belongs to the same genus as SARS-CoV-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2, and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is responsible for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number of diseases in mice and rats (Roth-Cross et al., 2008). The performance of seven virus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concentration methods was estimated and compared by seeding MHV in untreated sewage samples,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using RT-qPCR assays to measure MHV concentrations to identify the relative performance of each method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for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recovery. Methods A, B and C were derived from virus adsorption concentration methods, where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 were passed through 0.45-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>ȝP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 xml:space="preserve"> SRUH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-size, 47-mm diameter electronegative membranes via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magnetic filter funnel and filter flask (Ahmed et al., 2015).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Method A began with acidification of sample to pH 4 using 2 N HCl, Method B did not manipulate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sample, only measuring the initial pH (pH = 6.9), Method C began with the addition of MgCl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2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to the sample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to achieve a final concentration of 25 mM MgCl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>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The membrane was immediately inserted into a 2 mL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bead beating tube followed by RNA extraction. Methods D and E were ultrafiltration methods using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centrifugation. Both methods began with the centrifugation of the sample at 4,500 g for 10 min at 4°C to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obtain a pellet. For Method D, the supernatant was concentrated using an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Amicon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® Ultra-15 (30 K)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Centrifugal Filter Devices (Merck Millipore Ltd.), which was centrifuged at 4,750 g for 10 min at 4°C.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>FRQFHQWUDWHG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VDPSOH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ȝ/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br w:type="page"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lastRenderedPageBreak/>
        <w:separator/>
        <w:t>ZDV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FROOHFWHG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IURP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WKH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VDPSOH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UHVHUYRLU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ZLWK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D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SLSHWWH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DQG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WUDQVIHUUHG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LQWR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 2 mL-bead beating tube. For Method E, the supernatant was further centrifuged at 3,500 g for 30 min at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4°C through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Centricon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Plus-70 centrifugal filter with a molecular weight cut-off of 10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kDa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(Merck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>0LOOLSRUH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br w:type="page"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lastRenderedPageBreak/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7KH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FRQFHQWUDWHG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VDPSOH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ȝ/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br w:type="page"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lastRenderedPageBreak/>
        <w:separator/>
        <w:t>ZDV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FROOHFWHG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DQG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PL[HG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ZLWK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ȝ/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RI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'1DVH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DQG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51DVH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free water and transferred into a 2 mL-bead beating tube (Ahmed et al., 2020a;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Medema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2020).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Method F employed PEG precipitation, which is commonly used to concentrate viruses from water matrices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(Mull &amp; Hill, 2012;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Gyawali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2019; Wu et al., 2020b). The method started with sample centrifugation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at 10,000 g for 20 min at 4°C to remove larger particles and debris. The resulting supernatant was then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transferred to a fresh centrifuge tube and stored at 4°C, while MHV was isolated from the pellet. The pellet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 re-suspended in beef extract (3% w/v) in 0.05 M glycine (pH 9.0) at a ratio of 1:5. The pellet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agitated on a shaking incubator at 200 rpm for 30 min at room temperature. The pellet suspension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then centrifuged at 10,000 g for 10 min at 4°C and the supernatant was transferred into the centrifuge tube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containing supernatant from the initial centrifugation step. The pH of the supernatant mixture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neutralized by the addition of 2 M HCl. PEG 8000 and NaCl were added to the supernatant at ratios of 10%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2% w/v, respectively. The centrifuge tubes were then incubated at 4°C for 2 h on an orbital shaker set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to 120 rpm. Following incubation, the sample was centrifuged at 10,000 g for 30 min at 4°C to obtain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pellet. The supernatant was discarded, and the pellet 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>ZDV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UHVXVSHQGHG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LQ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ȝ/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7UL]RO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)LQDOO\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ȝ/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RI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concentrated sample was transferred to a 2-mL bead beating tube.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Method G used ultracentrifugation, which is frequently used to concentrate viruses from water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wastewater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Fumian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2010;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Ammersbach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Bienzle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2011; Ye et al., 2016). It began with sample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centrifugation at 100,000 g for 1 h at 4°C. Supernatant was removed carefully, and the pellet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suspended in 3.5 mL of 0.25 N glycine buffer (pH 9.5). The sample was incubated on ice for 30 min.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 was neutralized by the addition of 3 mL of 2 × PBS (pH 7.2). The supernatant was clarified by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centrifugation (12,000 g for 15 min at 4°C). The virus was recovered by ultracentrifugation at 100,000 g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 h at 4°C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Fumian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2010). 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>7KH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SHOOHW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ZDV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UHVXVSHQGHG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LQ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ȝ/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RI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î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3%6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br/>
        <w:t>S+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br w:type="page"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lastRenderedPageBreak/>
        <w:separator/>
        <w:t>DQG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WUDQVIHUUHG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into a 2-mL bead beating tube. The authors found that the mean MHV recoveries ranged from 26.7 to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65.7%. Method C (adsorption-extraction method, supplemented with MgCl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>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) provided the highest mean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MHV recovery of 65.7 ± 23.0%. The second highest mean recovery was for Method B,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adsorptionextraction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method without pre-treatment. Method D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Amicon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Ultra-15 centrifugal filter device) yielded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third-highest mean recovery (56.0 ± 32.3%) of MHV. While Method E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Centricon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Plus-70 ultrafilter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centrifugal device) was similar to that of Method D, it produced approximately 50% less recovery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(28.0 ± 9.10%) of MHV from untreated wastewater samples compared to Method D. Method F (PEG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precipitation) provided greater recoveries (44.0 ± 27.7%) than Methods A and E, however, it recovered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significantly less MHV in comparison to Methods B and C. The authors concluded that PEG precipitation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appeared to be a promising approach for MHV concentration because it incorporated the concentration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viruses from both the liquid and solid fractions of wastewater. Ye et al. (2016) reported MHV recovery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approximately 5% using PEG precipitation, which was much lower than the value obtained by Ahmed et al.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(2020b), although Ye et al. (2016) only concentrated MHV from the liquid phase. Different versions of PEG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precipitation have been used for the assessment of SARS-CoV-2 in sewage, but the efficiencies were not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reported (Wu et al., 2020b;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Kocamemi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2020; Zhang et al., 2020a; Bar-or et al., 2020).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virus concentration methods used in these studies to recover SARS-CoV-2 RNA from wastewater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included ultrafiltration, polyethylene glycol (PEG) precipitation, ultracentrifugation, and filtration with an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electronegative membrane. Rapid, efficient (high recovery), and cost-effective virus concentration methods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are needed to monitor SARS-CoV-2 and its nucleic acid in untreated wastewater samples for the successful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application of WBE for COVID-19 surveillance.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1.3.2.2 Virus detection and quantification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Accurate estimates of viral concentration in untreated wastewater require that the concentration observed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by reverse transcription-quantitative polymerase chain reaction (RT-qPCR) assays be adjusted using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recovery efficiency of a particular combination of virus and concentration method. The concentration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methods used in each of the above studies were originally developed for the detection of nonenveloped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enteric viruses, such as adenovirus, norovirus, enterovirus in water/wastewater samples. Little is known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about the recovery efficiency in wastewater of each method for an enveloped virus such as SARS-CoV-2.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virus concentration recovery efficiencies of SARS-CoV-2 may be different from those of nonenveloped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enteric viruses because of significant structural differences between enveloped viruses and nonenveloped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enteric viruses.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Haramoto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 (2009) demonstrated differences in virus recovery efficiencies for enveloped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non-enveloped viruses in lake water in Japan. Such discrepancies could lead to large errors of an order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magnitude in the estimated concentration of SARS-CoV-2 in untreated wastewater.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most widely used methods for quantification of DNA and RNA viruses in wastewater are quantitative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PCR (qPCR) and quantitative reverse transcription PCR (RT-qPCR), respectively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Haramoto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2018,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Farkas et al., 2020a). These methods detect a small segment of the viral genome, enabling rapid, sensitive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and accurate strain-level detection of up to five targets in one assay (Jiang et al., 2014). Several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qRT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-PCR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assays have been designed for the detection of SARS-CoV-2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Vogels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2020, Corman et al., 2020,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Chan et al., 2020 &amp; Nalla et al., 2020) which are suitable for wastewater monitoring. Substantial differences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 viral detection rates were observed when different primer/probes were used for quantification.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example, the ‘N2’ assay did not detect SARS-CoV-2 in wastewater samples which were positive for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‘N1’ and ‘N3’ genes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Medema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2020), hence the use of multiple primer/probe sets is recommended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(Farkas et al., 2020b). A limitation of qPCR-based approaches is that the reverse transcription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polymerase enzymes are often inhibited by organic co-contaminants, which are concentrated and extracted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together with the targets. Recently, digital PCR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dPCR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) -based approaches have also been used for viral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detection in environmental samples (Farkas et al., 2020a). These methods enable the absolute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quantification of the targets and are less sensitive to inhibition, however more expensive than qPCR-based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assays.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1.3.3 Using wastewater based epidemiology for monitoring COVID-19 infections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Wastewater based epidemiology (WBE) is a relatively new environmental concept for determining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exposure of populations to substances of concern, and is based on the analysis of target biomarkers related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to that substance of concern in raw wastewater in order to obtain qualitative and quantitative data on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health of communities within a given wastewater catchment. The concept of screening municipal sewage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as an epidemiological tool for viruses has been used to help inform broader infectious disease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epidemiological surveillance and mitigation efforts such as the Global Polio Eradication Initiative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Hovi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et al., 2012, Humayun et al. 2014). Wastewater based epidemiology (WBE) has also been commonly used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 the surveillance of licit and illicit drugs and various chemical contaminants which may impact human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health (Choi et al., 2018).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SARS-CoV-2 screening in raw sewage water using RT-PCR can be used as a tool to measure the virus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circulation in a defined population, for example a city or a smaller municipality feeding to the same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wastewater treatment works (WWTW). This was carried out earlier in 2020 in the Netherlands by KWR (an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independent knowledge generating entity with the Dutch water companies as its shareholders)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345CAA"/>
          <w:sz w:val="20"/>
          <w:szCs w:val="20"/>
          <w:lang w:bidi="ar-SA"/>
        </w:rPr>
        <w:t>(https://www.kwrwater.nl/en/actueel/what-can-we-learn-about-the-corona-virus-through-waste-waterresearch/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). Similarly,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Biobot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in the US have also initiated sewage testing for SARS-CoV-2 (www.biobot.io).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In Australia, a national wastewater monitoring project known as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ColoSSoS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(Collaboration on Sewage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Surveillance of SARS-CoV-2) is being coordinated by Water Research Australia (Water Research Australia,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2020). In Canada, the Canadian Water Network is leading a coalition of municipalities, utilities, researchers,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public health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organisations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governments supporting public health decisions through wastewater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surveillance for COVID-19 (Canadian Water Network, 2020). These projects are linked to a global research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effort managed by the US-based Water Research Foundation which is developing a coordinated approach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to data collection, method development and data interpretation in order to promote best practices, save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resources and accelerate progress on SARS-CoV-2 research in the water sector (Water Research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Foundation, 2020).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According to the Water Research Foundation (2020), environmental surveillance has three uses: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) trend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detection (one direction, up- or downward), (ii) changes in trend (two directions) and (iii) assessment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community infection (tracking disease prevalence) (Figure 1-2). While it was felt that current knowledge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sufficient to advance uses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) and (ii) by supporting decision-making relating to medical and social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interventions, the ultimate objective is to use back-calculation methods to assess infection prevalence.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1-2: General use case: Source Water Research Foundation 2020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For SARS-CoV-2, considerable knowledge still needs to be gathered, especially regarding shedding rates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duration, links between the genetic signal and the infection prevalence and the fate within wastewater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how this changes with wastewater characteristics (e.g. dilution, temperature, retention time, percentage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trade waste, etc.) that may vary with time and season. Models, however, may already be very helpful now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for uses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) and (ii) to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normalise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the genetic signals for spatial (comparing between wastewater catchments)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and temporal (seasonality of fate-affecting conditions) variability in order to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maximise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the power of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signals obtained in supporting COVID-19 management decisions.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ENVIRONMENTAL SURVEILLANCE OF SARS-COV-2 IN THE SOUTH AFRICAN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  <w:t>CONTEXT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current total picture of SARS-CoV-2 virus circulation in the population of South Africa is incomplete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the number of COVID-19 patients most likely underestimated, mainly due to the limitations regarding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testing. Most people who have experienced mild symptoms have not been tested, since testing is mainly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(and rightly so) reserved for use in hospitals for patients with serious medical conditions. If the WBE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programmes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gaining traction internationally can be replicated in South Africa, the water sector will have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tool that provides valuable additional information about the spread of the virus as a complement to health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surveillance, but also acting as an early warning system for infection in a community providing a more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sensitive and rapid indication of changes in infection rates before such effects become detectable by clinical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health surveillance. Critically, this will provide decision support for officials determining the timing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severity of public health interventions to mitigate the overall spread of the disease. When the current peak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is over, sewage screening will also be useful to help early detection of re-emergence of the virus. Because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the need to validate sampling and analysis methods in the South African context, this study aims to serve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as a short-term, preliminary proof of concept study prior to the roll-out of a pilot and finally a national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surveillance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programme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 the studies done in the Netherlands by KWR, SARS-CoV-2 was not found in the effluent of wastewater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treatment works, indicating that conventional sewage treatment may be sufficient to reduce the viral load.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However, in communities with poorly functioning wastewater treatment plants, or in communities lacking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any formal sewerage networks, such as is the case in many regions of South Africa, raw sewage or poorly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treated sewage enters our rivers.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Rimoldi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 (2020) surveyed raw and treated samples from three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wastewater treatment plants, and two river samples in the Milano Metropolitan Area, Italy,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SARS-CoV-2 RNA presence and infectivity. Positive PCR results were found for raw wastewater samples,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while treated water samples were always negative (four and two samples, respectively, sampled on two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different days). Samples from receiving rivers (two sites, sampled on the same dates as the wastewaters)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showed in some cases a positive PCR result, which the authors attributed to non-treated discharges, or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combined sewage overflows in mixed sewage-stormwater systems. Viral vitality was found to be negligible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 the river samples. In Quito (Ecuador) where wastewater is directly discharged into natural waters, SARSCoV-2 was detected in all samples from three urban river locations (Guerrero-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Latorre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2020). Based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on these studies, the likelihood of detecting viral particles, whether infectious or not, in South African river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systems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is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therefore very good. It was therefore proposed that, in addition to sampling of wastewater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treatment works, South Africa’s rivers also be sampled at defined points, particularly where known nonpoint sources of sewage contamination are occurring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as a result of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unsewered informal housing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communities.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Greywater polluted by sewage in unsewered communities can also be sampled as a potential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epidemiological indicator. This may give an early warning of the presence of COVID 19 infections in these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communities, where there is the risk of both rapid spread and low likelihood of conventional testing. This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will enable deployment of rapid response teams into these areas to conduct more intensive testing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quarantining of infected individuals to curb the spread of the virus. Similarly, in areas where pit latrines are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used instead of sewer networks, sampling of groundwater may give an indication of sewage contamination,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therefore a source of SARS-CoV-2 epidemiological information as well.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Primary sludge samples were used for SARS-CoV-2 analysis and compared with the local hospital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admission data and community Covid-19 testing data in New Haven, Connecticut, USA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Peccia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2020). This study uniquely utilized primary sewage sludge (gravity thickened and composed of solids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removed during the primary sedimentation step) instead of raw wastewater for virus RNA measurements.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Due to the greater solids content of primary sludge (2-5%) in comparison to raw wastewater (0.01 to 0.05%)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the high case load observed during the outbreak (~1,200 per 100,000 population), the concentrations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SARS-CoV-2 RNA reported here ranged from two to three orders of magnitude greater than raw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wastewater SARS-CoV-2 values previously reported. Of interest to this study is the comparisons of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hospital admissions and the SARS-CoV-2 RNA concentrations in the sewage sludge which correlated with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COVID 19 testing data when adjusted 7 days forward with a correlation coefficient of R=0.994.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Therefore, the SARS-CoV-2 RNA concentrations in sewage sludge were a leading indicator of community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outbreak dynamics over hospitalization and compiled COVID-19 testing data. In this study, SARS-CoV-2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RNA concentrations led hospital admissions by 3 days and COVID-19 cases by 7 days. Hospital admissions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to Yale New Haven Hospital from the four towns served by the wastewater treatment facility both rose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fell more slowly than the observed RNA concentrations. Raw wastewater and sludge-based surveillance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value for low- and middle-income countries where clinical testing capacity is limited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Peccia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2020).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Based on the experience in the Netherlands, while the RT-PCR method is not yet quantitative,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concentration level of the virus can be an indicator for the number of virus infections in the population. It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could possibly provide an early warning signal in advance of a new outbreak, for instance when a lockdown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is lifted. Similarly, these analyses can help monitor the effect of measures put in place to mitigate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spreading of the pandemic.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AIMS AND OBJECTIVES OF THE STUDY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main aim of this study is to test the feasibility of applying the WBE and environmental water surveillance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concept in South Africa as a tool that provides valuable additional information about the spread of the virus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as a complement to health surveillance, and also as an early warning system for infection in a community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providing a more sensitive and rapid indication of changes in infection rates before such effects become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detectable by clinical health surveillance. Critically, this will provide decision support for officials determining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timing and severity of public health interventions to mitigate the overall spread of the disease. This study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serves as a short-term, proof of concept study prior to the roll-out of a national surveillance,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and also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involves preliminary testing,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optimisation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validation of sampling and virus analysis methods, as well 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results interpretation and reporting in the South African context.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specific objectives of the study were as follows: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1. Compile state of knowledge reports on SARS-CoV-2 in water and sanitation environments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 Testing and validation of a sampling protocol for raw sewage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 Testing and validation of the virus extraction and analysis protocol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4. Testing and validation of a sampling protocol for surface and groundwater, depending on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success of objective (3) above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5. Development of preliminary methodology for quantification of viral load as an indicator of number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infected individuals in a community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6. Guidance on data analysis/interpretation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7. Recommendations for data communication and integration into national reporting platforms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t>CHAPTER 2: METHODOLOGY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____________________________________________________________________________________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ETHICS APPROVAL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study was reviewed and approved by the University of Pretoria (UP) Faculty of Health Sciences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Research Ethics Committee (Ethics Reference no.: 374/2020).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SAMPLING SITES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2.2.1 Selection of sampling sites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Due to this study beings a proof of concept, COVID-19 infection hotspots (based on the number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infections) were selected at the start of the study to give the best chance of finding positives in the samples.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According to the NICD and Department of Health National Covid-19 daily report, as of the 16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th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of June 2020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South Africa had 76 334 confirmed cases of Covid-19 (</w:t>
      </w:r>
      <w:r w:rsidRPr="00094275">
        <w:rPr>
          <w:rFonts w:ascii="ArialMT" w:eastAsia="Times New Roman" w:hAnsi="ArialMT" w:cs="Times New Roman"/>
          <w:color w:val="345CAA"/>
          <w:sz w:val="20"/>
          <w:szCs w:val="20"/>
          <w:lang w:bidi="ar-SA"/>
        </w:rPr>
        <w:t>https://www.nicd.ac.za/diseases-a-z-index/covid-</w:t>
      </w:r>
      <w:r w:rsidRPr="00094275">
        <w:rPr>
          <w:rFonts w:ascii="ArialMT" w:eastAsia="Times New Roman" w:hAnsi="ArialMT" w:cs="Times New Roman"/>
          <w:color w:val="345CAA"/>
          <w:sz w:val="20"/>
          <w:szCs w:val="20"/>
          <w:lang w:bidi="ar-SA"/>
        </w:rPr>
        <w:br/>
        <w:t>19/surveillance-reports/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). The provincial breakdown of these numbers is presented in Figure 2-1. For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more detailed breakdown of case number per province, please refer to Appendix A. The Western Cape had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highest number of confirmed cases at 45 357, followed by Gauteng at 13 023 confirmed cases,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Eastern Cape at 11 039 cases and KwaZulu-Natal at 4 048 cases.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2-1: Provincial breakdown of confirmed Covid-19 cases as of 16 June 2020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3953A4"/>
          <w:sz w:val="20"/>
          <w:szCs w:val="20"/>
          <w:lang w:bidi="ar-SA"/>
        </w:rPr>
        <w:t>https://www.nicd.ac.za/diseases-a-z-index/covid-19/surveillance-reports/</w:t>
      </w:r>
      <w:r w:rsidRPr="00094275">
        <w:rPr>
          <w:rFonts w:ascii="Arial-BoldMT" w:eastAsia="Times New Roman" w:hAnsi="Arial-BoldMT" w:cs="Times New Roman"/>
          <w:b/>
          <w:bCs/>
          <w:color w:val="3953A4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 map of all the sampling sites selected for this study is presented in Figure 2-2, showing a spread of 20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sampling sites located in five provinces representing different sites including; wastewater treatment works,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package wastewater treatment works serving industry and mines, hospital, prison and surface water.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2325"/>
      </w:tblGrid>
      <w:tr w:rsidR="00094275" w:rsidRPr="00094275" w14:paraId="5BE03B9F" w14:textId="77777777" w:rsidTr="00094275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0E2A2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20"/>
                <w:szCs w:val="20"/>
                <w:lang w:bidi="ar-SA"/>
              </w:rPr>
              <w:t xml:space="preserve">Location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682D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20"/>
                <w:szCs w:val="20"/>
                <w:lang w:bidi="ar-SA"/>
              </w:rPr>
              <w:t>Confirmed Covid-19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20"/>
                <w:szCs w:val="20"/>
                <w:lang w:bidi="ar-SA"/>
              </w:rPr>
              <w:br/>
              <w:t>cases as of 16 June 2020</w:t>
            </w:r>
          </w:p>
        </w:tc>
      </w:tr>
      <w:tr w:rsidR="00094275" w:rsidRPr="00094275" w14:paraId="2ACBB997" w14:textId="77777777" w:rsidTr="00094275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C2238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20"/>
                <w:szCs w:val="20"/>
                <w:lang w:bidi="ar-SA"/>
              </w:rPr>
              <w:t xml:space="preserve">Western Cape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9A7EC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45 357</w:t>
            </w:r>
          </w:p>
        </w:tc>
      </w:tr>
      <w:tr w:rsidR="00094275" w:rsidRPr="00094275" w14:paraId="0C452190" w14:textId="77777777" w:rsidTr="00094275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99D0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20"/>
                <w:szCs w:val="20"/>
                <w:lang w:bidi="ar-SA"/>
              </w:rPr>
              <w:t xml:space="preserve">Gauteng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B719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13 023</w:t>
            </w:r>
          </w:p>
        </w:tc>
      </w:tr>
      <w:tr w:rsidR="00094275" w:rsidRPr="00094275" w14:paraId="5EDC041D" w14:textId="77777777" w:rsidTr="00094275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3EDE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20"/>
                <w:szCs w:val="20"/>
                <w:lang w:bidi="ar-SA"/>
              </w:rPr>
              <w:t xml:space="preserve">Eastern Cape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9B545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11 039</w:t>
            </w:r>
          </w:p>
        </w:tc>
      </w:tr>
      <w:tr w:rsidR="00094275" w:rsidRPr="00094275" w14:paraId="691E5667" w14:textId="77777777" w:rsidTr="00094275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6A387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20"/>
                <w:szCs w:val="20"/>
                <w:lang w:bidi="ar-SA"/>
              </w:rPr>
              <w:t xml:space="preserve">KwaZulu-Natal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4776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4048</w:t>
            </w:r>
          </w:p>
        </w:tc>
      </w:tr>
      <w:tr w:rsidR="00094275" w:rsidRPr="00094275" w14:paraId="06148D70" w14:textId="77777777" w:rsidTr="00094275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593C5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20"/>
                <w:szCs w:val="20"/>
                <w:lang w:bidi="ar-SA"/>
              </w:rPr>
              <w:t xml:space="preserve">North West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2CB0D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1 281</w:t>
            </w:r>
          </w:p>
        </w:tc>
      </w:tr>
      <w:tr w:rsidR="00094275" w:rsidRPr="00094275" w14:paraId="1BC04A7C" w14:textId="77777777" w:rsidTr="00094275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2C1C0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20"/>
                <w:szCs w:val="20"/>
                <w:lang w:bidi="ar-SA"/>
              </w:rPr>
              <w:t xml:space="preserve">Limpopo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FC833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391</w:t>
            </w:r>
          </w:p>
        </w:tc>
      </w:tr>
      <w:tr w:rsidR="00094275" w:rsidRPr="00094275" w14:paraId="2A56D710" w14:textId="77777777" w:rsidTr="00094275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63790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20"/>
                <w:szCs w:val="20"/>
                <w:lang w:bidi="ar-SA"/>
              </w:rPr>
              <w:t xml:space="preserve">Mpumalanga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E51DA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343</w:t>
            </w:r>
          </w:p>
        </w:tc>
      </w:tr>
      <w:tr w:rsidR="00094275" w:rsidRPr="00094275" w14:paraId="5D1134C7" w14:textId="77777777" w:rsidTr="00094275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5437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20"/>
                <w:szCs w:val="20"/>
                <w:lang w:bidi="ar-SA"/>
              </w:rPr>
              <w:t xml:space="preserve">Northern Cape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524C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211</w:t>
            </w:r>
          </w:p>
        </w:tc>
      </w:tr>
      <w:tr w:rsidR="00094275" w:rsidRPr="00094275" w14:paraId="4876C3AB" w14:textId="77777777" w:rsidTr="00094275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AA34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20"/>
                <w:szCs w:val="20"/>
                <w:lang w:bidi="ar-SA"/>
              </w:rPr>
              <w:t xml:space="preserve">Unknown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88D04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>63</w:t>
            </w:r>
          </w:p>
        </w:tc>
      </w:tr>
      <w:tr w:rsidR="00094275" w:rsidRPr="00094275" w14:paraId="01EBF055" w14:textId="77777777" w:rsidTr="00094275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D6292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20"/>
                <w:szCs w:val="20"/>
                <w:lang w:bidi="ar-SA"/>
              </w:rPr>
              <w:t xml:space="preserve">Total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B40A6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20"/>
                <w:szCs w:val="20"/>
                <w:lang w:bidi="ar-SA"/>
              </w:rPr>
              <w:t>76 334</w:t>
            </w:r>
          </w:p>
        </w:tc>
      </w:tr>
    </w:tbl>
    <w:p w14:paraId="536FA00E" w14:textId="77777777" w:rsidR="00094275" w:rsidRPr="00094275" w:rsidRDefault="00094275" w:rsidP="00094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2-2: Map showing the selected sites for sampling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2.2.2 Western Cape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A total of 8 sites representing 4 types of sampling locations were selected in the Western Cape, as shown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 Figure 2-3.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Municipal wastewater treatment works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– A total of five WWTWs were selected in the Western Cape,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four from the City of Cape Town and one from the Cape Winelands District were selected for sampling.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names of the WWTW selected in the Western Cape were coded as follows: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SymbolMT-Identity-H" w:eastAsia="Times New Roman" w:hAnsi="SymbolMT-Identity-H" w:cs="Times New Roman"/>
          <w:color w:val="231F20"/>
          <w:sz w:val="20"/>
          <w:szCs w:val="20"/>
          <w:lang w:bidi="ar-SA"/>
        </w:rPr>
        <w:t xml:space="preserve">x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City of Cape Town: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WC_CCT1(105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/d)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WC_CCT2 (200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/d)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WC_CCT3 957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/d)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WC_CCT4 (72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/d)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SymbolMT-Identity-H" w:eastAsia="Times New Roman" w:hAnsi="SymbolMT-Identity-H" w:cs="Times New Roman"/>
          <w:color w:val="231F20"/>
          <w:sz w:val="20"/>
          <w:szCs w:val="20"/>
          <w:lang w:bidi="ar-SA"/>
        </w:rPr>
        <w:t xml:space="preserve">x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Cape Winelands District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WC_STB1 (20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/d)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Other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– Additionally, a hospital (WC_HHOS) and 2 community wastewater treatment works each serving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 prison (WC_CCT5) and a power generation facility (WC_KPS) were selected as sites.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2-3: Map of sampling locations in the Western Cape by type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2.2.3 Gauteng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 total of 8 sampling sites, representing WWTWs and environmental waters were selected in the Gauteng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province (Figure 2-4).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Municipal wastewater treatment works at the City of Ekurhuleni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– For the proof of concept study,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 were taken from two WWTWs from the City of Ekurhuleni, operated by ERWAT, for a period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four weeks, and a third plant for the final two weeks of sampling. The first WWTW in the north serves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communities and industries in Tembisa, Olifantsfontein and Ivory Park, as well as sections of Kempton Park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Midrand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falling within the City of Ekurhuleni North 1 Sub-District. The second WWTW sampled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located in the south-west in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Vosloorus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treating effluent from Boksburg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Vosloorus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 well as areas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Tsakane,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Duduza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Brakpan. Finally, the third plant to be sampled for the final two weeks was located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in the south east of Ekurhuleni, in sub-district Ekurhuleni East 1, treating domestic effluent from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Daveyton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Etwatwa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The names of the selected WWTWs were coded as follows: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SymbolMT-Identity-H" w:eastAsia="Times New Roman" w:hAnsi="SymbolMT-Identity-H" w:cs="Times New Roman"/>
          <w:color w:val="231F20"/>
          <w:sz w:val="20"/>
          <w:szCs w:val="20"/>
          <w:lang w:bidi="ar-SA"/>
        </w:rPr>
        <w:t xml:space="preserve">x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City of Ekurhuleni: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GP_ERWAT1 (105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/d)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GP_ERWAT2 (83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/d)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GP_ERWAT3 (2 weeks) (19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/d)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2-4: Map of sampling locations in Gauteng by type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 xml:space="preserve">Municipal wastewater treatment works at the City of Tshwane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– A central WWTW that serves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populations located in Tshwane Region 3 was selected for sampling. The name of the selected WWTW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 coded as follows: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SymbolMT-Identity-H" w:eastAsia="Times New Roman" w:hAnsi="SymbolMT-Identity-H" w:cs="Times New Roman"/>
          <w:color w:val="231F20"/>
          <w:sz w:val="20"/>
          <w:szCs w:val="20"/>
          <w:lang w:bidi="ar-SA"/>
        </w:rPr>
        <w:t xml:space="preserve">x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City of Tshwane: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GP_TSHWN1 (55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/d)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Surface water sampling sites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– As an indicator for SARS-CoV-2 prevalence in non-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sewered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communities,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four surface water grab samples were also collected from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Jukskei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 downstream of Alexandra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informal settlement,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Hennops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 downstream of Tembisa informal settlement, as well as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Blougatspruit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in the Cradle of Humankind and a surface water runoff sample from an informal settlement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Alexandra. The surface water sampling sites were coded as follows: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Contaminated greywater runoff sample from Alexandra, Johannesburg (GP_JUKS1)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lastRenderedPageBreak/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River sample from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Jukskei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 downstream of Alexandra (GP_ALEXIN)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River sample from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Blougatspruit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in the Cradle of Humankind, downstream of WWTW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discharge (GP_COHK)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River sample from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Hennops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 downstream of Tembisa, upstream of WWTW discharge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(GP_HENN1)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2.2.4 KwaZulu-Natal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City of eThekwini and the iLembe District of KZN were the province’s hotspots, with iLembe, located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to the north of eThekwini, showing 0.9% of the total national infections. Only one site, a municipal WWTW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from the iLembe District Municipality was selected for sampling (Figure 2-5) and was coded as follows: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SymbolMT-Identity-H" w:eastAsia="Times New Roman" w:hAnsi="SymbolMT-Identity-H" w:cs="Times New Roman"/>
          <w:color w:val="231F20"/>
          <w:sz w:val="20"/>
          <w:szCs w:val="20"/>
          <w:lang w:bidi="ar-SA"/>
        </w:rPr>
        <w:t xml:space="preserve">x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iLembe District (KwaZulu-Natal):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KZN_ILEBE1 (12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/d)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2-5: Map of sampling locations in KwaZulu-Natal by type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2.2.5 Mpumalanga and Free State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Figures 2-6 and 2-7 show the selected sampling sites in Mpumalanga and Free State provinces. Both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locations are package plant WWTWs serving communities within a mine and power generating station.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locations were coded as follows: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SymbolMT-Identity-H" w:eastAsia="Times New Roman" w:hAnsi="SymbolMT-Identity-H" w:cs="Times New Roman"/>
          <w:color w:val="231F20"/>
          <w:sz w:val="20"/>
          <w:szCs w:val="20"/>
          <w:lang w:bidi="ar-SA"/>
        </w:rPr>
        <w:t xml:space="preserve">x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Power stations and mines: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MP_MPS1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MP_MM1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FS_LPS1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CourierNewPSMT" w:eastAsia="Times New Roman" w:hAnsi="CourierNewPSMT" w:cs="Times New Roman"/>
          <w:color w:val="231F20"/>
          <w:sz w:val="20"/>
          <w:szCs w:val="20"/>
          <w:lang w:bidi="ar-SA"/>
        </w:rPr>
        <w:t xml:space="preserve">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FS_NVM1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15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2-6: Map of sampling locations in Mpumalanga by type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Figure 2-7: Map of sampling locations in Free State by type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SAMPLING METHODOLOGY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2.3.1 Sampling of wastewater treatment plant influent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In order to demonstrate proof of concept, 1 L 24-hour composite samples were taken from the influent of 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wastewater treatment works (WWTW) from the City of Ekurhuleni, the City of Tshwane, the Western Cape,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the iLembe District Municipality in KwaZulu-Natal, as identified in the sample site selection process.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addition to the composite samples, 1 L grab samples were taken from three of the WWTW in the City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Ekurhuleni during the morning flow peak at 9am,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in order to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compare the viral recovery efficiency with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composite samples. Primary sludge grab samples were also tested, with the aim of evaluating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potentially higher virus recovery rate and RNA extraction methodology. Samples were kept cold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delivered to the laboratory on the same day as sampling. Virus recovery was done within 24 hours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delivery of sample to the laboratory.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2.3.2 Sampling of industry sewage package plants, </w:t>
      </w:r>
      <w:proofErr w:type="gram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prison</w:t>
      </w:r>
      <w:proofErr w:type="gram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and hospital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In addition to the large WWTW, 2 L grab samples were received from three package WWTW serving three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Eskom power stations and their associated mines and staff housing developments. These samples were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taken during the morning flow peak between 8 and 10am. The benefit of sampling from these WWTW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that they serve a defined population. A 1 L grab sample was also taken from a prison in the City of Cape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Town from the sewer manhole downstream of the prison, as well as three 1 L grab samples over a period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of 4 weeks from a sewer manhole receiving sewage from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Covid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ward of a Hospital in the City of Cape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Town that had active cases at the start of sampling. The hospital and prison samples were all recovered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using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hydroxide adsorption-precipitation method, and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multiplex assay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N1 and N3 assays were used for detection of SARS-Co-V-2 genes in the hospital and prison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 flow diagram indicating the sewage sampling methodology is presented in Figure 2-8.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2-8: Sampling and sample preparation methodology flow chart representation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NOTE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: There is some risk of exposure for wastewater treatment plant workers to the aerosol, especially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during periods of high incidence of COVID-19 and at low temperatures, but standard PPE is sufficient to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prevent infections. SARS CoV-2 remained viable in aerosols throughout a 3-hour experiment, with a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reduction in infectious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titre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from 10E3.5 to 10E2.7 TCID50 per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litre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of air. This reduction was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similar to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that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observed with SARS-CoV-1 (van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Doremalen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2020). Operators at the WWTW that assisted with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 collection were aware of the risks associated with the handling of raw sewage and appropriate PPE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was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worn at all times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2.3.3 Sampling of surface environmental samples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Following proof of concept being demonstrated with the sewage samples, samples were taken from various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surface water sources. 10 L of river water was sampled from each source for virus recovery. An additional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 L of sample was taken for chemical and microbiological analysis. Appropriate PPE was worn during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sampling. For the surface water samples, additional analysis was done to indicate the level of untreated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sewage contamination in the samples, which included chemical oxygen demand (COD), ammonia,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suspended solids, orthophosphates, 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E. coli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and total coliforms.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METHODS FOR SAMPLE PROCESSING AND ANALYSIS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2.4.1 Viral recovery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SARS-CoV-2 viruses were recovered from the sewage and surface river water samples at two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independent laboratories, namely Department of Medical Virology, University of Pretoria (UP) for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 from Gauteng, KwaZulu-Natal, Mpumalanga and Free State and the CSIR, Natural Resources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the Environment, Stellenbosch, for the samples from the Western Cape.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2.4.1.1 Sample clarification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Samples referred to UP were first clarified prior to viral recovery. The 1-2 L sewage samples were shaken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mixed thoroughly before a 200 mL aliquot was poured off for further processing. The aliquot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clarified by centrifugation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Sorvall</w:t>
      </w:r>
      <w:proofErr w:type="spellEnd"/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®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Super T20, du Pont) for 30 minutes at 1180 g at 4°C after which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supernatant was retained for further viral recovery and the pellet saved and stored at -80°C. The 10-20 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surface river water samples were mixed thoroughly by shaking and a 200 mL aliquot was clarified as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sewage samples. Additional aliquots (1 L and 2 L) we also clarified by centrifugation as described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200 mL aliquot except that the pellets were chloroform extracted and the aqueous phase was added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back to the supernatants of the 1 L and 2 L samples. Three methods for virus recovery were applied,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illustrated in Figure 2-9.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2.4.1.2 Polyethylene glycol 8000/sodium chloride precipitation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The PEG 8000/NaCl precipitation method as described by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Falman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 (2019) was adapted for the study.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 total of 16 g PEG 8000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Amresco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Solon, OH) and 3.6 g NaCl (Merck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KGaA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Darmstadt, Germany)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added to 200 mL clarified sewage sample and shaken vigorously for 5 minutes to dissolve the PEG 8000.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sample was the divided into 4 × 50 mL centrifuge tubes and shaken overnight (16-18 hours) at 200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rpm at 4-10°C after which the sample was centrifuged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Sorvall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T-20) for 30 minutes at 18500 × g at 4°C.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supernatant was discarded and the precipitate was subjected to a second round of centrifugation at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12 000 rpm for 5 minutes at 4°C after which the remaining supernatant was carefully drawn off with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Pasteur pipette. The final pellet was resuspended in 2 ml inactivated transport medium (ITM) (Nest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Biotechnology, Jiangsu, China) or 2 mL PBS pH 7.4 (Sigma-Aldrich, St. Louis, MO). The recovered virus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concentrate was aliquoted with 1 mL stored at -20°C until analysis and the remainder stored at -80°C.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2.4.1.3 Skimmed-Milk flocculation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The skimmed-milk flocculation method as described by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Falman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 (2019) was applied to the study using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5% w/v skimmed-milk solution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Oxoid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Ltd., Basingstoke, UK) and 2 hour shaking protocol. 2 mL 5%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pre-flocculated skimmed-milk solution was added to 200 mL clarified sewage or river water sample.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pH was adjusted to pH 3.0-4.0 with 1 M hydrochloric acid (Merck) followed by shaking for 2 hours at 200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rpm at room temperature (20-25°C). The sample was then centrifuged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Sorvall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T20, du Pont) at 4500 × 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for 30 minutes at 4°C, the supernatant carefully removed and for the 200 mL samples the pellet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resuspended in 2 ml ITM (Nest Biotechnology) or 2 mL PBS pH 7.4 (Sigma-Aldrich) while for the 1 L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 L river water samples the pellet was resuspended in 10 mL PBS pH 7.4 (Sigma-Aldrich). The recovered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virus concentrate was aliquoted with 1 mL stored at -20°C until analysis and the remainder stored at -80°C.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2.4.1.4 </w:t>
      </w:r>
      <w:proofErr w:type="spellStart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 hydroxide adsorption-precipitation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hydroxide method is an adsorption-precipitation method previously described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concentrating enteric viruses from wastewater and effluent water, modified for this study from AAVV, 2011;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Randazzo et al., 2019, Randazzo et al., 2020a, Randazzo et al., 2020b. In brief, 200 mL of wastewater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 had the pH adjusted to 6.0 before adding 1 part 0.9 N AlCl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3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solution to 100 parts sample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readjusting the pH to 6.0. Samples were mixed using an orbital shaker at 150 rpm for 15 minutes at room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temperature. Viruses were concentrated by centrifugation at 1700 × g for 20 minutes and the pellet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resuspended in 1 mL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Trizol</w:t>
      </w:r>
      <w:proofErr w:type="spellEnd"/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®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reagent (Invitrogen Life Technologies, Paisley, UK) and stored at -20°C until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nucleic acid extraction took place.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2-9: Workflow for virus recovery from wastewater samples, comparing the PEG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 xml:space="preserve">precipitation, skimmed milk flocculation and 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Hydroxide Adsorption-Precipitation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methods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2.4.2 Viral detection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 flow diagram of the virus extraction and testing methodology is presented in Figure 2-10.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2-10: Workflow for virus extraction and detection in wastewater samples.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2.4.2.1 Nucleic acid extraction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All samples were pre-treated with chloroform prior to extraction. Chloroform (250 </w:t>
      </w:r>
      <w:r w:rsidRPr="00094275">
        <w:rPr>
          <w:rFonts w:ascii="SymbolMT-Identity-H" w:eastAsia="Times New Roman" w:hAnsi="SymbolMT-Identity-H" w:cs="Times New Roman"/>
          <w:color w:val="231F20"/>
          <w:sz w:val="20"/>
          <w:szCs w:val="20"/>
          <w:lang w:bidi="ar-SA"/>
        </w:rPr>
        <w:t>P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L) (Merck) was added to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 mL recovered virus concentrate and the mixture was vortexed 3 × 15 seconds and then incubated at room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temperature for 5 minutes before centrifugation at 1500 × g for 10 minutes. The upper phase (~ 1 mL)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transferred to a 2 mL microcentrifuge tube and spiked with 5 × 10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4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to enable monitoring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extraction efficiency.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strain MC0 was kindly provided by Professor Albert Bosch, Department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Microbiology,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Facultat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de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Biologia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University of Barcelona, Barcelona, Spain. Viral nucleic acids were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extracted from the spiked sample using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QIAamp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®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Ultrasens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® Virus kit (Qiagen, Hilden, Germany)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according to the manufacturer’s instructions. Nucleic acids were eluted in 100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μL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buffer AVE and stored at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-80°C.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2.4.2.2 Viral detection using the </w:t>
      </w:r>
      <w:proofErr w:type="spellStart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Allplex</w:t>
      </w:r>
      <w:proofErr w:type="spellEnd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™ 2019 </w:t>
      </w:r>
      <w:proofErr w:type="spellStart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nCoV</w:t>
      </w:r>
      <w:proofErr w:type="spellEnd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 assay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Allplex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™ 2019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nCoV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Inc. Seoul, South Korea) was used to detect SARS-CoV-2 RNA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virus concentrates from wastewater samples. The assay targets the envelope (E), nucleocapsid (N) and RNA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dependent RNA polymerase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RdRp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) genes of SARS-CoV-2 and contains an internal control to monitor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inhibition. The RT-PCR reactions were prepared according to the manufacturer’s instructions and 8 </w:t>
      </w:r>
      <w:r w:rsidRPr="00094275">
        <w:rPr>
          <w:rFonts w:ascii="SymbolMT-Identity-H" w:eastAsia="Times New Roman" w:hAnsi="SymbolMT-Identity-H" w:cs="Times New Roman"/>
          <w:color w:val="231F20"/>
          <w:sz w:val="20"/>
          <w:szCs w:val="20"/>
          <w:lang w:bidi="ar-SA"/>
        </w:rPr>
        <w:t>P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L RNA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were added to each reaction. The real time RT-PCR was performed on a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QuantStudio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™ 5 Real Time PCR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System (Applied Biosystems, Foster City, CA). The target/reporter combinations were E gene (FAM), N gene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(CY5),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RdRp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gene (ROX) and the internal control (VIC).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QuantStudio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™ 5 Design and Analysis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Software v 1.5.1 was used to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analyse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data. Samples with cycle threshold (Ct) values &lt;40 were considered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positive. In the event that the internal control amplification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failed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no SARS-CoV-2 targets were amplified,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assay was repeated with a 1 in 10 dilution of the nucleic acids.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2.4.2.3 Viral detection using the </w:t>
      </w:r>
      <w:proofErr w:type="spellStart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® Pathogen RT-PCR + IC N1 and N3 assays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Singleplex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RT-PCR assays with N1 or N3-specific primer/probe sets (Table 1) and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® Pathogen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RT-PCR + IC kit (Qiagen) were used to detect the SARS-CoV-2 nucleocapsid gene. The primers and probes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were based on assays developed by the CDC (CDC, 2020) and applied by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Medema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colleagues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Medema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et al., 2020). The reaction mix consisted of 1 ×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® Pathogen Master Mix, 400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forward and reverse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N1 or N3 primers, 160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N1 or N3 probes, 1 × Internal Control Assay mix, 1 × Internal Control RNA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0,25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μL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® Pathogen RT mix in 20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μL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. Five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microlitres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of RNA were added to the reaction mix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one step RT-PCR reaction was performed with the following protocol: Reverse transcription for 20 minutes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at 50°C, enzyme activation for 5 minutes at 95°C and 45 cycles of denaturation at 95°C for 15 seconds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annealing/extension at 60°C for 30 seconds. Fluorescence was recorded during the annealing/extension step.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Samples with a cycle threshold (Ct) value of &lt;40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were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considered positive.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2.4.2.4 </w:t>
      </w:r>
      <w:proofErr w:type="spellStart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 </w:t>
      </w:r>
      <w:proofErr w:type="spellStart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® Pathogen RT-PCR + IC assay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was detected in each sample to determine nucleic acid extraction efficiency. Published primers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and probe (Table 2-1) (Pinto et al., 2009) were used with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®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Pathogen RT-PCR + IC kit (Qiagen).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The reaction mix consisted of 1 ×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®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Pathogen Master Mix, 400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Mengo110F and Mengo209R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primers, 160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Mengo147 probe, 1 × Internal Control Assay mix, 1 × Internal Control RNA and 0,25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μL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®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Pathogen RT mix in 20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μL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. Five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microlitres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of RNA were added to the reaction mix and the one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step RT-PCR reaction was performed with the following protocol: Reverse transcription for 20 minutes at 50°C,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enzyme activation for 5 minutes at 95°C and 45 cycles of denaturation at 95°C for 15 seconds, annealing at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60°C for 30 seconds and extension at 65°C for 30 seconds. Fluorescence was recorded during the extension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step. Samples with a cycle threshold (Ct) value of &lt;40 were considered positive.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Table 2-1: Primers and probes for SARS-CoV-2 and 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detection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094275" w:rsidRPr="00094275" w14:paraId="73A812C3" w14:textId="77777777" w:rsidTr="00094275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C153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6"/>
                <w:szCs w:val="16"/>
                <w:lang w:bidi="ar-SA"/>
              </w:rPr>
              <w:t>Assay Target gene Primer/Probe Sequence Reference</w:t>
            </w:r>
          </w:p>
        </w:tc>
      </w:tr>
      <w:tr w:rsidR="00094275" w:rsidRPr="00094275" w14:paraId="0CC87507" w14:textId="77777777" w:rsidTr="00094275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4ACDE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t>SARS-</w:t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t>CoV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t>-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  <w:t>2 N1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  <w:t>Nucleocapsid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  <w:t>(N)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t>Medema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t xml:space="preserve"> et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  <w:t>al., 2020</w:t>
            </w:r>
          </w:p>
        </w:tc>
      </w:tr>
      <w:tr w:rsidR="00094275" w:rsidRPr="00094275" w14:paraId="4C2050B0" w14:textId="77777777" w:rsidTr="00094275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E3FC0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t>SARS-</w:t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t>CoV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t>-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  <w:t>2 N3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  <w:t>Nucleocapsid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  <w:t>(N)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</w: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t>Medema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t xml:space="preserve"> et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  <w:t>al., 2020</w:t>
            </w:r>
          </w:p>
        </w:tc>
      </w:tr>
      <w:tr w:rsidR="00094275" w:rsidRPr="00094275" w14:paraId="1A3E20B8" w14:textId="77777777" w:rsidTr="00094275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442AA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t>Mengo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t xml:space="preserve"> Mengo110F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  <w:t>Mengo209R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  <w:t>Mengo147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  <w:t>5’-GCGGGTCCTGCCGAAAGT-3’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  <w:t>5’-GAAGTAACATATAGACAGACGCACAC -3’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</w:r>
            <w:r w:rsidRPr="00094275">
              <w:rPr>
                <w:rFonts w:ascii="Arial-ItalicMT" w:eastAsia="Times New Roman" w:hAnsi="Arial-ItalicMT" w:cs="Times New Roman"/>
                <w:i/>
                <w:iCs/>
                <w:color w:val="231F20"/>
                <w:sz w:val="16"/>
                <w:szCs w:val="16"/>
                <w:lang w:bidi="ar-SA"/>
              </w:rPr>
              <w:t>5’ MGB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t>-ATCACATTACTGGCCGAAGC-</w:t>
            </w:r>
            <w:r w:rsidRPr="00094275">
              <w:rPr>
                <w:rFonts w:ascii="Arial-ItalicMT" w:eastAsia="Times New Roman" w:hAnsi="Arial-ItalicMT" w:cs="Times New Roman"/>
                <w:i/>
                <w:iCs/>
                <w:color w:val="231F20"/>
                <w:sz w:val="16"/>
                <w:szCs w:val="16"/>
                <w:lang w:bidi="ar-SA"/>
              </w:rPr>
              <w:t>TAMRA-3’</w:t>
            </w:r>
            <w:r w:rsidRPr="00094275">
              <w:rPr>
                <w:rFonts w:ascii="Arial-ItalicMT" w:eastAsia="Times New Roman" w:hAnsi="Arial-ItalicMT" w:cs="Times New Roman"/>
                <w:i/>
                <w:iCs/>
                <w:color w:val="231F20"/>
                <w:sz w:val="16"/>
                <w:szCs w:val="16"/>
                <w:lang w:bidi="ar-SA"/>
              </w:rPr>
              <w:br/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t>Pinto et al.,</w:t>
            </w:r>
            <w:r w:rsidRPr="00094275">
              <w:rPr>
                <w:rFonts w:ascii="ArialMT" w:eastAsia="Times New Roman" w:hAnsi="ArialMT" w:cs="Times New Roman"/>
                <w:color w:val="231F20"/>
                <w:sz w:val="16"/>
                <w:szCs w:val="16"/>
                <w:lang w:bidi="ar-SA"/>
              </w:rPr>
              <w:br/>
              <w:t>2009</w:t>
            </w:r>
          </w:p>
        </w:tc>
      </w:tr>
    </w:tbl>
    <w:p w14:paraId="5C79E5B8" w14:textId="77777777" w:rsidR="00094275" w:rsidRPr="00094275" w:rsidRDefault="00094275" w:rsidP="00094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t>2019-nCoV_N1-F 5’-GACCCCAAAATCAGCGAAAT-3’ 2019-nCoV_N1-R 5’-TCTGGTTACTGCCAGTTGAATCTG-3’ 2019-nCoV_N1-P 5’-FAM-ACCCCGCAT/</w:t>
      </w:r>
      <w:proofErr w:type="spellStart"/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t>abNFQ</w:t>
      </w:r>
      <w:proofErr w:type="spellEnd"/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t>/TACGTTTGGTGGACCNFQ-3’*</w:t>
      </w:r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br/>
        <w:t>2019-nCoV_N3-F 5’-GGGAGCCTTGAATACACCAAAA-3’ 2019-nCoV_N3-R 5’-TGTAGCACGATTGCAGCATTG-3’ 2019-nCoV_N3-P 5’-FAM AYCACATTG/</w:t>
      </w:r>
      <w:proofErr w:type="spellStart"/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t>abNFQ</w:t>
      </w:r>
      <w:proofErr w:type="spellEnd"/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t>/GCACCCGCAATCCTGNFQ -3’</w:t>
      </w:r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br/>
        <w:t>*</w:t>
      </w:r>
      <w:proofErr w:type="spellStart"/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t>abNFQ</w:t>
      </w:r>
      <w:proofErr w:type="spellEnd"/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t xml:space="preserve"> – an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t>abasic</w:t>
      </w:r>
      <w:proofErr w:type="spellEnd"/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t xml:space="preserve"> non fluorescent quencher placed internally between the 9</w:t>
      </w:r>
      <w:r w:rsidRPr="00094275">
        <w:rPr>
          <w:rFonts w:ascii="ArialMT" w:eastAsia="Times New Roman" w:hAnsi="ArialMT" w:cs="Times New Roman"/>
          <w:color w:val="231F20"/>
          <w:sz w:val="10"/>
          <w:szCs w:val="10"/>
          <w:lang w:bidi="ar-SA"/>
        </w:rPr>
        <w:t xml:space="preserve">th </w:t>
      </w:r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t>and 10</w:t>
      </w:r>
      <w:r w:rsidRPr="00094275">
        <w:rPr>
          <w:rFonts w:ascii="ArialMT" w:eastAsia="Times New Roman" w:hAnsi="ArialMT" w:cs="Times New Roman"/>
          <w:color w:val="231F20"/>
          <w:sz w:val="10"/>
          <w:szCs w:val="10"/>
          <w:lang w:bidi="ar-SA"/>
        </w:rPr>
        <w:t xml:space="preserve">th </w:t>
      </w:r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t>bases from the 5’ end; NFQ – non fluorescent</w:t>
      </w:r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br/>
        <w:t>quencher at 3‘end.</w:t>
      </w:r>
      <w:r w:rsidRPr="00094275">
        <w:rPr>
          <w:rFonts w:ascii="ArialMT" w:eastAsia="Times New Roman" w:hAnsi="ArialMT" w:cs="Times New Roman"/>
          <w:color w:val="231F20"/>
          <w:sz w:val="16"/>
          <w:szCs w:val="16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2.4.3 Viral quantification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SARS-CoV-2 genome copies (GC) per reaction for each tested sample was calculated based on the N1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or N3 standard curves and then further converted to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gc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/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mL.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Nucleic acid extraction efficiency was assessed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using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.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TCID50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titre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representing 100% extraction efficiency was determined from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 × 10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4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spiked in 1 mL PBS and extracted with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QIAamp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Ultrasens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kit (Qiagen).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 each sample was quantified based on the TCID50 standard curve and extraction efficiency was calculated.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[TCID50 copies test sample/TCID50 copies PBS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control)*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100]. The GC/mL in the SARS-CoV-2 positive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 were then adjusted based on the percentage extraction efficiency for each reaction.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2.4.4 Construction of standard curves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2.4.4.1 </w:t>
      </w:r>
      <w:proofErr w:type="spellStart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Three types of raw sewage samples (early grab, late grab and 24 h composite) were collected in the week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8 June 2020, in order to validate the virus recovery method using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is a small nonenveloped virus that is used as process control for virus recovery from environmental samples.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In order to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determine the recovery rate of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from different wastewater samples the wastewater was spiked with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2.8 × 10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6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TCID50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either before the first clarification step (composite S) or after clarification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(composite, early and late grab samples). The viruses were recovered with PEG8000/NaCl precipitation 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 xml:space="preserve">detailed in Section 2.4.1.2.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with a TCID50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titre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of 1.4 × 10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6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was used to generate a standard curve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in order to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quantify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Serial ten-fold dilutions of the cell culture stock were run in triplicate in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®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Pathogen RT-PCR + IC assay and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QuantStudio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™ 5 Design and Analysis Software v 1.5.1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 used to generate a standard curve.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2.4.4.2 SARS-CoV-2 N1 and N3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Standard curves were constructed using the 2019_nCoV_N positive control plasmid (Integrated DNA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Technologies, Inc, Coralville, IA) which is provided at a concentration of 200 000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gc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/</w:t>
      </w:r>
      <w:r w:rsidRPr="00094275">
        <w:rPr>
          <w:rFonts w:ascii="SymbolMT-Identity-H" w:eastAsia="Times New Roman" w:hAnsi="SymbolMT-Identity-H" w:cs="Times New Roman"/>
          <w:color w:val="231F20"/>
          <w:sz w:val="20"/>
          <w:szCs w:val="20"/>
          <w:lang w:bidi="ar-SA"/>
        </w:rPr>
        <w:t>P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L. The plasmid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diluted to 100 000 copies/</w:t>
      </w:r>
      <w:r w:rsidRPr="00094275">
        <w:rPr>
          <w:rFonts w:ascii="SymbolMT-Identity-H" w:eastAsia="Times New Roman" w:hAnsi="SymbolMT-Identity-H" w:cs="Times New Roman"/>
          <w:color w:val="231F20"/>
          <w:sz w:val="20"/>
          <w:szCs w:val="20"/>
          <w:lang w:bidi="ar-SA"/>
        </w:rPr>
        <w:t>P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L and a serial ten-fold dilution was prepared. A standard curve was generated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triplicate at 6 dilutions for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N1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N3 assays as described in 2.4.3.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QuantStudio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™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 Design and Analysis Software v 1.5.1 was used to generate the standard curves.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DATA INTERPRETATION AND VISUALIZATION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Ct values were used as a valuable tool for determining the presence and absence of SARS-CoV-2 RNA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samples, and for establishing trends in viral load and identifying either new occurrences in areas previously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unaffected, or for early warning of second waves of infection. Ct values below 40 were considered positive.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t>CHAPTER 3: RESULTS AND DISCUSSION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____________________________________________________________________________________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SARS-COV-2 ANALYSIS IN MUNICIPAL WASTEWATER SAMPLES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3.1.1 Determining viral extraction efficiency using 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recovery from wastewater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amplification curves at each dilution (1.4 × 10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5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to 0.0014) and the resulting standard curve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are shown in Figure 3-1 A and B. The quantification results of the recovery experiment are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summarised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Table 3-1.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recovery ranged between 0.49% and 8.4%. The 24 h composite sample, spiked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after clarification gave the highest recovery of 8.4%.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Figure 3-1: A) Real time RT-PCR amplification curves of 10-fold serial dilutions of 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RNA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starting at 1.4 × 10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14"/>
          <w:szCs w:val="14"/>
          <w:lang w:bidi="ar-SA"/>
        </w:rPr>
        <w:t>5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. B) Standard curve generated from the dilution series shown in A. The standard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curve ranges from Ct 16.1 (140 000 TCID50) to Ct 36.9 (0.014 TCID50).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A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B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Table 3-1: 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recovery efficiency from grab and composite raw wastewater samples.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5"/>
        <w:gridCol w:w="1290"/>
        <w:gridCol w:w="1290"/>
        <w:gridCol w:w="1290"/>
        <w:gridCol w:w="1350"/>
      </w:tblGrid>
      <w:tr w:rsidR="00094275" w:rsidRPr="00094275" w14:paraId="66D404E3" w14:textId="77777777" w:rsidTr="00094275"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EAA7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Sample type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F9E21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Early grab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24994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Late grab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D9AB2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24 h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  <w:t>composite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44FB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24 h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  <w:t>composite</w:t>
            </w:r>
          </w:p>
        </w:tc>
      </w:tr>
      <w:tr w:rsidR="00094275" w:rsidRPr="00094275" w14:paraId="630E7FD2" w14:textId="77777777" w:rsidTr="00094275"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C62A3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Theoretical </w:t>
            </w:r>
            <w:proofErr w:type="spellStart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mengovirus</w:t>
            </w:r>
            <w:proofErr w:type="spellEnd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 concentration in each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  <w:t xml:space="preserve">spiked sample based on cell culture TCID50*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0EFD1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2.8 × 10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 xml:space="preserve">6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CEE49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2.8 × 10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 xml:space="preserve">6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E1353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2.8 × 10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 xml:space="preserve">6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848D2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2.8 × 10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>6</w:t>
            </w:r>
          </w:p>
        </w:tc>
      </w:tr>
      <w:tr w:rsidR="00094275" w:rsidRPr="00094275" w14:paraId="64C5D134" w14:textId="77777777" w:rsidTr="00094275"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BD5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Step at which sample was spiked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33D79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After</w:t>
            </w: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br/>
              <w:t>clarification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A35A8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After</w:t>
            </w: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br/>
              <w:t>clarification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93AA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After</w:t>
            </w: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br/>
              <w:t>clarification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D1E73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Before</w:t>
            </w: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br/>
              <w:t>clarification</w:t>
            </w:r>
          </w:p>
        </w:tc>
      </w:tr>
      <w:tr w:rsidR="00094275" w:rsidRPr="00094275" w14:paraId="60D10332" w14:textId="77777777" w:rsidTr="00094275"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7B746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Actual </w:t>
            </w:r>
            <w:proofErr w:type="spellStart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mengovirus</w:t>
            </w:r>
            <w:proofErr w:type="spellEnd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 TCID50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2"/>
                <w:szCs w:val="12"/>
                <w:lang w:bidi="ar-SA"/>
              </w:rPr>
              <w:t xml:space="preserve"># 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before clarification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A3D1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NA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F42EB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NA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721D6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NA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A014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933 500,0</w:t>
            </w:r>
          </w:p>
        </w:tc>
      </w:tr>
      <w:tr w:rsidR="00094275" w:rsidRPr="00094275" w14:paraId="22BFE569" w14:textId="77777777" w:rsidTr="00094275"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48AA7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lastRenderedPageBreak/>
              <w:t xml:space="preserve">Actual </w:t>
            </w:r>
            <w:proofErr w:type="spellStart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mengovirus</w:t>
            </w:r>
            <w:proofErr w:type="spellEnd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 TCID50 in 200 mL before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  <w:t xml:space="preserve">PEG precipitation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7FB51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3 718 488,0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11350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1 050 800,0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C971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753 600,0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2C4AD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1 098 355,5</w:t>
            </w:r>
          </w:p>
        </w:tc>
      </w:tr>
      <w:tr w:rsidR="00094275" w:rsidRPr="00094275" w14:paraId="7EAC5790" w14:textId="77777777" w:rsidTr="00094275"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0A857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Mengovirus</w:t>
            </w:r>
            <w:proofErr w:type="spellEnd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 TCID50 in supernatant after PEG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  <w:t xml:space="preserve">precipitation (discarded)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6D81C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102 677,1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DA774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205 167,7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DB98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215 475,0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E1083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690 900,1</w:t>
            </w:r>
          </w:p>
        </w:tc>
      </w:tr>
      <w:tr w:rsidR="00094275" w:rsidRPr="00094275" w14:paraId="43375F03" w14:textId="77777777" w:rsidTr="00094275"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837A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Mengovirus</w:t>
            </w:r>
            <w:proofErr w:type="spellEnd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 TCID50 in final concentrate (2 mL)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CFE88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18 256,0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6599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62 768,0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F6F49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61 980,0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CE8A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39 552,0</w:t>
            </w:r>
          </w:p>
        </w:tc>
      </w:tr>
      <w:tr w:rsidR="00094275" w:rsidRPr="00094275" w14:paraId="40771D03" w14:textId="77777777" w:rsidTr="00094275"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4BCF9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% Recovery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26FDA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0,49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9DE67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5,97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5F7F4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8,4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5F9A5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3,6</w:t>
            </w:r>
          </w:p>
        </w:tc>
      </w:tr>
    </w:tbl>
    <w:p w14:paraId="34A0CF69" w14:textId="77777777" w:rsidR="00094275" w:rsidRPr="00094275" w:rsidRDefault="00094275" w:rsidP="00094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275">
        <w:rPr>
          <w:rFonts w:ascii="ArialMT" w:eastAsia="Times New Roman" w:hAnsi="ArialMT" w:cs="Times New Roman"/>
          <w:color w:val="231F20"/>
          <w:sz w:val="18"/>
          <w:szCs w:val="18"/>
          <w:lang w:bidi="ar-SA"/>
        </w:rPr>
        <w:t>*TCID50 = median tissue culture infectious dose 50</w:t>
      </w:r>
      <w:r w:rsidRPr="00094275">
        <w:rPr>
          <w:rFonts w:ascii="ArialMT" w:eastAsia="Times New Roman" w:hAnsi="ArialMT" w:cs="Times New Roman"/>
          <w:color w:val="231F20"/>
          <w:sz w:val="18"/>
          <w:szCs w:val="18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12"/>
          <w:szCs w:val="12"/>
          <w:lang w:bidi="ar-SA"/>
        </w:rPr>
        <w:t xml:space="preserve"># </w:t>
      </w:r>
      <w:r w:rsidRPr="00094275">
        <w:rPr>
          <w:rFonts w:ascii="ArialMT" w:eastAsia="Times New Roman" w:hAnsi="ArialMT" w:cs="Times New Roman"/>
          <w:color w:val="231F20"/>
          <w:sz w:val="18"/>
          <w:szCs w:val="18"/>
          <w:lang w:bidi="ar-SA"/>
        </w:rPr>
        <w:t>TCID50 calculated from comparative standard curve linking Ct to TCID50</w:t>
      </w:r>
      <w:r w:rsidRPr="00094275">
        <w:rPr>
          <w:rFonts w:ascii="ArialMT" w:eastAsia="Times New Roman" w:hAnsi="ArialMT" w:cs="Times New Roman"/>
          <w:color w:val="231F20"/>
          <w:sz w:val="18"/>
          <w:szCs w:val="18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The internal control (IC) that forms part of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Pathogen + IC RT-PCR kit was not significantly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inhibited by the RNA extracted from the various sewage samples. Figure 3-2 shows the amplification of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internal control in reactions with RNA extracted at different stages of the recovery experiment well as those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the final recovered virus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concentrate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RNA. Internal Control Ct values in control reactions (No template control,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extraction negative control and positive standards) ranged from 30.7 to 31.6 with a median of 30.98 whereas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IC Ct values in reactions with sewage derived RNA ranged from 30.5 to 32.2 with a median of 31.5. Thus,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no significant inhibition was observed due to the sewage samples when 5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uL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of RNA was used in the detection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assay.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25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Figure 3-2: Internal control amplification during 60 RT-PCR reactions in the 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recovery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experiment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3.1.2 SARS-CoV-2 recovery using PEG precipitation and skimmed milk methods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Results show proof of concept in terms of both virus recovery methods and positive gene amplification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SARS-CoV-2 at all nine WWTW sampled. Results of 24-hour composites and grab samples taken during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morning peak flow, using the PEG precipitation recovery method, are presented in Figure 3-3. SARS-CoV-2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 detected at all sites tested, and in all samples (Ct values below 40 for at least one target), but not all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targets were positive. Initially, better virus recovery was found in composite wastewater samples when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compared to grab samples taken during peak flow times. However, by weeks 2 and 3 comparable results were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found for the grab and composite samples. This is possibly due to an increase in the viral load over time. By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week 4, the grab samples from the City of Ekurhuleni were giving more consistent results. Two primary sludge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samples from both the GP_ERWAT2 WWTW and from GP_TSHWN1 WWTW were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analysed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Extractions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were performed on 50% and 10% dilutions of the sludge samples. The GP_ERWAT2 samples were completely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inhibited at both extraction dilutions. The GP_TSHWN1 50% sample was inhibited but the 10% sample tested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positive for the N (Ct=36.2)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RdRp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(Ct=35) targets. The internal control amplified very late (Ct=38.3)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indicating that there was still considerable inhibition in these samples. Due to the strong likelihood of inhibition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no further primary sludge samples were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analysed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 comparison between the results achieved with the PEG precipitation recovery method when compared with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the skimmed milk flocculation method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are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presented in Figure 3-4. The success of the skimmed milk recovery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method was variable between different sites. In the week 1 samples it clearly improved recovery from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GP_ERWAT1 and GP_TSHWN1 samples. However, the PEG recovery method performed better for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samples from KZN_ILEBE1 for weeks 1-3, as well as the samples from GP_ERWAT3 sampled in week 3.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week 4 the skimmed milk method improved recovery at several of the sites, notably GP_ERWAT1,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KZN_ILEBE1 and GP_ERWAT3.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3-3: SARS-CoV-2 gene amplification and internal control (IC) for composite and grab samples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for weeks 1-4, with PEG recovery. Ct value of 40 and below were considered positive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effect of the skimmed milk method on recovery therefore seems to be quite variable. This may be due to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differing inhibitors present in the wastewater received at the various sites. Both methods were successful,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skimmed milk method could be used interchangeably or even preferentially to the PEG method. As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cheaper and faster method to employ this is advantageous.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3-4: SARS-CoV-2 gene amplification and internal control (IC) for weeks 1-4, comparing PEG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and skimmed milk recovery. Ct value of 40 and below were considered positive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3.1.3 SARS-CoV-2 detection in wastewater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A comparison of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N1 and N3 assays with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2019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nCoV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is illustrated with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 from 5 WWTW in the Western Cape (Figure 3-5). Virus extraction for these samples was done with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hydroxide flocculation-precipitation method. 13/20 samples were positive with all three assays,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5/20 were detected by two assays, 1/20 was detected by one assay and 1/20 was negative by all assays.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same extraction methods were not used for all sites, with PEG precipitation and skimmed milk flocculation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recovery methods being applied to the samples from Ekurhuleni,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Tshwane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iLembe, and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hydroxide method being applied for samples from the Western Cape. However,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N1 and N3 assays were all applied to all samples. It is therefore useful to compare all the sample results by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recovery method, suspension media and assay.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Figure 3-5: A comparison of the 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N1 and N3 assays with the 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2019 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nCoV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assay for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Western Cape samples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Figure 3-6 shows a comparison of 56 different samples of either grab or composite sewage influent for 86 RTPCR assays. For the WWTW sewage influent,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 (95%)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N3 (96.5%) detected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most consistently. 58% of samples came up positive for all 5 targets, 21% were positive for 4 targets, and 13%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samples were positive for 3 targets.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 summary of assay results for all samples tested is presented in Figure 3-7. When including all samples,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N3 still detected the most consistently, followed by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3-6: Comparison of Ct values for sewage influent samples per assay method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Figure 3-7: Comparison of Ct values for all samples per assay method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3-8 shows a comparison of Ct values by recovery method and assay. While the three methods cannot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be directly compared as they were applied to different sites,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it can be seen that all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three methods were effective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 the recovery of the SARS-CoV-2 virus. As the PEG and skimmed milk methods were applied to the same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sites, these can be more directly compared.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It can be seen that there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is much variability between targets, with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some showing a narrower spread and lower Ct mean for skimmed milk, and others for PEG. It appears that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methods can be used interchangeably between laboratories, but because of inherent variability it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recommended that the same method be applied to the same site when monitoring trends over time.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skimmed milk method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hydroxide adsorption-precipitation methods are preferred, as they are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both faster and cheaper than the PEG method, and only require low speed centrifugation.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3-8: Comparison of Ct values by recovery method and assay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 comparison between the resuspension/inactivation reagents and their impact on the assays is presented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Figure 3-9. The samples from the Western Cape were re-suspended and inactivated in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Trizol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; the remaining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 were either inactivated in ITM or PBS for comparison. It was possible to extract and amplify the virus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from all three suspension media.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3-9: Comparison of Ct values by inactivation/ re-suspension method and assay method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3.1.4 Trends in Ct values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Ct values for the N gene assay for samples recovered with PEG from the Gauteng WWTW (the City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Ekurhuleni and City of Tshwane) are presented Figure 3-10, including initial grab and composite test samples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for GP_ERWAT1 and GP_ERWAT2. The Ct trends were overlaid with active case numbers in the province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period of sampling to indicate the stage of the pandemic. There was a downward trend in the Ct values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most samples for the first three weeks, except for week 3 for GP_ERWAT1, which appeared to indicate an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increasing viral load in the samples, corresponding to the increase in case numbers in the province as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peak infection phase of the pandemic was entered. Week 4 showed an increase in Ct values for all sites 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the case numbers started to plateau,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with the exception of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the grab sample from the GP_ERWAT1,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GP_TSHWN1. This may be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as a result of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less optimal recovery and is indicative of the impacts of the complex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matrix. Figure 3-11 shows only the results from the City of Ekurhuleni, overlaid with daily increase in cases.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3-10: N gene Ct values over time for the composite and grab samples from Gauteng; two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WWTW from the City of Ekurhuleni (GP_ERWAT1, GP_ERWAT2) and one WWTW from the City of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Tshwane (GP_TSHWN1), overlaid with the active case number for the province at the time of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 xml:space="preserve">sampling (Source: </w:t>
      </w:r>
      <w:r w:rsidRPr="00094275">
        <w:rPr>
          <w:rFonts w:ascii="Arial-BoldMT" w:eastAsia="Times New Roman" w:hAnsi="Arial-BoldMT" w:cs="Times New Roman"/>
          <w:b/>
          <w:bCs/>
          <w:color w:val="3953A4"/>
          <w:sz w:val="20"/>
          <w:szCs w:val="20"/>
          <w:lang w:bidi="ar-SA"/>
        </w:rPr>
        <w:t>https://www.covid19sa.org/provincial-breakdown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)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Figure 3-11: N gene Ct values over time for the composite and grab samples from the City of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Ekurhuleni; overlaid with the daily increases in cases for the City at the time of sampling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3953A4"/>
          <w:sz w:val="20"/>
          <w:szCs w:val="20"/>
          <w:lang w:bidi="ar-SA"/>
        </w:rPr>
        <w:t>https://github.com/dsfsi/covid19za/blob/master/data/district_data/gp_ekurhuleni.csv</w:t>
      </w:r>
      <w:r w:rsidRPr="00094275">
        <w:rPr>
          <w:rFonts w:ascii="Arial-BoldMT" w:eastAsia="Times New Roman" w:hAnsi="Arial-BoldMT" w:cs="Times New Roman"/>
          <w:b/>
          <w:bCs/>
          <w:color w:val="3953A4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Ct values for the N gene assay recovered with both PEG and skimmed milk from the composite samples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taken from the iLembe District Municipality are presented in Figure 3-12. There is a downward trend in the Ct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values, indicating an increased viral load, which corresponds to the increase in active case numbers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KwaZulu-Natal during the period of sampling. The Ct values for the N gene assay for samples from the Western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Cape are presented in Figure 3-13, overlaid with active case numbers in the province for the period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sampling. WC_STB1 showed a strong downward trend in Ct values over the four-week period, but the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remaining works either remaining consistent or showed slight increasing trends. It can be seen that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Province reached its peak number of active cases during the period of sampling, which explains the relatively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similar Ct values for the period.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3-12: N gene Ct values over time for the composite samples from the iLembe District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Municipality recovered with skimmed milk and PEG; overlaid with the active case number for the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 xml:space="preserve">province at the time of sampling (Source: </w:t>
      </w:r>
      <w:r w:rsidRPr="00094275">
        <w:rPr>
          <w:rFonts w:ascii="Arial-BoldMT" w:eastAsia="Times New Roman" w:hAnsi="Arial-BoldMT" w:cs="Times New Roman"/>
          <w:b/>
          <w:bCs/>
          <w:color w:val="3953A4"/>
          <w:sz w:val="20"/>
          <w:szCs w:val="20"/>
          <w:lang w:bidi="ar-SA"/>
        </w:rPr>
        <w:t>https://www.covid19sa.org/provincial-breakdown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)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Figure 3-13: N gene Ct values over time for the composite and grab samples from the Western Cape;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three WWTW from the City of Cape Town (WC_CCT2, WCCT3, WC_CCT4) and one WWTW from the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Cape Winelands District (WC_STB1), overlaid with the active case number for the province at the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 xml:space="preserve">time of sampling (Source: </w:t>
      </w:r>
      <w:r w:rsidRPr="00094275">
        <w:rPr>
          <w:rFonts w:ascii="Arial-BoldMT" w:eastAsia="Times New Roman" w:hAnsi="Arial-BoldMT" w:cs="Times New Roman"/>
          <w:b/>
          <w:bCs/>
          <w:color w:val="3953A4"/>
          <w:sz w:val="20"/>
          <w:szCs w:val="20"/>
          <w:lang w:bidi="ar-SA"/>
        </w:rPr>
        <w:t>https://www.covid19sa.org/provincial-breakdown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)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3.1.5 Viral quantification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Standard curves were generated and assays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optimised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for SARS-CoV-2 N1 and N3 using a commercial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SARS-CoV-2 N gene plasmid to validate a method for quantification of the virus, as the ultimate aim of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study is to develop infection trends within communities. Both primer and probe sets were tested with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Pathogen + IC RT-PCR kit and both SARS-CoV-2 assays were compatible with the internal control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 the Qiagen kit. Standard curves were generated for the N1 and N3 assays using the 2019-nCoV-N plasmid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(IDT) (Figure 3-14). The assays are linear over a wide range and 5 gene copies per reaction could be detected,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but reliable detection in all replicates was only observed at 50 copies per reaction for both assays.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SARS-CoV-2 detection based on the N1 gene showed 65% (60/92) of samples were SARS-CoV-2 N1 positive.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The Ct range was 28.2-39.4, with a median of 32.2 and the genome copies/mL ranged from 0.2-918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gc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/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mL.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N3 assay detected SARS-CoV-2 RNA in 91% (84/92) of samples and Ct values ranged from 28.2-37.9,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median 32.6. SARS-CoV-2 concentrations ranged from 1.2-707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gc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/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mL.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These concentrations have not been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adjusted to account for differences in extraction efficiencies.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3-14: Detection of SARS-CoV-2 N-gene plasmid in serial ten-fold dilution range using the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Pathogen + IC RT-PCR kit, as well as the standard curve generated from the amplification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data. Slope -3.237, r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14"/>
          <w:szCs w:val="14"/>
          <w:lang w:bidi="ar-SA"/>
        </w:rPr>
        <w:t>2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=0.997, Efficiency= 103.6% for the N1 target and Slope -3.102, r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14"/>
          <w:szCs w:val="14"/>
          <w:lang w:bidi="ar-SA"/>
        </w:rPr>
        <w:t>2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=0.993, Efficiency=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110.1% for the N3 target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All SARS-CoV-2 positive samples were screened for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to calculate the extraction efficiency. In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initial round of screening,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RNA amplification was successful in 69% (60/87) of samples. Ct values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ranged from 27.9-38.7, median 32.9. Reactions that failed were repeated at a 1 in 10 dilution of RNA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RNA could be amplified in eight additional samples yielding a total of 78% (68/87) positives.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extraction efficiencies were calculated and ranged from 0,3-100%.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positive rate did not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correlate with the SARS-CoV-2 positive rate, since 17/19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negative samples tested positive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SARS-CoV-2 by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N1 or N3 assays. After adjustment of N1 and N3 concentrations based on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35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extraction efficiency there was a weak correlation between Ct value and log genome copies/mL (Figure 3-15).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Genome copies/mL ranged between 1,2-2,7 × 10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4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for N1 and 4,2-5,5 × 10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4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for N3.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3-15: Correlation between Ct values obtained for N1 (n=41) and N3 (n=59) targets using the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assay and concentrations (genome copies/mL) obtained after adjusting for extraction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 xml:space="preserve">efficiency based on 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SARS-COV-2 ANALYSIS IN WASTEWATER SAMPLES FROM DEFINED POPULATIONS: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  <w:t>MINES, POWER STATIONS AND PRISON SAMPLE RESULTS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3.2.1 Power stations, mines and prison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Results from the samples taken at the wastewater treatment plants serving two mines (MP_MM1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FS_NVM1), their two associated coal fired power stations (MPMPS1 and FS_LPS1), a third power station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wastewater treatment plant in the Western Cape receiving water from the power station only (WC_KPS),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 prison in the Western Cape (WC_CCT5) are presented in Figure 3-16, indicating the recovery method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applied. The Western Cape samples were both recovered using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hydroxide precipitation method,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the remaining samples were processed with both the PEG method and skimmed milk method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comparison.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3-16: SARS-CoV-2 gene detection for prison, power station and mine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With the exception of the Western Cape power station WWTW (WC_KPS), which showed amplification of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internal control but was negative for all SARS-CoV-2 samples, all other sites showed amplification of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SARS-CoV-2 gene targets. Only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N1 assay for MP_MM1 with the milk recovery and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IC for FS_NVM1 with milk recovery did not amplify. Only one grab sample was taken from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each site for proof of concept. The consistent amplification of most gene targets for the sites indicate that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there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were active cases at these sites,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with the exception of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the Western Cape Power Station. However, a negative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assay result did not necessarily mean that there were no cases, just that the genes were not detected in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limited grab sample that was taken. Sampling of combined sewage for a defined population can be useful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surveillance of increased viral load to give early warning of a possible surge in infections. It is important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however that regular samples be taken over time to establish trends and baselines, due to the inherent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variability of sampling from smaller populations compared to a regional WWTW.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3.2.2 Hospital samples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After approaching major hospitals in the hot-spot provinces to access wastewater samples and numerous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attempts at obtaining permission to collect samples, permission was obtained to gain access to one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wastewater system at a hospital in the Western Cape. Three samples were taken over a period of four weeks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from a hospital in the Eastern District of the City of Cape Town with a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Covid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ward that had active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Covid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cases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at the start of sampling. Samples were all recovered using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hydroxide adsorption-precipitation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method, and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multiplex assay was used for detection of SARS-CoV-2 genes. The results for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detection of the SARS-CoV-2 genes with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are presented in Figure 3-17. In the first week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sampling all three targets amplified, as well as the IC. The second two samples were negative for all targets,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with amplification only being observed for the IC in those samples. The period of sampling is indicated on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graph in Figure 3-18.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It can be seen that week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1 of sampling was during the peak in case numbers, which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steadily declining through the sample period. The hospital had 23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Covid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cases in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Covid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ward at the start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of the testing, and by week four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Covid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ward was once again being used as a general ward.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Due to the difficulty in obtaining representative samples for hospital sewage (a grab sample will only contain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toilet flushes of one or a few patients), and the difficulty in extracting the virus from what is essentially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stool sample, hospital sampling is not recommended for surveillance purposes. Proof of concept was however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demonstrated.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3-17: Detection of SARS-CoV-2 samples in hospital wastewater over a 4 week period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 xml:space="preserve">Figure 3-18: 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Covid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case numbers for the Western Cape, with period of hospital sampling indicated in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the block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SARS-COV-2 ANALYSIS IN SURFACE WATER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3.3.1 Water quality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water quality results for the surface water samples taken are presented in Table 3-2. All sources were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contaminated with untreated or poorly treated sewage. The quality of the surface water runoff from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Alexandra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 characteristic of raw high strength sewage (Table 3-3), as was indicated by an overflowing sewer manhole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in the area. The water quality for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Jukskei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Blougatspruit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Hennops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 was also poor. All three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river samples had ammonia, suspended solids and 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E. coli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concentrations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in excess of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the general wastewater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discharge limits, and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Blougatspruit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Hennops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 exceeded the COD general limit as well. All rivers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displayed qualities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similar to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that of low strength domestic wastewater (Table 3-3).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Table 3-2: Surface water quality analysis results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0"/>
        <w:gridCol w:w="1357"/>
        <w:gridCol w:w="1277"/>
        <w:gridCol w:w="1386"/>
        <w:gridCol w:w="1307"/>
        <w:gridCol w:w="1447"/>
        <w:gridCol w:w="666"/>
      </w:tblGrid>
      <w:tr w:rsidR="00094275" w:rsidRPr="00094275" w14:paraId="5FD267C4" w14:textId="77777777" w:rsidTr="00094275">
        <w:trPr>
          <w:gridAfter w:val="1"/>
          <w:wAfter w:w="840" w:type="dxa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1C863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Parameter (in mg/l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  <w:t>unless stated otherwise)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13E41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Alexander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  <w:t>surface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</w: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(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GP_ALEXIN)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E179B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Jukskei</w:t>
            </w:r>
            <w:proofErr w:type="spellEnd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  <w:t>River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</w: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(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GP_JUKS1)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C86E7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Blougatspruit</w:t>
            </w:r>
            <w:proofErr w:type="spellEnd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  <w:t>(GP_COHK)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00D7A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Hennops</w:t>
            </w:r>
            <w:proofErr w:type="spellEnd"/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  <w:t>River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  <w:t>(GP_HENN1)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1FF0C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Wastewater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  <w:t>discharge Limits*</w:t>
            </w:r>
          </w:p>
        </w:tc>
      </w:tr>
      <w:tr w:rsidR="00094275" w:rsidRPr="00094275" w14:paraId="7B57445E" w14:textId="77777777" w:rsidTr="00094275">
        <w:trPr>
          <w:gridAfter w:val="1"/>
          <w:wAfter w:w="840" w:type="dxa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3C683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General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  <w:t>Limit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3502E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Special</w:t>
            </w: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br/>
              <w:t>Limit</w:t>
            </w:r>
          </w:p>
        </w:tc>
        <w:tc>
          <w:tcPr>
            <w:tcW w:w="0" w:type="auto"/>
            <w:vAlign w:val="center"/>
            <w:hideMark/>
          </w:tcPr>
          <w:p w14:paraId="6767BE37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1F92517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E10A66B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FCD2026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94275" w:rsidRPr="00094275" w14:paraId="61F4F56C" w14:textId="77777777" w:rsidTr="00094275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6C002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Chemical oxygen demand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10249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1076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1AA7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56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6AD45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197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1EF74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353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C289B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&lt;75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E98B4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&lt;30</w:t>
            </w:r>
          </w:p>
        </w:tc>
      </w:tr>
      <w:tr w:rsidR="00094275" w:rsidRPr="00094275" w14:paraId="258A655D" w14:textId="77777777" w:rsidTr="00094275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82DBE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Free and saline ammonia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F8F04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63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E60B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12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2667D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24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A0DA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22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1A40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&lt;6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FBD9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&lt;2</w:t>
            </w:r>
          </w:p>
        </w:tc>
      </w:tr>
      <w:tr w:rsidR="00094275" w:rsidRPr="00094275" w14:paraId="4AC4D8D1" w14:textId="77777777" w:rsidTr="00094275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F6A24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Orthophosphate as P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7BA3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4.8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0F48E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0.7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2B432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3.5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79603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0.8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2E59B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&lt;10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F3017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&lt;1</w:t>
            </w:r>
          </w:p>
        </w:tc>
      </w:tr>
      <w:tr w:rsidR="00094275" w:rsidRPr="00094275" w14:paraId="10F6798D" w14:textId="77777777" w:rsidTr="00094275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EAA6E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Suspended solids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D3C5E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284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1A61B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96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E5059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151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D2772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37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F1456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&lt;25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BEB80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&lt;10</w:t>
            </w:r>
          </w:p>
        </w:tc>
      </w:tr>
      <w:tr w:rsidR="00094275" w:rsidRPr="00094275" w14:paraId="16A04B04" w14:textId="77777777" w:rsidTr="00094275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C6DA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Total coliform bacteria /</w:t>
            </w: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br/>
              <w:t xml:space="preserve">(100 ml)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66E9E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&gt;100000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E5993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&gt;100000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F1C65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&gt;100000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06D1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&gt;100000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F3546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26BA4DC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94275" w:rsidRPr="00094275" w14:paraId="71BBF6E0" w14:textId="77777777" w:rsidTr="00094275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A89A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ItalicMT" w:eastAsia="Times New Roman" w:hAnsi="Arial-ItalicMT" w:cs="Times New Roman"/>
                <w:i/>
                <w:iCs/>
                <w:color w:val="231F20"/>
                <w:sz w:val="18"/>
                <w:szCs w:val="18"/>
                <w:lang w:bidi="ar-SA"/>
              </w:rPr>
              <w:t xml:space="preserve">E. coli </w:t>
            </w: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/ (100 ml)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0BF02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&gt;100000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B806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&gt;100000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C813E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&gt;100000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F0CE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&gt;100000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0E681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1000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7AA46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0</w:t>
            </w:r>
          </w:p>
        </w:tc>
      </w:tr>
    </w:tbl>
    <w:p w14:paraId="52FAD919" w14:textId="77777777" w:rsidR="00094275" w:rsidRPr="00094275" w:rsidRDefault="00094275" w:rsidP="00094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275">
        <w:rPr>
          <w:rFonts w:ascii="ArialMT" w:eastAsia="Times New Roman" w:hAnsi="ArialMT" w:cs="Times New Roman"/>
          <w:color w:val="231F20"/>
          <w:sz w:val="18"/>
          <w:szCs w:val="18"/>
          <w:lang w:bidi="ar-SA"/>
        </w:rPr>
        <w:t xml:space="preserve">*Revision of General </w:t>
      </w:r>
      <w:proofErr w:type="spellStart"/>
      <w:r w:rsidRPr="00094275">
        <w:rPr>
          <w:rFonts w:ascii="ArialMT" w:eastAsia="Times New Roman" w:hAnsi="ArialMT" w:cs="Times New Roman"/>
          <w:color w:val="231F20"/>
          <w:sz w:val="18"/>
          <w:szCs w:val="18"/>
          <w:lang w:bidi="ar-SA"/>
        </w:rPr>
        <w:t>Authorisation</w:t>
      </w:r>
      <w:proofErr w:type="spellEnd"/>
      <w:r w:rsidRPr="00094275">
        <w:rPr>
          <w:rFonts w:ascii="ArialMT" w:eastAsia="Times New Roman" w:hAnsi="ArialMT" w:cs="Times New Roman"/>
          <w:color w:val="231F20"/>
          <w:sz w:val="18"/>
          <w:szCs w:val="18"/>
          <w:lang w:bidi="ar-SA"/>
        </w:rPr>
        <w:t xml:space="preserve"> in terms of Section 39 of the National Water Act, 1998, Act No. 36 of 1998).</w:t>
      </w:r>
      <w:r w:rsidRPr="00094275">
        <w:rPr>
          <w:rFonts w:ascii="ArialMT" w:eastAsia="Times New Roman" w:hAnsi="ArialMT" w:cs="Times New Roman"/>
          <w:color w:val="231F20"/>
          <w:sz w:val="18"/>
          <w:szCs w:val="18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Table 3-3: Typical Values for Untreated Domestic Wastewater (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Nozaic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&amp; Freese, 2009)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380"/>
        <w:gridCol w:w="1710"/>
        <w:gridCol w:w="1770"/>
        <w:gridCol w:w="1710"/>
      </w:tblGrid>
      <w:tr w:rsidR="00094275" w:rsidRPr="00094275" w14:paraId="2394226B" w14:textId="77777777" w:rsidTr="0009427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7794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Contaminants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5B4C0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Units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3F6B3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Low Strength 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C1FC6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 xml:space="preserve">Medium Strength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BB463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-BoldMT" w:eastAsia="Times New Roman" w:hAnsi="Arial-BoldMT" w:cs="Times New Roman"/>
                <w:b/>
                <w:bCs/>
                <w:color w:val="231F20"/>
                <w:sz w:val="18"/>
                <w:szCs w:val="18"/>
                <w:lang w:bidi="ar-SA"/>
              </w:rPr>
              <w:t>High Strength</w:t>
            </w:r>
          </w:p>
        </w:tc>
      </w:tr>
      <w:tr w:rsidR="00094275" w:rsidRPr="00094275" w14:paraId="39013B4C" w14:textId="77777777" w:rsidTr="0009427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91E71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Suspended solids (SS)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9809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mg/l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79F3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120 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D093E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210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3837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400</w:t>
            </w:r>
          </w:p>
        </w:tc>
      </w:tr>
      <w:tr w:rsidR="00094275" w:rsidRPr="00094275" w14:paraId="4647FDF7" w14:textId="77777777" w:rsidTr="0009427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C979E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Chemical Oxygen Demand (COD)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8468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mg/l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54F0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250 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435C7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430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01525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800</w:t>
            </w:r>
          </w:p>
        </w:tc>
      </w:tr>
      <w:tr w:rsidR="00094275" w:rsidRPr="00094275" w14:paraId="41A53E06" w14:textId="77777777" w:rsidTr="0009427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6B82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Free ammonia nitrogen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4B98A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mg/l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ED481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12 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B0598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25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282EA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45</w:t>
            </w:r>
          </w:p>
        </w:tc>
      </w:tr>
      <w:tr w:rsidR="00094275" w:rsidRPr="00094275" w14:paraId="2DE1C864" w14:textId="77777777" w:rsidTr="0009427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93F1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Phosphorous (total as P)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78B63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mg/l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B2A01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4 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6EC9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7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E9C3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12</w:t>
            </w:r>
          </w:p>
        </w:tc>
      </w:tr>
      <w:tr w:rsidR="00094275" w:rsidRPr="00094275" w14:paraId="6B190CB5" w14:textId="77777777" w:rsidTr="0009427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16331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Total Coliforms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737DB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count100 ml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672FF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10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>5</w:t>
            </w: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-10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 xml:space="preserve">8 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68172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10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>7</w:t>
            </w: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-10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 xml:space="preserve">9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0CB6E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10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>7</w:t>
            </w: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-10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>10</w:t>
            </w:r>
          </w:p>
        </w:tc>
      </w:tr>
      <w:tr w:rsidR="00094275" w:rsidRPr="00094275" w14:paraId="29BB1241" w14:textId="77777777" w:rsidTr="00094275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95C1D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Faecal</w:t>
            </w:r>
            <w:proofErr w:type="spellEnd"/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 Coliforms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F8EC9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 xml:space="preserve">count/100 ml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5B572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10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>3</w:t>
            </w: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-10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 xml:space="preserve">5 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BD23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10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>4</w:t>
            </w: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-10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 xml:space="preserve">6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AE90B" w14:textId="77777777" w:rsidR="00094275" w:rsidRPr="00094275" w:rsidRDefault="00094275" w:rsidP="00094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10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>5</w:t>
            </w:r>
            <w:r w:rsidRPr="00094275">
              <w:rPr>
                <w:rFonts w:ascii="ArialMT" w:eastAsia="Times New Roman" w:hAnsi="ArialMT" w:cs="Times New Roman"/>
                <w:color w:val="231F20"/>
                <w:sz w:val="18"/>
                <w:szCs w:val="18"/>
                <w:lang w:bidi="ar-SA"/>
              </w:rPr>
              <w:t>- 0</w:t>
            </w:r>
            <w:r w:rsidRPr="00094275">
              <w:rPr>
                <w:rFonts w:ascii="ArialMT" w:eastAsia="Times New Roman" w:hAnsi="ArialMT" w:cs="Times New Roman"/>
                <w:color w:val="231F20"/>
                <w:sz w:val="12"/>
                <w:szCs w:val="12"/>
                <w:lang w:bidi="ar-SA"/>
              </w:rPr>
              <w:t>8</w:t>
            </w:r>
          </w:p>
        </w:tc>
      </w:tr>
    </w:tbl>
    <w:p w14:paraId="08B8177E" w14:textId="77777777" w:rsidR="007601A0" w:rsidRDefault="00094275"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3.3.2 Detection of SARS-CoV-2 in surface water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In order to determine the recovery efficiency from the surface samples which were expected to be more dilute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than the wastewater treatment plant influent samples, samples were recovered in triplicate, from 200 mL, 1 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2 L volumes using the skimmed milk recovery method as described in the methodology in Section 2.4.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SARS-CoV-2 was detected in all surface water samples tested, but not all targets amplified. Figure 3-19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illustrates the Ct values of the positive gene amplification of the gene targets for the various assays, for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three volumes recovered for each sample (two for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Hennops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 sample). 1/11 samples assayed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positive for all 5 targets (9.09%), 5/11 were positive for 4 targets (45.5%) 3/11 were positive for 3 targets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(27.3%) and 2/11 (18.2%) were positive for one target. Only one sample assay, the 1 L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Hennops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sample,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negative for all targets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only).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lastRenderedPageBreak/>
        <w:t>Figure 3-19: Detection of SARS-CoV-2 in surface water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In some cases, there was inhibition of the internal control, while gene targets still amplified. For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Jukskei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River sample assayed with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multiplex assay, the internal control was negative for both the 200 mL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and 1 L recovery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volumes, but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amplified for the 2 L volume. Positive amplifications were seen for the E gene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and N gene for the 200 mL and 1 L recoveries, but not for the 2 L recovery. The inverse was true of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RdRp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gene where the IC was inhibited at 200 mL and 1 L, but amplified for 2 L, and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RdRp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gene target only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amplified in the 2 L volume recovery. For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for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Jukskei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 sample, the IC for N1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gene assay amplified for all recovery volumes, and the N3 IC only for 1 L and 2 L. The N3 gene assay amplified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for all volumes, whereas the N1 assay only amplified for the 1 L volume. From the Alexandra surface 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sample,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IC only amplified for the 1 L sample, and all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targets amplified as well. There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was amplification for the E gene and N gene in the 200 ml recovery volume, but not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RdRp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gene or IC.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the 2 L volume recovery all targets amplified but the IC did not. For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for the Alexandra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surface water sample, the N3 gene again amplified for all recovery volumes, even though the IC for the 1 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volume was inhibited. The N1 IC amplified in all volumes but was inhibited for the 1 L volume. For the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Blougatspruit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all targets for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amplified with the exception of the IC for the 1 L recovery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volume and the E gene assay for the 2 L recovery volume.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showed amplification of both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N1 and N3 ICs at all recovery volumes, and again amplification of the N3 gene target in all recovery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volumes. None of the N1 gene targets amplified. Finally, for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Hennops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 samples, where only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kit was applied based on the previous findings, the IC failed to amplify in the 200 mL sample volume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recovery, although all three targets amplified. In the 1 L sample volume the IC amplified but all other targets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were negative. It is interesting to note that recovery from the surface waters was sufficient even in the 200 mL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volumes to enable gene detection. The number of targets that amplified for each sample volume recovery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presented in Figure 3-20. For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Jukskei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 samples the most targets amplified in the 1 L recovery volume.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For the Alexandra surface the 2 L recovery had the most targets amplify, and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Blougatspruit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Hennops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had the most targets amplify in the 200 mL sample recovery volume.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3-20: Number of SARS-CoV-2 gene targets amplified per sample site and recovery volume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It can be seen that there is a variable inhibitory effect on the internal controls for the surface water samples.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N3 assay detected the most consistently of the assays, and the N1 assay the least consistently.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Interestingly, the N1 IC amplified in all cases but the N3 IC did not. Because it is easier to process 200 mL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than 1 L or 2 L of sample, and since at least 2 targets came up in every 200 mL sample, it can be recommended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that only 200 mL of river sample be processed. While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RdRp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gene did not amplify, this is not an unusual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finding as it was the target that failed to amplify the most often in the wastewater samples. Because of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inhibition seen in the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IC,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it is recommended that 1:10 dilutions of the extracted RNA also be tested. Because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of the variability observed it is also recommended that a multiplex assay such as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be used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for the environmental samples to enable detection of multiple targets.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DATA VISUALIZATION AND RESULTS INTERPRETATION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3.4.1 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Visualising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trends in Ct values and data interpretation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As shown in Section 3.1.4, following the trends in Ct values may be a valuable tool for determining trends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viral load and identifying either new occurrences in areas previously unaffected, or for early warning of second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waves of infection. Either a specific target could be selected as the indicator, such as the N gene as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presented earlier, or preferably, the minimum Ct value for the targets assayed could be reported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surveillance purposes. This will allow for the use of various assays by different laboratories. A COVID-specific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dashboard could also be developed, where the Ct values can be illustrated in trend graphs per site. This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illustrated in Figure 3-22 for the wastewater treatment works, Figure 3-23 for hospital and prison sites, Figure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3-24 for power stations and mines, and Figure 3-25 for surface water samples. Where there is more than one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bubble for a specific date that indicates the result of the different recovery methods tested in this study.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routine reporting only one Ct value would be reported, the minimum Ct value for the targets assayed. A black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triangle on the graph indicates a negative result (Ct value greater than 40). An interactive map is recommended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where surveillance sites can be mapped and current status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visualised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(Figure 3-26).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42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3-21: Trends in Ct values, by minimum Ct value per site for wastewater treatment works. A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black triangle is indicative of a negative result (Ct &gt; 40)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44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3-22: Trends in Ct values, by minimum Ct value per site for prison and hospital sites. A black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triangle is indicative of a negative result (Ct &gt; 40)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45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3-23: Trends in Ct values, by minimum Ct value per site for the power station and mine sites A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black triangle is indicative of a negative result (Ct &gt; 40)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3-24: Trends in Ct values, by minimum Ct value per site for surface water samples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Figure 3-25: Mapping of surveillance sites to indicate current status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3.4.2 Data reporting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Ct values can be assigned a quantitative value, based on the Ct range, as is currently the internationally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accepted practice for poliovirus surveillance in wastewater. This methodology for quantitative reporting of Ct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values on a weekly basis per site has been recommended by the NICD for a national reporting dashboard 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per the poliovirus dashboard that is currently in place. An example of what this dashboard could look like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presented in Figure 3-26.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3-26: Example of proposed Covid-19 surveillance dashboard as per the NICD poliovirus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  <w:t>surveillance platform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The COVID-19 Information Centre is a data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centre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set up to monitor and track the spread of the coronavirus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(COVID-19) in the country.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centre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which is housed at the CSIR provides close to real-time analytics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dashboards on the Coronavirus outbreak per province, district, local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municipality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ward. Based on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findings of this study, recommendations will be made for data integration into national reporting. It is envisaged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that in the following phases of the project, during a national roll out, a method for estimating number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infections in communities can be tested and compared with reported values. It is not possible to do this in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initial proof of concept phase as supporting data is required using modelling and Monte Carlo simulations.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SUMMARY OF FINDINGS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3.5.1 Grab vs. composite wastewater samples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For the wastewater treatment plants grab sampling during the morning peak flow period performs as well 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or better than composite sampling. This is an advantage when sampling from plants where no composite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sampler is available, as is the case for most wastewater treatment works in South Africa.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3.5.2 Use of primary sludge for SARS-CoV-2 monitoring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Peccia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 (2020) utilized primary sewage sludge (gravity thickened and composed of solids removed during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the primary sedimentation step) instead of raw wastewater for SARS-CoV-2 analysis in Connecticut, USA.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authors found that due to the greater solids content of primary sludge (2-5%) in comparison to raw wastewater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(0.01 to 0.05%) and the high case load observed during the outbreak (~1,200 per 100,000 population), the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concentrations of SARS-CoV-2 RNA ranged from two to three orders of magnitude greater than raw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wastewater SARS-CoV-2 values previously reported.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D’Aoust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 (2020) found that RT-qPCR showed higher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frequency of detection of N1 and N2 genes in primary sludge (92.7, 90.6%) when compared to influent samples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taken post grit removal (79.2, 82.3%). For the influent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samples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the authors applied prefiltration through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1.5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μm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glass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fibre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filter (GFF) followed by a 0.45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μm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GF6 mixed cellulose ester (MCE) filter (filtrate fraction),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after which the virus was eluted with an elution buffer, followed by PEG concentration.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For the sludge samples, only PEG precipitation could be applied due to the incompatibility of the matrix with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ultrafiltration due to complication associated with membrane clogging. The authors noted that when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analysing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high solids-containing samples, PEG precipitation or other flocculation approaches may be more effective,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however the advantages of using sludge, which may have a greater and more consistent RNA signal, should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be balanced against the apparent lower recovery of PEG precipitation. Sampling of primary settled sludge may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however be an effective approach for SARS-CoV-2 viral quantification during periods of declining and low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COVID-19 incidence in the community. In this study, based on limited sludge sampling from two WWTW, one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from the City of Ekurhuleni and one from the City of Tshwane, the same success in terms of virus recovery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 not experienced, with a high level of inhibition present in the samples, even when testing 1:10 and 1:1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dilutions of the sludge. The higher solids concentration in the sludge also made virus recovery more difficult,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more time consuming and more costly. Further sludge samples were not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analysed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based on these findings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is not recommended that primary sewage sludge be used as the source for surveillance monitoring. In addition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to the difficulties experience in recovery, when it comes to data interpretation, more detail will be required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back calculation to population numbers, due to the different operating conditions that will be implemented at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different plants in terms of sludge retention time and desludging rates that are not easily correlated to plant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inflow volumes.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3.5.3 Efficiency of virus recovery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In this study, initial recovery tests were conducted using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 a surrogate in order to determine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 xml:space="preserve">recovery rate of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from different wastewater samples. The wastewater was spiked with 2.8 × 10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>6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TCID50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either before the first clarification step (composite only) or after clarification (composite,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early and late grab samples). The viruses were recovered with the PEG/NaCl precipitation method, and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recovery ranged between 0.49% and 8.4%. All three of the virus recovery methods tested in this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study (PEG flocculation, skimmed milk precipitation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hydroxide adsorption-precipitation) were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able to recover the SARS-CoV-2 virus. Recovery was variable as expected due to the inherent variability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the sample matrix. Preliminary data in a study by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Rusinol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 (2020)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analysing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different concentration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methods for the detection of SARS-CoV-2 in wastewater from Catalonia, Spain, showed no statistically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significant differences (p-value of the ANOVA test: 0,332) between the quantitative data (RT-qPCR) produced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by the Skimmed Milk Flocculation protocol, the centrifugal ultrafiltration of the samples with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Centricon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®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Plus-70 100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kDa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or an ultrafiltration protocol using the automatic Concentrating Pipette (CP-Select™) both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SARS-CoV-2 and for MS2 which was used as a process control.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The mouse hepatitis (MHV), a surrogate for human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has been used by other researchers for studying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persistence, survival and method comparison studies. Ye et al. (2016) compared three methodologies by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means of MHV recoveries to concentrate enveloped viruses from wastewater samples, PEG precipitation,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ultracentrifugation, and ultrafiltration with pre-filtration. PEG precipitation and ultracentrifugation recovered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approximately 5% of the spiked viruses, whereas with prefiltration with ultrafiltration followed by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Centricon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®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Plus-70 10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kDa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filtration protocol the concentration was significantly higher (25%). Ahmed et al. (2015)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evaluated six virus concentration strategies using MHV as a surrogate. The three filtration methods assayed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provided the highest mean recoveries: when MgCl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2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pre-treatment was included, 65% of the MHV were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recovered, when sample was directly filtered through 0.45-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>ȝP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SRUH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-size electronegative membranes, MHV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recoveries were 60%, but when pre-acidifying the sample the mean recovery decreased to 27%. Between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two centrifuge ultrafiltration methods tested,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Amicon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® Ultra-15 30KDa recovered 56% of the spiked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surrogate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Centricon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® Plus-70 10KDa recovered 28%. Finally, by means of PEG precipitation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ultracentrifugation, MHV recoveries were 44% and 33% respectively.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3.5.4 Methods for viral detection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Both the commercial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Pathogen Kit inhouse N1 and N3 (QF N1 or N3) assays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detected SARS-CoV-2.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kit was found to be more sensitive than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N1 assay,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has the advantage of amplifying 3 targets in one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reaction, and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is more likely to be more consistent across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laboratories. The disadvantage is that the Ct value must then be used to approximate viral load, as the copy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number cannot be determined by comparison with a standard curve. The N target was detected most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frequently, then E, then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RdRp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. All SARS-CoV-2 positive samples were screened for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to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calculate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the extraction efficiency. In the initial round of screening,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RNA amplification was successful in 69%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samples, with Ct values ranging from 27.9-38.7, median 32.9. Reactions that failed were repeated at a 1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10 dilution of RNA,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RNA was amplified in eight additional samples yielding a total of 78%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positive. The extraction efficiencies were calculated and ranged from 0.3-100%.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positive rate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did not correlate with the SARS-CoV-2 positive rate, since 17 of the 19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negative samples tested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positive for SARS-CoV-2 by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N1 or N3 assays.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3.5.5 SARS-CoV-2 detection in non-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sewered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samples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This study also looked at sampling of three rivers and one contaminated surface run-off sample as a means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to apply wastewater-based epidemiology principles to non-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sewered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communities in South Africa.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Supplementary analysis of the water indicated very high levels of sewage contamination in these samples.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quality of the surface run-off sample was characteristic of high strength domestic wastewater, and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water quality for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Jukskei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Blougatspruit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Hennops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 was also poor. All three river samples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had ammonia, suspended solids and 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E. coli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concentrations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in excess of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the general wastewater discharge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limits, and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Blougatspruit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Hennops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 exceeded the COD general limit as well. All rivers displayed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qualities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similar to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that of low strength domestic wastewater. The skimmed milk recovery method was applied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to all river and surface water samples in this study. When comparing recoveries from 200 mL, 1 L and 2 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volumes, recovery from the surface waters was sufficient in 200 mL sample volumes for all samples to enable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gene detection. For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Jukskei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 samples the most targets amplified in 1 L recovery volume. For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Alexandra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surface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the 2 L recovery had the most targets amplify, and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Blougatspruit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Hennops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River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 had the most targets amplified in the 200 mL sample recovery volume. When testing two river samples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from the Milano Metropolitan Area, Italy,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Rimoldi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 (2020) pre-filtered 500 mL of sample on Whatman 0.7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μm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nominal pore size 145 mm glass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fibre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filters, then on Millipore 0.2 </w:t>
      </w:r>
      <w:proofErr w:type="spellStart"/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>ȝP</w:t>
      </w:r>
      <w:proofErr w:type="spellEnd"/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QRPLQDO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SRUH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VL]H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PP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GLDPHWHU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filters, before extraction, and found positive SARS-CoV-2 gene amplification. Guerrero-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Latorre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 (2020)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applied an adapted skimmed milk flocculation recovery method to river samples from three rivers in Quito,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Ecuador, using 2 L sample volumes, and detected SARS-Co-V-2 for N1 and N2 target regions in all samples.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3.5.6 Data interpretation and reporting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Trends in Ct values may be a valuable tool for determining trends in viral load and identifying either new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occurrences in areas previously unaffected, or for early warning of second waves of infection. Either a specific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target could be selected as the indicator, such as the N gene as was presented earlier, or preferably,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minimum Ct value for the targets assayed could be reported for surveillance purposes. This will allow for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use of various assays by different laboratories. A COVID-specific dashboard could also be developed,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where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Ct values can be illustrated in trend graphs per site. Ct values can be assigned a quantitative value, based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on the Ct range, as is currently the internationally accepted practice for poliovirus surveillance in wastewater.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t>CHAPTER 4: CONCLUSION AND RECOMMENDATIONS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____________________________________________________________________________________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CONCLUSIONS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This study illustrates clear proof of concept for the use of wastewater-based epidemiology as a complementary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surveillance tool for management of the Covid-19 pandemic, for both wastewater and environmental samples.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Continued sampling of those sites already involved will allow for the expansion of trend monitoring, and it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recommended that more WWTWs be added to the sampling protocol so as to move to a pilot phase study.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South Africa is through its first peak of the pandemic, but the experience of other countries teaches us that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second and even third waves of infection are likely, if not inevitable, as the economy and intra- and international borders re-open.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Translating the viral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titres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from wastewater into the actual number of cases within a community is highly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challenging, if not impossible. This type of calculation relies on many assumptions, which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still remain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poorly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quantified, for example the amount and dynamics of viral shedding in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faeces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viral persistence in the sewer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network and variation in wastewater flow and temperature due to climatic conditions. Although wastewater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surveillance of SARS-CoV-2 provides a powerful tool to evaluate disease incidence at the community level, it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is clear that they also need to be integrated into other public health initiatives, for example campaign-based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randomised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testing of individuals (presence of pathogen or antibodies), clinical case reporting,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mobilebased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contact-tracing and self-reporting systems (Boulos &amp; Geraghty, 2020). It may also require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harmonization of approaches. It is important to consider how best to ethically and legally balance public health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with civil liberties when handling this information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Gostin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et al., 2020). One of the benefits of wastewater,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that it has limited sociological bias with few if any ethical issues.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All objectives of the study were addressed as listed below.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1) Compile state of knowledge reports on SARS-CoV-2 in water and sanitation environments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Literature was reported and summarized up to date as of submission of report.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2) Testing and validation of a sampling protocol for raw sewage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Raw sewage samples from Gauteng, Western Cape, KwaZulu-Natal, Mpumalanga and Free State provinces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with representation over 4-week period were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analysed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Composite and grab samples were tested with grab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samples being able to detected higher virus signal than 24 h composite samples (92 tested in total).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lastRenderedPageBreak/>
        <w:t>3) Testing and validation of the virus extraction and analysis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Three virus extraction methods were tested based on instrumentation availability and affordability including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PEG/NaCl precipitation; skimmed milk flocculation and Al(OH)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3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adsorption-flocculation methods illustrating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that highly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specialised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laboratory equipment is not necessary.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4) Testing and validation of a sampling protocol for surface and groundwater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Environmental samples were tested from different locations, with viral RNA detected in all samples.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5) Development of preliminary methodology for quantification of viral load as an indicator of number of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  <w:t>infected individuals in a community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Method to quantify the viral load makes use of the Ct number with a proposed categorical data analysis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recommended based on the Global Polio Surveillance scheme, and quantification of genome copies/mL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found to range between 1,2-2,7 × 10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4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for N1 and 4,2-5,5 × 10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4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for N3 target genes.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6) Guidance on data analysis/interpretation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International interpretation of data is being followed as described in Objective 5 which was described by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Water Research Foundation webinars held during the first peak of the Covid-19 pandemic. The various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usecases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presented highlight the importance of trend monitoring through the various phases of the pandemic.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Although translating the viral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titres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from wastewater into the actual number of cases within a community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highly challenging, if not impossible, monitoring trends in viral load can be used successfully to implement an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early warning system.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7) Recommendations for data communication and integration into national reporting platforms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Data communication can take place either as part of Polio Surveillance scheme run by the NICD, following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methodology for reporting based on categorical presentation of Ct value ranges or on a separate Covid-19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Data Centre platform.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>RECOMMENDATIONS FOR SCALING UP INTO NATIONAL SURVEILLANCE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  <w:t>PROGRAMME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4.2.1 Sampling methodology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SymbolMT-Identity-H" w:eastAsia="Times New Roman" w:hAnsi="SymbolMT-Identity-H" w:cs="Times New Roman"/>
          <w:color w:val="231F20"/>
          <w:sz w:val="20"/>
          <w:szCs w:val="20"/>
          <w:lang w:bidi="ar-SA"/>
        </w:rPr>
        <w:t xml:space="preserve">x 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Wastewater treatment works influent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– Based on the findings of this study it is recommended that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 L grab samples be taken at the WWTW during the morning peak flow period between 8 and 10 am.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These samples should be kept cool and transported to the relevant laboratory on the day of sampling,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stored at 4</w:t>
      </w:r>
      <w:r w:rsidRPr="00094275">
        <w:rPr>
          <w:rFonts w:ascii="Calibri" w:eastAsia="Times New Roman" w:hAnsi="Calibri" w:cs="Calibri"/>
          <w:color w:val="231F20"/>
          <w:sz w:val="20"/>
          <w:szCs w:val="20"/>
          <w:lang w:bidi="ar-SA"/>
        </w:rPr>
        <w:t>°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 and viral recovery performed within 24 h of sampling.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SymbolMT-Identity-H" w:eastAsia="Times New Roman" w:hAnsi="SymbolMT-Identity-H" w:cs="Times New Roman"/>
          <w:color w:val="231F20"/>
          <w:sz w:val="20"/>
          <w:szCs w:val="20"/>
          <w:lang w:bidi="ar-SA"/>
        </w:rPr>
        <w:t xml:space="preserve">x 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Rivers and surface water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– It is recommended that 3 L river samples be selected to allow for analysis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supporting water quality data.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4.2.2 SARS-CoV-2 detection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Methods need to achieve reproducible high quality and quantitative information.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In order to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address this, it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recommended that the evaluation and validation of methods includes a minimally acceptable QA/QC including: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1. positive control;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2. negative control;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3. estimated limit of detection;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 xml:space="preserve">4. reporting of equivalent volume of sample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analysed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Additional validation controls include: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5. inhibition control;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6. initial recovery controls;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7. ongoing precision recovery controls; and lastly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8. matrix spike, where a known concentration of target virus is added to the samples before sample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preparation and assay.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4.2.3 Recovery methods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It is recommended that 200 mL of both wastewater and surface water be used for recovery. For wastewater,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of the three recovery methods applied in this study, the skimmed milk method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hydroxide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adsorption-precipitation methods are preferred, as they are both faster and cheaper than the PEG method,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only require low speed centrifugation. The inactivation buffer ITM and PBS used for the PEG and skimmed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milk methods both performed well, as did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Trizol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which was used for re-suspension of the pellet when using the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aluminium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hydroxide precipitation method. The three methods could therefore be used interchangeably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between laboratories, although due to the slight variation in results it is recommended that one method be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used consistently when monitoring a site to enable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visualisation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of trends. For surface water samples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skimmed milk flocculation method is recommended for recovery.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4.2.4 SARS-CoV-2 gene assays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Although both the commercial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and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Pathogen Kit inhouse N1 and N3 (QF N1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or N3) assays detected SARS-CoV-2, because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was found to be more sensitive than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QuantiFast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N1 assay, has the advantage of amplifying 3 targets in one reaction, and is more likely to be more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consistent across laboratories, this assay is recommended for further work. The disadvantage is that the Ct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value must then be used to approximate viral load, as the copy number cannot be determined by comparison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with a standard curve (refer to 4.2.5). The N target was detected most frequently, then E, then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RdRp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4.2.5 Viral quantification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positive rate did not correlate with the SARS-CoV-2 positive rate, since 17 of the 19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mengovirus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negative samples tested positive for SARS-CoV-2 by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N1 or N3 assays. While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repeating negative samples with dilutions cleared the inhibition in some cases, this makes for a costly analysis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process that is not feasible for routine analysis. The use of the minimum Ct value of the assayed targets per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sample as an indicator of viral load appears from this study to be sufficient for trend analysis, which could be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managed in a central database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visualised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on a national dashboard.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4.2.6 Upstream sampling and monitoring of smaller defined populations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potential to use this methodology for testing the wastewater of smaller, defined communities, such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prisons and mines, has been demonstrated, with positive results found at wastewater treatment works serving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mines and industries, as well as sewer sampling downstream of a prison and hospital. Sampling of combined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sewage for a defined population can be useful for surveillance of increased viral load to give early warning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 possible surge in infections. It is important however that regular samples be taken over time to establish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trends and baselines, due to the inherent variability of sampling from smaller populations than a regional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WWTW. This could provide a cost effective and less invasive means of continuous screening. Where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increasing trends in viral load are noted then additional clinical test methods could be rolled out based on an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early warning system.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4.2.7 Analysis of non-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sewered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environmental water samples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It is recommended that a 1:10 dilution of the extracted RNA be routinely performed to clear inhibition often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observed in the internal controls for the surface samples. Because of the variability observed it is also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recommended that a multiplex assay such as the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Seegene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assay be used for the environmental samples to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enable detection of multiple targets. While it is not necessarily possible to relate viral loads in surface water to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 defined population or possible case numbers, sampling of rivers may provide a means to monitor the spread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SARS-CoV-2 to areas previously unaffected by monitoring river quality over time, as well as monitoring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trends in viral loads to identify possible infection spikes in communities upstream of the sample point. This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high value for low- to middle-income countries such as South Africa, where many communities are not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connected to formal sewer networks, or where sewage is allowed to discharge into rivers untreated.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4.2.8 Data </w:t>
      </w:r>
      <w:proofErr w:type="spellStart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visualisation</w:t>
      </w:r>
      <w:proofErr w:type="spellEnd"/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 and trend monitoring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Based on the limited dataset, plotting of weekly sample results appeared to be sufficient to indicate trends, 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such weekly sampling of identified sites for national surveillance is recommended. It is recommended that viral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load be quantified making use of the Ct number with a proposed categorical data analysis recommended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based on the Global Polio Surveillance scheme. Interpretation of data should be done according to the various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use cases suggested by the Water Research Foundation (2020) (Figure 4-1), highlighting the importance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trend monitoring through the various phases of the pandemic.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Figure 4-1: General use case: Source Water Research Foundation 2020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t>REFERENCES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____________________________________________________________________________________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1.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D’Aoust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P.M., Mercier, E., Montpetit, D., Jia, J-J.,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Alexandrov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I.,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Neault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N., Tariq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Baig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A., Mayne, J.,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Xhang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X., Alain, T., Servos, M.R.,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MacKenzie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Figeys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D.,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MacKenzie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A.E., Graber, T.E. &amp;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Delatolla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R., 2020. Quantitative analysis of SARS-CoV-2 RNA from wastewater solids in communities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with low COVID-19 incidence and prevalence.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medRxiv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preprint. DOI: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lastRenderedPageBreak/>
        <w:t>https://doi.org/10.1101/2020.08.11.20173062.t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2. AAVV. Detection of Enteric Viruses. American Public Health Association; 2011. Standard methods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examination of water and wastewater (9510)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3. Ahmed, W., Harwood, V.J.,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Gyawali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P., Sidhu, J.P. &amp; Toze, S., 2015. Comparison of concentration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methods for quantitative detection of sewage-associated viral markers in environmental waters. Appl.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Environ. Microbiol. 81(6): 2042-2049.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4. Ahmed, W., Angel, N., Edson, J., Bibby, K., Bivins, A., Brien, J.W.O., Choi, P.M., Kitajima, M., Simpson,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S.L., Li, J.,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Tscharke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B.,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Verhagen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R., Smith, W.J.M.,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Zaugg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J.,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Dierens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L.,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Hugenholtz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P., Thomas,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K.V. &amp; Mueller, J.F., 2020a. First confirmed detection of SARS-CoV-2 in untreated wastewater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Australia: A proof of concept for the wastewater surveillance of COVID- 19 in the community. Science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the Total Environment. 728: 138764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5. Ahmed, W., Bertsch, P., Bivins, A., Bibby, K., Farkas, K., Gathercole, A.,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Haramoto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E.,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Gyawali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P.,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Korajkic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A., McMinn, B.R., Mueller, J., Simpson, S., Smith, W.J.M., Symonds, E.M., Thomas, K.V.,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Verhagen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R, &amp; Kitajima., M., 2020b. Comparison of virus concentration methods for the RT-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qPCRbased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recovery of murine hepatitis virus, a surrogate for SARS-CoV-2 from untreated wastewater.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Science of the Total Environment. </w:t>
      </w:r>
      <w:r w:rsidRPr="00094275">
        <w:rPr>
          <w:rFonts w:ascii="ArialMT" w:eastAsia="Times New Roman" w:hAnsi="ArialMT" w:cs="Times New Roman"/>
          <w:color w:val="345CAA"/>
          <w:sz w:val="20"/>
          <w:szCs w:val="20"/>
          <w:lang w:bidi="ar-SA"/>
        </w:rPr>
        <w:t>https://doi.org/10.1016/j.scitotenv.2020.139960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Canadian 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Network, 2020. COVID-19 Wastewater Coalition. Waterloo, Ontario, Canada. Available from: </w:t>
      </w:r>
      <w:r w:rsidRPr="00094275">
        <w:rPr>
          <w:rFonts w:ascii="ArialMT" w:eastAsia="Times New Roman" w:hAnsi="ArialMT" w:cs="Times New Roman"/>
          <w:color w:val="2864B0"/>
          <w:sz w:val="20"/>
          <w:szCs w:val="20"/>
          <w:lang w:bidi="ar-SA"/>
        </w:rPr>
        <w:t>http://cwnrce.ca/covid-19-wastewater-coalition/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6. Bar-Or, I.,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Yani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K.,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Shagan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M., Ozer, E.,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Erster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O., Mendelson, E.,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Mannasse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B., Shirazi, R.,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Kramarsky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-Winter, E., Nir, O., Abu-Ali, H., Ronen, Z.,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Rinott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E., Lewis, Y.E.,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Friedler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E.,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Bitkover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E.,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Paitan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Y.,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Berchenko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Y.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Kushmaro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A., 2020. Regressing SARS-CoV-2 sewage measurements onto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COVID-19 burden in the population: a proof-of-concept for quantitative environmental surveillance.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MedRxIv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Preprint, 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t>https://doi.org/10.1101/2020.04.26.20073569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7. Boulos, M.N.K. &amp; Geraghty, E.M, 2020. Geographical tracking and mapping of coronavirus disease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COVID-19/severe acute respiratory syndrome coronavirus 2 (SARS-CoV-2) epidemic and associated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events around the world: how 21st century GIS technologies are supporting the global fight against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outbreaks and epidemics. International Journal of Health Geographics. 19(1):8. DOI: 10.1186/s12942-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020-00202-8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8. Centers for Disease Control and Prevention (CDC) 2020 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t>https://www.cdc.gov/coronavirus/2019-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t>ncov</w:t>
      </w:r>
      <w:proofErr w:type="spellEnd"/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t>/lab/rt-pcr-panel-primer-probes.html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9. Chan, J.F.-W., Yip, C.C.-Y., To, K.K.-W., Tang, T.H.-C., Wong, S.C.-Y., Leung, K.-H., Fung, A.Y.-F.,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Ng, A.C.-K., Zou, Z. &amp; Tsoi, H.-W., 2020. Improved molecular diagnosis of COVID-19 by the novel,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highly sensitive and specific COVID-19-RdRp/Hel real-time reverse transcription-polymerase chain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reaction assay validated in vitro and with clinical specimens. Journal of Clinical Microbiology. 58(5). DOI: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10.1128/JCM.00310-20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10. Choi, P.M.,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Tscharke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B.J., Donner, E., O'Brien, J.W., Grant, S.C.,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Kaserzon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S.L., Mackie, R., O'Malley,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E., Crosbie, N.D., Thomas, K.V., Mueller, J.F., 2018. Wastewater-based epidemiology biomarkers: past,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present and future. Trends in Analytical Chemistry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TrAC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). 105: 453-469.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11. Chin, A.W.H., Chu, J.T.S.,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Perera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M.R.A., Hui, K.P.Y., Yen, H.-L., Chan, M.C.W., Peiris, M. &amp; Poon,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L.L.M., 2020. Stability of SARS-CoV-2 in Different Environmental Conditions. The Lancet Microbe;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published online April 2. DOI: https://doi.org/10.1016/S2666-5247(20)30003-3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12. Corman, V.M.,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Landt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O., Kaiser, M., Molenkamp, R., Meijer, A., Chu, D.K.W.,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Bleicker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T.,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Brünink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S.,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Schneider, J., Schmidt, M. L., Mulders, D.G.J.C.,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Haagmans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B.L., van der Veer, B., van den Brink, S.,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55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Wijsman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L.,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Goderski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G.,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Romette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J.-L., Ellis, J.,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Zambon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M., Peiris, 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Goossens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H.,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Reusken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C.,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Koopmans, M.P.G.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Drosten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C., 2020. Detection of 2019 novel coronavirus (2019-nCoV) by real time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 xml:space="preserve">RT-PCR.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Eurosurveillance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25(3):2000045.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13.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Danchin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A., Ng, P.T.W.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Turinici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G.A., 2020. New transmission route for the propagation of the SARSCoV-2 coronavirus. Preprint at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medRxiv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https://doi.org/10.1101/2020.02.14.20022939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14. Da Silva, A.K., Le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Saux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J.-C.,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Parnaudeau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S.,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Pommepuy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M., Elimelech, M. &amp; Le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Guyader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F.S., 2007.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Evaluation of removal of noroviruses during wastewater treatment, using real-time reverse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transcriptionPCR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: different behaviors of genogroups I and II. Applied and Environmental Microbiology. 73(24): 7891-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7897.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15.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Drosten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C., Günther, S.,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Preiser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W., van der Werf, S., Brodt, H. R., Becker, S.,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Rabenau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H., Panning,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Kolesnikova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L.,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Fouchier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R. A., Berger, A.,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Burguière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A. 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Cinatl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J.,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Eickmann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Escriou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N.,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Grywna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K.,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Kramme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S.,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Manuguerra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J. C., Müller, S.,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Rickerts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V.,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Stürmer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Vieth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S.,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Klenk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H.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D., Osterhaus, A. D., Schmitz, H.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Doerr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H. W., 2003. Identification of a novel coronavirus in patients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with severe acute respiratory syndrome. New England Journal of Medicine 348: 1967-1976.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16.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Falman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J.C.,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Fagnant</w:t>
      </w:r>
      <w:r w:rsidRPr="00094275">
        <w:rPr>
          <w:rFonts w:ascii="CambriaMath" w:eastAsia="Times New Roman" w:hAnsi="CambriaMath" w:cs="Times New Roman"/>
          <w:color w:val="231F20"/>
          <w:sz w:val="20"/>
          <w:szCs w:val="20"/>
          <w:lang w:bidi="ar-SA"/>
        </w:rPr>
        <w:t>-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Sperati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C.S.,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Kossik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A.L. Boyle, D.S.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Meschke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J.S., 2019. Evaluation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Secondary Concentration Methods for Poliovirus Detection in Wastewater. Food and Environmental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Virology.11:20-31. https://doi.org/10.1007/s12560-018-09364-y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17. Farkas, K., Cooper, D.M., McDonald, J.E., Malham, S.K., Rougemont, A. &amp; Jones, D.L., 2018. Seasonal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spatial dynamics of enteric viruses in wastewater and in riverine and estuarine receiving waters.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Science of the Total Environment. 634: 1174-1183.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18. Farkas, K., Mannion, F., Hillary, L.S., Malham, S.K., &amp; Walker, D.I., 2020a. Emerging technologies for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rapid detection of enteric viruses in the aquatic environment. Current Opinion in Environmental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Science &amp; Health. 16:1-6.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19. Farkas, K., Hillary, L.S., Malham, S.K., McDonald, J.E., &amp; Jones, D.L., 2020b. Wastewater and public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health: the potential of wastewater surveillance for monitoring COVID-19. Current Opinion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Environmental Science &amp; Health. DOI: 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t>https://doi.org/10.1016/j.coesh.2020.06.001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20.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Fumian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T.M.,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Leite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J.P., Castello, A.A., Gaggero, A., Caillou, M.S.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Miagostovich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M.P., 2010.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Detection of rotavirus A in sewage samples using multiplex qPCR and an evaluation of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ultracentrifugation and adsorption-elution methods for virus concentration. Journal of Virological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Methods. 170(1-2): 42-46.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21.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Gorbalenya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A.E., Baker, S.C. &amp; Baric, R.S., 2020. The species </w:t>
      </w:r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Severe acute respiratory </w:t>
      </w:r>
      <w:proofErr w:type="spellStart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>syndromerelated</w:t>
      </w:r>
      <w:proofErr w:type="spellEnd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 coronavirus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: classifying 2019-nCoV and naming it SARS-CoV-2. Nature Microbiology. 5: 536-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544.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22.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Gostin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L.O., Friedman, E.A., Wetter, S.A., 2020. Responding to COVID-19: How to 327 Navigate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Public Health Emergency Legally and Ethically. Hastings Center Report. 50:8-12. DOI: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10.1002/hast.1090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23.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Gudbjartsson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DF,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Helgason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A, Jonsson H, Magnusson OT,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Melste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d P,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Norddahl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GL., 2020. Spread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SARS-CoV-2 in the Icelandic Population. New England Journal of Medicine. 382(24):2302-2315. DOI: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10.1056/NEJMoa2006100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24. Gundy, P.M., Gerba, C.P.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Pepepr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I. L., 2009. Survival of coronaviruses in water and wastewater.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Food and Environmental Virology 1(1): 10-14.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25. Guerrero-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Latorre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L., Ballesteros, I.,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Villacrés-Granda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I.,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Granda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M.G., Freire-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Paspuel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B.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RíosToum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B., 2020. SARS-CoV-2 in river water: Implications in low sanitation countries. Science of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Total Environment. 743: 140832. DOI: 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t>https://doi.org/10.1016/j.scitotenv.2020.140832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26.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Gyawali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P., Croucher, D., Ahmed, W.,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Devane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M. &amp; Hewitt, J., 2019. Evaluation of pepper mild mottle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virus as an indicator of human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faecal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pollution in shellfish and growing waters. Water Research. 154: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370-376.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 xml:space="preserve">27.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Haramoto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E.,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Malla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B.,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Thakali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O. &amp; Kitajima, M., 2020. First environmental surveillance for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presence of SARS-CoV-2 RNA in wastewater and river water in Japan.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medRxiv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preprint. DOI: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345CAA"/>
          <w:sz w:val="20"/>
          <w:szCs w:val="20"/>
          <w:lang w:bidi="ar-SA"/>
        </w:rPr>
        <w:t>https://doi.org/10.1101/2020.06.04.20122747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56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28.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Haramoto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E., Kitajima, 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Hata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A., Torrey, J.R.,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Masago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Y., Sano, D. &amp; Katayama, H., 2018. A review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on recent progress in the detection methods and prevalence of human enteric viruses in water. Water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Research. 135: 168-186.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29.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Hellmér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Paxéus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N.,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Magnius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L., Enache, L.,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Arnholm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B., Johansson, A.,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Bergström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T.,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Norder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H., 2014. Detection of pathogenic viruses in sewage provided early warnings of Hepatitis A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Norovirus outbreaks. Applied and Environmental Microbiology. 80(21):6771-81. DOI: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10.1128/AEM.01981-14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30. Hendriksen, R.S., Munk, P.,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Njage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P., van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Bunnik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B., McNally, L.,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Lukjancenko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O.,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Röder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T.,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Nieuwenhuijse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D., Pedersen, S.K.,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Kjeldgaard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J., Kaas, R.S., Clausen, P.T.L.C., Vogt, J.K.,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Leekitcharoenphon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P., van de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Schans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M.G.M.,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Zuidema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T., de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Roda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Husman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A.M., Rasmussen, S.,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Petersen, B. Global Sewage Surveillance project consortium; Amid C., Cochrane, G.,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Sicheritz-Ponten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T., Schmitt, H., Alvarez, J.R.M.,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Aidara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-Kane, A.,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Pamp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S.J., Lund, O.,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Hald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T.,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Woolhouse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M.,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Koopmans, M.P.,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Vigre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H.,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Nordahl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Petersen, T.,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Aarestrup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F.M., 2019. Global monitoring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antimicrobial resistance based on metagenomics analyses of urban sewage. Nature Communications.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10(1): 1124.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31. Hill, K.,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Zamyadi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A., Deere, Dan.,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Vanrolleghem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P.A., &amp; Crosbie, N.D., 2020. SARS-CoV-2 known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unknowns, implications for the water sector and wastewater-based epidemiology to support national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responses worldwide: early review of global experiences with the COVID-19 pandemic. Water Quality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Research Journal. In press.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32.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Hovi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T., Shulman L.M., van der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Avoort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H., Deshpande, J.,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Roivainen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M., D.E.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Gourville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E.M., 2012.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Role of environmental poliovirus surveillance in global polio eradication and beyond. Epidemiology &amp;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Infection. 140(1):1-13. DOI: 10.1017/S095026881000316X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33. Huang, C., Wang, Y., Li, X., Ren, L., Zhao, J., Hu, Y., Zhang, L., Fan, G., Xu, J., Gu, X., Cheng, Z., Yu,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T., Xia, J., Wei, Y., Wu, W.,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Xie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X., Yin, W., Li, H., Liu, M., Xiao, Y., Gao, H., Guo, L.,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Xie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J., Wang, G.,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Jiang, R., Gao, Z.,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Jin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Q., Wang, J. &amp; Cao, B., 2020. Clinical features of patients infected with 2019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novel coronavirus in Wuhan, China. The Lancet. 395:497-506.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34. Humayun, A., Diop, O.M.,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Weldegebriel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G., Malik, F., Shetty, S., El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Bassioni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L., Akande, A.O., 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Maamoun, E., Zaidi, S.,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Adeniji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A.J., Burns, C.C., Deshpande, J.,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Oberste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M.S. &amp; Lowther, S.A., 2014.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Environmental surveillance for polioviruses in the global polio eradication initiative. The Journal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Infectious Diseases. 210(Suppl 1): S294-S303.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35. Jiang, Y., Fang, L., Shi, X., Zhang, H., Li, Y., Lin, Y.,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Qiu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Y., Chen, Q., Li, H. &amp; Zhou, L., 2014.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Simultaneous detection of five enteric viruses associated with gastroenteritis by use of a PCR assay: 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single real-time multiplex reaction and its clinical application. Journal of Clinical Microbiology. 52:1266-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1268.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36. </w:t>
      </w:r>
      <w:proofErr w:type="gramStart"/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>.RFDPHPL</w:t>
      </w:r>
      <w:proofErr w:type="gramEnd"/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%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>$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.XUW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+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+DFÕR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6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&lt;DUDOÕ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&amp;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6DDWFL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$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>0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 xml:space="preserve"> 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3DNGHPLUOL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%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t/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)LUVW</w:t>
      </w:r>
      <w:r w:rsidRPr="00094275">
        <w:rPr>
          <w:rFonts w:ascii="ArialMT-Identity-H" w:eastAsia="Times New Roman" w:hAnsi="ArialMT-Identity-H" w:cs="Times New Roman"/>
          <w:color w:val="231F20"/>
          <w:sz w:val="20"/>
          <w:szCs w:val="20"/>
          <w:lang w:bidi="ar-SA"/>
        </w:rPr>
        <w:separator/>
        <w:t>GDWD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-set 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SARS-CoV-2 detection for Istanbul wastewaters in Turkey.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medRxiv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DOI: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t>https://doi.org/10.1101/2020.05.03.20089417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37. Ahmed, W., Bibby, K., Carducci, A., Gerba, C.P., Hamilton, K.A.,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Haramoto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E., &amp; Rose, J.B., 2020.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SARS-CoV-2 in wastewater: state of the knowledge and research needs. Sci. Total Environ. 739,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139076. DOI: 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t>https://doi.org/10.1016/j.scitotenv.2020.139076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 xml:space="preserve">38. Kitajima, M., Ahmed, W., Bibby, K., Carducci, A., Gerba, C.P., Hamilton, K.A.,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Haramoto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E.J. &amp; Rose,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J.B., 2020. SARS-CoV-2 in wastewater: State of the knowledge and research needs. Science of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Total Environment. DOI: 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t>https://doi.org/10.1016/j.scitotenv.2020.139076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39. La Rosa, G., Iaconelli, M., Mancini, P.,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Bonanno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G., Ferraro, G.B.,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Veneri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C.,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Bonadonna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L., Lucentini,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L.,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Suffredini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E., 2020. First detection of SARS-CoV-2 in untreated wastewater in Italy. Science of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Total Environment. 736: 139652. DOI: 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t>https://doi.org/10.1101/2020.04.25.20079830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40. Lu, R., Zhao, X., Li, J.,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Niu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P., Yang, B., Wu, H., Wang, W., Song, H., Huang, B., Zhu, N., Bi, Y., Ma,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X., Zhan, F., Wang, L., Hu, T., Zhou,, H., Hu Z., Zhou, W., Zhao, L., Chen, J., Meng, Y., Wang, J., Lin,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Y., Yuan, J.,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Xie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Z., Ma, J., Liu, W.J., Wang, D., Xu, W., Holmes, E.C., Gao, G.F., Wu, G., Chen, W.,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Shi, W. &amp; Tan, W., 2020. Genomic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characterisation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epidemiology of 2019 novel coronavirus: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implications for virus origins and receptor binding. Lancet. 395:565-574.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41. Mans, J., van Zyl, W.B., Taylor, M.B., Page, N.A.,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Sobsey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M.D., Barnard, T.G. &amp; Potgieter, N., 2014.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Applicability of Bio-wipes for the collection of human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faecal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specimens for detection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characterisation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enteric viruses. Tropical Medicine and International Health. 19(3): 293-300.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42.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Medema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G,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Heijnen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L,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Elsinga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G,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Italiaander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R. Presence of SARS-Coronavirus-2 in sewage.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medRxi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preprint DOI: </w:t>
      </w:r>
      <w:r w:rsidRPr="00094275">
        <w:rPr>
          <w:rFonts w:ascii="ArialMT" w:eastAsia="Times New Roman" w:hAnsi="ArialMT" w:cs="Times New Roman"/>
          <w:color w:val="345CAA"/>
          <w:sz w:val="20"/>
          <w:szCs w:val="20"/>
          <w:lang w:bidi="ar-SA"/>
        </w:rPr>
        <w:t>https://doi.org/10.1101/2020.03.29.20045880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43.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Medema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G.,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Heijnen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L.,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Elsinga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G.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Italiaander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R., 2020. Presence of SARS-Coronavirus-2 RNA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sewage and correlation with reported COVID-19 prevalence in the early stage of the epidemic in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Netherlands. Environmental. Science Technology Letters. DOI: 10.1021/acs.estlett.0c00357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44.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Mizumoto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K,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Kagay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 K,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Zarebski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Chowell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G. Estimating the asymptomatic proportion of 257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coronavirus disease 2019 (COVID-19) cases on board the Diamond Princess cruise ship, Yokohama,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258 Japan, 2020.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Eurosurveillance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[Internet]. 12 March 2020 https:// www. eurosurveillance.org/content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/10.28 07/1560 -7917. ES.2020.25.10.2000180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45. Mull, B. &amp; Hill, V.R., 2012. Recovery of diverse microbes in high turbidity surface water samples using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dead-end ultrafiltration. J. Microbiol. Methods 91(3): 429-433.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46. Nalla, A.K.,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Casto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A.M., Huang, M.-L.W.,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Perchetti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G.A.,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Sampoleo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R., Shrestha, L., Wei, Y., Zhu, H.,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Jerome, K.R.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Greninger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A.L., 2020. Comparative Performance of SARS-CoV-2 Detection Assays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using Seven Different Primer/Probe Sets and One Assay Kit. Journal of Clinical Microbiology. DOI: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10.1128/JCM.00557-20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47.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Nozaic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D.J &amp; Freese, S.D., 2009. Process design manual for small wastewater works. WRC Report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No. TT 389/09.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48.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Peccia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J.,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Zulli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A.,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Brackney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D.E.,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Grubaugh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N.D, Kaplan, E.H., Casanovas-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Massana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A., Ko. A.I.,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Amyn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A.M., Wang, D., Wang, M., Weinberger, D.M., &amp; Omer, S.B., 2020. SARS-CoV-2 RNA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concentrations in primary municipal sewage sludge as a leading indicator of COVID-19 outbreak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dynamics.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medRxiv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preprint. DOI: https://doi.org/10.1101/2020.05.19.20105999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49. Pinto RM,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Costafreda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MI, Bosch A., 2009. Risk assessment in shellfish-borne outbreaks of hepatitis A.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Applied and Environmental Microbiology. 75(23):7350-5.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50. Randazzo, W., Cuevas-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Ferrando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E.,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Sanjuan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R., Domingo-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Calap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P., &amp; Sanchez, G., 2020a.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Metropolitan wastewater analysis for COVID-19 epidemiological surveillance.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MedRxiv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preprint. DOI: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https://doi.org/10.1101/2020.04.23.20076679.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51. Randazzo, W.,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Truchado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P.,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Ferranfo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E.C., Simon, P., Allende, A., &amp; Sanchez, G., 2020b. SARS-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-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2 RNA titers in wastewater anticipated COVID-19 occurrence in a low prevalence area. Water Research.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115942.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 xml:space="preserve">52. Randazzo, W.,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Piqueras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J.,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Evtoski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Z.,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Sastre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G., Sancho, R., Gonzalez, C. &amp; Sanchez G. 2019.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Interlaboratory comparative study to detect potentially infectious human enteric viruses in influent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effluent waters. Food Environmental. Virology. DOI: 10.1007/s12560-019-09392-2.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53.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Rimoldi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S.G., Stefani, F.,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Gigantiello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A.,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Polesello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S.,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Comandatore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F.,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Mileto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D.,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Maresca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M.,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Longobardi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C.,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Mancon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A.,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Romeri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F., Pagani, C., Moja, L.,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Gismondo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M.R., Salerno, F., 2020.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Presence and vitality of SARS-CoV-2 virus in wastewaters and rivers.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medRxiv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DOI: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t>https://doi.org/10.1101/2020.05.01.20086009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54. Roth-Cross, J.K., Bender, S.J., &amp; Weiss, S.R., 2008. Murine coronavirus mouse hepatitis virus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recognized by MDA5 and induces type I interferon in brain macrophages/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microgila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Journal of. Virology.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82:(20), 9829-9838.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55.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Rusiñol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M., Martínez-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Puchol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S.,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Forés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E.,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Itarte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Girones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R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Bofill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-Mas, S., 2020. Concentration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methods for the quantification of coronavirus and other potentially pandemic enveloped virus from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wastewater. Current Opinion in Environmental Science &amp; Health. DOI: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t>https://doi.org/10.1016/j.coesh.2020.08.002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56.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Sethuraman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N., Jeremiah, S.S. &amp; Ryo, A. 2020. Interpreting diagnostic tests for SARS-CoV-2. JAMA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doi:10.1001/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jama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2020.8259.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57.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Sima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L.C., Schaeffer, J., Le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Saux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J.-C.,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Parnaudeau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S.,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Elimelch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M. &amp; Le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Guyader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F.S., 2011.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Calicivirus removal in a membrane bioreactor wastewater treatment plant. Applied and Environmental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Microbiology. 77(15): 5170-5177.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58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58. Van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Doremalen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N., Morris, D.H., Holbrook, M.G., Gamble, a., Williamson, B.,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Tamin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A., Harcourt, J.L.,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Thornburg, N.J., Gerber, S.I., Lloyd-Smith., J.O., de Wit, E. &amp; Vincent J. Munster, 2020. Aerosol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Surface Stability of SARS-CoV-2 as Compared with SARS-CoV-1. New England Journal of Medicine.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382:1564-1567. DOI: 10.1056/NEJMc2004973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59.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Vogels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C.B.F., Brito, A.F., Wyllie, A.L.,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Fauver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J.R., Ott, I.M.,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Kalinich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C.C.,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Petrone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M.E., Landry,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M.-L., Foxman, E.F.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Grubaugh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N.D., 2020. Analytical sensitivity and efficiency comparisons of SARSCOV-2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qRT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-PCR assays.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medRxiv</w:t>
      </w:r>
      <w:proofErr w:type="spellEnd"/>
      <w:r w:rsidRPr="00094275">
        <w:rPr>
          <w:rFonts w:ascii="Arial-ItalicMT" w:eastAsia="Times New Roman" w:hAnsi="Arial-ItalicMT" w:cs="Times New Roman"/>
          <w:i/>
          <w:iCs/>
          <w:color w:val="231F20"/>
          <w:sz w:val="20"/>
          <w:szCs w:val="20"/>
          <w:lang w:bidi="ar-SA"/>
        </w:rPr>
        <w:t xml:space="preserve">.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DOI:10.1101/2020.03.30.20048108.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60. Walls, A.S., Park, Y.J.,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Tortorici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A., Wall, A., McGuire, T.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Vessler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D. 2020 Structure, function and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antigenicity of the SARS-CoV-2 spike glycoprotein. Cell. 181(2): 281-292.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61. Wang, X.W., Li, J. S.,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Jin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M., Zhen, B., Kong, Q.X., Song, N., Xiao, W.J., Yin, J., Wei, W., Wang, G.J.,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Si, B.Y., Guo, B.Z., Liu, C.,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Ou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G.R., Wang, M.N., Fang, T.Y., Chao, F.H. &amp; Li, J.W., 2005a. Study 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resistance of severe acute respiratory syndrome-associated coronavirus. Journal of Virological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Methods. 126 (1-2): 171-177.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62. Wang, X.-W., Li, J.-S., Guo, T.-K, Zhen, B., Kong, Q.-X.&amp; Yi B., 2005b. Concentration and detection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SARS coronavirus in sewage from Xia o Tang Shan Hospital and the 309th Hospital. Journal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Virological Methods. Sept 2005; 128(12):156-61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63. Wang, Y.-J., Deering, A.J. &amp; Kim, H.-J. 2020a. The occurrence of Shiga toxin-producing E. coli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aquaponic and hydroponic systems.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Horticulturae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6(1): 1.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64. Wang, W., Xu, Y., Gao, R., Lu, R., Han, K., Wu, G. &amp; Tan, W. 2020b Detection of SARS-CoV-2 in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different types of clinical specimens. JAMA. 323 (18): 1843-1844.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65. Water Research Australia, 2020. </w:t>
      </w:r>
      <w:r w:rsidRPr="00094275">
        <w:rPr>
          <w:rFonts w:ascii="ArialMT" w:eastAsia="Times New Roman" w:hAnsi="ArialMT" w:cs="Times New Roman"/>
          <w:color w:val="2864B0"/>
          <w:sz w:val="20"/>
          <w:szCs w:val="20"/>
          <w:lang w:bidi="ar-SA"/>
        </w:rPr>
        <w:t>https://www.waterra.com.au/research/communities-of-interest/covid-</w:t>
      </w:r>
      <w:r w:rsidRPr="00094275">
        <w:rPr>
          <w:rFonts w:ascii="ArialMT" w:eastAsia="Times New Roman" w:hAnsi="ArialMT" w:cs="Times New Roman"/>
          <w:color w:val="2864B0"/>
          <w:sz w:val="20"/>
          <w:szCs w:val="20"/>
          <w:lang w:bidi="ar-SA"/>
        </w:rPr>
        <w:br/>
        <w:t>19/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66. Water Research Foundation, 2020. WRF International Summit on Sewage Surveillance of SARS-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-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2 Reference. Sewage Surveillance of SARS-CoV-2 </w:t>
      </w:r>
      <w:r w:rsidRPr="00094275">
        <w:rPr>
          <w:rFonts w:ascii="ArialMT" w:eastAsia="Times New Roman" w:hAnsi="ArialMT" w:cs="Times New Roman"/>
          <w:color w:val="2864B0"/>
          <w:sz w:val="20"/>
          <w:szCs w:val="20"/>
          <w:lang w:bidi="ar-SA"/>
        </w:rPr>
        <w:t>https://www.waterrf.org/event/virtual-</w:t>
      </w:r>
      <w:r w:rsidRPr="00094275">
        <w:rPr>
          <w:rFonts w:ascii="ArialMT" w:eastAsia="Times New Roman" w:hAnsi="ArialMT" w:cs="Times New Roman"/>
          <w:color w:val="2864B0"/>
          <w:sz w:val="20"/>
          <w:szCs w:val="20"/>
          <w:lang w:bidi="ar-SA"/>
        </w:rPr>
        <w:lastRenderedPageBreak/>
        <w:t>internationalwater-research-summit-covid-19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67. WHO,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2011.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Guidelines for Drinking-Water Quality, 4th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edn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WHO Press, Geneva, Switzerland.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68. WHO,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2018.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Typhoid and Other Invasive Salmonellosis. WHO Press, Geneva, Switzerland.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69. Wu, A., Peng, Y., Huang, B., Ding, X., Wang, X.,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Niu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P., Meng, J., Zhu, Z., Zhang, Z., Wang, J., Sheng,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J., Quan, L., Xia, Z., Tan, W., Cheng, G. &amp; Jiang, T., 2020a. Genome composition and divergence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novel coronavirus (2019-nCoV) originating in China. Cell Host &amp; Microbe. 27 (3):325-328.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70. Wu, Y., Guo, C., Tang, L., Hong, Z., Zhou, J., Dong, X., Yin, H., Xiao, Q., Tang, Y., Qu, X.,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Kuang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L.,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Fang, X., Mishra, N., Lu, J., Shan, H., Jiang, G. &amp; Huang, X., 2020b. Prolonged presences of SARSCoV-2 viral RNA in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faecal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samples. The Lancet Gastroenterology &amp; Hepatology. 5(5):434-435.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71. Wu, D., Wu, T., Liu, Q. &amp; Yang, Z., 2020c. The SARS-CoV-2 outbreak: what we know. International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Journal of Infectious Diseases. 94:44-48.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72. Wu, F., Xiao, A., Zhang, J., Gu, X., Lee, W., Kauffman, K.,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Hanage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W.,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Matus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M.,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Ghaeli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N., Endo,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N.,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Duvallet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C., Moniz, K., Erickson, T., Chai, P., Thompson, J.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E., 2020d. SARS-CoV-2 titers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in wastewater are higher than expected from clinically confirmed cases.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medRxiv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. DOI: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t>https://doi.org/10.1101/2020.04.05.20051540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73.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Wurtzer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S, Marechal V, Mouchel J.M,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Maday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Y,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Teyssou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R, Richard E,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Almayrac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JL &amp; Moulin 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Evaluation of lockdown impact on SARS-Co 1 V-2 dynamics through viral genome quantification in Paris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wastewaters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medRxiv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preprint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doi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: https://doi.org/10.1101/2020.04.12.20062679.this version posted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May 6, 2020.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74. Xiao, F., Tang, M., Zheng, X., Liu, Y., Li, X. &amp; Shan, H., 2020a. Evidence for Gastrointestinal infection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SARS-CoV-2. Gastroenterology. 158(6):1831-1833.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75. Xiao, F., Sun, J., Xu, Y., Li, F., Huang, X., Li, H., et al. 2020b. Infectious SARS-CoV-2 in feces of patient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with severe COVID-19. Emerging Infectious Diseases. DOI: 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t>https://doi.org/10.3201/eid2608.200681</w:t>
      </w:r>
      <w:r w:rsidRPr="00094275">
        <w:rPr>
          <w:rFonts w:ascii="ArialMT" w:eastAsia="Times New Roman" w:hAnsi="ArialMT" w:cs="Times New Roman"/>
          <w:color w:val="3953A4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76. Xu, Y., Li, X., Zhu, B., Liang, H., Fang, C., Gong, Y., Guo, Q., Sun, X., Zhao, D., Shen, J., Zhang, H.,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Liu, H., Xia, H., Tang, J., Zhang, K. &amp; Gong, S., 2020. Characteristics of pediatric SARS-CoV-2 infection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and potential evidence for persistent fecal viral shedding. Nature Medicine 26, 502-505.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77. Ye, Y.,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Ellenberg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R.M., Graham, K.E. &amp; Wigginton, K.R., 2016. Survivability, Partitioning, and Recovery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Enveloped Viruses in Untreated Municipal Wastewater. Environmental. Science and. Technology.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50:5077-5085.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78.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Zaki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A.M., van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Boheemen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S.,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Bestebroer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T.M., Osterhaus, A.D.M. E. &amp;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Fouchier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R.A.M., 2012.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Isolation of a novel coronavirus from a man with pneumonia in Saudi Arabia. New England Journal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Medicine. 367: 1814-1820.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79. Zhang, D., Ling, H., Huang, X., Li, J., Li, W., Yi, C., Jiang, Y., He, Y., Deng, S., Zhang, X., Liu, Y., Li, G.,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Qu, J., 2020a. Potential spreading risks and disinfection challenges of medical wastewater by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presence of Severe Acute Respiratory Syndrome Coronavirus 2 (SARS-CoV-2) viral RNA in septic tanks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of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fangcang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hospital.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medRxiv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preprint DOI: </w:t>
      </w:r>
      <w:r w:rsidRPr="00094275">
        <w:rPr>
          <w:rFonts w:ascii="ArialMT" w:eastAsia="Times New Roman" w:hAnsi="ArialMT" w:cs="Times New Roman"/>
          <w:color w:val="345CAA"/>
          <w:sz w:val="20"/>
          <w:szCs w:val="20"/>
          <w:lang w:bidi="ar-SA"/>
        </w:rPr>
        <w:t>https://doi.org/10.1101/2020.04.28.20083832</w:t>
      </w:r>
      <w:r w:rsidRPr="00094275">
        <w:rPr>
          <w:rFonts w:ascii="ArialMT" w:eastAsia="Times New Roman" w:hAnsi="ArialMT" w:cs="Times New Roman"/>
          <w:color w:val="345CAA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80. Zhang, Y., Chen, C., Zhu, S., Shu, C., Wang, D., &amp; Song, J., 2020b. Isolation of 2019-nCoV from a stool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specimen of a laboratory-confirmed case of the coronavirus disease 2019 (COVID-19). China CDC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Weekly. 2(8):123-4.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81. Zhu, N., Zhang, D., Wang, W., Li, X., Yang, B., Song, J., Zhao, X., Huang, B., Shi, W., Lu, R.,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Niu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P. &amp;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Zhan, F. 2020. A novel coronavirus from patients with pneumonia in China, 2019. New England Journal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of Medicine 382:727-733.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60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t>APPENDIX A</w:t>
      </w:r>
      <w:r w:rsidRPr="00094275">
        <w:rPr>
          <w:rFonts w:ascii="ComicSansMS-Bold" w:eastAsia="Times New Roman" w:hAnsi="ComicSansMS-Bold" w:cs="Times New Roman"/>
          <w:b/>
          <w:bCs/>
          <w:color w:val="231F20"/>
          <w:sz w:val="32"/>
          <w:szCs w:val="32"/>
          <w:lang w:bidi="ar-SA"/>
        </w:rPr>
        <w:t xml:space="preserve">: 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t>COVID-19 CASES IN SELECTED PROVINCES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br/>
        <w:t>AS OF 16</w:t>
      </w:r>
      <w:r w:rsidRPr="00094275">
        <w:rPr>
          <w:rFonts w:ascii="Arial-BoldMT" w:eastAsia="Times New Roman" w:hAnsi="Arial-BoldMT" w:cs="Times New Roman"/>
          <w:b/>
          <w:bCs/>
          <w:color w:val="231F20"/>
          <w:lang w:bidi="ar-SA"/>
        </w:rPr>
        <w:t xml:space="preserve">TH 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t>JUNE 2020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32"/>
          <w:szCs w:val="32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______________________________________________________________________________________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 xml:space="preserve">A1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– 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Western Cape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 Subdistrict breakdown in the number of Covid-19 cases in the Western Cape as of the 17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th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of June is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presented in Figure A1 below, according to the Western Cape Government Covid-19 dashboard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(</w:t>
      </w:r>
      <w:r w:rsidRPr="00094275">
        <w:rPr>
          <w:rFonts w:ascii="ArialMT" w:eastAsia="Times New Roman" w:hAnsi="ArialMT" w:cs="Times New Roman"/>
          <w:color w:val="345CAA"/>
          <w:sz w:val="20"/>
          <w:szCs w:val="20"/>
          <w:lang w:bidi="ar-SA"/>
        </w:rPr>
        <w:t>https://coronavirus.westerncape.gov.za/covid-19-dashboard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). Tygerberg, Khayelitsha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Klipfontein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Subdistricts had the highest number of confirmed cases, at 6 406, 5 490 and 4 911 respectively.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A1: Number of Covid-19 cases in the Western Cape by Sub-district as of 17 June 2020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A2: Gauteng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As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at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13 June 2020, Gauteng accounted for 9 897 COVID-19 cases (Gauteng Provincial Government). At that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stage 565 people were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hospitalised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due to the virus. A breakdown in case number per district as of the 13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th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June 2020 is presented in Figure A2 and Table A1. Regionally, the City of Johannesburg accounted for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biggest portion of cases in the province, with the district data showing the metro accounted for 5 545 cases –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half of all confirmed cases in the province at that stage. This was followed by the City of Ekurhuleni (2 234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cases), and the City of Tshwane (1 543 cases). For the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proof of concept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study, samples were taken from two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WWTW from the City of Ekurhuleni, operated by ERWAT, for a period of four weeks, and a third plant for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final two weeks of sampling. The first WWTW in the north serves communities and industries in Tembisa,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Olifantsfontein and Ivory Park, as well as sections of Kempton Park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Midrand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falling within the City of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Ekurhuleni North 1 Sub-District where there were 553 confirmed cases as of the 13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th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of June 2020. The second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WWTW sampled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was located in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the south-west in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Vosloorus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, treating effluent from Boksburg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Vosloorus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as well as areas of Tsakane,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Duduza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Brakpan. This falls within the Ekurhuleni South 1 Sub-district with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422 confirmed cases. Finally, the third plant to be sampled for the final two weeks was located in the south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61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east of Ekurhuleni, in sub-district Ekurhuleni East 1, treating domestic effluent from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Daveyton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Etwatwa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where there were 151 confirmed cases as of the 13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th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of June 2020.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0A2: District breakdown of cases in Gauteng as of 13 June 2020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62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lastRenderedPageBreak/>
        <w:t>Table A1: Covid-19 cases per District in Gauteng as of 13 June 2020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 map of the Tshwane regional areas is presented in Figure A3, together with a map of the WWTW serving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the City of Tshwane (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CoT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). Region 3, consisting of Atteridgeville, </w:t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Laudium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Pretoria CBD, Hercules, Danville,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proofErr w:type="spell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Saulsville</w:t>
      </w:r>
      <w:proofErr w:type="spell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, Lotus and Pretoria West, was the area with the highest number of confirmed positive cases as of 9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June 2020 (268 cases and 104 recoveries). A central WWTW that serves the populations located in Tshwane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Region 3 was selected.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63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A3: City of Tshwane Regional demarcations (left) and location of the City of Tshwane WWTW (right)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A3: Eastern Cape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The total number of confirmed cases as of the16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th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of June for the Eastern Cape was 11 039. While District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based data was available for the Eastern Cape for May 2020 (Figure A4), there was no more recent information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published at the time of sample selection. Although the Eastern Cape had the third highest number of positive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cases in the country at the start of the study, for the purposes of the proof of concept study the decision was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taken to exclude WWTW from this area due to the difficulty of sample collection and transport logistics as well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as a lack of detailed case distribution information.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Figure A4: Covid-19 cases per District in the Eastern Cape (May 2020)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POC – Wastewater-based surveillance of SARS-CoV-2 in South Africa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¯¯¯¯¯¯¯¯¯¯¯¯¯¯¯¯¯¯¯¯¯¯¯¯¯¯¯¯¯¯¯¯¯¯¯¯¯¯¯¯¯¯¯¯¯¯¯¯¯¯¯¯¯¯¯¯¯¯¯¯¯¯¯¯¯¯¯¯¯¯¯¯¯¯¯¯¯¯¯¯¯¯¯¯¯¯¯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64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t>A4: KwaZulu-Natal</w:t>
      </w:r>
      <w:r w:rsidRPr="00094275">
        <w:rPr>
          <w:rFonts w:ascii="Arial-BoldMT" w:eastAsia="Times New Roman" w:hAnsi="Arial-BoldMT" w:cs="Times New Roman"/>
          <w:b/>
          <w:bCs/>
          <w:color w:val="231F20"/>
          <w:sz w:val="20"/>
          <w:szCs w:val="20"/>
          <w:lang w:bidi="ar-SA"/>
        </w:rPr>
        <w:br/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As of the 16</w:t>
      </w:r>
      <w:r w:rsidRPr="00094275">
        <w:rPr>
          <w:rFonts w:ascii="ArialMT" w:eastAsia="Times New Roman" w:hAnsi="ArialMT" w:cs="Times New Roman"/>
          <w:color w:val="231F20"/>
          <w:sz w:val="14"/>
          <w:szCs w:val="14"/>
          <w:lang w:bidi="ar-SA"/>
        </w:rPr>
        <w:t xml:space="preserve">th 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of June, KZN had 4048 positive cases. eThekwini and the iLembe District of KZN were the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province’s hotspots, with iLembe, located to the north of eThekwini, showing 0.9% of the total national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>infections (Figure A5). A WWTW from the iLembe District Municipality was selected for sampling.</w:t>
      </w:r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br/>
        <w:t xml:space="preserve">Figure A5: Infection hotspots in the Western Cape, Eastern </w:t>
      </w:r>
      <w:proofErr w:type="gramStart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>Cape</w:t>
      </w:r>
      <w:proofErr w:type="gramEnd"/>
      <w:r w:rsidRPr="00094275">
        <w:rPr>
          <w:rFonts w:ascii="ArialMT" w:eastAsia="Times New Roman" w:hAnsi="ArialMT" w:cs="Times New Roman"/>
          <w:color w:val="231F20"/>
          <w:sz w:val="20"/>
          <w:szCs w:val="20"/>
          <w:lang w:bidi="ar-SA"/>
        </w:rPr>
        <w:t xml:space="preserve"> and KwaZulu-Natal</w:t>
      </w:r>
      <w:r w:rsidRPr="00094275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</w:p>
    <w:sectPr w:rsidR="0076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Gothic-Bold-Identity-H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-Identity-H">
    <w:altName w:val="Cambria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ArialMT-Identity-H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omicSansMS-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75"/>
    <w:rsid w:val="00094275"/>
    <w:rsid w:val="0076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E556"/>
  <w15:chartTrackingRefBased/>
  <w15:docId w15:val="{AED4C707-E0EE-415A-B6A9-F9EF870C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9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normaltable">
    <w:name w:val="normaltable"/>
    <w:basedOn w:val="Normal"/>
    <w:rsid w:val="00094275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fontstyle0">
    <w:name w:val="fontstyle0"/>
    <w:basedOn w:val="Normal"/>
    <w:rsid w:val="0009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44"/>
      <w:szCs w:val="44"/>
      <w:lang w:bidi="ar-SA"/>
    </w:rPr>
  </w:style>
  <w:style w:type="paragraph" w:customStyle="1" w:styleId="fontstyle1">
    <w:name w:val="fontstyle1"/>
    <w:basedOn w:val="Normal"/>
    <w:rsid w:val="00094275"/>
    <w:pPr>
      <w:spacing w:before="100" w:beforeAutospacing="1" w:after="100" w:afterAutospacing="1" w:line="240" w:lineRule="auto"/>
    </w:pPr>
    <w:rPr>
      <w:rFonts w:ascii="CenturyGothic-Bold-Identity-H" w:eastAsia="Times New Roman" w:hAnsi="CenturyGothic-Bold-Identity-H" w:cs="Times New Roman"/>
      <w:b/>
      <w:bCs/>
      <w:color w:val="231F20"/>
      <w:sz w:val="16"/>
      <w:szCs w:val="16"/>
      <w:lang w:bidi="ar-SA"/>
    </w:rPr>
  </w:style>
  <w:style w:type="paragraph" w:customStyle="1" w:styleId="fontstyle2">
    <w:name w:val="fontstyle2"/>
    <w:basedOn w:val="Normal"/>
    <w:rsid w:val="00094275"/>
    <w:pPr>
      <w:spacing w:before="100" w:beforeAutospacing="1" w:after="100" w:afterAutospacing="1" w:line="240" w:lineRule="auto"/>
    </w:pPr>
    <w:rPr>
      <w:rFonts w:ascii="Arial-BoldMT" w:eastAsia="Times New Roman" w:hAnsi="Arial-BoldMT" w:cs="Times New Roman"/>
      <w:b/>
      <w:bCs/>
      <w:color w:val="231F20"/>
      <w:sz w:val="40"/>
      <w:szCs w:val="40"/>
      <w:lang w:bidi="ar-SA"/>
    </w:rPr>
  </w:style>
  <w:style w:type="paragraph" w:customStyle="1" w:styleId="fontstyle3">
    <w:name w:val="fontstyle3"/>
    <w:basedOn w:val="Normal"/>
    <w:rsid w:val="0009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customStyle="1" w:styleId="fontstyle4">
    <w:name w:val="fontstyle4"/>
    <w:basedOn w:val="Normal"/>
    <w:rsid w:val="00094275"/>
    <w:pPr>
      <w:spacing w:before="100" w:beforeAutospacing="1" w:after="100" w:afterAutospacing="1" w:line="240" w:lineRule="auto"/>
    </w:pPr>
    <w:rPr>
      <w:rFonts w:ascii="ArialMT" w:eastAsia="Times New Roman" w:hAnsi="ArialMT" w:cs="Times New Roman"/>
      <w:color w:val="231F20"/>
      <w:sz w:val="24"/>
      <w:szCs w:val="24"/>
      <w:lang w:bidi="ar-SA"/>
    </w:rPr>
  </w:style>
  <w:style w:type="paragraph" w:customStyle="1" w:styleId="fontstyle5">
    <w:name w:val="fontstyle5"/>
    <w:basedOn w:val="Normal"/>
    <w:rsid w:val="00094275"/>
    <w:pPr>
      <w:spacing w:before="100" w:beforeAutospacing="1" w:after="100" w:afterAutospacing="1" w:line="240" w:lineRule="auto"/>
    </w:pPr>
    <w:rPr>
      <w:rFonts w:ascii="SymbolMT-Identity-H" w:eastAsia="Times New Roman" w:hAnsi="SymbolMT-Identity-H" w:cs="Times New Roman"/>
      <w:color w:val="231F20"/>
      <w:sz w:val="20"/>
      <w:szCs w:val="20"/>
      <w:lang w:bidi="ar-SA"/>
    </w:rPr>
  </w:style>
  <w:style w:type="paragraph" w:customStyle="1" w:styleId="fontstyle6">
    <w:name w:val="fontstyle6"/>
    <w:basedOn w:val="Normal"/>
    <w:rsid w:val="00094275"/>
    <w:pPr>
      <w:spacing w:before="100" w:beforeAutospacing="1" w:after="100" w:afterAutospacing="1" w:line="240" w:lineRule="auto"/>
    </w:pPr>
    <w:rPr>
      <w:rFonts w:ascii="Arial-ItalicMT" w:eastAsia="Times New Roman" w:hAnsi="Arial-ItalicMT" w:cs="Times New Roman"/>
      <w:i/>
      <w:iCs/>
      <w:color w:val="231F20"/>
      <w:sz w:val="18"/>
      <w:szCs w:val="18"/>
      <w:lang w:bidi="ar-SA"/>
    </w:rPr>
  </w:style>
  <w:style w:type="paragraph" w:customStyle="1" w:styleId="fontstyle7">
    <w:name w:val="fontstyle7"/>
    <w:basedOn w:val="Normal"/>
    <w:rsid w:val="00094275"/>
    <w:pPr>
      <w:spacing w:before="100" w:beforeAutospacing="1" w:after="100" w:afterAutospacing="1" w:line="240" w:lineRule="auto"/>
    </w:pPr>
    <w:rPr>
      <w:rFonts w:ascii="ArialMT-Identity-H" w:eastAsia="Times New Roman" w:hAnsi="ArialMT-Identity-H" w:cs="Times New Roman"/>
      <w:color w:val="231F20"/>
      <w:sz w:val="20"/>
      <w:szCs w:val="20"/>
      <w:lang w:bidi="ar-SA"/>
    </w:rPr>
  </w:style>
  <w:style w:type="paragraph" w:customStyle="1" w:styleId="fontstyle8">
    <w:name w:val="fontstyle8"/>
    <w:basedOn w:val="Normal"/>
    <w:rsid w:val="00094275"/>
    <w:pPr>
      <w:spacing w:before="100" w:beforeAutospacing="1" w:after="100" w:afterAutospacing="1" w:line="240" w:lineRule="auto"/>
    </w:pPr>
    <w:rPr>
      <w:rFonts w:ascii="CourierNewPSMT" w:eastAsia="Times New Roman" w:hAnsi="CourierNewPSMT" w:cs="Times New Roman"/>
      <w:color w:val="231F20"/>
      <w:sz w:val="20"/>
      <w:szCs w:val="20"/>
      <w:lang w:bidi="ar-SA"/>
    </w:rPr>
  </w:style>
  <w:style w:type="paragraph" w:customStyle="1" w:styleId="fontstyle9">
    <w:name w:val="fontstyle9"/>
    <w:basedOn w:val="Normal"/>
    <w:rsid w:val="00094275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231F20"/>
      <w:sz w:val="20"/>
      <w:szCs w:val="20"/>
      <w:lang w:bidi="ar-SA"/>
    </w:rPr>
  </w:style>
  <w:style w:type="paragraph" w:customStyle="1" w:styleId="fontstyle10">
    <w:name w:val="fontstyle10"/>
    <w:basedOn w:val="Normal"/>
    <w:rsid w:val="00094275"/>
    <w:pPr>
      <w:spacing w:before="100" w:beforeAutospacing="1" w:after="100" w:afterAutospacing="1" w:line="240" w:lineRule="auto"/>
    </w:pPr>
    <w:rPr>
      <w:rFonts w:ascii="CambriaMath" w:eastAsia="Times New Roman" w:hAnsi="CambriaMath" w:cs="Times New Roman"/>
      <w:color w:val="231F20"/>
      <w:sz w:val="20"/>
      <w:szCs w:val="20"/>
      <w:lang w:bidi="ar-SA"/>
    </w:rPr>
  </w:style>
  <w:style w:type="paragraph" w:customStyle="1" w:styleId="fontstyle11">
    <w:name w:val="fontstyle11"/>
    <w:basedOn w:val="Normal"/>
    <w:rsid w:val="00094275"/>
    <w:pPr>
      <w:spacing w:before="100" w:beforeAutospacing="1" w:after="100" w:afterAutospacing="1" w:line="240" w:lineRule="auto"/>
    </w:pPr>
    <w:rPr>
      <w:rFonts w:ascii="ComicSansMS-Bold" w:eastAsia="Times New Roman" w:hAnsi="ComicSansMS-Bold" w:cs="Times New Roman"/>
      <w:b/>
      <w:bCs/>
      <w:color w:val="231F20"/>
      <w:sz w:val="32"/>
      <w:szCs w:val="32"/>
      <w:lang w:bidi="ar-SA"/>
    </w:rPr>
  </w:style>
  <w:style w:type="character" w:customStyle="1" w:styleId="fontstyle01">
    <w:name w:val="fontstyle01"/>
    <w:basedOn w:val="DefaultParagraphFont"/>
    <w:rsid w:val="00094275"/>
    <w:rPr>
      <w:b w:val="0"/>
      <w:bCs w:val="0"/>
      <w:i w:val="0"/>
      <w:iCs w:val="0"/>
      <w:color w:val="FFFFFF"/>
      <w:sz w:val="44"/>
      <w:szCs w:val="44"/>
    </w:rPr>
  </w:style>
  <w:style w:type="character" w:customStyle="1" w:styleId="fontstyle12">
    <w:name w:val="fontstyle12"/>
    <w:basedOn w:val="DefaultParagraphFont"/>
    <w:rsid w:val="00094275"/>
    <w:rPr>
      <w:rFonts w:ascii="CenturyGothic-Bold-Identity-H" w:hAnsi="CenturyGothic-Bold-Identity-H" w:hint="default"/>
      <w:b/>
      <w:bCs/>
      <w:i w:val="0"/>
      <w:iCs w:val="0"/>
      <w:color w:val="231F20"/>
      <w:sz w:val="16"/>
      <w:szCs w:val="16"/>
    </w:rPr>
  </w:style>
  <w:style w:type="character" w:customStyle="1" w:styleId="fontstyle21">
    <w:name w:val="fontstyle21"/>
    <w:basedOn w:val="DefaultParagraphFont"/>
    <w:rsid w:val="00094275"/>
    <w:rPr>
      <w:rFonts w:ascii="Arial-BoldMT" w:hAnsi="Arial-BoldMT" w:hint="default"/>
      <w:b/>
      <w:bCs/>
      <w:i w:val="0"/>
      <w:iCs w:val="0"/>
      <w:color w:val="231F20"/>
      <w:sz w:val="40"/>
      <w:szCs w:val="40"/>
    </w:rPr>
  </w:style>
  <w:style w:type="character" w:customStyle="1" w:styleId="fontstyle41">
    <w:name w:val="fontstyle41"/>
    <w:basedOn w:val="DefaultParagraphFont"/>
    <w:rsid w:val="00094275"/>
    <w:rPr>
      <w:rFonts w:ascii="ArialMT" w:hAnsi="ArialMT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fontstyle51">
    <w:name w:val="fontstyle51"/>
    <w:basedOn w:val="DefaultParagraphFont"/>
    <w:rsid w:val="00094275"/>
    <w:rPr>
      <w:rFonts w:ascii="SymbolMT-Identity-H" w:hAnsi="SymbolMT-Identity-H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DefaultParagraphFont"/>
    <w:rsid w:val="00094275"/>
    <w:rPr>
      <w:rFonts w:ascii="Arial-ItalicMT" w:hAnsi="Arial-ItalicMT" w:hint="default"/>
      <w:b w:val="0"/>
      <w:bCs w:val="0"/>
      <w:i/>
      <w:iCs/>
      <w:color w:val="231F20"/>
      <w:sz w:val="18"/>
      <w:szCs w:val="18"/>
    </w:rPr>
  </w:style>
  <w:style w:type="character" w:customStyle="1" w:styleId="fontstyle71">
    <w:name w:val="fontstyle71"/>
    <w:basedOn w:val="DefaultParagraphFont"/>
    <w:rsid w:val="00094275"/>
    <w:rPr>
      <w:rFonts w:ascii="ArialMT-Identity-H" w:hAnsi="ArialMT-Identity-H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81">
    <w:name w:val="fontstyle81"/>
    <w:basedOn w:val="DefaultParagraphFont"/>
    <w:rsid w:val="00094275"/>
    <w:rPr>
      <w:rFonts w:ascii="CourierNewPSMT" w:hAnsi="CourierNewPSM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91">
    <w:name w:val="fontstyle91"/>
    <w:basedOn w:val="DefaultParagraphFont"/>
    <w:rsid w:val="00094275"/>
    <w:rPr>
      <w:rFonts w:ascii="Calibri" w:hAnsi="Calibri" w:cs="Calibri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101">
    <w:name w:val="fontstyle101"/>
    <w:basedOn w:val="DefaultParagraphFont"/>
    <w:rsid w:val="00094275"/>
    <w:rPr>
      <w:rFonts w:ascii="CambriaMath" w:hAnsi="CambriaMath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111">
    <w:name w:val="fontstyle111"/>
    <w:basedOn w:val="DefaultParagraphFont"/>
    <w:rsid w:val="00094275"/>
    <w:rPr>
      <w:rFonts w:ascii="ComicSansMS-Bold" w:hAnsi="ComicSansMS-Bold" w:hint="default"/>
      <w:b/>
      <w:bCs/>
      <w:i w:val="0"/>
      <w:iCs w:val="0"/>
      <w:color w:val="231F2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26291</Words>
  <Characters>149863</Characters>
  <Application>Microsoft Office Word</Application>
  <DocSecurity>0</DocSecurity>
  <Lines>1248</Lines>
  <Paragraphs>351</Paragraphs>
  <ScaleCrop>false</ScaleCrop>
  <Company/>
  <LinksUpToDate>false</LinksUpToDate>
  <CharactersWithSpaces>175803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2</cp:revision>
  <dcterms:created xsi:type="dcterms:W3CDTF">2021-01-09T19:11:00Z</dcterms:created>
  <dcterms:modified xsi:type="dcterms:W3CDTF">2021-01-09T19:13:00Z</dcterms:modified>
</cp:coreProperties>
</file>