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7C193" w14:textId="72BC51ED" w:rsidR="002570C1" w:rsidRDefault="002570C1" w:rsidP="002B282E">
      <w:pPr>
        <w:rPr>
          <w:rFonts w:ascii="Times New Roman" w:hAnsi="Times New Roman" w:cs="Times New Roman"/>
          <w:noProof/>
          <w:sz w:val="32"/>
          <w:szCs w:val="32"/>
        </w:rPr>
      </w:pPr>
    </w:p>
    <w:p w14:paraId="3D9FEC0E" w14:textId="5E9C3AB1" w:rsidR="00604828" w:rsidRDefault="00604828" w:rsidP="002B282E">
      <w:pPr>
        <w:rPr>
          <w:rFonts w:ascii="Times New Roman" w:hAnsi="Times New Roman" w:cs="Times New Roman"/>
          <w:noProof/>
          <w:sz w:val="32"/>
          <w:szCs w:val="32"/>
        </w:rPr>
      </w:pPr>
    </w:p>
    <w:p w14:paraId="2A8477C3" w14:textId="77777777" w:rsidR="00604828" w:rsidRPr="002E2228" w:rsidRDefault="00604828" w:rsidP="002B282E">
      <w:pPr>
        <w:rPr>
          <w:rFonts w:ascii="Times New Roman" w:hAnsi="Times New Roman" w:cs="Times New Roman"/>
          <w:noProof/>
          <w:sz w:val="32"/>
          <w:szCs w:val="32"/>
        </w:rPr>
      </w:pPr>
      <w:bookmarkStart w:id="0" w:name="_GoBack"/>
      <w:bookmarkEnd w:id="0"/>
    </w:p>
    <w:p w14:paraId="4FB6129B" w14:textId="115545E0" w:rsidR="002570C1" w:rsidRDefault="002570C1" w:rsidP="002B282E">
      <w:pPr>
        <w:rPr>
          <w:rFonts w:ascii="Times New Roman" w:hAnsi="Times New Roman" w:cs="Times New Roman"/>
          <w:b/>
          <w:bCs/>
          <w:color w:val="333333"/>
          <w:sz w:val="28"/>
          <w:szCs w:val="28"/>
          <w:shd w:val="clear" w:color="auto" w:fill="FFFFFF"/>
        </w:rPr>
      </w:pPr>
      <w:r w:rsidRPr="002E2228">
        <w:rPr>
          <w:rFonts w:ascii="Times New Roman" w:hAnsi="Times New Roman" w:cs="Times New Roman"/>
          <w:b/>
          <w:bCs/>
          <w:color w:val="333333"/>
          <w:sz w:val="28"/>
          <w:szCs w:val="28"/>
          <w:shd w:val="clear" w:color="auto" w:fill="FFFFFF"/>
        </w:rPr>
        <w:t>Evaluating the effectiveness of Global Health Security Index in predicting countries' COVID-19 mortality outcomes</w:t>
      </w:r>
      <w:r w:rsidR="00897119">
        <w:rPr>
          <w:rFonts w:ascii="Times New Roman" w:hAnsi="Times New Roman" w:cs="Times New Roman"/>
          <w:b/>
          <w:bCs/>
          <w:color w:val="333333"/>
          <w:sz w:val="28"/>
          <w:szCs w:val="28"/>
          <w:shd w:val="clear" w:color="auto" w:fill="FFFFFF"/>
        </w:rPr>
        <w:t xml:space="preserve"> in Pan American Health Organization region </w:t>
      </w:r>
    </w:p>
    <w:p w14:paraId="7E783699" w14:textId="77777777" w:rsidR="00897119" w:rsidRPr="002E2228" w:rsidRDefault="00897119" w:rsidP="002B282E">
      <w:pPr>
        <w:rPr>
          <w:rFonts w:ascii="Times New Roman" w:hAnsi="Times New Roman" w:cs="Times New Roman"/>
          <w:b/>
          <w:bCs/>
          <w:color w:val="333333"/>
          <w:sz w:val="28"/>
          <w:szCs w:val="28"/>
          <w:shd w:val="clear" w:color="auto" w:fill="FFFFFF"/>
        </w:rPr>
      </w:pPr>
    </w:p>
    <w:p w14:paraId="10556F71" w14:textId="4BFED6D3" w:rsidR="00F15B10" w:rsidRPr="002E2228" w:rsidRDefault="00F15B10" w:rsidP="002B282E">
      <w:pPr>
        <w:rPr>
          <w:rFonts w:ascii="Times New Roman" w:hAnsi="Times New Roman" w:cs="Times New Roman"/>
          <w:b/>
          <w:bCs/>
          <w:color w:val="333333"/>
          <w:sz w:val="28"/>
          <w:szCs w:val="28"/>
          <w:shd w:val="clear" w:color="auto" w:fill="FFFFFF"/>
        </w:rPr>
      </w:pPr>
      <w:proofErr w:type="spellStart"/>
      <w:r w:rsidRPr="002E2228">
        <w:rPr>
          <w:rFonts w:ascii="Times New Roman" w:hAnsi="Times New Roman" w:cs="Times New Roman"/>
          <w:b/>
          <w:bCs/>
          <w:color w:val="333333"/>
          <w:sz w:val="28"/>
          <w:szCs w:val="28"/>
          <w:shd w:val="clear" w:color="auto" w:fill="FFFFFF"/>
        </w:rPr>
        <w:t>Najmul</w:t>
      </w:r>
      <w:proofErr w:type="spellEnd"/>
      <w:r w:rsidRPr="002E2228">
        <w:rPr>
          <w:rFonts w:ascii="Times New Roman" w:hAnsi="Times New Roman" w:cs="Times New Roman"/>
          <w:b/>
          <w:bCs/>
          <w:color w:val="333333"/>
          <w:sz w:val="28"/>
          <w:szCs w:val="28"/>
          <w:shd w:val="clear" w:color="auto" w:fill="FFFFFF"/>
        </w:rPr>
        <w:t xml:space="preserve"> </w:t>
      </w:r>
      <w:proofErr w:type="spellStart"/>
      <w:r w:rsidRPr="002E2228">
        <w:rPr>
          <w:rFonts w:ascii="Times New Roman" w:hAnsi="Times New Roman" w:cs="Times New Roman"/>
          <w:b/>
          <w:bCs/>
          <w:color w:val="333333"/>
          <w:sz w:val="28"/>
          <w:szCs w:val="28"/>
          <w:shd w:val="clear" w:color="auto" w:fill="FFFFFF"/>
        </w:rPr>
        <w:t>Haider</w:t>
      </w:r>
      <w:proofErr w:type="spellEnd"/>
      <w:r w:rsidRPr="002E2228">
        <w:rPr>
          <w:rFonts w:ascii="Times New Roman" w:hAnsi="Times New Roman" w:cs="Times New Roman"/>
          <w:b/>
          <w:bCs/>
          <w:color w:val="333333"/>
          <w:sz w:val="28"/>
          <w:szCs w:val="28"/>
          <w:shd w:val="clear" w:color="auto" w:fill="FFFFFF"/>
        </w:rPr>
        <w:t xml:space="preserve">, Mohammad </w:t>
      </w:r>
      <w:proofErr w:type="spellStart"/>
      <w:r w:rsidRPr="002E2228">
        <w:rPr>
          <w:rFonts w:ascii="Times New Roman" w:hAnsi="Times New Roman" w:cs="Times New Roman"/>
          <w:b/>
          <w:bCs/>
          <w:color w:val="333333"/>
          <w:sz w:val="28"/>
          <w:szCs w:val="28"/>
          <w:shd w:val="clear" w:color="auto" w:fill="FFFFFF"/>
        </w:rPr>
        <w:t>Nayeem</w:t>
      </w:r>
      <w:proofErr w:type="spellEnd"/>
      <w:r w:rsidRPr="002E2228">
        <w:rPr>
          <w:rFonts w:ascii="Times New Roman" w:hAnsi="Times New Roman" w:cs="Times New Roman"/>
          <w:b/>
          <w:bCs/>
          <w:color w:val="333333"/>
          <w:sz w:val="28"/>
          <w:szCs w:val="28"/>
          <w:shd w:val="clear" w:color="auto" w:fill="FFFFFF"/>
        </w:rPr>
        <w:t xml:space="preserve"> Hassan, Francine </w:t>
      </w:r>
      <w:proofErr w:type="spellStart"/>
      <w:r w:rsidRPr="002E2228">
        <w:rPr>
          <w:rFonts w:ascii="Times New Roman" w:hAnsi="Times New Roman" w:cs="Times New Roman"/>
          <w:b/>
          <w:bCs/>
          <w:color w:val="333333"/>
          <w:sz w:val="28"/>
          <w:szCs w:val="28"/>
          <w:shd w:val="clear" w:color="auto" w:fill="FFFFFF"/>
        </w:rPr>
        <w:t>Ntoumi</w:t>
      </w:r>
      <w:proofErr w:type="spellEnd"/>
      <w:r w:rsidRPr="002E2228">
        <w:rPr>
          <w:rFonts w:ascii="Times New Roman" w:hAnsi="Times New Roman" w:cs="Times New Roman"/>
          <w:b/>
          <w:bCs/>
          <w:color w:val="333333"/>
          <w:sz w:val="28"/>
          <w:szCs w:val="28"/>
          <w:shd w:val="clear" w:color="auto" w:fill="FFFFFF"/>
        </w:rPr>
        <w:t xml:space="preserve">, </w:t>
      </w:r>
      <w:r w:rsidR="00934286" w:rsidRPr="002E2228">
        <w:rPr>
          <w:rFonts w:ascii="Times New Roman" w:hAnsi="Times New Roman" w:cs="Times New Roman"/>
          <w:b/>
          <w:bCs/>
          <w:color w:val="333333"/>
          <w:sz w:val="28"/>
          <w:szCs w:val="28"/>
          <w:shd w:val="clear" w:color="auto" w:fill="FFFFFF"/>
        </w:rPr>
        <w:t>Md. Jamal Uddin</w:t>
      </w:r>
      <w:r w:rsidR="00D93CB5" w:rsidRPr="002E2228">
        <w:rPr>
          <w:rFonts w:ascii="Times New Roman" w:hAnsi="Times New Roman" w:cs="Times New Roman"/>
          <w:b/>
          <w:bCs/>
          <w:color w:val="333333"/>
          <w:sz w:val="28"/>
          <w:szCs w:val="28"/>
          <w:shd w:val="clear" w:color="auto" w:fill="FFFFFF"/>
        </w:rPr>
        <w:t xml:space="preserve">, </w:t>
      </w:r>
      <w:proofErr w:type="spellStart"/>
      <w:r w:rsidRPr="002E2228">
        <w:rPr>
          <w:rFonts w:ascii="Times New Roman" w:hAnsi="Times New Roman" w:cs="Times New Roman"/>
          <w:b/>
          <w:bCs/>
          <w:color w:val="333333"/>
          <w:sz w:val="28"/>
          <w:szCs w:val="28"/>
          <w:shd w:val="clear" w:color="auto" w:fill="FFFFFF"/>
        </w:rPr>
        <w:t>Alimuddin</w:t>
      </w:r>
      <w:proofErr w:type="spellEnd"/>
      <w:r w:rsidRPr="002E2228">
        <w:rPr>
          <w:rFonts w:ascii="Times New Roman" w:hAnsi="Times New Roman" w:cs="Times New Roman"/>
          <w:b/>
          <w:bCs/>
          <w:color w:val="333333"/>
          <w:sz w:val="28"/>
          <w:szCs w:val="28"/>
          <w:shd w:val="clear" w:color="auto" w:fill="FFFFFF"/>
        </w:rPr>
        <w:t xml:space="preserve"> </w:t>
      </w:r>
      <w:proofErr w:type="spellStart"/>
      <w:r w:rsidRPr="002E2228">
        <w:rPr>
          <w:rFonts w:ascii="Times New Roman" w:hAnsi="Times New Roman" w:cs="Times New Roman"/>
          <w:b/>
          <w:bCs/>
          <w:color w:val="333333"/>
          <w:sz w:val="28"/>
          <w:szCs w:val="28"/>
          <w:shd w:val="clear" w:color="auto" w:fill="FFFFFF"/>
        </w:rPr>
        <w:t>Zumla</w:t>
      </w:r>
      <w:proofErr w:type="spellEnd"/>
      <w:r w:rsidRPr="002E2228">
        <w:rPr>
          <w:rFonts w:ascii="Times New Roman" w:hAnsi="Times New Roman" w:cs="Times New Roman"/>
          <w:b/>
          <w:bCs/>
          <w:color w:val="333333"/>
          <w:sz w:val="28"/>
          <w:szCs w:val="28"/>
          <w:shd w:val="clear" w:color="auto" w:fill="FFFFFF"/>
        </w:rPr>
        <w:t xml:space="preserve">, and Richard </w:t>
      </w:r>
      <w:proofErr w:type="spellStart"/>
      <w:r w:rsidRPr="002E2228">
        <w:rPr>
          <w:rFonts w:ascii="Times New Roman" w:hAnsi="Times New Roman" w:cs="Times New Roman"/>
          <w:b/>
          <w:bCs/>
          <w:color w:val="333333"/>
          <w:sz w:val="28"/>
          <w:szCs w:val="28"/>
          <w:shd w:val="clear" w:color="auto" w:fill="FFFFFF"/>
        </w:rPr>
        <w:t>Kock</w:t>
      </w:r>
      <w:proofErr w:type="spellEnd"/>
      <w:r w:rsidRPr="002E2228">
        <w:rPr>
          <w:rFonts w:ascii="Times New Roman" w:hAnsi="Times New Roman" w:cs="Times New Roman"/>
          <w:b/>
          <w:bCs/>
          <w:color w:val="333333"/>
          <w:sz w:val="28"/>
          <w:szCs w:val="28"/>
          <w:shd w:val="clear" w:color="auto" w:fill="FFFFFF"/>
        </w:rPr>
        <w:t xml:space="preserve">  </w:t>
      </w:r>
    </w:p>
    <w:p w14:paraId="7E9C60F4" w14:textId="3CB41499" w:rsidR="002570C1" w:rsidRDefault="002570C1" w:rsidP="002B282E">
      <w:pPr>
        <w:rPr>
          <w:rFonts w:ascii="Times New Roman" w:hAnsi="Times New Roman" w:cs="Times New Roman"/>
          <w:b/>
          <w:bCs/>
          <w:noProof/>
          <w:sz w:val="24"/>
          <w:szCs w:val="24"/>
        </w:rPr>
      </w:pPr>
    </w:p>
    <w:p w14:paraId="63870414" w14:textId="77777777" w:rsidR="002E2228" w:rsidRPr="00CF77CF" w:rsidRDefault="002E2228" w:rsidP="002B282E">
      <w:pPr>
        <w:rPr>
          <w:rFonts w:ascii="Times New Roman" w:hAnsi="Times New Roman" w:cs="Times New Roman"/>
          <w:b/>
          <w:bCs/>
          <w:noProof/>
          <w:sz w:val="24"/>
          <w:szCs w:val="24"/>
        </w:rPr>
      </w:pPr>
    </w:p>
    <w:p w14:paraId="4161099B" w14:textId="38DF6D3D" w:rsidR="002570C1" w:rsidRDefault="00DA0B87" w:rsidP="002B282E">
      <w:pPr>
        <w:rPr>
          <w:rFonts w:ascii="Times New Roman" w:hAnsi="Times New Roman" w:cs="Times New Roman"/>
          <w:noProof/>
          <w:sz w:val="24"/>
          <w:szCs w:val="24"/>
        </w:rPr>
      </w:pPr>
      <w:r>
        <w:rPr>
          <w:rFonts w:ascii="Times New Roman" w:hAnsi="Times New Roman" w:cs="Times New Roman"/>
          <w:noProof/>
          <w:sz w:val="24"/>
          <w:szCs w:val="24"/>
        </w:rPr>
        <w:t xml:space="preserve">Background: </w:t>
      </w:r>
    </w:p>
    <w:p w14:paraId="6E6E9F17" w14:textId="77777777" w:rsidR="00EA7AA4" w:rsidRDefault="00EA7AA4" w:rsidP="002B282E">
      <w:pPr>
        <w:rPr>
          <w:rFonts w:ascii="Times New Roman" w:hAnsi="Times New Roman" w:cs="Times New Roman"/>
          <w:noProof/>
          <w:sz w:val="24"/>
          <w:szCs w:val="24"/>
        </w:rPr>
      </w:pPr>
    </w:p>
    <w:p w14:paraId="3FBF7260" w14:textId="6FBC8BFF" w:rsidR="00DA0B87" w:rsidRDefault="00DA0B87" w:rsidP="00DA0B87">
      <w:pPr>
        <w:spacing w:after="0" w:line="360" w:lineRule="auto"/>
        <w:rPr>
          <w:rFonts w:ascii="Times New Roman" w:hAnsi="Times New Roman" w:cs="Times New Roman"/>
        </w:rPr>
      </w:pPr>
      <w:r w:rsidRPr="009F3628">
        <w:rPr>
          <w:rFonts w:ascii="Times New Roman" w:hAnsi="Times New Roman" w:cs="Times New Roman"/>
        </w:rPr>
        <w:t xml:space="preserve">The Global Health Security Index (GHSI) is a comprehensive assessment and benchmarking of health security and related capabilities of 195 countries that make up the States Parties to the International Health Regulations. The GHSI is a project of the Nuclear Threat Initiative and the Johns Hopkins Center for Health Security, and was developed jointly with The Economist Intelligence Unit </w:t>
      </w:r>
      <w:r w:rsidRPr="009F3628">
        <w:rPr>
          <w:rFonts w:ascii="Times New Roman" w:hAnsi="Times New Roman" w:cs="Times New Roman"/>
          <w:shd w:val="clear" w:color="auto" w:fill="FFFFFF"/>
        </w:rPr>
        <w:fldChar w:fldCharType="begin" w:fldLock="1"/>
      </w:r>
      <w:r w:rsidRPr="009F3628">
        <w:rPr>
          <w:rFonts w:ascii="Times New Roman" w:hAnsi="Times New Roman" w:cs="Times New Roman"/>
          <w:shd w:val="clear" w:color="auto" w:fill="FFFFFF"/>
        </w:rPr>
        <w:instrText>ADDIN CSL_CITATION {"citationItems":[{"id":"ITEM-1","itemData":{"author":[{"dropping-particle":"","family":"NTI and Johns Hopkins University Centre for Health Security","given":"","non-dropping-particle":"","parse-names":false,"suffix":""}],"id":"ITEM-1","issued":{"date-parts":[["2019"]]},"number-of-pages":"Availabe at: https://www.ghsindex.org/about/","title":"Global Health Security Index","type":"report"},"uris":["http://www.mendeley.com/documents/?uuid=1dfe16f7-2fbc-43c4-a5ad-dd3ef286c46f"]}],"mendeley":{"formattedCitation":"[9]","plainTextFormattedCitation":"[9]","previouslyFormattedCitation":"[9]"},"properties":{"noteIndex":0},"schema":"https://github.com/citation-style-language/schema/raw/master/csl-citation.json"}</w:instrText>
      </w:r>
      <w:r w:rsidRPr="009F3628">
        <w:rPr>
          <w:rFonts w:ascii="Times New Roman" w:hAnsi="Times New Roman" w:cs="Times New Roman"/>
          <w:shd w:val="clear" w:color="auto" w:fill="FFFFFF"/>
        </w:rPr>
        <w:fldChar w:fldCharType="separate"/>
      </w:r>
      <w:r w:rsidRPr="009F3628">
        <w:rPr>
          <w:rFonts w:ascii="Times New Roman" w:hAnsi="Times New Roman" w:cs="Times New Roman"/>
          <w:noProof/>
          <w:shd w:val="clear" w:color="auto" w:fill="FFFFFF"/>
        </w:rPr>
        <w:t>[9]</w:t>
      </w:r>
      <w:r w:rsidRPr="009F3628">
        <w:rPr>
          <w:rFonts w:ascii="Times New Roman" w:hAnsi="Times New Roman" w:cs="Times New Roman"/>
          <w:shd w:val="clear" w:color="auto" w:fill="FFFFFF"/>
        </w:rPr>
        <w:fldChar w:fldCharType="end"/>
      </w:r>
      <w:r w:rsidRPr="009F3628">
        <w:rPr>
          <w:rFonts w:ascii="Times New Roman" w:hAnsi="Times New Roman" w:cs="Times New Roman"/>
          <w:shd w:val="clear" w:color="auto" w:fill="FFFFFF"/>
        </w:rPr>
        <w:t xml:space="preserve"> . The GHSI provides an index of preparedness based on the capacity gaps of countries in their potential response to a pandemic, such as COVID-19, which most countries are ill-positioned to combat </w:t>
      </w:r>
      <w:r w:rsidRPr="009F3628">
        <w:rPr>
          <w:rFonts w:ascii="Times New Roman" w:hAnsi="Times New Roman" w:cs="Times New Roman"/>
          <w:shd w:val="clear" w:color="auto" w:fill="FFFFFF"/>
        </w:rPr>
        <w:fldChar w:fldCharType="begin" w:fldLock="1"/>
      </w:r>
      <w:r w:rsidRPr="009F3628">
        <w:rPr>
          <w:rFonts w:ascii="Times New Roman" w:hAnsi="Times New Roman" w:cs="Times New Roman"/>
          <w:shd w:val="clear" w:color="auto" w:fill="FFFFFF"/>
        </w:rPr>
        <w:instrText>ADDIN CSL_CITATION {"citationItems":[{"id":"ITEM-1","itemData":{"author":[{"dropping-particle":"","family":"NTI and Johns Hopkins University Centre for Health Security","given":"","non-dropping-particle":"","parse-names":false,"suffix":""}],"id":"ITEM-1","issued":{"date-parts":[["2019"]]},"number-of-pages":"Availabe at: https://www.ghsindex.org/about/","title":"Global Health Security Index","type":"report"},"uris":["http://www.mendeley.com/documents/?uuid=1dfe16f7-2fbc-43c4-a5ad-dd3ef286c46f"]},{"id":"ITEM-2","itemData":{"DOI":"10.1017/S0950268820000710","ISSN":"14694409","PMID":"32202489","abstract":"On 30 January 2020, WHO declared coronavirus (COVID-19) a global public health emergency. As of 12 March 2020, 125,048 confirmed COVID-19 cases in 118 countries had been reported. On 12 March 2020, the first case in the Pacific islands was reported in French Polynesia; no other Pacific island country or territory has reported cases. The purpose of our analysis is to show how travellers may introduce COVID-19 into the Pacific islands and discuss the role robust health systems play in protecting health and reducing transmission risk. We analyse travel- A nd Global Health Security Index-data using a scoring tool to produce quantitative estimates of COVID-19 importation risk, by departing and arriving country. Our analysis indicates that, as of 12 March 2020, the highest risk air routes by which COVID-19 may be imported into the Pacific islands are from east Asian countries (specifically, China, Korea and Japan) to north Pacific airports (likely Guam, Commonwealth of the Northern Mariana Islands or, to a less extent, Palau); or from China, Japan, Singapore, the United States of America or France to south Pacific ports (likely, Fiji, Papua New Guinea French Polynesia, or New Caledonia). Other importation routes include from other east Asian countries to Guam, and from Australia, New Zealand and other European countries to the south Pacific. The tool provides a useful method for assessing COVID-19 importation risk and may be useful in other settings.","author":[{"dropping-particle":"","family":"Craig","given":"A. T.","non-dropping-particle":"","parse-names":false,"suffix":""},{"dropping-particle":"","family":"Heywood","given":"A. E.","non-dropping-particle":"","parse-names":false,"suffix":""},{"dropping-particle":"","family":"Hall","given":"J.","non-dropping-particle":"","parse-names":false,"suffix":""}],"container-title":"Epidemiology and Infection","id":"ITEM-2","issued":{"date-parts":[["2020"]]},"title":"Risk of COVID-19 importation to the Pacific islands through global air travel","type":"article-journal"},"uris":["http://www.mendeley.com/documents/?uuid=5bf4c422-4d13-4e25-abd7-ad2b47fb89b4"]}],"mendeley":{"formattedCitation":"[9,10]","plainTextFormattedCitation":"[9,10]","previouslyFormattedCitation":"[9,10]"},"properties":{"noteIndex":0},"schema":"https://github.com/citation-style-language/schema/raw/master/csl-citation.json"}</w:instrText>
      </w:r>
      <w:r w:rsidRPr="009F3628">
        <w:rPr>
          <w:rFonts w:ascii="Times New Roman" w:hAnsi="Times New Roman" w:cs="Times New Roman"/>
          <w:shd w:val="clear" w:color="auto" w:fill="FFFFFF"/>
        </w:rPr>
        <w:fldChar w:fldCharType="separate"/>
      </w:r>
      <w:r w:rsidRPr="009F3628">
        <w:rPr>
          <w:rFonts w:ascii="Times New Roman" w:hAnsi="Times New Roman" w:cs="Times New Roman"/>
          <w:noProof/>
          <w:shd w:val="clear" w:color="auto" w:fill="FFFFFF"/>
        </w:rPr>
        <w:t>[9,10]</w:t>
      </w:r>
      <w:r w:rsidRPr="009F3628">
        <w:rPr>
          <w:rFonts w:ascii="Times New Roman" w:hAnsi="Times New Roman" w:cs="Times New Roman"/>
          <w:shd w:val="clear" w:color="auto" w:fill="FFFFFF"/>
        </w:rPr>
        <w:fldChar w:fldCharType="end"/>
      </w:r>
      <w:r w:rsidRPr="009F3628">
        <w:rPr>
          <w:rFonts w:ascii="Times New Roman" w:hAnsi="Times New Roman" w:cs="Times New Roman"/>
          <w:shd w:val="clear" w:color="auto" w:fill="FFFFFF"/>
        </w:rPr>
        <w:t>. The GHSI comprises six categories, 34 indicators and 85 sub-indicators based on 140 questions</w:t>
      </w:r>
      <w:r w:rsidR="00EA7AA4">
        <w:rPr>
          <w:rFonts w:ascii="Times New Roman" w:hAnsi="Times New Roman" w:cs="Times New Roman"/>
          <w:shd w:val="clear" w:color="auto" w:fill="FFFFFF"/>
        </w:rPr>
        <w:t xml:space="preserve">. </w:t>
      </w:r>
      <w:r w:rsidRPr="009F3628">
        <w:rPr>
          <w:rFonts w:ascii="Times New Roman" w:hAnsi="Times New Roman" w:cs="Times New Roman"/>
        </w:rPr>
        <w:t xml:space="preserve">We compared overall GHSI, to COVID-19 </w:t>
      </w:r>
      <w:r w:rsidR="00EA7AA4">
        <w:rPr>
          <w:rFonts w:ascii="Times New Roman" w:hAnsi="Times New Roman" w:cs="Times New Roman"/>
        </w:rPr>
        <w:t xml:space="preserve">mortality rate </w:t>
      </w:r>
      <w:r w:rsidRPr="009F3628">
        <w:rPr>
          <w:rFonts w:ascii="Times New Roman" w:hAnsi="Times New Roman" w:cs="Times New Roman"/>
        </w:rPr>
        <w:t xml:space="preserve">in the country (death per million) or mortality outcome. The mean overall GHSI score is 40.2 out of 100. The high-income countries have an average score of 51.9 </w:t>
      </w:r>
      <w:r w:rsidRPr="009F3628">
        <w:rPr>
          <w:rFonts w:ascii="Times New Roman" w:hAnsi="Times New Roman" w:cs="Times New Roman"/>
        </w:rPr>
        <w:fldChar w:fldCharType="begin" w:fldLock="1"/>
      </w:r>
      <w:r w:rsidRPr="009F3628">
        <w:rPr>
          <w:rFonts w:ascii="Times New Roman" w:hAnsi="Times New Roman" w:cs="Times New Roman"/>
        </w:rPr>
        <w:instrText>ADDIN CSL_CITATION {"citationItems":[{"id":"ITEM-1","itemData":{"author":[{"dropping-particle":"","family":"NTI and Johns Hopkins University Centre for Health Security","given":"","non-dropping-particle":"","parse-names":false,"suffix":""}],"id":"ITEM-1","issued":{"date-parts":[["2019"]]},"number-of-pages":"Availabe at: https://www.ghsindex.org/about/","title":"Global Health Security Index","type":"report"},"uris":["http://www.mendeley.com/documents/?uuid=1dfe16f7-2fbc-43c4-a5ad-dd3ef286c46f"]}],"mendeley":{"formattedCitation":"[9]","plainTextFormattedCitation":"[9]","previouslyFormattedCitation":"[9]"},"properties":{"noteIndex":0},"schema":"https://github.com/citation-style-language/schema/raw/master/csl-citation.json"}</w:instrText>
      </w:r>
      <w:r w:rsidRPr="009F3628">
        <w:rPr>
          <w:rFonts w:ascii="Times New Roman" w:hAnsi="Times New Roman" w:cs="Times New Roman"/>
        </w:rPr>
        <w:fldChar w:fldCharType="separate"/>
      </w:r>
      <w:r w:rsidRPr="009F3628">
        <w:rPr>
          <w:rFonts w:ascii="Times New Roman" w:hAnsi="Times New Roman" w:cs="Times New Roman"/>
          <w:noProof/>
        </w:rPr>
        <w:t>[9]</w:t>
      </w:r>
      <w:r w:rsidRPr="009F3628">
        <w:rPr>
          <w:rFonts w:ascii="Times New Roman" w:hAnsi="Times New Roman" w:cs="Times New Roman"/>
        </w:rPr>
        <w:fldChar w:fldCharType="end"/>
      </w:r>
      <w:r w:rsidRPr="009F3628">
        <w:rPr>
          <w:rFonts w:ascii="Times New Roman" w:hAnsi="Times New Roman" w:cs="Times New Roman"/>
        </w:rPr>
        <w:t xml:space="preserve">. </w:t>
      </w:r>
    </w:p>
    <w:p w14:paraId="2F5395EC" w14:textId="34AB41F2" w:rsidR="00C96DA8" w:rsidRDefault="00C96DA8" w:rsidP="00DA0B87">
      <w:pPr>
        <w:spacing w:after="0" w:line="360" w:lineRule="auto"/>
        <w:rPr>
          <w:rFonts w:ascii="Times New Roman" w:hAnsi="Times New Roman" w:cs="Times New Roman"/>
        </w:rPr>
      </w:pPr>
    </w:p>
    <w:p w14:paraId="0E5DB451" w14:textId="42663BB7" w:rsidR="00C96DA8" w:rsidRPr="009F3628" w:rsidRDefault="00C96DA8" w:rsidP="00C96DA8">
      <w:pPr>
        <w:spacing w:after="0" w:line="360" w:lineRule="auto"/>
        <w:rPr>
          <w:rFonts w:ascii="Times New Roman" w:hAnsi="Times New Roman" w:cs="Times New Roman"/>
        </w:rPr>
      </w:pPr>
      <w:r w:rsidRPr="009F3628">
        <w:rPr>
          <w:rFonts w:ascii="Times New Roman" w:hAnsi="Times New Roman" w:cs="Times New Roman"/>
        </w:rPr>
        <w:lastRenderedPageBreak/>
        <w:t>The Joint External Evaluation (JEE) are voluntary, externally validated, collaborative assessment of 19 technical areas required to validate country capacities to prevent, detect and rapidly respond to public health risks</w:t>
      </w:r>
      <w:r w:rsidRPr="009F3628">
        <w:rPr>
          <w:rFonts w:ascii="Times New Roman" w:hAnsi="Times New Roman" w:cs="Times New Roman"/>
        </w:rPr>
        <w:fldChar w:fldCharType="begin" w:fldLock="1"/>
      </w:r>
      <w:r w:rsidRPr="009F3628">
        <w:rPr>
          <w:rFonts w:ascii="Times New Roman" w:hAnsi="Times New Roman" w:cs="Times New Roman"/>
        </w:rPr>
        <w:instrText>ADDIN CSL_CITATION {"citationItems":[{"id":"ITEM-1","itemData":{"abstract":"To improve their health security capacities, countries need adequate and timely information about the existing gaps in their health systems and preparedness. This can be done through the WHO Joint External Evaluation (JEE), the OIE PVS Pathway or another external assessment. 12-10-2016_JEE_Sudan_Mika Salminen In February 2016, WHO adopted the Joint External Evaluation (JEE) tool to support countries in this endeavor. Joint External Evaluation is a voluntary process initiated at the request of the country. The systematic, multisectoral evaluation of the IHR technical areas helps countries to identify the most urgent needs within national health systems, prioritize efforts and enhanced preparedness, response and action, and engage current and prospective donors and partners in targeting resources in the most effective way. A JEE is a process that consists of a national self-assessment and an external evaluation team with experts from all relevant sectors such as human and animal health, food safety, agriculture, defense and public safety. The JEE Secretariat of the WHO Emergency Programme schedules, coordinates, and organizes the JEEs, working across and in collaboration with all levels of the organization as well as FAO, OIE, and other partners in countries. Since February 2016, 62 JEEs have been conducted in six regions (as of 24 November 2017), with 28 JEEs scheduled for 2017 or 2018. In addition, many countries have expressed interest towards completing the process.The JEE mission reports are published on WHO website. Six external assessments were conducted under the Global Health Security Agenda (GHSA) in 2015. Photo: Mika Salminen The OIE Performance of Veterinary Services (PVS) Pathway is designed to evaluate country’s ability to meet OIE international standards as well as provide a continuous process aimed at maintaining sustainable, long term strengthening of animal health systems. By May 2017, 388 PVS Pathways have been conducted in 130 countries.","author":[{"dropping-particle":"","family":"World Health Organization (WHO)","given":"","non-dropping-particle":"","parse-names":false,"suffix":""}],"container-title":"Zoonotic Diseases Action Package Conference","id":"ITEM-1","issued":{"date-parts":[["2017"]]},"title":"Joint External Evaluation ( JEE )","type":"article-journal"},"uris":["http://www.mendeley.com/documents/?uuid=1099e473-42bb-41c2-8c78-d83a950864fc"]}],"mendeley":{"formattedCitation":"[11]","plainTextFormattedCitation":"[11]","previouslyFormattedCitation":"[11]"},"properties":{"noteIndex":0},"schema":"https://github.com/citation-style-language/schema/raw/master/csl-citation.json"}</w:instrText>
      </w:r>
      <w:r w:rsidRPr="009F3628">
        <w:rPr>
          <w:rFonts w:ascii="Times New Roman" w:hAnsi="Times New Roman" w:cs="Times New Roman"/>
        </w:rPr>
        <w:fldChar w:fldCharType="separate"/>
      </w:r>
      <w:r w:rsidRPr="009F3628">
        <w:rPr>
          <w:rFonts w:ascii="Times New Roman" w:hAnsi="Times New Roman" w:cs="Times New Roman"/>
          <w:noProof/>
        </w:rPr>
        <w:t>[11]</w:t>
      </w:r>
      <w:r w:rsidRPr="009F3628">
        <w:rPr>
          <w:rFonts w:ascii="Times New Roman" w:hAnsi="Times New Roman" w:cs="Times New Roman"/>
        </w:rPr>
        <w:fldChar w:fldCharType="end"/>
      </w:r>
      <w:r w:rsidRPr="009F3628">
        <w:rPr>
          <w:rFonts w:ascii="Times New Roman" w:hAnsi="Times New Roman" w:cs="Times New Roman"/>
        </w:rPr>
        <w:t xml:space="preserve">. Unlike the GHSI which is an academic tool developed to allow inter-country comparisons on pandemic preparedness, the JEE is a formal component of the WHO IHR Monitoring and Evaluation Framework which all UN member states are committed to implementing. The JEE is not designed for making inter-country comparisons but instead is a tool created to support WHO member countries in establishing a quantitative baseline assessment of IHR core capacities from which they can then measure their own progress over time. While the intention of JEE scoring has never been to draw inter-country comparisons these have nonetheless occurred as politicians and national governments seek to assess their preparedness capacities against those of their </w:t>
      </w:r>
      <w:proofErr w:type="spellStart"/>
      <w:r w:rsidRPr="009F3628">
        <w:rPr>
          <w:rFonts w:ascii="Times New Roman" w:hAnsi="Times New Roman" w:cs="Times New Roman"/>
        </w:rPr>
        <w:t>neighbours</w:t>
      </w:r>
      <w:proofErr w:type="spellEnd"/>
      <w:r w:rsidRPr="009F3628">
        <w:rPr>
          <w:rFonts w:ascii="Times New Roman" w:hAnsi="Times New Roman" w:cs="Times New Roman"/>
        </w:rPr>
        <w:t xml:space="preserve"> or regional rivals. Ninety-six countries participated in the JEE scoring exercise and </w:t>
      </w:r>
      <w:r>
        <w:rPr>
          <w:rFonts w:ascii="Times New Roman" w:hAnsi="Times New Roman" w:cs="Times New Roman"/>
        </w:rPr>
        <w:t xml:space="preserve">a </w:t>
      </w:r>
      <w:proofErr w:type="spellStart"/>
      <w:r w:rsidRPr="009F3628">
        <w:rPr>
          <w:rFonts w:ascii="Times New Roman" w:hAnsi="Times New Roman" w:cs="Times New Roman"/>
        </w:rPr>
        <w:t>ReadyScore</w:t>
      </w:r>
      <w:proofErr w:type="spellEnd"/>
      <w:r w:rsidRPr="009F3628">
        <w:rPr>
          <w:rFonts w:ascii="Times New Roman" w:hAnsi="Times New Roman" w:cs="Times New Roman"/>
        </w:rPr>
        <w:t>, which is the average of 19 technical areas included in JEE</w:t>
      </w:r>
      <w:r>
        <w:rPr>
          <w:rFonts w:ascii="Times New Roman" w:hAnsi="Times New Roman" w:cs="Times New Roman"/>
        </w:rPr>
        <w:t xml:space="preserve"> </w:t>
      </w:r>
      <w:r w:rsidRPr="009F3628">
        <w:rPr>
          <w:rFonts w:ascii="Times New Roman" w:hAnsi="Times New Roman" w:cs="Times New Roman"/>
        </w:rPr>
        <w:t xml:space="preserve">presented by </w:t>
      </w:r>
      <w:proofErr w:type="spellStart"/>
      <w:r w:rsidRPr="009F3628">
        <w:rPr>
          <w:rFonts w:ascii="Times New Roman" w:hAnsi="Times New Roman" w:cs="Times New Roman"/>
        </w:rPr>
        <w:t>Shahpar</w:t>
      </w:r>
      <w:proofErr w:type="spellEnd"/>
      <w:r w:rsidRPr="009F3628">
        <w:rPr>
          <w:rFonts w:ascii="Times New Roman" w:hAnsi="Times New Roman" w:cs="Times New Roman"/>
        </w:rPr>
        <w:t xml:space="preserve"> et al </w:t>
      </w:r>
      <w:r w:rsidRPr="009F3628">
        <w:rPr>
          <w:rFonts w:ascii="Times New Roman" w:hAnsi="Times New Roman" w:cs="Times New Roman"/>
        </w:rPr>
        <w:fldChar w:fldCharType="begin" w:fldLock="1"/>
      </w:r>
      <w:r w:rsidRPr="009F3628">
        <w:rPr>
          <w:rFonts w:ascii="Times New Roman" w:hAnsi="Times New Roman" w:cs="Times New Roman"/>
        </w:rPr>
        <w:instrText>ADDIN CSL_CITATION {"citationItems":[{"id":"ITEM-1","itemData":{"DOI":"10.1136/bmjgh-2019-001885","ISSN":"20597908","author":[{"dropping-particle":"","family":"Shahpar","given":"Cyrus","non-dropping-particle":"","parse-names":false,"suffix":""},{"dropping-particle":"","family":"Lee","given":"Christopher T.","non-dropping-particle":"","parse-names":false,"suffix":""},{"dropping-particle":"","family":"Wilkason","given":"Colby","non-dropping-particle":"","parse-names":false,"suffix":""},{"dropping-particle":"","family":"Buissonnière","given":"Marine","non-dropping-particle":"","parse-names":false,"suffix":""},{"dropping-particle":"","family":"McClelland","given":"Amanda","non-dropping-particle":"","parse-names":false,"suffix":""},{"dropping-particle":"","family":"Frieden","given":"Thomas R.","non-dropping-particle":"","parse-names":false,"suffix":""}],"container-title":"BMJ Global Health","id":"ITEM-1","issued":{"date-parts":[["2019"]]},"title":"Protecting the world from infectious disease threats: Now or never","type":"article"},"uris":["http://www.mendeley.com/documents/?uuid=ba3d3864-d8a0-4990-83f9-1fdf93148971"]}],"mendeley":{"formattedCitation":"[12]","plainTextFormattedCitation":"[12]","previouslyFormattedCitation":"[12]"},"properties":{"noteIndex":0},"schema":"https://github.com/citation-style-language/schema/raw/master/csl-citation.json"}</w:instrText>
      </w:r>
      <w:r w:rsidRPr="009F3628">
        <w:rPr>
          <w:rFonts w:ascii="Times New Roman" w:hAnsi="Times New Roman" w:cs="Times New Roman"/>
        </w:rPr>
        <w:fldChar w:fldCharType="separate"/>
      </w:r>
      <w:r w:rsidRPr="009F3628">
        <w:rPr>
          <w:rFonts w:ascii="Times New Roman" w:hAnsi="Times New Roman" w:cs="Times New Roman"/>
          <w:noProof/>
        </w:rPr>
        <w:t>[12]</w:t>
      </w:r>
      <w:r w:rsidRPr="009F3628">
        <w:rPr>
          <w:rFonts w:ascii="Times New Roman" w:hAnsi="Times New Roman" w:cs="Times New Roman"/>
        </w:rPr>
        <w:fldChar w:fldCharType="end"/>
      </w:r>
      <w:r w:rsidR="005C7324">
        <w:rPr>
          <w:rFonts w:ascii="Times New Roman" w:hAnsi="Times New Roman" w:cs="Times New Roman"/>
        </w:rPr>
        <w:t xml:space="preserve"> is used to represent JEE to get comparable score of </w:t>
      </w:r>
      <w:r w:rsidRPr="009F3628">
        <w:rPr>
          <w:rFonts w:ascii="Times New Roman" w:hAnsi="Times New Roman" w:cs="Times New Roman"/>
        </w:rPr>
        <w:t xml:space="preserve">. This </w:t>
      </w:r>
      <w:proofErr w:type="spellStart"/>
      <w:r w:rsidRPr="009F3628">
        <w:rPr>
          <w:rFonts w:ascii="Times New Roman" w:hAnsi="Times New Roman" w:cs="Times New Roman"/>
        </w:rPr>
        <w:t>ReadyScore</w:t>
      </w:r>
      <w:proofErr w:type="spellEnd"/>
      <w:r w:rsidRPr="009F3628">
        <w:rPr>
          <w:rFonts w:ascii="Times New Roman" w:hAnsi="Times New Roman" w:cs="Times New Roman"/>
        </w:rPr>
        <w:t xml:space="preserve"> is calculated using either JEE 1.0 or JEE 2.0, depending on which assessment the country completed. </w:t>
      </w:r>
      <w:r w:rsidR="009C2D62">
        <w:rPr>
          <w:rFonts w:ascii="Times New Roman" w:hAnsi="Times New Roman" w:cs="Times New Roman"/>
        </w:rPr>
        <w:t xml:space="preserve">Unfortunately, only two countries from PAHO region (the USA and Canada) reported JEE score and thus could not compare JEE for country’s response to COVID-19 pandemic. </w:t>
      </w:r>
    </w:p>
    <w:p w14:paraId="290DB822" w14:textId="77777777" w:rsidR="00C96DA8" w:rsidRDefault="00C96DA8" w:rsidP="00DA0B87">
      <w:pPr>
        <w:spacing w:after="0" w:line="360" w:lineRule="auto"/>
        <w:rPr>
          <w:rFonts w:ascii="Times New Roman" w:hAnsi="Times New Roman" w:cs="Times New Roman"/>
        </w:rPr>
      </w:pPr>
    </w:p>
    <w:p w14:paraId="59057EDA" w14:textId="16F49E13" w:rsidR="002B282E" w:rsidRPr="004A0B7D" w:rsidRDefault="001614B5" w:rsidP="002B282E">
      <w:pPr>
        <w:rPr>
          <w:rFonts w:ascii="Times New Roman" w:hAnsi="Times New Roman" w:cs="Times New Roman"/>
          <w:noProof/>
          <w:sz w:val="24"/>
          <w:szCs w:val="24"/>
        </w:rPr>
      </w:pPr>
      <w:r w:rsidRPr="004A0B7D">
        <w:rPr>
          <w:rFonts w:ascii="Times New Roman" w:hAnsi="Times New Roman" w:cs="Times New Roman"/>
          <w:noProof/>
          <w:sz w:val="24"/>
          <w:szCs w:val="24"/>
        </w:rPr>
        <w:t xml:space="preserve">Objectives: </w:t>
      </w:r>
    </w:p>
    <w:p w14:paraId="20DCE596" w14:textId="63D969A5" w:rsidR="004A0B7D" w:rsidRPr="002570C1" w:rsidRDefault="001614B5" w:rsidP="00F62CC1">
      <w:pPr>
        <w:pStyle w:val="ListParagraph"/>
        <w:numPr>
          <w:ilvl w:val="0"/>
          <w:numId w:val="2"/>
        </w:numPr>
        <w:rPr>
          <w:rFonts w:ascii="Times New Roman" w:hAnsi="Times New Roman" w:cs="Times New Roman"/>
        </w:rPr>
      </w:pPr>
      <w:r w:rsidRPr="002570C1">
        <w:rPr>
          <w:rFonts w:ascii="Times New Roman" w:hAnsi="Times New Roman" w:cs="Times New Roman"/>
        </w:rPr>
        <w:t xml:space="preserve">To </w:t>
      </w:r>
      <w:r w:rsidRPr="002570C1">
        <w:rPr>
          <w:rFonts w:ascii="Times New Roman" w:hAnsi="Times New Roman" w:cs="Times New Roman"/>
          <w:color w:val="333333"/>
          <w:shd w:val="clear" w:color="auto" w:fill="FFFFFF"/>
        </w:rPr>
        <w:t>evaluate the effectiveness of G</w:t>
      </w:r>
      <w:r w:rsidR="00AB2C3B">
        <w:rPr>
          <w:rFonts w:ascii="Times New Roman" w:hAnsi="Times New Roman" w:cs="Times New Roman"/>
          <w:color w:val="333333"/>
          <w:shd w:val="clear" w:color="auto" w:fill="FFFFFF"/>
        </w:rPr>
        <w:t>lobal Health Security Index</w:t>
      </w:r>
      <w:r w:rsidRPr="002570C1">
        <w:rPr>
          <w:rFonts w:ascii="Times New Roman" w:hAnsi="Times New Roman" w:cs="Times New Roman"/>
          <w:color w:val="333333"/>
          <w:shd w:val="clear" w:color="auto" w:fill="FFFFFF"/>
        </w:rPr>
        <w:t xml:space="preserve"> in predicting countries' COVID-19 mortality outcomes </w:t>
      </w:r>
      <w:r w:rsidR="004A0B7D" w:rsidRPr="002570C1">
        <w:rPr>
          <w:rFonts w:ascii="Times New Roman" w:hAnsi="Times New Roman" w:cs="Times New Roman"/>
          <w:color w:val="333333"/>
          <w:shd w:val="clear" w:color="auto" w:fill="FFFFFF"/>
        </w:rPr>
        <w:t>(deaths/</w:t>
      </w:r>
      <w:r w:rsidR="00CB6DF8" w:rsidRPr="002570C1">
        <w:rPr>
          <w:rFonts w:ascii="Times New Roman" w:hAnsi="Times New Roman" w:cs="Times New Roman"/>
          <w:color w:val="333333"/>
          <w:shd w:val="clear" w:color="auto" w:fill="FFFFFF"/>
        </w:rPr>
        <w:t>m</w:t>
      </w:r>
      <w:r w:rsidR="004A0B7D" w:rsidRPr="002570C1">
        <w:rPr>
          <w:rFonts w:ascii="Times New Roman" w:hAnsi="Times New Roman" w:cs="Times New Roman"/>
          <w:color w:val="333333"/>
          <w:shd w:val="clear" w:color="auto" w:fill="FFFFFF"/>
        </w:rPr>
        <w:t xml:space="preserve">illion) </w:t>
      </w:r>
      <w:r w:rsidRPr="002570C1">
        <w:rPr>
          <w:rFonts w:ascii="Times New Roman" w:hAnsi="Times New Roman" w:cs="Times New Roman"/>
          <w:color w:val="333333"/>
          <w:shd w:val="clear" w:color="auto" w:fill="FFFFFF"/>
        </w:rPr>
        <w:t>in different phases of pandemic</w:t>
      </w:r>
      <w:r w:rsidR="007961E9" w:rsidRPr="002570C1">
        <w:rPr>
          <w:rFonts w:ascii="Times New Roman" w:hAnsi="Times New Roman" w:cs="Times New Roman"/>
          <w:color w:val="333333"/>
          <w:shd w:val="clear" w:color="auto" w:fill="FFFFFF"/>
        </w:rPr>
        <w:t xml:space="preserve"> including a) December 31, </w:t>
      </w:r>
      <w:r w:rsidR="00BA136F" w:rsidRPr="002570C1">
        <w:rPr>
          <w:rFonts w:ascii="Times New Roman" w:hAnsi="Times New Roman" w:cs="Times New Roman"/>
          <w:color w:val="333333"/>
          <w:shd w:val="clear" w:color="auto" w:fill="FFFFFF"/>
        </w:rPr>
        <w:t>2020,</w:t>
      </w:r>
      <w:r w:rsidR="007961E9" w:rsidRPr="002570C1">
        <w:rPr>
          <w:rFonts w:ascii="Times New Roman" w:hAnsi="Times New Roman" w:cs="Times New Roman"/>
          <w:color w:val="333333"/>
          <w:shd w:val="clear" w:color="auto" w:fill="FFFFFF"/>
        </w:rPr>
        <w:t xml:space="preserve"> b)</w:t>
      </w:r>
      <w:r w:rsidR="007961E9" w:rsidRPr="002570C1">
        <w:rPr>
          <w:rFonts w:ascii="Times New Roman" w:hAnsi="Times New Roman" w:cs="Times New Roman"/>
        </w:rPr>
        <w:t xml:space="preserve"> June 30, 2021, c) December 31, 2021, d) July 15, 2022</w:t>
      </w:r>
    </w:p>
    <w:p w14:paraId="57F8AA10" w14:textId="77777777" w:rsidR="0082244A" w:rsidRDefault="0082244A" w:rsidP="00DA0B87">
      <w:pPr>
        <w:rPr>
          <w:rFonts w:ascii="Times New Roman" w:hAnsi="Times New Roman" w:cs="Times New Roman"/>
          <w:sz w:val="24"/>
          <w:szCs w:val="24"/>
        </w:rPr>
      </w:pPr>
    </w:p>
    <w:p w14:paraId="33A6345D" w14:textId="77777777" w:rsidR="0082244A" w:rsidRDefault="0082244A" w:rsidP="00DA0B87">
      <w:pPr>
        <w:rPr>
          <w:rFonts w:ascii="Times New Roman" w:hAnsi="Times New Roman" w:cs="Times New Roman"/>
          <w:sz w:val="24"/>
          <w:szCs w:val="24"/>
        </w:rPr>
      </w:pPr>
    </w:p>
    <w:p w14:paraId="0D435079" w14:textId="77777777" w:rsidR="0082244A" w:rsidRDefault="0082244A" w:rsidP="00DA0B87">
      <w:pPr>
        <w:rPr>
          <w:rFonts w:ascii="Times New Roman" w:hAnsi="Times New Roman" w:cs="Times New Roman"/>
          <w:b/>
          <w:bCs/>
          <w:sz w:val="24"/>
          <w:szCs w:val="24"/>
        </w:rPr>
      </w:pPr>
      <w:r w:rsidRPr="0082244A">
        <w:rPr>
          <w:rFonts w:ascii="Times New Roman" w:hAnsi="Times New Roman" w:cs="Times New Roman"/>
          <w:b/>
          <w:bCs/>
          <w:sz w:val="24"/>
          <w:szCs w:val="24"/>
        </w:rPr>
        <w:t xml:space="preserve">Data collection and statistical analysis: </w:t>
      </w:r>
    </w:p>
    <w:p w14:paraId="4F627438" w14:textId="535BC303" w:rsidR="001C21FA" w:rsidRDefault="0082244A" w:rsidP="001C21FA">
      <w:pPr>
        <w:spacing w:after="0" w:line="360" w:lineRule="auto"/>
        <w:jc w:val="both"/>
        <w:rPr>
          <w:rFonts w:ascii="Times New Roman" w:hAnsi="Times New Roman" w:cs="Times New Roman"/>
        </w:rPr>
      </w:pPr>
      <w:r w:rsidRPr="009F3628">
        <w:rPr>
          <w:rFonts w:ascii="Times New Roman" w:hAnsi="Times New Roman" w:cs="Times New Roman"/>
        </w:rPr>
        <w:t xml:space="preserve">We collected </w:t>
      </w:r>
      <w:r>
        <w:rPr>
          <w:rFonts w:ascii="Times New Roman" w:hAnsi="Times New Roman" w:cs="Times New Roman"/>
        </w:rPr>
        <w:t xml:space="preserve">data </w:t>
      </w:r>
      <w:r w:rsidRPr="009F3628">
        <w:rPr>
          <w:rFonts w:ascii="Times New Roman" w:hAnsi="Times New Roman" w:cs="Times New Roman"/>
        </w:rPr>
        <w:t>COVID-19 case</w:t>
      </w:r>
      <w:r>
        <w:rPr>
          <w:rFonts w:ascii="Times New Roman" w:hAnsi="Times New Roman" w:cs="Times New Roman"/>
        </w:rPr>
        <w:t xml:space="preserve">, deaths, tests </w:t>
      </w:r>
      <w:r w:rsidRPr="009F3628">
        <w:rPr>
          <w:rFonts w:ascii="Times New Roman" w:hAnsi="Times New Roman" w:cs="Times New Roman"/>
        </w:rPr>
        <w:t>from</w:t>
      </w:r>
      <w:r>
        <w:rPr>
          <w:rFonts w:ascii="Times New Roman" w:hAnsi="Times New Roman" w:cs="Times New Roman"/>
        </w:rPr>
        <w:t xml:space="preserve"> Our World in Data. </w:t>
      </w:r>
      <w:r w:rsidR="001C21FA" w:rsidRPr="009F3628">
        <w:rPr>
          <w:rFonts w:ascii="Times New Roman" w:hAnsi="Times New Roman" w:cs="Times New Roman"/>
        </w:rPr>
        <w:t>We collected further data mostly from United Nation’s sources including population density</w:t>
      </w:r>
      <w:r w:rsidR="001C21FA" w:rsidRPr="009F3628">
        <w:rPr>
          <w:rFonts w:ascii="Times New Roman" w:hAnsi="Times New Roman" w:cs="Times New Roman"/>
        </w:rPr>
        <w:fldChar w:fldCharType="begin" w:fldLock="1"/>
      </w:r>
      <w:r w:rsidR="001C21FA" w:rsidRPr="009F3628">
        <w:rPr>
          <w:rFonts w:ascii="Times New Roman" w:hAnsi="Times New Roman" w:cs="Times New Roman"/>
        </w:rPr>
        <w:instrText>ADDIN CSL_CITATION {"citationItems":[{"id":"ITEM-1","itemData":{"author":[{"dropping-particle":"","family":"The World Bank","given":"","non-dropping-particle":"","parse-names":false,"suffix":""}],"container-title":"World Development Indecators","id":"ITEM-1","issued":{"date-parts":[["2018"]]},"title":"Population density (people per sq. km of land area)","type":"webpage"},"uris":["http://www.mendeley.com/documents/?uuid=58ec5d7c-5b98-3ef3-920b-acf90047ac56","http://www.mendeley.com/documents/?uuid=904e8a6f-c450-47f8-b993-46aa6837f4d2"]}],"mendeley":{"formattedCitation":"[17]","plainTextFormattedCitation":"[17]","previouslyFormattedCitation":"[17]"},"properties":{"noteIndex":0},"schema":"https://github.com/citation-style-language/schema/raw/master/csl-citation.json"}</w:instrText>
      </w:r>
      <w:r w:rsidR="001C21FA" w:rsidRPr="009F3628">
        <w:rPr>
          <w:rFonts w:ascii="Times New Roman" w:hAnsi="Times New Roman" w:cs="Times New Roman"/>
        </w:rPr>
        <w:fldChar w:fldCharType="separate"/>
      </w:r>
      <w:r w:rsidR="001C21FA" w:rsidRPr="009F3628">
        <w:rPr>
          <w:rFonts w:ascii="Times New Roman" w:hAnsi="Times New Roman" w:cs="Times New Roman"/>
          <w:noProof/>
        </w:rPr>
        <w:t>[17]</w:t>
      </w:r>
      <w:r w:rsidR="001C21FA" w:rsidRPr="009F3628">
        <w:rPr>
          <w:rFonts w:ascii="Times New Roman" w:hAnsi="Times New Roman" w:cs="Times New Roman"/>
        </w:rPr>
        <w:fldChar w:fldCharType="end"/>
      </w:r>
      <w:r w:rsidR="001C21FA" w:rsidRPr="009F3628">
        <w:rPr>
          <w:rFonts w:ascii="Times New Roman" w:hAnsi="Times New Roman" w:cs="Times New Roman"/>
        </w:rPr>
        <w:t>, population ages 65 and above of the national population (in percentage)</w:t>
      </w:r>
      <w:r w:rsidR="001C21FA" w:rsidRPr="009F3628">
        <w:rPr>
          <w:rFonts w:ascii="Times New Roman" w:hAnsi="Times New Roman" w:cs="Times New Roman"/>
        </w:rPr>
        <w:fldChar w:fldCharType="begin" w:fldLock="1"/>
      </w:r>
      <w:r w:rsidR="001C21FA" w:rsidRPr="009F3628">
        <w:rPr>
          <w:rFonts w:ascii="Times New Roman" w:hAnsi="Times New Roman" w:cs="Times New Roman"/>
        </w:rPr>
        <w:instrText>ADDIN CSL_CITATION {"citationItems":[{"id":"ITEM-1","itemData":{"abstract":"World Bank staff estimates based on age/sex distributions of United Nations Population Division's World Population Prospects.","author":[{"dropping-particle":"","family":"The World Bank","given":"","non-dropping-particle":"","parse-names":false,"suffix":""}],"container-title":"World Bank Data","id":"ITEM-1","issued":{"date-parts":[["2018"]]},"title":"Total Population ages 65 and above","type":"report"},"uris":["http://www.mendeley.com/documents/?uuid=fb03869b-19a6-3431-8de2-4642f202166d","http://www.mendeley.com/documents/?uuid=f9908247-ddb5-401d-b46c-a6a946c83ac5"]}],"mendeley":{"formattedCitation":"[18]","plainTextFormattedCitation":"[18]","previouslyFormattedCitation":"[18]"},"properties":{"noteIndex":0},"schema":"https://github.com/citation-style-language/schema/raw/master/csl-citation.json"}</w:instrText>
      </w:r>
      <w:r w:rsidR="001C21FA" w:rsidRPr="009F3628">
        <w:rPr>
          <w:rFonts w:ascii="Times New Roman" w:hAnsi="Times New Roman" w:cs="Times New Roman"/>
        </w:rPr>
        <w:fldChar w:fldCharType="separate"/>
      </w:r>
      <w:r w:rsidR="001C21FA" w:rsidRPr="009F3628">
        <w:rPr>
          <w:rFonts w:ascii="Times New Roman" w:hAnsi="Times New Roman" w:cs="Times New Roman"/>
          <w:noProof/>
        </w:rPr>
        <w:t>[18]</w:t>
      </w:r>
      <w:r w:rsidR="001C21FA" w:rsidRPr="009F3628">
        <w:rPr>
          <w:rFonts w:ascii="Times New Roman" w:hAnsi="Times New Roman" w:cs="Times New Roman"/>
        </w:rPr>
        <w:fldChar w:fldCharType="end"/>
      </w:r>
      <w:r w:rsidR="001C21FA" w:rsidRPr="009F3628">
        <w:rPr>
          <w:rFonts w:ascii="Times New Roman" w:hAnsi="Times New Roman" w:cs="Times New Roman"/>
        </w:rPr>
        <w:t xml:space="preserve">, Human Development Index (HDI) </w:t>
      </w:r>
      <w:r w:rsidR="001C21FA" w:rsidRPr="009F3628">
        <w:rPr>
          <w:rFonts w:ascii="Times New Roman" w:hAnsi="Times New Roman" w:cs="Times New Roman"/>
        </w:rPr>
        <w:fldChar w:fldCharType="begin" w:fldLock="1"/>
      </w:r>
      <w:r w:rsidR="001C21FA" w:rsidRPr="009F3628">
        <w:rPr>
          <w:rFonts w:ascii="Times New Roman" w:hAnsi="Times New Roman" w:cs="Times New Roman"/>
        </w:rPr>
        <w:instrText>ADDIN CSL_CITATION {"citationItems":[{"id":"ITEM-1","itemData":{"author":[{"dropping-particle":"","family":"UNDP","given":"","non-dropping-particle":"","parse-names":false,"suffix":""}],"id":"ITEM-1","issued":{"date-parts":[["2019"]]},"number-of-pages":"Available at: http://hdr.undp.org/en/content/2019-","title":"2019 Human Development Index Ranking","type":"report"},"uris":["http://www.mendeley.com/documents/?uuid=500f0508-2305-4341-a4d5-04e17076c544"]}],"mendeley":{"formattedCitation":"[19]","plainTextFormattedCitation":"[19]","previouslyFormattedCitation":"[19]"},"properties":{"noteIndex":0},"schema":"https://github.com/citation-style-language/schema/raw/master/csl-citation.json"}</w:instrText>
      </w:r>
      <w:r w:rsidR="001C21FA" w:rsidRPr="009F3628">
        <w:rPr>
          <w:rFonts w:ascii="Times New Roman" w:hAnsi="Times New Roman" w:cs="Times New Roman"/>
        </w:rPr>
        <w:fldChar w:fldCharType="separate"/>
      </w:r>
      <w:r w:rsidR="001C21FA" w:rsidRPr="009F3628">
        <w:rPr>
          <w:rFonts w:ascii="Times New Roman" w:hAnsi="Times New Roman" w:cs="Times New Roman"/>
          <w:noProof/>
        </w:rPr>
        <w:t>[19]</w:t>
      </w:r>
      <w:r w:rsidR="001C21FA" w:rsidRPr="009F3628">
        <w:rPr>
          <w:rFonts w:ascii="Times New Roman" w:hAnsi="Times New Roman" w:cs="Times New Roman"/>
        </w:rPr>
        <w:fldChar w:fldCharType="end"/>
      </w:r>
      <w:r w:rsidR="001C21FA" w:rsidRPr="009F3628">
        <w:rPr>
          <w:rFonts w:ascii="Times New Roman" w:hAnsi="Times New Roman" w:cs="Times New Roman"/>
        </w:rPr>
        <w:t xml:space="preserve">, Gross Domestic Product (GDP) </w:t>
      </w:r>
      <w:r w:rsidR="001C21FA" w:rsidRPr="009F3628">
        <w:rPr>
          <w:rFonts w:ascii="Times New Roman" w:hAnsi="Times New Roman" w:cs="Times New Roman"/>
        </w:rPr>
        <w:fldChar w:fldCharType="begin" w:fldLock="1"/>
      </w:r>
      <w:r w:rsidR="001C21FA" w:rsidRPr="009F3628">
        <w:rPr>
          <w:rFonts w:ascii="Times New Roman" w:hAnsi="Times New Roman" w:cs="Times New Roman"/>
        </w:rPr>
        <w:instrText>ADDIN CSL_CITATION {"citationItems":[{"id":"ITEM-1","itemData":{"author":[{"dropping-particle":"","family":"The World Bank","given":"","non-dropping-particle":"","parse-names":false,"suffix":""}],"id":"ITEM-1","issued":{"date-parts":[["2018"]]},"number-of-pages":"Available at: https://data.worldbank.org/indicator","title":"Data: GDP (current US$)","type":"report"},"uris":["http://www.mendeley.com/documents/?uuid=23e0471c-3536-4abf-8ed4-376d55cce82b"]}],"mendeley":{"formattedCitation":"[20]","plainTextFormattedCitation":"[20]","previouslyFormattedCitation":"[20]"},"properties":{"noteIndex":0},"schema":"https://github.com/citation-style-language/schema/raw/master/csl-citation.json"}</w:instrText>
      </w:r>
      <w:r w:rsidR="001C21FA" w:rsidRPr="009F3628">
        <w:rPr>
          <w:rFonts w:ascii="Times New Roman" w:hAnsi="Times New Roman" w:cs="Times New Roman"/>
        </w:rPr>
        <w:fldChar w:fldCharType="separate"/>
      </w:r>
      <w:r w:rsidR="001C21FA" w:rsidRPr="009F3628">
        <w:rPr>
          <w:rFonts w:ascii="Times New Roman" w:hAnsi="Times New Roman" w:cs="Times New Roman"/>
          <w:noProof/>
        </w:rPr>
        <w:t>[20]</w:t>
      </w:r>
      <w:r w:rsidR="001C21FA" w:rsidRPr="009F3628">
        <w:rPr>
          <w:rFonts w:ascii="Times New Roman" w:hAnsi="Times New Roman" w:cs="Times New Roman"/>
        </w:rPr>
        <w:fldChar w:fldCharType="end"/>
      </w:r>
      <w:r w:rsidR="001C21FA" w:rsidRPr="009F3628">
        <w:rPr>
          <w:rFonts w:ascii="Times New Roman" w:hAnsi="Times New Roman" w:cs="Times New Roman"/>
        </w:rPr>
        <w:t xml:space="preserve"> and worldwide governance indicators (WGI) </w:t>
      </w:r>
      <w:r w:rsidR="001C21FA" w:rsidRPr="009F3628">
        <w:rPr>
          <w:rFonts w:ascii="Times New Roman" w:hAnsi="Times New Roman" w:cs="Times New Roman"/>
        </w:rPr>
        <w:fldChar w:fldCharType="begin" w:fldLock="1"/>
      </w:r>
      <w:r w:rsidR="001C21FA" w:rsidRPr="009F3628">
        <w:rPr>
          <w:rFonts w:ascii="Times New Roman" w:hAnsi="Times New Roman" w:cs="Times New Roman"/>
        </w:rPr>
        <w:instrText>ADDIN CSL_CITATION {"citationItems":[{"id":"ITEM-1","itemData":{"author":[{"dropping-particle":"","family":"Kaufmann","given":"Daniel","non-dropping-particle":"","parse-names":false,"suffix":""},{"dropping-particle":"","family":"Kraay","given":"Aart","non-dropping-particle":"","parse-names":false,"suffix":""}],"id":"ITEM-1","issued":{"date-parts":[["2018"]]},"number-of-pages":"Available at: https://info.worldbank.org/governanc","title":"The Worldwide Governance Indicators","type":"report"},"uris":["http://www.mendeley.com/documents/?uuid=d6a8c1d8-7c61-4cff-a279-49580f96919b"]}],"mendeley":{"formattedCitation":"[21]","plainTextFormattedCitation":"[21]","previouslyFormattedCitation":"[21]"},"properties":{"noteIndex":0},"schema":"https://github.com/citation-style-language/schema/raw/master/csl-citation.json"}</w:instrText>
      </w:r>
      <w:r w:rsidR="001C21FA" w:rsidRPr="009F3628">
        <w:rPr>
          <w:rFonts w:ascii="Times New Roman" w:hAnsi="Times New Roman" w:cs="Times New Roman"/>
        </w:rPr>
        <w:fldChar w:fldCharType="separate"/>
      </w:r>
      <w:r w:rsidR="001C21FA" w:rsidRPr="009F3628">
        <w:rPr>
          <w:rFonts w:ascii="Times New Roman" w:hAnsi="Times New Roman" w:cs="Times New Roman"/>
          <w:noProof/>
        </w:rPr>
        <w:t>[21]</w:t>
      </w:r>
      <w:r w:rsidR="001C21FA" w:rsidRPr="009F3628">
        <w:rPr>
          <w:rFonts w:ascii="Times New Roman" w:hAnsi="Times New Roman" w:cs="Times New Roman"/>
        </w:rPr>
        <w:fldChar w:fldCharType="end"/>
      </w:r>
      <w:r w:rsidR="001C21FA" w:rsidRPr="009F3628">
        <w:rPr>
          <w:rFonts w:ascii="Times New Roman" w:hAnsi="Times New Roman" w:cs="Times New Roman"/>
        </w:rPr>
        <w:t xml:space="preserve">. </w:t>
      </w:r>
    </w:p>
    <w:p w14:paraId="02552668" w14:textId="17AF0EDE" w:rsidR="00CF77CF" w:rsidRDefault="00CF77CF" w:rsidP="001C21FA">
      <w:pPr>
        <w:spacing w:after="0" w:line="360" w:lineRule="auto"/>
        <w:jc w:val="both"/>
        <w:rPr>
          <w:rFonts w:ascii="Times New Roman" w:hAnsi="Times New Roman" w:cs="Times New Roman"/>
        </w:rPr>
      </w:pPr>
    </w:p>
    <w:p w14:paraId="31DA1F23" w14:textId="1B58985A" w:rsidR="00CF77CF" w:rsidRDefault="00CF77CF" w:rsidP="00CF77CF">
      <w:pPr>
        <w:spacing w:after="0" w:line="360" w:lineRule="auto"/>
        <w:jc w:val="both"/>
        <w:rPr>
          <w:rFonts w:ascii="Times New Roman" w:hAnsi="Times New Roman" w:cs="Times New Roman"/>
        </w:rPr>
      </w:pPr>
      <w:r w:rsidRPr="009F3628">
        <w:rPr>
          <w:rFonts w:ascii="Times New Roman" w:hAnsi="Times New Roman" w:cs="Times New Roman"/>
        </w:rPr>
        <w:t xml:space="preserve">We performed negative binomial regression analysis to predict the impact of GHSI </w:t>
      </w:r>
      <w:r w:rsidRPr="00CF77CF">
        <w:rPr>
          <w:rFonts w:ascii="Times New Roman" w:hAnsi="Times New Roman" w:cs="Times New Roman"/>
          <w:strike/>
        </w:rPr>
        <w:t>[</w:t>
      </w:r>
      <w:r w:rsidRPr="00463FB5">
        <w:rPr>
          <w:rFonts w:ascii="Times New Roman" w:hAnsi="Times New Roman" w:cs="Times New Roman"/>
          <w:strike/>
        </w:rPr>
        <w:t>and JEE]</w:t>
      </w:r>
      <w:r w:rsidRPr="009F3628">
        <w:rPr>
          <w:rFonts w:ascii="Times New Roman" w:hAnsi="Times New Roman" w:cs="Times New Roman"/>
        </w:rPr>
        <w:t xml:space="preserve"> and other variables on countries’ mortality outcome </w:t>
      </w:r>
      <w:r>
        <w:rPr>
          <w:rFonts w:ascii="Times New Roman" w:hAnsi="Times New Roman" w:cs="Times New Roman"/>
        </w:rPr>
        <w:t xml:space="preserve">on different phases of pandemic including December 31 2020, June 30, 2021, December 31, 2021 and July 15, 2022. </w:t>
      </w:r>
    </w:p>
    <w:p w14:paraId="30D981B9" w14:textId="238649A1" w:rsidR="009C6A75" w:rsidRDefault="009C6A75">
      <w:pPr>
        <w:rPr>
          <w:rFonts w:ascii="Times New Roman" w:hAnsi="Times New Roman" w:cs="Times New Roman"/>
        </w:rPr>
      </w:pPr>
      <w:r>
        <w:rPr>
          <w:rFonts w:ascii="Times New Roman" w:hAnsi="Times New Roman" w:cs="Times New Roman"/>
        </w:rPr>
        <w:lastRenderedPageBreak/>
        <w:br w:type="page"/>
      </w:r>
    </w:p>
    <w:p w14:paraId="71C37206" w14:textId="77777777" w:rsidR="00FE11EE" w:rsidRDefault="00FE11EE" w:rsidP="00CF77CF">
      <w:pPr>
        <w:spacing w:after="0" w:line="360" w:lineRule="auto"/>
        <w:jc w:val="both"/>
        <w:rPr>
          <w:rFonts w:ascii="Times New Roman" w:hAnsi="Times New Roman" w:cs="Times New Roman"/>
        </w:rPr>
      </w:pPr>
    </w:p>
    <w:p w14:paraId="2B0EE023" w14:textId="0543652B" w:rsidR="00FE11EE" w:rsidRPr="00FE11EE" w:rsidRDefault="00FE11EE" w:rsidP="00CF77CF">
      <w:pPr>
        <w:spacing w:after="0" w:line="360" w:lineRule="auto"/>
        <w:jc w:val="both"/>
        <w:rPr>
          <w:rFonts w:ascii="Times New Roman" w:hAnsi="Times New Roman" w:cs="Times New Roman"/>
          <w:b/>
          <w:bCs/>
        </w:rPr>
      </w:pPr>
      <w:r w:rsidRPr="00FE11EE">
        <w:rPr>
          <w:rFonts w:ascii="Times New Roman" w:hAnsi="Times New Roman" w:cs="Times New Roman"/>
          <w:b/>
          <w:bCs/>
        </w:rPr>
        <w:t xml:space="preserve">Results: </w:t>
      </w:r>
    </w:p>
    <w:p w14:paraId="6DD7BC1D" w14:textId="339315BF" w:rsidR="00131593" w:rsidRDefault="00FE11EE" w:rsidP="008E3677">
      <w:pPr>
        <w:spacing w:after="0" w:line="360" w:lineRule="auto"/>
        <w:jc w:val="both"/>
        <w:rPr>
          <w:rFonts w:ascii="Times New Roman" w:hAnsi="Times New Roman" w:cs="Times New Roman"/>
        </w:rPr>
      </w:pPr>
      <w:r>
        <w:rPr>
          <w:rFonts w:ascii="Times New Roman" w:hAnsi="Times New Roman" w:cs="Times New Roman"/>
        </w:rPr>
        <w:t xml:space="preserve">At the end of the first year of Pandemic, before commencement of COVID-19 vaccination, countries with higher GHSI scores </w:t>
      </w:r>
      <w:r w:rsidR="00650E86">
        <w:rPr>
          <w:rFonts w:ascii="Times New Roman" w:hAnsi="Times New Roman" w:cs="Times New Roman"/>
        </w:rPr>
        <w:t>including</w:t>
      </w:r>
      <w:r>
        <w:rPr>
          <w:rFonts w:ascii="Times New Roman" w:hAnsi="Times New Roman" w:cs="Times New Roman"/>
        </w:rPr>
        <w:t xml:space="preserve"> the USA, Mexico, Brazil and Argentina had higher mortality rate</w:t>
      </w:r>
      <w:r w:rsidR="00131593">
        <w:rPr>
          <w:rFonts w:ascii="Times New Roman" w:hAnsi="Times New Roman" w:cs="Times New Roman"/>
        </w:rPr>
        <w:t xml:space="preserve"> </w:t>
      </w:r>
      <w:r w:rsidR="00131593" w:rsidRPr="006F1F98">
        <w:rPr>
          <w:rFonts w:ascii="Times New Roman" w:hAnsi="Times New Roman" w:cs="Times New Roman"/>
          <w:b/>
          <w:bCs/>
        </w:rPr>
        <w:t>(Fig 1)</w:t>
      </w:r>
      <w:r w:rsidR="00585406">
        <w:rPr>
          <w:rFonts w:ascii="Times New Roman" w:hAnsi="Times New Roman" w:cs="Times New Roman"/>
        </w:rPr>
        <w:t xml:space="preserve">. Some counties with GHSI scores less than 50 also had a higher mortality rate including Peru, </w:t>
      </w:r>
      <w:r w:rsidR="00650E86">
        <w:rPr>
          <w:rFonts w:ascii="Times New Roman" w:hAnsi="Times New Roman" w:cs="Times New Roman"/>
        </w:rPr>
        <w:t>Colombia</w:t>
      </w:r>
      <w:r w:rsidR="00585406">
        <w:rPr>
          <w:rFonts w:ascii="Times New Roman" w:hAnsi="Times New Roman" w:cs="Times New Roman"/>
        </w:rPr>
        <w:t xml:space="preserve"> and Ecuador. </w:t>
      </w:r>
      <w:r w:rsidR="008E3677">
        <w:rPr>
          <w:rFonts w:ascii="Times New Roman" w:hAnsi="Times New Roman" w:cs="Times New Roman"/>
        </w:rPr>
        <w:t xml:space="preserve">Vaccination of COVID-19 started in January/2021, however at a very slow rate initially in most of the countries.  </w:t>
      </w:r>
      <w:r w:rsidR="00486B3D">
        <w:rPr>
          <w:rFonts w:ascii="Times New Roman" w:hAnsi="Times New Roman" w:cs="Times New Roman"/>
        </w:rPr>
        <w:t>The patterns remain similar for most of the counties in the next 6 months (June 30, 2021)</w:t>
      </w:r>
      <w:r w:rsidR="00667D87">
        <w:rPr>
          <w:rFonts w:ascii="Times New Roman" w:hAnsi="Times New Roman" w:cs="Times New Roman"/>
        </w:rPr>
        <w:t xml:space="preserve">. </w:t>
      </w:r>
      <w:r w:rsidR="002078C0">
        <w:rPr>
          <w:rFonts w:ascii="Times New Roman" w:hAnsi="Times New Roman" w:cs="Times New Roman"/>
        </w:rPr>
        <w:t xml:space="preserve">However, as the vaccine rollout improves counties with higher GHSI scores experiences lower mortality rate. </w:t>
      </w:r>
      <w:r w:rsidR="00867137">
        <w:rPr>
          <w:rFonts w:ascii="Times New Roman" w:hAnsi="Times New Roman" w:cs="Times New Roman"/>
        </w:rPr>
        <w:t xml:space="preserve">By July 15, 2022, countries with higher mortality rate includes Argentina, Colombia, Mexico and Ecuador. </w:t>
      </w:r>
    </w:p>
    <w:p w14:paraId="2B2E1E59" w14:textId="77777777" w:rsidR="009C6A75" w:rsidRDefault="009C6A75" w:rsidP="008E3677">
      <w:pPr>
        <w:spacing w:after="0" w:line="360" w:lineRule="auto"/>
        <w:jc w:val="both"/>
        <w:rPr>
          <w:rFonts w:ascii="Times New Roman" w:hAnsi="Times New Roman" w:cs="Times New Roman"/>
          <w:b/>
          <w:bCs/>
        </w:rPr>
      </w:pPr>
    </w:p>
    <w:p w14:paraId="2A9138FD" w14:textId="6C5E13AC" w:rsidR="009C6A75" w:rsidRDefault="009C6A75" w:rsidP="008E3677">
      <w:pPr>
        <w:spacing w:after="0" w:line="360" w:lineRule="auto"/>
        <w:jc w:val="both"/>
        <w:rPr>
          <w:rFonts w:ascii="Times New Roman" w:hAnsi="Times New Roman" w:cs="Times New Roman"/>
          <w:b/>
          <w:bCs/>
        </w:rPr>
      </w:pPr>
      <w:r>
        <w:rPr>
          <w:rFonts w:ascii="Times New Roman" w:hAnsi="Times New Roman" w:cs="Times New Roman"/>
          <w:b/>
          <w:bCs/>
        </w:rPr>
        <w:t xml:space="preserve">Vaccination: </w:t>
      </w:r>
    </w:p>
    <w:p w14:paraId="7025AD32" w14:textId="002C9FEB" w:rsidR="00AC2169" w:rsidRPr="00AC2169" w:rsidRDefault="00AC2169" w:rsidP="008E3677">
      <w:pPr>
        <w:spacing w:after="0" w:line="360" w:lineRule="auto"/>
        <w:jc w:val="both"/>
        <w:rPr>
          <w:rFonts w:ascii="Times New Roman" w:hAnsi="Times New Roman" w:cs="Times New Roman"/>
        </w:rPr>
      </w:pPr>
      <w:r w:rsidRPr="00AC2169">
        <w:rPr>
          <w:rFonts w:ascii="Times New Roman" w:hAnsi="Times New Roman" w:cs="Times New Roman"/>
        </w:rPr>
        <w:t xml:space="preserve">Please fill up the vaccine and </w:t>
      </w:r>
      <w:proofErr w:type="spellStart"/>
      <w:r w:rsidRPr="00AC2169">
        <w:rPr>
          <w:rFonts w:ascii="Times New Roman" w:hAnsi="Times New Roman" w:cs="Times New Roman"/>
        </w:rPr>
        <w:t>rCFR</w:t>
      </w:r>
      <w:proofErr w:type="spellEnd"/>
      <w:r w:rsidRPr="00AC2169">
        <w:rPr>
          <w:rFonts w:ascii="Times New Roman" w:hAnsi="Times New Roman" w:cs="Times New Roman"/>
        </w:rPr>
        <w:t xml:space="preserve"> information in Table 1. I will fill write the results here.  </w:t>
      </w:r>
    </w:p>
    <w:p w14:paraId="7F88C0FF" w14:textId="0125EF97" w:rsidR="009C6A75" w:rsidRDefault="009C6A75" w:rsidP="008E3677">
      <w:pPr>
        <w:spacing w:after="0" w:line="360" w:lineRule="auto"/>
        <w:jc w:val="both"/>
        <w:rPr>
          <w:rFonts w:ascii="Times New Roman" w:hAnsi="Times New Roman" w:cs="Times New Roman"/>
          <w:b/>
          <w:bCs/>
        </w:rPr>
      </w:pPr>
    </w:p>
    <w:p w14:paraId="27651833" w14:textId="4AFFB903" w:rsidR="00AC2169" w:rsidRDefault="00AC2169" w:rsidP="008E3677">
      <w:pPr>
        <w:spacing w:after="0" w:line="360" w:lineRule="auto"/>
        <w:jc w:val="both"/>
        <w:rPr>
          <w:rFonts w:ascii="Times New Roman" w:hAnsi="Times New Roman" w:cs="Times New Roman"/>
          <w:b/>
          <w:bCs/>
        </w:rPr>
      </w:pPr>
    </w:p>
    <w:p w14:paraId="4F697C3C" w14:textId="48BF328F" w:rsidR="00AC2169" w:rsidRDefault="00AC2169" w:rsidP="008E3677">
      <w:pPr>
        <w:spacing w:after="0" w:line="360" w:lineRule="auto"/>
        <w:jc w:val="both"/>
        <w:rPr>
          <w:rFonts w:ascii="Times New Roman" w:hAnsi="Times New Roman" w:cs="Times New Roman"/>
          <w:b/>
          <w:bCs/>
        </w:rPr>
      </w:pPr>
      <w:r>
        <w:rPr>
          <w:rFonts w:ascii="Times New Roman" w:hAnsi="Times New Roman" w:cs="Times New Roman"/>
          <w:b/>
          <w:bCs/>
        </w:rPr>
        <w:t xml:space="preserve">The correlation coefficient between vaccination rates </w:t>
      </w:r>
      <w:r w:rsidR="00923D0A">
        <w:rPr>
          <w:rFonts w:ascii="Times New Roman" w:hAnsi="Times New Roman" w:cs="Times New Roman"/>
          <w:b/>
          <w:bCs/>
        </w:rPr>
        <w:t xml:space="preserve">and GHSI </w:t>
      </w:r>
      <w:r>
        <w:rPr>
          <w:rFonts w:ascii="Times New Roman" w:hAnsi="Times New Roman" w:cs="Times New Roman"/>
          <w:b/>
          <w:bCs/>
        </w:rPr>
        <w:t>on 15</w:t>
      </w:r>
      <w:r w:rsidR="00923D0A">
        <w:rPr>
          <w:rFonts w:ascii="Times New Roman" w:hAnsi="Times New Roman" w:cs="Times New Roman"/>
          <w:b/>
          <w:bCs/>
        </w:rPr>
        <w:t xml:space="preserve"> </w:t>
      </w:r>
      <w:commentRangeStart w:id="1"/>
      <w:r w:rsidR="00923D0A">
        <w:rPr>
          <w:rFonts w:ascii="Times New Roman" w:hAnsi="Times New Roman" w:cs="Times New Roman"/>
          <w:b/>
          <w:bCs/>
        </w:rPr>
        <w:t xml:space="preserve">July 2021 was </w:t>
      </w:r>
      <w:commentRangeEnd w:id="1"/>
      <w:r w:rsidR="00923D0A">
        <w:rPr>
          <w:rStyle w:val="CommentReference"/>
        </w:rPr>
        <w:commentReference w:id="1"/>
      </w:r>
      <w:r>
        <w:rPr>
          <w:rFonts w:ascii="Times New Roman" w:hAnsi="Times New Roman" w:cs="Times New Roman"/>
          <w:b/>
          <w:bCs/>
        </w:rPr>
        <w:t xml:space="preserve">  </w:t>
      </w:r>
    </w:p>
    <w:p w14:paraId="6C5D0F49" w14:textId="77777777" w:rsidR="009C6A75" w:rsidRDefault="009C6A75" w:rsidP="008E3677">
      <w:pPr>
        <w:spacing w:after="0" w:line="360" w:lineRule="auto"/>
        <w:jc w:val="both"/>
        <w:rPr>
          <w:rFonts w:ascii="Times New Roman" w:hAnsi="Times New Roman" w:cs="Times New Roman"/>
          <w:b/>
          <w:bCs/>
        </w:rPr>
      </w:pPr>
    </w:p>
    <w:p w14:paraId="7A3CC659" w14:textId="77777777" w:rsidR="009C6A75" w:rsidRDefault="009C6A75" w:rsidP="008E3677">
      <w:pPr>
        <w:spacing w:after="0" w:line="360" w:lineRule="auto"/>
        <w:jc w:val="both"/>
        <w:rPr>
          <w:rFonts w:ascii="Times New Roman" w:hAnsi="Times New Roman" w:cs="Times New Roman"/>
          <w:b/>
          <w:bCs/>
        </w:rPr>
      </w:pPr>
    </w:p>
    <w:p w14:paraId="2CB61F19" w14:textId="4920612D" w:rsidR="006F1F98" w:rsidRPr="006F1F98" w:rsidRDefault="006F1F98" w:rsidP="008E3677">
      <w:pPr>
        <w:spacing w:after="0" w:line="360" w:lineRule="auto"/>
        <w:jc w:val="both"/>
        <w:rPr>
          <w:rFonts w:ascii="Times New Roman" w:hAnsi="Times New Roman" w:cs="Times New Roman"/>
          <w:b/>
          <w:bCs/>
        </w:rPr>
      </w:pPr>
      <w:r w:rsidRPr="006F1F98">
        <w:rPr>
          <w:rFonts w:ascii="Times New Roman" w:hAnsi="Times New Roman" w:cs="Times New Roman"/>
          <w:b/>
          <w:bCs/>
        </w:rPr>
        <w:t xml:space="preserve">Negative binomial model: </w:t>
      </w:r>
    </w:p>
    <w:p w14:paraId="787F65D8" w14:textId="77777777" w:rsidR="006F1F98" w:rsidRDefault="006F1F98" w:rsidP="008E3677">
      <w:pPr>
        <w:spacing w:after="0" w:line="360" w:lineRule="auto"/>
        <w:jc w:val="both"/>
        <w:rPr>
          <w:rFonts w:ascii="Times New Roman" w:hAnsi="Times New Roman" w:cs="Times New Roman"/>
        </w:rPr>
      </w:pPr>
    </w:p>
    <w:p w14:paraId="699D6801" w14:textId="77777777" w:rsidR="00266EAC" w:rsidRDefault="00266EAC" w:rsidP="00266EAC">
      <w:pPr>
        <w:spacing w:after="0" w:line="360" w:lineRule="auto"/>
        <w:jc w:val="both"/>
        <w:rPr>
          <w:rFonts w:ascii="Times New Roman" w:hAnsi="Times New Roman" w:cs="Times New Roman"/>
        </w:rPr>
      </w:pPr>
      <w:r>
        <w:rPr>
          <w:rFonts w:ascii="Times New Roman" w:hAnsi="Times New Roman" w:cs="Times New Roman"/>
        </w:rPr>
        <w:t xml:space="preserve">In the negative binomial regression model, the GHSI remain a significant predictor of countries mortality rate on 31 December 2020, however, not the association was not opposite which was expected, </w:t>
      </w:r>
      <w:proofErr w:type="spellStart"/>
      <w:proofErr w:type="gramStart"/>
      <w:r>
        <w:rPr>
          <w:rFonts w:ascii="Times New Roman" w:hAnsi="Times New Roman" w:cs="Times New Roman"/>
        </w:rPr>
        <w:t>ie.e</w:t>
      </w:r>
      <w:proofErr w:type="spellEnd"/>
      <w:proofErr w:type="gramEnd"/>
      <w:r>
        <w:rPr>
          <w:rFonts w:ascii="Times New Roman" w:hAnsi="Times New Roman" w:cs="Times New Roman"/>
        </w:rPr>
        <w:t xml:space="preserve"> the countries with higher GHSI score had higher mortality rate. </w:t>
      </w:r>
    </w:p>
    <w:p w14:paraId="5B5B3BC0" w14:textId="56ABEE6A" w:rsidR="00131593" w:rsidRDefault="00131593" w:rsidP="008E3677">
      <w:pPr>
        <w:spacing w:after="0" w:line="360" w:lineRule="auto"/>
        <w:jc w:val="both"/>
        <w:rPr>
          <w:rFonts w:ascii="Times New Roman" w:hAnsi="Times New Roman" w:cs="Times New Roman"/>
        </w:rPr>
      </w:pPr>
    </w:p>
    <w:p w14:paraId="657D4890" w14:textId="31E46F15" w:rsidR="00266EAC" w:rsidRDefault="00266EAC" w:rsidP="00266EAC">
      <w:r>
        <w:t xml:space="preserve">In the Negative binomial regression model, the GHSI remain significant predictor </w:t>
      </w:r>
      <w:r>
        <w:rPr>
          <w:rFonts w:ascii="Times New Roman" w:hAnsi="Times New Roman" w:cs="Times New Roman"/>
        </w:rPr>
        <w:t xml:space="preserve">of countries mortality rate </w:t>
      </w:r>
      <w:r>
        <w:t>at the beginning of the pandemic [</w:t>
      </w:r>
      <w:r>
        <w:rPr>
          <w:rFonts w:ascii="Times New Roman" w:hAnsi="Times New Roman" w:cs="Times New Roman"/>
        </w:rPr>
        <w:t>on 31 December 2020</w:t>
      </w:r>
      <w:r>
        <w:t>], but in an opposite direction</w:t>
      </w:r>
      <w:r w:rsidR="00FE26EB">
        <w:t xml:space="preserve"> than expected</w:t>
      </w:r>
      <w:r>
        <w:t xml:space="preserve">, i.e. countries with higher GHSI also had higher and positive predictive value for mortality rate. The GHSI lost it’s significant </w:t>
      </w:r>
      <w:r w:rsidR="00FE26EB">
        <w:t xml:space="preserve">for predicting CVID-19 related mortality rate </w:t>
      </w:r>
      <w:r>
        <w:t xml:space="preserve">by the end of 2021 when vaccine rollout in high income countries </w:t>
      </w:r>
      <w:r w:rsidR="00EA7C9D">
        <w:t xml:space="preserve">(the USA, Canada </w:t>
      </w:r>
      <w:proofErr w:type="spellStart"/>
      <w:r w:rsidR="00EA7C9D">
        <w:t>etc</w:t>
      </w:r>
      <w:proofErr w:type="spellEnd"/>
      <w:r w:rsidR="00EA7C9D">
        <w:t xml:space="preserve">) </w:t>
      </w:r>
      <w:r w:rsidR="00FE26EB">
        <w:t>reached a</w:t>
      </w:r>
      <w:r w:rsidR="006D2C35">
        <w:t xml:space="preserve"> </w:t>
      </w:r>
      <w:r w:rsidR="00FE26EB">
        <w:t xml:space="preserve">very high level. </w:t>
      </w:r>
      <w:r>
        <w:t xml:space="preserve"> On the other </w:t>
      </w:r>
      <w:r w:rsidR="009C6A75">
        <w:t>hand, “</w:t>
      </w:r>
      <w:r w:rsidR="006D2C35">
        <w:t>t</w:t>
      </w:r>
      <w:r>
        <w:t xml:space="preserve">he percentage of the population aged 65 and above” </w:t>
      </w:r>
      <w:r w:rsidR="006D2C35">
        <w:t xml:space="preserve">was not an </w:t>
      </w:r>
      <w:r w:rsidR="006D2C35">
        <w:lastRenderedPageBreak/>
        <w:t xml:space="preserve">important predictor value during the first year of the pandemic in PAHO region. However, it become </w:t>
      </w:r>
      <w:r>
        <w:t xml:space="preserve">significant </w:t>
      </w:r>
      <w:r w:rsidR="006D2C35">
        <w:t>at the late pandemic [</w:t>
      </w:r>
      <w:r>
        <w:t>July 15, 2022</w:t>
      </w:r>
      <w:r w:rsidR="006D2C35">
        <w:t xml:space="preserve">] which indicate </w:t>
      </w:r>
      <w:r>
        <w:t>that, when most of the countries reach</w:t>
      </w:r>
      <w:r w:rsidR="006D2C35">
        <w:t>ed</w:t>
      </w:r>
      <w:r>
        <w:t xml:space="preserve"> a </w:t>
      </w:r>
      <w:r w:rsidR="006D2C35">
        <w:t>high</w:t>
      </w:r>
      <w:r>
        <w:t xml:space="preserve"> vaccination rate, the age structure become important. That is the </w:t>
      </w:r>
      <w:r w:rsidR="0064229E">
        <w:t xml:space="preserve">high </w:t>
      </w:r>
      <w:r>
        <w:t xml:space="preserve">mortality is now seen in countries with higher percentage of older populations irrespective of their vaccination rate. </w:t>
      </w:r>
    </w:p>
    <w:p w14:paraId="1CE6429C" w14:textId="77777777" w:rsidR="00266EAC" w:rsidRDefault="00266EAC" w:rsidP="008E3677">
      <w:pPr>
        <w:spacing w:after="0" w:line="360" w:lineRule="auto"/>
        <w:jc w:val="both"/>
        <w:rPr>
          <w:rFonts w:ascii="Times New Roman" w:hAnsi="Times New Roman" w:cs="Times New Roman"/>
        </w:rPr>
      </w:pPr>
    </w:p>
    <w:p w14:paraId="2AFD5BBC" w14:textId="1B8513F4" w:rsidR="00A53919" w:rsidRDefault="00486B3D" w:rsidP="008E3677">
      <w:pPr>
        <w:spacing w:after="0" w:line="360" w:lineRule="auto"/>
        <w:jc w:val="both"/>
        <w:rPr>
          <w:rFonts w:ascii="Times New Roman" w:hAnsi="Times New Roman" w:cs="Times New Roman"/>
        </w:rPr>
      </w:pPr>
      <w:r>
        <w:rPr>
          <w:rFonts w:ascii="Times New Roman" w:hAnsi="Times New Roman" w:cs="Times New Roman"/>
        </w:rPr>
        <w:t xml:space="preserve"> </w:t>
      </w:r>
    </w:p>
    <w:p w14:paraId="60740A50" w14:textId="2CDE6A1F" w:rsidR="001614B5" w:rsidRPr="008E3677" w:rsidRDefault="001614B5" w:rsidP="008E3677">
      <w:pPr>
        <w:spacing w:after="0" w:line="360" w:lineRule="auto"/>
        <w:jc w:val="both"/>
        <w:rPr>
          <w:rFonts w:ascii="Times New Roman" w:hAnsi="Times New Roman" w:cs="Times New Roman"/>
        </w:rPr>
      </w:pPr>
      <w:r w:rsidRPr="008E3677">
        <w:rPr>
          <w:rFonts w:ascii="Times New Roman" w:hAnsi="Times New Roman" w:cs="Times New Roman"/>
        </w:rPr>
        <w:br w:type="page"/>
      </w:r>
    </w:p>
    <w:p w14:paraId="26E5D8B1" w14:textId="47CC73DB" w:rsidR="00DA0B87" w:rsidRDefault="00942B20" w:rsidP="00942B20">
      <w:pPr>
        <w:pStyle w:val="ListParagraph"/>
        <w:ind w:left="360"/>
        <w:rPr>
          <w:noProof/>
        </w:rPr>
      </w:pPr>
      <w:r>
        <w:lastRenderedPageBreak/>
        <w:t>Fig. 1. The Global Health Security Index (GHSI) overall score vs. the countries’ mortality outcome due to COVID-19 (deaths/million). The countries with highest score in GHSI also had higher mortality rate due to COVID-19 (</w:t>
      </w:r>
      <w:r w:rsidRPr="00747EE7">
        <w:t>Argentina</w:t>
      </w:r>
      <w:r>
        <w:t xml:space="preserve">, </w:t>
      </w:r>
      <w:r w:rsidRPr="00747EE7">
        <w:t>Brazil</w:t>
      </w:r>
      <w:r>
        <w:t xml:space="preserve">, </w:t>
      </w:r>
      <w:r w:rsidRPr="00747EE7">
        <w:t>Canada</w:t>
      </w:r>
      <w:r>
        <w:t xml:space="preserve">, </w:t>
      </w:r>
      <w:r w:rsidRPr="00747EE7">
        <w:t>Chile</w:t>
      </w:r>
      <w:r>
        <w:t xml:space="preserve">, </w:t>
      </w:r>
      <w:r w:rsidRPr="00747EE7">
        <w:t>Colombia</w:t>
      </w:r>
      <w:r>
        <w:t xml:space="preserve">, </w:t>
      </w:r>
      <w:r w:rsidRPr="00747EE7">
        <w:t>Costa Rica</w:t>
      </w:r>
      <w:r>
        <w:t xml:space="preserve">, </w:t>
      </w:r>
      <w:r w:rsidRPr="00747EE7">
        <w:t>Ecuador</w:t>
      </w:r>
      <w:r>
        <w:t xml:space="preserve">, </w:t>
      </w:r>
      <w:r w:rsidRPr="00747EE7">
        <w:t>El Salvador</w:t>
      </w:r>
      <w:r>
        <w:t xml:space="preserve">, </w:t>
      </w:r>
      <w:r w:rsidRPr="00747EE7">
        <w:t>Mexico</w:t>
      </w:r>
      <w:r>
        <w:t xml:space="preserve">, </w:t>
      </w:r>
      <w:r w:rsidRPr="00747EE7">
        <w:t>Peru</w:t>
      </w:r>
      <w:r>
        <w:t xml:space="preserve">, </w:t>
      </w:r>
      <w:r w:rsidRPr="00747EE7">
        <w:t>United States</w:t>
      </w:r>
      <w:r>
        <w:t xml:space="preserve">). </w:t>
      </w:r>
    </w:p>
    <w:p w14:paraId="09858369" w14:textId="77777777" w:rsidR="00DA0B87" w:rsidRDefault="00DA0B87">
      <w:pPr>
        <w:rPr>
          <w:noProof/>
        </w:rPr>
      </w:pPr>
      <w:r>
        <w:rPr>
          <w:noProof/>
        </w:rPr>
        <w:br w:type="page"/>
      </w:r>
    </w:p>
    <w:p w14:paraId="0BE4137E" w14:textId="7987DF9A" w:rsidR="001614B5" w:rsidRDefault="00C50EBD" w:rsidP="00942B20">
      <w:pPr>
        <w:pStyle w:val="ListParagraph"/>
        <w:ind w:left="360"/>
      </w:pPr>
      <w:r w:rsidRPr="00C50EBD">
        <w:rPr>
          <w:noProof/>
        </w:rPr>
        <w:lastRenderedPageBreak/>
        <w:drawing>
          <wp:inline distT="0" distB="0" distL="0" distR="0" wp14:anchorId="0DD0DEEC" wp14:editId="78DCD38B">
            <wp:extent cx="8229600" cy="6359236"/>
            <wp:effectExtent l="0" t="0" r="0" b="3810"/>
            <wp:docPr id="2" name="Picture 2" descr="E:\WHOPAHO\Grap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HOPAHO\Graph.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0" cy="6359236"/>
                    </a:xfrm>
                    <a:prstGeom prst="rect">
                      <a:avLst/>
                    </a:prstGeom>
                    <a:noFill/>
                    <a:ln>
                      <a:noFill/>
                    </a:ln>
                  </pic:spPr>
                </pic:pic>
              </a:graphicData>
            </a:graphic>
          </wp:inline>
        </w:drawing>
      </w:r>
    </w:p>
    <w:p w14:paraId="42E0553A" w14:textId="77777777" w:rsidR="00B369ED" w:rsidRDefault="002B282E" w:rsidP="002B282E">
      <w:r>
        <w:lastRenderedPageBreak/>
        <w:t>Fig. 1. The Global Health Security Index (GHSI) overall score vs. the countries’ mortality outcome due to COVID-19 (deaths/million). The countries with highest score in GHSI also had higher mortality rate due to COVID-19 (</w:t>
      </w:r>
      <w:r w:rsidR="00747EE7" w:rsidRPr="00747EE7">
        <w:t>Argentina</w:t>
      </w:r>
      <w:r w:rsidR="00747EE7">
        <w:t xml:space="preserve">, </w:t>
      </w:r>
      <w:r w:rsidR="00747EE7" w:rsidRPr="00747EE7">
        <w:t>Brazil</w:t>
      </w:r>
      <w:r w:rsidR="00747EE7">
        <w:t xml:space="preserve">, </w:t>
      </w:r>
      <w:r w:rsidR="00747EE7" w:rsidRPr="00747EE7">
        <w:t>Canada</w:t>
      </w:r>
      <w:r w:rsidR="00747EE7">
        <w:t xml:space="preserve">, </w:t>
      </w:r>
      <w:r w:rsidR="00747EE7" w:rsidRPr="00747EE7">
        <w:t>Chile</w:t>
      </w:r>
      <w:r w:rsidR="00747EE7">
        <w:t xml:space="preserve">, </w:t>
      </w:r>
      <w:r w:rsidR="00747EE7" w:rsidRPr="00747EE7">
        <w:t>Colombia</w:t>
      </w:r>
      <w:r w:rsidR="00747EE7">
        <w:t xml:space="preserve">, </w:t>
      </w:r>
      <w:r w:rsidR="00747EE7" w:rsidRPr="00747EE7">
        <w:t>Costa Rica</w:t>
      </w:r>
      <w:r w:rsidR="00747EE7">
        <w:t xml:space="preserve">, </w:t>
      </w:r>
      <w:r w:rsidR="00747EE7" w:rsidRPr="00747EE7">
        <w:t>Ecuador</w:t>
      </w:r>
      <w:r w:rsidR="00747EE7">
        <w:t xml:space="preserve">, </w:t>
      </w:r>
      <w:r w:rsidR="00747EE7" w:rsidRPr="00747EE7">
        <w:t>El Salvador</w:t>
      </w:r>
      <w:r w:rsidR="00747EE7">
        <w:t xml:space="preserve">, </w:t>
      </w:r>
      <w:r w:rsidR="00747EE7" w:rsidRPr="00747EE7">
        <w:t>Mexico</w:t>
      </w:r>
      <w:r w:rsidR="00747EE7">
        <w:t xml:space="preserve">, </w:t>
      </w:r>
      <w:r w:rsidR="00747EE7" w:rsidRPr="00747EE7">
        <w:t>Peru</w:t>
      </w:r>
      <w:r w:rsidR="00747EE7">
        <w:t xml:space="preserve">, </w:t>
      </w:r>
      <w:r w:rsidR="00747EE7" w:rsidRPr="00747EE7">
        <w:t>United States</w:t>
      </w:r>
      <w:r>
        <w:t>).</w:t>
      </w:r>
      <w:r w:rsidR="00F8678F">
        <w:t xml:space="preserve"> </w:t>
      </w:r>
    </w:p>
    <w:p w14:paraId="71473F7A" w14:textId="02030C37" w:rsidR="00836364" w:rsidRDefault="00F8678F">
      <w:r>
        <w:t xml:space="preserve">*a = December 31, 2020, b = June 30, 2021, c = December 31, 2021, d = </w:t>
      </w:r>
      <w:r w:rsidRPr="00F8678F">
        <w:t>July 15, 2022</w:t>
      </w:r>
    </w:p>
    <w:p w14:paraId="0EB596BB" w14:textId="49685FE7" w:rsidR="00836364" w:rsidRPr="00BA7E40" w:rsidRDefault="00836364" w:rsidP="00836364">
      <w:pPr>
        <w:spacing w:line="480" w:lineRule="auto"/>
        <w:rPr>
          <w:rFonts w:ascii="Times New Roman" w:hAnsi="Times New Roman" w:cs="Times New Roman"/>
          <w:b/>
          <w:bCs/>
          <w:color w:val="1C1C1C"/>
          <w:shd w:val="clear" w:color="auto" w:fill="FFFFFF"/>
        </w:rPr>
      </w:pPr>
      <w:r w:rsidRPr="00BA7E40">
        <w:rPr>
          <w:rFonts w:ascii="Times New Roman" w:hAnsi="Times New Roman" w:cs="Times New Roman"/>
          <w:b/>
          <w:bCs/>
          <w:color w:val="000000"/>
        </w:rPr>
        <w:t xml:space="preserve">Table </w:t>
      </w:r>
      <w:r>
        <w:rPr>
          <w:rFonts w:ascii="Times New Roman" w:hAnsi="Times New Roman" w:cs="Times New Roman"/>
          <w:b/>
          <w:bCs/>
          <w:color w:val="000000"/>
        </w:rPr>
        <w:t>2</w:t>
      </w:r>
      <w:r w:rsidRPr="00BA7E40">
        <w:rPr>
          <w:rFonts w:ascii="Times New Roman" w:hAnsi="Times New Roman" w:cs="Times New Roman"/>
          <w:b/>
          <w:bCs/>
          <w:color w:val="000000"/>
        </w:rPr>
        <w:t xml:space="preserve">: </w:t>
      </w:r>
      <w:commentRangeStart w:id="2"/>
      <w:r w:rsidRPr="00BA7E40">
        <w:rPr>
          <w:rFonts w:ascii="Times New Roman" w:hAnsi="Times New Roman" w:cs="Times New Roman"/>
          <w:b/>
          <w:bCs/>
          <w:color w:val="000000"/>
        </w:rPr>
        <w:t xml:space="preserve">The </w:t>
      </w:r>
      <w:r>
        <w:rPr>
          <w:rFonts w:ascii="Times New Roman" w:hAnsi="Times New Roman" w:cs="Times New Roman"/>
          <w:b/>
          <w:bCs/>
          <w:color w:val="000000"/>
        </w:rPr>
        <w:t xml:space="preserve">doses of </w:t>
      </w:r>
      <w:r w:rsidRPr="00BA7E40">
        <w:rPr>
          <w:rFonts w:ascii="Times New Roman" w:hAnsi="Times New Roman" w:cs="Times New Roman"/>
          <w:b/>
          <w:bCs/>
          <w:color w:val="000000"/>
        </w:rPr>
        <w:t>COVID-19 vaccin</w:t>
      </w:r>
      <w:r>
        <w:rPr>
          <w:rFonts w:ascii="Times New Roman" w:hAnsi="Times New Roman" w:cs="Times New Roman"/>
          <w:b/>
          <w:bCs/>
          <w:color w:val="000000"/>
        </w:rPr>
        <w:t xml:space="preserve">es </w:t>
      </w:r>
      <w:r w:rsidRPr="00BA7E40">
        <w:rPr>
          <w:rFonts w:ascii="Times New Roman" w:hAnsi="Times New Roman" w:cs="Times New Roman"/>
          <w:b/>
          <w:bCs/>
          <w:color w:val="000000"/>
        </w:rPr>
        <w:t xml:space="preserve">and reported case-fatality rate </w:t>
      </w:r>
      <w:commentRangeEnd w:id="2"/>
      <w:r w:rsidR="006D4A12">
        <w:rPr>
          <w:rStyle w:val="CommentReference"/>
        </w:rPr>
        <w:commentReference w:id="2"/>
      </w:r>
      <w:r w:rsidRPr="00BA7E40">
        <w:rPr>
          <w:rFonts w:ascii="Times New Roman" w:hAnsi="Times New Roman" w:cs="Times New Roman"/>
          <w:b/>
          <w:bCs/>
          <w:color w:val="000000"/>
        </w:rPr>
        <w:t>(</w:t>
      </w:r>
      <w:proofErr w:type="spellStart"/>
      <w:r w:rsidRPr="00BA7E40">
        <w:rPr>
          <w:rFonts w:ascii="Times New Roman" w:hAnsi="Times New Roman" w:cs="Times New Roman"/>
          <w:b/>
          <w:bCs/>
          <w:color w:val="000000"/>
        </w:rPr>
        <w:t>rCFR</w:t>
      </w:r>
      <w:proofErr w:type="spellEnd"/>
      <w:r w:rsidRPr="00BA7E40">
        <w:rPr>
          <w:rFonts w:ascii="Times New Roman" w:hAnsi="Times New Roman" w:cs="Times New Roman"/>
          <w:b/>
          <w:bCs/>
          <w:color w:val="000000"/>
        </w:rPr>
        <w:t xml:space="preserve">) of COVID-19 in the </w:t>
      </w:r>
      <w:r>
        <w:rPr>
          <w:rFonts w:ascii="Times New Roman" w:hAnsi="Times New Roman" w:cs="Times New Roman"/>
          <w:b/>
          <w:bCs/>
          <w:color w:val="000000"/>
        </w:rPr>
        <w:t xml:space="preserve">PAHO region </w:t>
      </w:r>
      <w:r w:rsidRPr="00BA7E40">
        <w:rPr>
          <w:rFonts w:ascii="Times New Roman" w:hAnsi="Times New Roman" w:cs="Times New Roman"/>
          <w:b/>
          <w:bCs/>
          <w:color w:val="000000"/>
        </w:rPr>
        <w:t>during 5 Jan 2021</w:t>
      </w:r>
      <w:r w:rsidR="007A320A">
        <w:rPr>
          <w:rFonts w:ascii="Times New Roman" w:hAnsi="Times New Roman" w:cs="Times New Roman"/>
          <w:b/>
          <w:bCs/>
          <w:color w:val="000000"/>
        </w:rPr>
        <w:t xml:space="preserve"> [Before vaccination started]</w:t>
      </w:r>
      <w:r w:rsidRPr="00BA7E40">
        <w:rPr>
          <w:rFonts w:ascii="Times New Roman" w:hAnsi="Times New Roman" w:cs="Times New Roman"/>
          <w:b/>
          <w:bCs/>
          <w:color w:val="000000"/>
        </w:rPr>
        <w:t xml:space="preserve"> and </w:t>
      </w:r>
      <w:r>
        <w:rPr>
          <w:rFonts w:ascii="Times New Roman" w:hAnsi="Times New Roman" w:cs="Times New Roman"/>
          <w:b/>
          <w:bCs/>
          <w:color w:val="000000" w:themeColor="text1"/>
          <w:shd w:val="clear" w:color="auto" w:fill="FFFFFF"/>
        </w:rPr>
        <w:t>8</w:t>
      </w:r>
      <w:r w:rsidRPr="00373070">
        <w:rPr>
          <w:rFonts w:ascii="Times New Roman" w:hAnsi="Times New Roman" w:cs="Times New Roman"/>
          <w:b/>
          <w:bCs/>
          <w:color w:val="000000" w:themeColor="text1"/>
          <w:shd w:val="clear" w:color="auto" w:fill="FFFFFF"/>
          <w:vertAlign w:val="superscript"/>
        </w:rPr>
        <w:t>th</w:t>
      </w:r>
      <w:r>
        <w:rPr>
          <w:rFonts w:ascii="Times New Roman" w:hAnsi="Times New Roman" w:cs="Times New Roman"/>
          <w:b/>
          <w:bCs/>
          <w:color w:val="000000" w:themeColor="text1"/>
          <w:shd w:val="clear" w:color="auto" w:fill="FFFFFF"/>
        </w:rPr>
        <w:t xml:space="preserve"> May 2022 </w:t>
      </w:r>
      <w:r w:rsidR="007A320A">
        <w:rPr>
          <w:rFonts w:ascii="Times New Roman" w:hAnsi="Times New Roman" w:cs="Times New Roman"/>
          <w:b/>
          <w:bCs/>
          <w:color w:val="000000" w:themeColor="text1"/>
          <w:shd w:val="clear" w:color="auto" w:fill="FFFFFF"/>
        </w:rPr>
        <w:t>[ One and half year after vaccination</w:t>
      </w:r>
      <w:r>
        <w:rPr>
          <w:rFonts w:ascii="Times New Roman" w:hAnsi="Times New Roman" w:cs="Times New Roman"/>
          <w:b/>
          <w:bCs/>
          <w:color w:val="000000" w:themeColor="text1"/>
          <w:shd w:val="clear" w:color="auto" w:fill="FFFFFF"/>
        </w:rPr>
        <w:t>)</w:t>
      </w:r>
      <w:r w:rsidRPr="00BA7E40">
        <w:rPr>
          <w:rFonts w:ascii="Times New Roman" w:hAnsi="Times New Roman" w:cs="Times New Roman"/>
          <w:b/>
          <w:bCs/>
          <w:color w:val="000000"/>
        </w:rPr>
        <w:t xml:space="preserve">. </w:t>
      </w:r>
    </w:p>
    <w:tbl>
      <w:tblPr>
        <w:tblStyle w:val="TableGrid"/>
        <w:tblW w:w="5000" w:type="pct"/>
        <w:tblLook w:val="04A0" w:firstRow="1" w:lastRow="0" w:firstColumn="1" w:lastColumn="0" w:noHBand="0" w:noVBand="1"/>
      </w:tblPr>
      <w:tblGrid>
        <w:gridCol w:w="6697"/>
        <w:gridCol w:w="2116"/>
        <w:gridCol w:w="1891"/>
        <w:gridCol w:w="2246"/>
      </w:tblGrid>
      <w:tr w:rsidR="00AF7657" w:rsidRPr="00BA7E40" w14:paraId="002D0113" w14:textId="77777777" w:rsidTr="00AF7657">
        <w:tc>
          <w:tcPr>
            <w:tcW w:w="2586" w:type="pct"/>
          </w:tcPr>
          <w:p w14:paraId="6764414C" w14:textId="77777777" w:rsidR="00AF7657" w:rsidRPr="00BA7E40" w:rsidRDefault="00AF7657" w:rsidP="00CB56D9">
            <w:pPr>
              <w:spacing w:line="480" w:lineRule="auto"/>
              <w:rPr>
                <w:rFonts w:ascii="Times New Roman" w:hAnsi="Times New Roman" w:cs="Times New Roman"/>
                <w:b/>
                <w:color w:val="1C1C1C"/>
                <w:shd w:val="clear" w:color="auto" w:fill="FFFFFF"/>
              </w:rPr>
            </w:pPr>
          </w:p>
        </w:tc>
        <w:tc>
          <w:tcPr>
            <w:tcW w:w="817" w:type="pct"/>
          </w:tcPr>
          <w:p w14:paraId="0C29F7C0" w14:textId="5E92CBE5" w:rsidR="00AF7657" w:rsidRPr="00BA7E40" w:rsidRDefault="00AF7657" w:rsidP="00CB56D9">
            <w:pPr>
              <w:spacing w:line="480" w:lineRule="auto"/>
              <w:rPr>
                <w:rFonts w:ascii="Times New Roman" w:hAnsi="Times New Roman" w:cs="Times New Roman"/>
              </w:rPr>
            </w:pPr>
            <w:r>
              <w:rPr>
                <w:rFonts w:ascii="Times New Roman" w:hAnsi="Times New Roman" w:cs="Times New Roman"/>
              </w:rPr>
              <w:t>Overall PAHO region</w:t>
            </w:r>
          </w:p>
          <w:p w14:paraId="41122CE2" w14:textId="77777777" w:rsidR="00AF7657" w:rsidRPr="00BA7E40" w:rsidRDefault="00AF7657" w:rsidP="00CB56D9">
            <w:pPr>
              <w:spacing w:line="480" w:lineRule="auto"/>
              <w:rPr>
                <w:rFonts w:ascii="Times New Roman" w:hAnsi="Times New Roman" w:cs="Times New Roman"/>
                <w:b/>
                <w:color w:val="1C1C1C"/>
                <w:shd w:val="clear" w:color="auto" w:fill="FFFFFF"/>
              </w:rPr>
            </w:pPr>
            <w:r w:rsidRPr="00BA7E40">
              <w:rPr>
                <w:rFonts w:ascii="Times New Roman" w:hAnsi="Times New Roman" w:cs="Times New Roman"/>
              </w:rPr>
              <w:t>Mean (IQRs)</w:t>
            </w:r>
          </w:p>
        </w:tc>
        <w:tc>
          <w:tcPr>
            <w:tcW w:w="730" w:type="pct"/>
          </w:tcPr>
          <w:p w14:paraId="3FFFD721" w14:textId="5C5C7205" w:rsidR="00AF7657" w:rsidRPr="00BA7E40" w:rsidRDefault="00AF7657" w:rsidP="00CB56D9">
            <w:pPr>
              <w:spacing w:line="480" w:lineRule="auto"/>
              <w:rPr>
                <w:rFonts w:ascii="Times New Roman" w:hAnsi="Times New Roman" w:cs="Times New Roman"/>
                <w:b/>
                <w:color w:val="1C1C1C"/>
                <w:shd w:val="clear" w:color="auto" w:fill="FFFFFF"/>
              </w:rPr>
            </w:pPr>
            <w:r>
              <w:rPr>
                <w:rFonts w:ascii="Times New Roman" w:hAnsi="Times New Roman" w:cs="Times New Roman"/>
              </w:rPr>
              <w:t>Countries with overall  GHSI &lt;50</w:t>
            </w:r>
          </w:p>
        </w:tc>
        <w:tc>
          <w:tcPr>
            <w:tcW w:w="867" w:type="pct"/>
          </w:tcPr>
          <w:p w14:paraId="1DE4B5C3" w14:textId="0197DD61" w:rsidR="00AF7657" w:rsidRPr="00BA7E40" w:rsidRDefault="00AF7657" w:rsidP="00CB56D9">
            <w:pPr>
              <w:spacing w:line="480" w:lineRule="auto"/>
              <w:rPr>
                <w:rFonts w:ascii="Times New Roman" w:hAnsi="Times New Roman" w:cs="Times New Roman"/>
                <w:b/>
                <w:color w:val="1C1C1C"/>
                <w:shd w:val="clear" w:color="auto" w:fill="FFFFFF"/>
              </w:rPr>
            </w:pPr>
            <w:r>
              <w:rPr>
                <w:rFonts w:ascii="Times New Roman" w:hAnsi="Times New Roman" w:cs="Times New Roman"/>
              </w:rPr>
              <w:t>Countries with overall GHSI &gt;50</w:t>
            </w:r>
          </w:p>
        </w:tc>
      </w:tr>
      <w:tr w:rsidR="00AF7657" w:rsidRPr="00BA7E40" w14:paraId="555D589F" w14:textId="77777777" w:rsidTr="00AF7657">
        <w:tc>
          <w:tcPr>
            <w:tcW w:w="2586" w:type="pct"/>
          </w:tcPr>
          <w:p w14:paraId="598ED79E" w14:textId="77777777" w:rsidR="00AF7657" w:rsidRPr="00BA7E40" w:rsidRDefault="00AF7657" w:rsidP="00CB56D9">
            <w:pPr>
              <w:rPr>
                <w:rFonts w:ascii="Times New Roman" w:hAnsi="Times New Roman" w:cs="Times New Roman"/>
              </w:rPr>
            </w:pPr>
            <w:r w:rsidRPr="00BA7E40">
              <w:rPr>
                <w:rFonts w:ascii="Times New Roman" w:hAnsi="Times New Roman" w:cs="Times New Roman"/>
              </w:rPr>
              <w:t xml:space="preserve">Vaccination </w:t>
            </w:r>
          </w:p>
          <w:p w14:paraId="57F2BE90" w14:textId="77777777" w:rsidR="00AF7657" w:rsidRPr="00BA7E40" w:rsidRDefault="00AF7657" w:rsidP="00CB56D9">
            <w:pPr>
              <w:rPr>
                <w:rFonts w:ascii="Times New Roman" w:hAnsi="Times New Roman" w:cs="Times New Roman"/>
              </w:rPr>
            </w:pPr>
            <w:r>
              <w:rPr>
                <w:rFonts w:ascii="Times New Roman" w:hAnsi="Times New Roman" w:cs="Times New Roman"/>
              </w:rPr>
              <w:t>d</w:t>
            </w:r>
            <w:r w:rsidRPr="00BA7E40">
              <w:rPr>
                <w:rFonts w:ascii="Times New Roman" w:hAnsi="Times New Roman" w:cs="Times New Roman"/>
              </w:rPr>
              <w:t>oses/100 People</w:t>
            </w:r>
          </w:p>
          <w:p w14:paraId="16856D56" w14:textId="4CA854A4" w:rsidR="00AF7657" w:rsidRPr="00BA7E40" w:rsidRDefault="00AF7657" w:rsidP="00CB56D9">
            <w:pPr>
              <w:rPr>
                <w:rFonts w:ascii="Times New Roman" w:hAnsi="Times New Roman" w:cs="Times New Roman"/>
                <w:b/>
                <w:color w:val="1C1C1C"/>
                <w:shd w:val="clear" w:color="auto" w:fill="FFFFFF"/>
              </w:rPr>
            </w:pPr>
            <w:r w:rsidRPr="00BA7E40">
              <w:rPr>
                <w:rFonts w:ascii="Times New Roman" w:hAnsi="Times New Roman" w:cs="Times New Roman"/>
              </w:rPr>
              <w:t>(</w:t>
            </w:r>
            <w:r>
              <w:rPr>
                <w:rFonts w:ascii="Times New Roman" w:hAnsi="Times New Roman" w:cs="Times New Roman"/>
              </w:rPr>
              <w:t>31</w:t>
            </w:r>
            <w:r w:rsidRPr="00BA7E40">
              <w:rPr>
                <w:rFonts w:ascii="Times New Roman" w:hAnsi="Times New Roman" w:cs="Times New Roman"/>
              </w:rPr>
              <w:t xml:space="preserve"> </w:t>
            </w:r>
            <w:r>
              <w:rPr>
                <w:rFonts w:ascii="Times New Roman" w:hAnsi="Times New Roman" w:cs="Times New Roman"/>
              </w:rPr>
              <w:t>July</w:t>
            </w:r>
            <w:r w:rsidRPr="00BA7E40">
              <w:rPr>
                <w:rFonts w:ascii="Times New Roman" w:hAnsi="Times New Roman" w:cs="Times New Roman"/>
              </w:rPr>
              <w:t xml:space="preserve"> 2022)  </w:t>
            </w:r>
          </w:p>
        </w:tc>
        <w:tc>
          <w:tcPr>
            <w:tcW w:w="817" w:type="pct"/>
            <w:vAlign w:val="center"/>
          </w:tcPr>
          <w:p w14:paraId="17C0399C" w14:textId="4AE623E6" w:rsidR="00AF7657" w:rsidRPr="00BA7E40" w:rsidRDefault="00504238" w:rsidP="00CB56D9">
            <w:pPr>
              <w:jc w:val="center"/>
              <w:rPr>
                <w:rFonts w:ascii="Times New Roman" w:hAnsi="Times New Roman" w:cs="Times New Roman"/>
                <w:b/>
                <w:color w:val="1C1C1C"/>
                <w:shd w:val="clear" w:color="auto" w:fill="FFFFFF"/>
              </w:rPr>
            </w:pPr>
            <w:r>
              <w:rPr>
                <w:rFonts w:ascii="Times New Roman" w:hAnsi="Times New Roman" w:cs="Times New Roman"/>
                <w:b/>
                <w:color w:val="1C1C1C"/>
                <w:shd w:val="clear" w:color="auto" w:fill="FFFFFF"/>
              </w:rPr>
              <w:t>207.08 (139.54 – 274.63</w:t>
            </w:r>
            <w:r w:rsidR="00AF7657">
              <w:rPr>
                <w:rFonts w:ascii="Times New Roman" w:hAnsi="Times New Roman" w:cs="Times New Roman"/>
                <w:b/>
                <w:color w:val="1C1C1C"/>
                <w:shd w:val="clear" w:color="auto" w:fill="FFFFFF"/>
              </w:rPr>
              <w:t>)</w:t>
            </w:r>
          </w:p>
        </w:tc>
        <w:tc>
          <w:tcPr>
            <w:tcW w:w="730" w:type="pct"/>
            <w:vAlign w:val="center"/>
          </w:tcPr>
          <w:p w14:paraId="446EE672" w14:textId="321D9BDC" w:rsidR="00AF7657" w:rsidRPr="00BA7E40" w:rsidRDefault="00B957EF" w:rsidP="00CB56D9">
            <w:pPr>
              <w:jc w:val="center"/>
              <w:rPr>
                <w:rFonts w:ascii="Times New Roman" w:hAnsi="Times New Roman" w:cs="Times New Roman"/>
                <w:b/>
                <w:color w:val="1C1C1C"/>
                <w:shd w:val="clear" w:color="auto" w:fill="FFFFFF"/>
              </w:rPr>
            </w:pPr>
            <w:r>
              <w:rPr>
                <w:rFonts w:ascii="Times New Roman" w:hAnsi="Times New Roman" w:cs="Times New Roman"/>
                <w:b/>
                <w:color w:val="1C1C1C"/>
                <w:shd w:val="clear" w:color="auto" w:fill="FFFFFF"/>
              </w:rPr>
              <w:t>207.08 (139.54 – 274.63)</w:t>
            </w:r>
          </w:p>
        </w:tc>
        <w:tc>
          <w:tcPr>
            <w:tcW w:w="867" w:type="pct"/>
            <w:vAlign w:val="center"/>
          </w:tcPr>
          <w:p w14:paraId="6D8B75E8" w14:textId="78D8FE81" w:rsidR="00AF7657" w:rsidRPr="00BA7E40" w:rsidRDefault="00B957EF" w:rsidP="00CB56D9">
            <w:pPr>
              <w:jc w:val="center"/>
              <w:rPr>
                <w:rFonts w:ascii="Times New Roman" w:hAnsi="Times New Roman" w:cs="Times New Roman"/>
                <w:b/>
                <w:color w:val="1C1C1C"/>
                <w:shd w:val="clear" w:color="auto" w:fill="FFFFFF"/>
              </w:rPr>
            </w:pPr>
            <w:r>
              <w:rPr>
                <w:rFonts w:ascii="Times New Roman" w:hAnsi="Times New Roman" w:cs="Times New Roman"/>
                <w:b/>
                <w:color w:val="1C1C1C"/>
                <w:shd w:val="clear" w:color="auto" w:fill="FFFFFF"/>
              </w:rPr>
              <w:t>184.79 (51.06 – 318.52)</w:t>
            </w:r>
          </w:p>
        </w:tc>
      </w:tr>
      <w:tr w:rsidR="00AF7657" w:rsidRPr="00BA7E40" w14:paraId="1EC8BA65" w14:textId="77777777" w:rsidTr="00AF7657">
        <w:tc>
          <w:tcPr>
            <w:tcW w:w="2586" w:type="pct"/>
          </w:tcPr>
          <w:p w14:paraId="791DC1FF" w14:textId="475BB78C" w:rsidR="00AF7657" w:rsidRPr="00BA7E40" w:rsidRDefault="00AF7657" w:rsidP="00243017">
            <w:pPr>
              <w:rPr>
                <w:rFonts w:ascii="Times New Roman" w:hAnsi="Times New Roman" w:cs="Times New Roman"/>
                <w:b/>
                <w:color w:val="1C1C1C"/>
                <w:shd w:val="clear" w:color="auto" w:fill="FFFFFF"/>
              </w:rPr>
            </w:pPr>
            <w:r>
              <w:rPr>
                <w:rFonts w:ascii="Times New Roman" w:hAnsi="Times New Roman" w:cs="Times New Roman"/>
              </w:rPr>
              <w:t xml:space="preserve">Reported </w:t>
            </w:r>
            <w:r w:rsidRPr="00BA7E40">
              <w:rPr>
                <w:rFonts w:ascii="Times New Roman" w:hAnsi="Times New Roman" w:cs="Times New Roman"/>
              </w:rPr>
              <w:t xml:space="preserve">CFR by </w:t>
            </w:r>
            <w:r w:rsidRPr="00C26256">
              <w:t>December</w:t>
            </w:r>
            <w:r>
              <w:t xml:space="preserve"> 31,</w:t>
            </w:r>
            <w:r w:rsidRPr="00C26256">
              <w:t xml:space="preserve"> 2020</w:t>
            </w:r>
          </w:p>
        </w:tc>
        <w:tc>
          <w:tcPr>
            <w:tcW w:w="817" w:type="pct"/>
            <w:vAlign w:val="center"/>
          </w:tcPr>
          <w:p w14:paraId="05A8459B" w14:textId="24C83DA5" w:rsidR="00AF7657" w:rsidRPr="00BA7E40" w:rsidRDefault="00AF7657" w:rsidP="00243017">
            <w:pPr>
              <w:jc w:val="center"/>
              <w:rPr>
                <w:rFonts w:ascii="Times New Roman" w:hAnsi="Times New Roman" w:cs="Times New Roman"/>
                <w:b/>
                <w:color w:val="1C1C1C"/>
                <w:shd w:val="clear" w:color="auto" w:fill="FFFFFF"/>
              </w:rPr>
            </w:pPr>
            <w:r>
              <w:rPr>
                <w:rFonts w:ascii="Times New Roman" w:hAnsi="Times New Roman" w:cs="Times New Roman"/>
                <w:b/>
                <w:color w:val="1C1C1C"/>
                <w:shd w:val="clear" w:color="auto" w:fill="FFFFFF"/>
              </w:rPr>
              <w:t>2.87 (2.13 – 3.62)</w:t>
            </w:r>
          </w:p>
        </w:tc>
        <w:tc>
          <w:tcPr>
            <w:tcW w:w="730" w:type="pct"/>
            <w:vAlign w:val="center"/>
          </w:tcPr>
          <w:p w14:paraId="2383096D" w14:textId="388DF364" w:rsidR="00AF7657" w:rsidRPr="00BA7E40" w:rsidRDefault="00AF7657" w:rsidP="00243017">
            <w:pPr>
              <w:jc w:val="center"/>
              <w:rPr>
                <w:rFonts w:ascii="Times New Roman" w:hAnsi="Times New Roman" w:cs="Times New Roman"/>
                <w:b/>
                <w:color w:val="1C1C1C"/>
                <w:shd w:val="clear" w:color="auto" w:fill="FFFFFF"/>
              </w:rPr>
            </w:pPr>
            <w:r>
              <w:rPr>
                <w:rFonts w:ascii="Times New Roman" w:hAnsi="Times New Roman" w:cs="Times New Roman"/>
                <w:b/>
                <w:color w:val="1C1C1C"/>
                <w:shd w:val="clear" w:color="auto" w:fill="FFFFFF"/>
              </w:rPr>
              <w:t>2.55 (1.82 – 3.29)</w:t>
            </w:r>
          </w:p>
        </w:tc>
        <w:tc>
          <w:tcPr>
            <w:tcW w:w="867" w:type="pct"/>
            <w:vAlign w:val="center"/>
          </w:tcPr>
          <w:p w14:paraId="750D6453" w14:textId="38BF15E7" w:rsidR="00AF7657" w:rsidRPr="00BA7E40" w:rsidRDefault="00AF7657" w:rsidP="00243017">
            <w:pPr>
              <w:jc w:val="center"/>
              <w:rPr>
                <w:rFonts w:ascii="Times New Roman" w:hAnsi="Times New Roman" w:cs="Times New Roman"/>
                <w:b/>
                <w:color w:val="1C1C1C"/>
                <w:shd w:val="clear" w:color="auto" w:fill="FFFFFF"/>
              </w:rPr>
            </w:pPr>
            <w:r>
              <w:rPr>
                <w:rFonts w:ascii="Times New Roman" w:hAnsi="Times New Roman" w:cs="Times New Roman"/>
                <w:b/>
                <w:color w:val="1C1C1C"/>
                <w:shd w:val="clear" w:color="auto" w:fill="FFFFFF"/>
              </w:rPr>
              <w:t>3.96 (1.50 – 6.43)</w:t>
            </w:r>
          </w:p>
        </w:tc>
      </w:tr>
      <w:tr w:rsidR="00AF7657" w:rsidRPr="00BA7E40" w14:paraId="75BF40A1" w14:textId="77777777" w:rsidTr="00AF7657">
        <w:tc>
          <w:tcPr>
            <w:tcW w:w="2586" w:type="pct"/>
          </w:tcPr>
          <w:p w14:paraId="15A38611" w14:textId="42BF4F6C" w:rsidR="00AF7657" w:rsidRPr="00BA7E40" w:rsidRDefault="00AF7657" w:rsidP="00243017">
            <w:pPr>
              <w:rPr>
                <w:rFonts w:ascii="Times New Roman" w:hAnsi="Times New Roman" w:cs="Times New Roman"/>
                <w:b/>
                <w:color w:val="1C1C1C"/>
                <w:shd w:val="clear" w:color="auto" w:fill="FFFFFF"/>
              </w:rPr>
            </w:pPr>
            <w:r>
              <w:rPr>
                <w:rFonts w:ascii="Times New Roman" w:hAnsi="Times New Roman" w:cs="Times New Roman"/>
              </w:rPr>
              <w:t xml:space="preserve">Reported </w:t>
            </w:r>
            <w:r w:rsidRPr="00BA7E40">
              <w:rPr>
                <w:rFonts w:ascii="Times New Roman" w:hAnsi="Times New Roman" w:cs="Times New Roman"/>
              </w:rPr>
              <w:t xml:space="preserve">CFR by </w:t>
            </w:r>
            <w:r w:rsidRPr="00C26256">
              <w:t>June</w:t>
            </w:r>
            <w:r>
              <w:t xml:space="preserve"> 30,</w:t>
            </w:r>
            <w:r w:rsidRPr="00C26256">
              <w:t xml:space="preserve"> 2021</w:t>
            </w:r>
          </w:p>
        </w:tc>
        <w:tc>
          <w:tcPr>
            <w:tcW w:w="817" w:type="pct"/>
            <w:vAlign w:val="center"/>
          </w:tcPr>
          <w:p w14:paraId="3D5AF7B1" w14:textId="0CD4A06B" w:rsidR="00AF7657" w:rsidRPr="00BA7E40" w:rsidRDefault="00AF7657" w:rsidP="00243017">
            <w:pPr>
              <w:jc w:val="center"/>
              <w:rPr>
                <w:rFonts w:ascii="Times New Roman" w:hAnsi="Times New Roman" w:cs="Times New Roman"/>
                <w:b/>
                <w:color w:val="1C1C1C"/>
                <w:shd w:val="clear" w:color="auto" w:fill="FFFFFF"/>
              </w:rPr>
            </w:pPr>
            <w:r>
              <w:rPr>
                <w:rFonts w:ascii="Times New Roman" w:hAnsi="Times New Roman" w:cs="Times New Roman"/>
                <w:b/>
                <w:color w:val="1C1C1C"/>
                <w:shd w:val="clear" w:color="auto" w:fill="FFFFFF"/>
              </w:rPr>
              <w:t>2.54 (1.86 – 3.23)</w:t>
            </w:r>
          </w:p>
        </w:tc>
        <w:tc>
          <w:tcPr>
            <w:tcW w:w="730" w:type="pct"/>
            <w:vAlign w:val="center"/>
          </w:tcPr>
          <w:p w14:paraId="65DD2002" w14:textId="4314B694" w:rsidR="00AF7657" w:rsidRPr="00BA7E40" w:rsidRDefault="00AF7657" w:rsidP="00243017">
            <w:pPr>
              <w:jc w:val="center"/>
              <w:rPr>
                <w:rFonts w:ascii="Times New Roman" w:hAnsi="Times New Roman" w:cs="Times New Roman"/>
                <w:b/>
                <w:color w:val="1C1C1C"/>
                <w:shd w:val="clear" w:color="auto" w:fill="FFFFFF"/>
              </w:rPr>
            </w:pPr>
            <w:r>
              <w:rPr>
                <w:rFonts w:ascii="Times New Roman" w:hAnsi="Times New Roman" w:cs="Times New Roman"/>
                <w:b/>
                <w:color w:val="1C1C1C"/>
                <w:shd w:val="clear" w:color="auto" w:fill="FFFFFF"/>
              </w:rPr>
              <w:t>2.29 (1.63 – 2.96)</w:t>
            </w:r>
          </w:p>
        </w:tc>
        <w:tc>
          <w:tcPr>
            <w:tcW w:w="867" w:type="pct"/>
            <w:vAlign w:val="center"/>
          </w:tcPr>
          <w:p w14:paraId="6F21DD57" w14:textId="317E0E10" w:rsidR="00AF7657" w:rsidRPr="00BA7E40" w:rsidRDefault="00AF7657" w:rsidP="00243017">
            <w:pPr>
              <w:jc w:val="center"/>
              <w:rPr>
                <w:rFonts w:ascii="Times New Roman" w:hAnsi="Times New Roman" w:cs="Times New Roman"/>
                <w:b/>
                <w:color w:val="1C1C1C"/>
                <w:shd w:val="clear" w:color="auto" w:fill="FFFFFF"/>
              </w:rPr>
            </w:pPr>
            <w:r>
              <w:rPr>
                <w:rFonts w:ascii="Times New Roman" w:hAnsi="Times New Roman" w:cs="Times New Roman"/>
                <w:b/>
                <w:color w:val="1C1C1C"/>
                <w:shd w:val="clear" w:color="auto" w:fill="FFFFFF"/>
              </w:rPr>
              <w:t>3.51 (0.99 – 6.03)</w:t>
            </w:r>
          </w:p>
        </w:tc>
      </w:tr>
      <w:tr w:rsidR="00AF7657" w:rsidRPr="00BA7E40" w14:paraId="714BF0EE" w14:textId="77777777" w:rsidTr="00AF7657">
        <w:tc>
          <w:tcPr>
            <w:tcW w:w="2586" w:type="pct"/>
          </w:tcPr>
          <w:p w14:paraId="52FC501E" w14:textId="5B20AF12" w:rsidR="00AF7657" w:rsidRDefault="00AF7657" w:rsidP="00243017">
            <w:pPr>
              <w:rPr>
                <w:rFonts w:ascii="Times New Roman" w:hAnsi="Times New Roman" w:cs="Times New Roman"/>
              </w:rPr>
            </w:pPr>
            <w:r>
              <w:rPr>
                <w:rFonts w:ascii="Times New Roman" w:hAnsi="Times New Roman" w:cs="Times New Roman"/>
              </w:rPr>
              <w:t xml:space="preserve">Reported </w:t>
            </w:r>
            <w:r w:rsidRPr="00BA7E40">
              <w:rPr>
                <w:rFonts w:ascii="Times New Roman" w:hAnsi="Times New Roman" w:cs="Times New Roman"/>
              </w:rPr>
              <w:t xml:space="preserve">CFR by </w:t>
            </w:r>
            <w:r w:rsidRPr="00C26256">
              <w:t xml:space="preserve">December </w:t>
            </w:r>
            <w:r>
              <w:t xml:space="preserve">31, </w:t>
            </w:r>
            <w:r w:rsidRPr="00C26256">
              <w:t>2021</w:t>
            </w:r>
          </w:p>
        </w:tc>
        <w:tc>
          <w:tcPr>
            <w:tcW w:w="817" w:type="pct"/>
            <w:vAlign w:val="center"/>
          </w:tcPr>
          <w:p w14:paraId="349A7481" w14:textId="7AC5B8BE" w:rsidR="00AF7657" w:rsidRPr="00BA7E40" w:rsidRDefault="00AF7657" w:rsidP="00243017">
            <w:pPr>
              <w:jc w:val="center"/>
              <w:rPr>
                <w:rFonts w:ascii="Times New Roman" w:hAnsi="Times New Roman" w:cs="Times New Roman"/>
                <w:b/>
                <w:color w:val="1C1C1C"/>
                <w:shd w:val="clear" w:color="auto" w:fill="FFFFFF"/>
              </w:rPr>
            </w:pPr>
            <w:r>
              <w:rPr>
                <w:rFonts w:ascii="Times New Roman" w:hAnsi="Times New Roman" w:cs="Times New Roman"/>
                <w:b/>
                <w:color w:val="1C1C1C"/>
                <w:shd w:val="clear" w:color="auto" w:fill="FFFFFF"/>
              </w:rPr>
              <w:t>2.56 (1.96 – 3.17)</w:t>
            </w:r>
          </w:p>
        </w:tc>
        <w:tc>
          <w:tcPr>
            <w:tcW w:w="730" w:type="pct"/>
            <w:vAlign w:val="center"/>
          </w:tcPr>
          <w:p w14:paraId="24743808" w14:textId="1D7922BC" w:rsidR="00AF7657" w:rsidRPr="00BA7E40" w:rsidRDefault="00AF7657" w:rsidP="008B2F30">
            <w:pPr>
              <w:jc w:val="center"/>
              <w:rPr>
                <w:rFonts w:ascii="Times New Roman" w:hAnsi="Times New Roman" w:cs="Times New Roman"/>
                <w:b/>
                <w:color w:val="1C1C1C"/>
                <w:shd w:val="clear" w:color="auto" w:fill="FFFFFF"/>
              </w:rPr>
            </w:pPr>
            <w:r>
              <w:rPr>
                <w:rFonts w:ascii="Times New Roman" w:hAnsi="Times New Roman" w:cs="Times New Roman"/>
                <w:b/>
                <w:color w:val="1C1C1C"/>
                <w:shd w:val="clear" w:color="auto" w:fill="FFFFFF"/>
              </w:rPr>
              <w:t>2.36 (1.76 – 2.96)</w:t>
            </w:r>
          </w:p>
        </w:tc>
        <w:tc>
          <w:tcPr>
            <w:tcW w:w="867" w:type="pct"/>
            <w:vAlign w:val="center"/>
          </w:tcPr>
          <w:p w14:paraId="1996431B" w14:textId="1842A838" w:rsidR="00AF7657" w:rsidRPr="00BA7E40" w:rsidRDefault="00AF7657" w:rsidP="00243017">
            <w:pPr>
              <w:jc w:val="center"/>
              <w:rPr>
                <w:rFonts w:ascii="Times New Roman" w:hAnsi="Times New Roman" w:cs="Times New Roman"/>
                <w:b/>
                <w:color w:val="1C1C1C"/>
                <w:shd w:val="clear" w:color="auto" w:fill="FFFFFF"/>
              </w:rPr>
            </w:pPr>
            <w:r>
              <w:rPr>
                <w:rFonts w:ascii="Times New Roman" w:hAnsi="Times New Roman" w:cs="Times New Roman"/>
                <w:b/>
                <w:color w:val="1C1C1C"/>
                <w:shd w:val="clear" w:color="auto" w:fill="FFFFFF"/>
              </w:rPr>
              <w:t>3.36 (1.10 – 5.62)</w:t>
            </w:r>
          </w:p>
        </w:tc>
      </w:tr>
      <w:tr w:rsidR="00AF7657" w:rsidRPr="00BA7E40" w14:paraId="5DBCF4A2" w14:textId="77777777" w:rsidTr="00AF7657">
        <w:tc>
          <w:tcPr>
            <w:tcW w:w="2586" w:type="pct"/>
          </w:tcPr>
          <w:p w14:paraId="0966C04B" w14:textId="01C0EBBC" w:rsidR="00AF7657" w:rsidRDefault="00AF7657" w:rsidP="00243017">
            <w:pPr>
              <w:rPr>
                <w:rFonts w:ascii="Times New Roman" w:hAnsi="Times New Roman" w:cs="Times New Roman"/>
              </w:rPr>
            </w:pPr>
            <w:r>
              <w:rPr>
                <w:rFonts w:ascii="Times New Roman" w:hAnsi="Times New Roman" w:cs="Times New Roman"/>
              </w:rPr>
              <w:t xml:space="preserve">Reported </w:t>
            </w:r>
            <w:r w:rsidRPr="00BA7E40">
              <w:rPr>
                <w:rFonts w:ascii="Times New Roman" w:hAnsi="Times New Roman" w:cs="Times New Roman"/>
              </w:rPr>
              <w:t xml:space="preserve">CFR by </w:t>
            </w:r>
            <w:r>
              <w:t>July 31, 2022</w:t>
            </w:r>
          </w:p>
        </w:tc>
        <w:tc>
          <w:tcPr>
            <w:tcW w:w="817" w:type="pct"/>
            <w:vAlign w:val="center"/>
          </w:tcPr>
          <w:p w14:paraId="45EBAB07" w14:textId="11568712" w:rsidR="00AF7657" w:rsidRPr="00BA7E40" w:rsidRDefault="00AF7657" w:rsidP="00243017">
            <w:pPr>
              <w:jc w:val="center"/>
              <w:rPr>
                <w:rFonts w:ascii="Times New Roman" w:hAnsi="Times New Roman" w:cs="Times New Roman"/>
                <w:b/>
                <w:color w:val="1C1C1C"/>
                <w:shd w:val="clear" w:color="auto" w:fill="FFFFFF"/>
              </w:rPr>
            </w:pPr>
            <w:r>
              <w:rPr>
                <w:rFonts w:ascii="Times New Roman" w:hAnsi="Times New Roman" w:cs="Times New Roman"/>
                <w:b/>
                <w:color w:val="1C1C1C"/>
                <w:shd w:val="clear" w:color="auto" w:fill="FFFFFF"/>
              </w:rPr>
              <w:t>1.78 (1.40 – 2.17)</w:t>
            </w:r>
          </w:p>
        </w:tc>
        <w:tc>
          <w:tcPr>
            <w:tcW w:w="730" w:type="pct"/>
            <w:vAlign w:val="center"/>
          </w:tcPr>
          <w:p w14:paraId="7D0D04B4" w14:textId="64F167EF" w:rsidR="00AF7657" w:rsidRPr="00BA7E40" w:rsidRDefault="00AF7657" w:rsidP="00243017">
            <w:pPr>
              <w:jc w:val="center"/>
              <w:rPr>
                <w:rFonts w:ascii="Times New Roman" w:hAnsi="Times New Roman" w:cs="Times New Roman"/>
                <w:b/>
                <w:color w:val="1C1C1C"/>
                <w:shd w:val="clear" w:color="auto" w:fill="FFFFFF"/>
              </w:rPr>
            </w:pPr>
            <w:r>
              <w:rPr>
                <w:rFonts w:ascii="Times New Roman" w:hAnsi="Times New Roman" w:cs="Times New Roman"/>
                <w:b/>
                <w:color w:val="1C1C1C"/>
                <w:shd w:val="clear" w:color="auto" w:fill="FFFFFF"/>
              </w:rPr>
              <w:t>1.67 (1.28 – 2.07)</w:t>
            </w:r>
          </w:p>
        </w:tc>
        <w:tc>
          <w:tcPr>
            <w:tcW w:w="867" w:type="pct"/>
            <w:vAlign w:val="center"/>
          </w:tcPr>
          <w:p w14:paraId="777A736F" w14:textId="767071DF" w:rsidR="00AF7657" w:rsidRPr="00BA7E40" w:rsidRDefault="00AF7657" w:rsidP="00243017">
            <w:pPr>
              <w:jc w:val="center"/>
              <w:rPr>
                <w:rFonts w:ascii="Times New Roman" w:hAnsi="Times New Roman" w:cs="Times New Roman"/>
                <w:b/>
                <w:color w:val="1C1C1C"/>
                <w:shd w:val="clear" w:color="auto" w:fill="FFFFFF"/>
              </w:rPr>
            </w:pPr>
            <w:r>
              <w:rPr>
                <w:rFonts w:ascii="Times New Roman" w:hAnsi="Times New Roman" w:cs="Times New Roman"/>
                <w:b/>
                <w:color w:val="1C1C1C"/>
                <w:shd w:val="clear" w:color="auto" w:fill="FFFFFF"/>
              </w:rPr>
              <w:t>2.22 (0.84 – 3.6)</w:t>
            </w:r>
          </w:p>
        </w:tc>
      </w:tr>
      <w:tr w:rsidR="00AF7657" w:rsidRPr="00BA7E40" w14:paraId="4A77EF4A" w14:textId="77777777" w:rsidTr="00AF7657">
        <w:tc>
          <w:tcPr>
            <w:tcW w:w="2586" w:type="pct"/>
          </w:tcPr>
          <w:p w14:paraId="451F61D1" w14:textId="77777777" w:rsidR="00AF7657" w:rsidRDefault="00AF7657" w:rsidP="00243017">
            <w:pPr>
              <w:rPr>
                <w:rFonts w:ascii="Times New Roman" w:hAnsi="Times New Roman" w:cs="Times New Roman"/>
              </w:rPr>
            </w:pPr>
            <w:r>
              <w:rPr>
                <w:rFonts w:ascii="Times New Roman" w:hAnsi="Times New Roman" w:cs="Times New Roman"/>
              </w:rPr>
              <w:t>Reported CFR dropped by (%)</w:t>
            </w:r>
          </w:p>
        </w:tc>
        <w:tc>
          <w:tcPr>
            <w:tcW w:w="817" w:type="pct"/>
            <w:vAlign w:val="center"/>
          </w:tcPr>
          <w:p w14:paraId="5FF86192" w14:textId="2A549B5E" w:rsidR="00AF7657" w:rsidRDefault="00AF7657" w:rsidP="00243017">
            <w:pPr>
              <w:jc w:val="center"/>
              <w:rPr>
                <w:rFonts w:ascii="Times New Roman" w:hAnsi="Times New Roman" w:cs="Times New Roman"/>
              </w:rPr>
            </w:pPr>
            <w:r>
              <w:rPr>
                <w:rFonts w:ascii="Times New Roman" w:hAnsi="Times New Roman" w:cs="Times New Roman"/>
              </w:rPr>
              <w:t>37.98%</w:t>
            </w:r>
          </w:p>
        </w:tc>
        <w:tc>
          <w:tcPr>
            <w:tcW w:w="730" w:type="pct"/>
            <w:vAlign w:val="center"/>
          </w:tcPr>
          <w:p w14:paraId="56C4054A" w14:textId="24AF70B2" w:rsidR="00AF7657" w:rsidRDefault="00AF7657" w:rsidP="00243017">
            <w:pPr>
              <w:jc w:val="center"/>
              <w:rPr>
                <w:rFonts w:ascii="Times New Roman" w:hAnsi="Times New Roman" w:cs="Times New Roman"/>
              </w:rPr>
            </w:pPr>
            <w:r>
              <w:rPr>
                <w:rFonts w:ascii="Times New Roman" w:hAnsi="Times New Roman" w:cs="Times New Roman"/>
              </w:rPr>
              <w:t>34.51%</w:t>
            </w:r>
          </w:p>
        </w:tc>
        <w:tc>
          <w:tcPr>
            <w:tcW w:w="867" w:type="pct"/>
            <w:vAlign w:val="center"/>
          </w:tcPr>
          <w:p w14:paraId="390BCD43" w14:textId="7E029BC0" w:rsidR="00AF7657" w:rsidRDefault="00AF7657" w:rsidP="00243017">
            <w:pPr>
              <w:jc w:val="center"/>
              <w:rPr>
                <w:rFonts w:ascii="Times New Roman" w:hAnsi="Times New Roman" w:cs="Times New Roman"/>
              </w:rPr>
            </w:pPr>
            <w:r>
              <w:rPr>
                <w:rFonts w:ascii="Times New Roman" w:hAnsi="Times New Roman" w:cs="Times New Roman"/>
              </w:rPr>
              <w:t>43.94%</w:t>
            </w:r>
          </w:p>
        </w:tc>
      </w:tr>
      <w:tr w:rsidR="00AF7657" w:rsidRPr="00BA7E40" w14:paraId="256355D8" w14:textId="77777777" w:rsidTr="00AF7657">
        <w:tc>
          <w:tcPr>
            <w:tcW w:w="2586" w:type="pct"/>
          </w:tcPr>
          <w:p w14:paraId="7623CB70" w14:textId="2443D7AA" w:rsidR="00AF7657" w:rsidRDefault="00AF7657" w:rsidP="00243017">
            <w:pPr>
              <w:rPr>
                <w:rFonts w:ascii="Times New Roman" w:hAnsi="Times New Roman" w:cs="Times New Roman"/>
              </w:rPr>
            </w:pPr>
            <w:r>
              <w:rPr>
                <w:rFonts w:ascii="Times New Roman" w:hAnsi="Times New Roman" w:cs="Times New Roman"/>
              </w:rPr>
              <w:t>p</w:t>
            </w:r>
            <w:r w:rsidRPr="00BA7E40">
              <w:rPr>
                <w:rFonts w:ascii="Times New Roman" w:hAnsi="Times New Roman" w:cs="Times New Roman"/>
              </w:rPr>
              <w:t xml:space="preserve">-value (for </w:t>
            </w:r>
            <w:r>
              <w:rPr>
                <w:rFonts w:ascii="Times New Roman" w:hAnsi="Times New Roman" w:cs="Times New Roman"/>
              </w:rPr>
              <w:t xml:space="preserve">the differences of </w:t>
            </w:r>
            <w:proofErr w:type="spellStart"/>
            <w:r>
              <w:rPr>
                <w:rFonts w:ascii="Times New Roman" w:hAnsi="Times New Roman" w:cs="Times New Roman"/>
              </w:rPr>
              <w:t>rCFR</w:t>
            </w:r>
            <w:proofErr w:type="spellEnd"/>
            <w:r>
              <w:rPr>
                <w:rFonts w:ascii="Times New Roman" w:hAnsi="Times New Roman" w:cs="Times New Roman"/>
              </w:rPr>
              <w:t xml:space="preserve"> between 31 Dec 2020</w:t>
            </w:r>
            <w:r w:rsidRPr="00BA7E40">
              <w:rPr>
                <w:rFonts w:ascii="Times New Roman" w:hAnsi="Times New Roman" w:cs="Times New Roman"/>
              </w:rPr>
              <w:t xml:space="preserve"> and </w:t>
            </w:r>
            <w:r>
              <w:rPr>
                <w:rFonts w:ascii="Times New Roman" w:hAnsi="Times New Roman" w:cs="Times New Roman"/>
              </w:rPr>
              <w:t>31</w:t>
            </w:r>
            <w:r w:rsidRPr="00BA7E40">
              <w:rPr>
                <w:rFonts w:ascii="Times New Roman" w:hAnsi="Times New Roman" w:cs="Times New Roman"/>
              </w:rPr>
              <w:t xml:space="preserve"> </w:t>
            </w:r>
            <w:r>
              <w:rPr>
                <w:rFonts w:ascii="Times New Roman" w:hAnsi="Times New Roman" w:cs="Times New Roman"/>
              </w:rPr>
              <w:t>July</w:t>
            </w:r>
            <w:r w:rsidRPr="00BA7E40">
              <w:rPr>
                <w:rFonts w:ascii="Times New Roman" w:hAnsi="Times New Roman" w:cs="Times New Roman"/>
              </w:rPr>
              <w:t xml:space="preserve"> 2022)</w:t>
            </w:r>
          </w:p>
        </w:tc>
        <w:tc>
          <w:tcPr>
            <w:tcW w:w="817" w:type="pct"/>
            <w:vAlign w:val="center"/>
          </w:tcPr>
          <w:p w14:paraId="5640748F" w14:textId="075F3E30" w:rsidR="00AF7657" w:rsidRDefault="00AF7657" w:rsidP="00243017">
            <w:pPr>
              <w:jc w:val="center"/>
              <w:rPr>
                <w:rFonts w:ascii="Times New Roman" w:hAnsi="Times New Roman" w:cs="Times New Roman"/>
              </w:rPr>
            </w:pPr>
            <w:r>
              <w:rPr>
                <w:rFonts w:ascii="Times New Roman" w:hAnsi="Times New Roman" w:cs="Times New Roman"/>
              </w:rPr>
              <w:t>&lt;0.001</w:t>
            </w:r>
          </w:p>
        </w:tc>
        <w:tc>
          <w:tcPr>
            <w:tcW w:w="730" w:type="pct"/>
            <w:vAlign w:val="center"/>
          </w:tcPr>
          <w:p w14:paraId="01C468F2" w14:textId="4326B48F" w:rsidR="00AF7657" w:rsidRDefault="00AF7657" w:rsidP="00243017">
            <w:pPr>
              <w:jc w:val="center"/>
              <w:rPr>
                <w:rFonts w:ascii="Times New Roman" w:hAnsi="Times New Roman" w:cs="Times New Roman"/>
              </w:rPr>
            </w:pPr>
            <w:r>
              <w:rPr>
                <w:rFonts w:ascii="Times New Roman" w:hAnsi="Times New Roman" w:cs="Times New Roman"/>
              </w:rPr>
              <w:t>0.037</w:t>
            </w:r>
          </w:p>
        </w:tc>
        <w:tc>
          <w:tcPr>
            <w:tcW w:w="867" w:type="pct"/>
            <w:vAlign w:val="center"/>
          </w:tcPr>
          <w:p w14:paraId="66FABAF8" w14:textId="026D261B" w:rsidR="00AF7657" w:rsidRDefault="00AF7657" w:rsidP="00243017">
            <w:pPr>
              <w:jc w:val="center"/>
              <w:rPr>
                <w:rFonts w:ascii="Times New Roman" w:hAnsi="Times New Roman" w:cs="Times New Roman"/>
              </w:rPr>
            </w:pPr>
            <w:r>
              <w:rPr>
                <w:rFonts w:ascii="Times New Roman" w:hAnsi="Times New Roman" w:cs="Times New Roman"/>
              </w:rPr>
              <w:t>0.003</w:t>
            </w:r>
          </w:p>
        </w:tc>
      </w:tr>
      <w:tr w:rsidR="00AF7657" w:rsidRPr="00BA7E40" w14:paraId="44ECE9C3" w14:textId="77777777" w:rsidTr="00AF7657">
        <w:tc>
          <w:tcPr>
            <w:tcW w:w="2586" w:type="pct"/>
          </w:tcPr>
          <w:p w14:paraId="73F6A8DB" w14:textId="47682E4C" w:rsidR="00AF7657" w:rsidRDefault="00AF7657" w:rsidP="00243017">
            <w:pPr>
              <w:rPr>
                <w:rFonts w:ascii="Times New Roman" w:hAnsi="Times New Roman" w:cs="Times New Roman"/>
              </w:rPr>
            </w:pPr>
            <w:r>
              <w:rPr>
                <w:rFonts w:ascii="Times New Roman" w:hAnsi="Times New Roman" w:cs="Times New Roman"/>
              </w:rPr>
              <w:t>Excess mortality</w:t>
            </w:r>
            <w:r w:rsidRPr="00BA7E40">
              <w:rPr>
                <w:rFonts w:ascii="Times New Roman" w:hAnsi="Times New Roman" w:cs="Times New Roman"/>
              </w:rPr>
              <w:t xml:space="preserve"> </w:t>
            </w:r>
            <w:r>
              <w:rPr>
                <w:rFonts w:ascii="Times New Roman" w:hAnsi="Times New Roman" w:cs="Times New Roman"/>
              </w:rPr>
              <w:t xml:space="preserve">(deaths/100,000) </w:t>
            </w:r>
            <w:r w:rsidRPr="00BA7E40">
              <w:rPr>
                <w:rFonts w:ascii="Times New Roman" w:hAnsi="Times New Roman" w:cs="Times New Roman"/>
              </w:rPr>
              <w:t xml:space="preserve">by </w:t>
            </w:r>
            <w:r w:rsidRPr="00C26256">
              <w:t>December</w:t>
            </w:r>
            <w:r>
              <w:t xml:space="preserve"> 28,</w:t>
            </w:r>
            <w:r w:rsidRPr="00C26256">
              <w:t xml:space="preserve"> 2020</w:t>
            </w:r>
          </w:p>
        </w:tc>
        <w:tc>
          <w:tcPr>
            <w:tcW w:w="817" w:type="pct"/>
            <w:vAlign w:val="center"/>
          </w:tcPr>
          <w:p w14:paraId="58B8BC9D" w14:textId="705099F1" w:rsidR="00AF7657" w:rsidRDefault="00AF7657" w:rsidP="00243017">
            <w:pPr>
              <w:jc w:val="center"/>
              <w:rPr>
                <w:rFonts w:ascii="Times New Roman" w:hAnsi="Times New Roman" w:cs="Times New Roman"/>
              </w:rPr>
            </w:pPr>
            <w:r>
              <w:rPr>
                <w:rFonts w:ascii="Times New Roman" w:hAnsi="Times New Roman" w:cs="Times New Roman"/>
              </w:rPr>
              <w:t>0.31 (0.18 – 0.44)</w:t>
            </w:r>
          </w:p>
        </w:tc>
        <w:tc>
          <w:tcPr>
            <w:tcW w:w="730" w:type="pct"/>
            <w:vAlign w:val="center"/>
          </w:tcPr>
          <w:p w14:paraId="4228B1F8" w14:textId="05B16235" w:rsidR="00AF7657" w:rsidRDefault="00BB5EE9" w:rsidP="00243017">
            <w:pPr>
              <w:jc w:val="center"/>
              <w:rPr>
                <w:rFonts w:ascii="Times New Roman" w:hAnsi="Times New Roman" w:cs="Times New Roman"/>
              </w:rPr>
            </w:pPr>
            <w:r>
              <w:rPr>
                <w:rFonts w:ascii="Times New Roman" w:hAnsi="Times New Roman" w:cs="Times New Roman"/>
              </w:rPr>
              <w:t>0.22 (0.13 – 0.31)</w:t>
            </w:r>
          </w:p>
        </w:tc>
        <w:tc>
          <w:tcPr>
            <w:tcW w:w="867" w:type="pct"/>
            <w:vAlign w:val="center"/>
          </w:tcPr>
          <w:p w14:paraId="2E405641" w14:textId="5C4B1D72" w:rsidR="00AF7657" w:rsidRDefault="00BB5EE9" w:rsidP="00243017">
            <w:pPr>
              <w:jc w:val="center"/>
              <w:rPr>
                <w:rFonts w:ascii="Times New Roman" w:hAnsi="Times New Roman" w:cs="Times New Roman"/>
              </w:rPr>
            </w:pPr>
            <w:r>
              <w:rPr>
                <w:rFonts w:ascii="Times New Roman" w:hAnsi="Times New Roman" w:cs="Times New Roman"/>
              </w:rPr>
              <w:t>0.64 (0.05 – 1.23)</w:t>
            </w:r>
          </w:p>
        </w:tc>
      </w:tr>
      <w:tr w:rsidR="00AF7657" w:rsidRPr="00BA7E40" w14:paraId="1EA20E62" w14:textId="77777777" w:rsidTr="00AF7657">
        <w:tc>
          <w:tcPr>
            <w:tcW w:w="2586" w:type="pct"/>
          </w:tcPr>
          <w:p w14:paraId="4FD0C6AA" w14:textId="60EC4E75" w:rsidR="00AF7657" w:rsidRDefault="00AF7657" w:rsidP="00243017">
            <w:pPr>
              <w:rPr>
                <w:rFonts w:ascii="Times New Roman" w:hAnsi="Times New Roman" w:cs="Times New Roman"/>
              </w:rPr>
            </w:pPr>
            <w:r>
              <w:rPr>
                <w:rFonts w:ascii="Times New Roman" w:hAnsi="Times New Roman" w:cs="Times New Roman"/>
              </w:rPr>
              <w:t>Excess mortality</w:t>
            </w:r>
            <w:r w:rsidRPr="00BA7E40">
              <w:rPr>
                <w:rFonts w:ascii="Times New Roman" w:hAnsi="Times New Roman" w:cs="Times New Roman"/>
              </w:rPr>
              <w:t xml:space="preserve"> </w:t>
            </w:r>
            <w:r>
              <w:rPr>
                <w:rFonts w:ascii="Times New Roman" w:hAnsi="Times New Roman" w:cs="Times New Roman"/>
              </w:rPr>
              <w:t>(deaths/100,000)</w:t>
            </w:r>
            <w:r w:rsidRPr="00BA7E40">
              <w:rPr>
                <w:rFonts w:ascii="Times New Roman" w:hAnsi="Times New Roman" w:cs="Times New Roman"/>
              </w:rPr>
              <w:t xml:space="preserve"> by </w:t>
            </w:r>
            <w:r w:rsidRPr="00C26256">
              <w:t>June</w:t>
            </w:r>
            <w:r>
              <w:t xml:space="preserve"> 28,</w:t>
            </w:r>
            <w:r w:rsidRPr="00C26256">
              <w:t xml:space="preserve"> 2021</w:t>
            </w:r>
          </w:p>
        </w:tc>
        <w:tc>
          <w:tcPr>
            <w:tcW w:w="817" w:type="pct"/>
            <w:vAlign w:val="center"/>
          </w:tcPr>
          <w:p w14:paraId="17624605" w14:textId="60988050" w:rsidR="00AF7657" w:rsidRDefault="00AF7657" w:rsidP="00243017">
            <w:pPr>
              <w:jc w:val="center"/>
              <w:rPr>
                <w:rFonts w:ascii="Times New Roman" w:hAnsi="Times New Roman" w:cs="Times New Roman"/>
              </w:rPr>
            </w:pPr>
            <w:r>
              <w:rPr>
                <w:rFonts w:ascii="Times New Roman" w:hAnsi="Times New Roman" w:cs="Times New Roman"/>
              </w:rPr>
              <w:t>0.49 (0.30 – 0.68)</w:t>
            </w:r>
          </w:p>
        </w:tc>
        <w:tc>
          <w:tcPr>
            <w:tcW w:w="730" w:type="pct"/>
            <w:vAlign w:val="center"/>
          </w:tcPr>
          <w:p w14:paraId="3024F4A0" w14:textId="0CACB4E1" w:rsidR="00AF7657" w:rsidRDefault="006A742F" w:rsidP="00243017">
            <w:pPr>
              <w:jc w:val="center"/>
              <w:rPr>
                <w:rFonts w:ascii="Times New Roman" w:hAnsi="Times New Roman" w:cs="Times New Roman"/>
              </w:rPr>
            </w:pPr>
            <w:r>
              <w:rPr>
                <w:rFonts w:ascii="Times New Roman" w:hAnsi="Times New Roman" w:cs="Times New Roman"/>
              </w:rPr>
              <w:t>0.48 (0.26 – 0.70)</w:t>
            </w:r>
          </w:p>
        </w:tc>
        <w:tc>
          <w:tcPr>
            <w:tcW w:w="867" w:type="pct"/>
            <w:vAlign w:val="center"/>
          </w:tcPr>
          <w:p w14:paraId="14C96A8E" w14:textId="60BCD81B" w:rsidR="00AF7657" w:rsidRDefault="006A742F" w:rsidP="00243017">
            <w:pPr>
              <w:jc w:val="center"/>
              <w:rPr>
                <w:rFonts w:ascii="Times New Roman" w:hAnsi="Times New Roman" w:cs="Times New Roman"/>
              </w:rPr>
            </w:pPr>
            <w:r>
              <w:rPr>
                <w:rFonts w:ascii="Times New Roman" w:hAnsi="Times New Roman" w:cs="Times New Roman"/>
              </w:rPr>
              <w:t>0.53 (0.08 – 0.99)</w:t>
            </w:r>
          </w:p>
        </w:tc>
      </w:tr>
      <w:tr w:rsidR="00AF7657" w:rsidRPr="00BA7E40" w14:paraId="2DCF1436" w14:textId="77777777" w:rsidTr="00AF7657">
        <w:tc>
          <w:tcPr>
            <w:tcW w:w="2586" w:type="pct"/>
          </w:tcPr>
          <w:p w14:paraId="243AC0FE" w14:textId="0EE42B1F" w:rsidR="00AF7657" w:rsidRDefault="00AF7657" w:rsidP="00243017">
            <w:pPr>
              <w:rPr>
                <w:rFonts w:ascii="Times New Roman" w:hAnsi="Times New Roman" w:cs="Times New Roman"/>
              </w:rPr>
            </w:pPr>
            <w:r>
              <w:rPr>
                <w:rFonts w:ascii="Times New Roman" w:hAnsi="Times New Roman" w:cs="Times New Roman"/>
              </w:rPr>
              <w:t>Excess mortality</w:t>
            </w:r>
            <w:r w:rsidRPr="00BA7E40">
              <w:rPr>
                <w:rFonts w:ascii="Times New Roman" w:hAnsi="Times New Roman" w:cs="Times New Roman"/>
              </w:rPr>
              <w:t xml:space="preserve"> </w:t>
            </w:r>
            <w:r>
              <w:rPr>
                <w:rFonts w:ascii="Times New Roman" w:hAnsi="Times New Roman" w:cs="Times New Roman"/>
              </w:rPr>
              <w:t>(deaths/100,000)</w:t>
            </w:r>
            <w:r w:rsidRPr="00BA7E40">
              <w:rPr>
                <w:rFonts w:ascii="Times New Roman" w:hAnsi="Times New Roman" w:cs="Times New Roman"/>
              </w:rPr>
              <w:t xml:space="preserve"> by </w:t>
            </w:r>
            <w:r w:rsidRPr="00C26256">
              <w:t xml:space="preserve">December </w:t>
            </w:r>
            <w:r>
              <w:t xml:space="preserve">27, </w:t>
            </w:r>
            <w:r w:rsidRPr="00C26256">
              <w:t>2021</w:t>
            </w:r>
          </w:p>
        </w:tc>
        <w:tc>
          <w:tcPr>
            <w:tcW w:w="817" w:type="pct"/>
            <w:vAlign w:val="center"/>
          </w:tcPr>
          <w:p w14:paraId="7D0AA90F" w14:textId="61580A67" w:rsidR="00AF7657" w:rsidRDefault="00AF7657" w:rsidP="00243017">
            <w:pPr>
              <w:jc w:val="center"/>
              <w:rPr>
                <w:rFonts w:ascii="Times New Roman" w:hAnsi="Times New Roman" w:cs="Times New Roman"/>
              </w:rPr>
            </w:pPr>
            <w:r>
              <w:rPr>
                <w:rFonts w:ascii="Times New Roman" w:hAnsi="Times New Roman" w:cs="Times New Roman"/>
              </w:rPr>
              <w:t>0.25 (0.15 – 0.35)</w:t>
            </w:r>
          </w:p>
        </w:tc>
        <w:tc>
          <w:tcPr>
            <w:tcW w:w="730" w:type="pct"/>
            <w:vAlign w:val="center"/>
          </w:tcPr>
          <w:p w14:paraId="1D04AE05" w14:textId="3C642D65" w:rsidR="00AF7657" w:rsidRDefault="00D169D2" w:rsidP="00243017">
            <w:pPr>
              <w:jc w:val="center"/>
              <w:rPr>
                <w:rFonts w:ascii="Times New Roman" w:hAnsi="Times New Roman" w:cs="Times New Roman"/>
              </w:rPr>
            </w:pPr>
            <w:r>
              <w:rPr>
                <w:rFonts w:ascii="Times New Roman" w:hAnsi="Times New Roman" w:cs="Times New Roman"/>
              </w:rPr>
              <w:t>0.24 (0.12 – 0.37)</w:t>
            </w:r>
          </w:p>
        </w:tc>
        <w:tc>
          <w:tcPr>
            <w:tcW w:w="867" w:type="pct"/>
            <w:vAlign w:val="center"/>
          </w:tcPr>
          <w:p w14:paraId="5794BC2C" w14:textId="0F25DCFB" w:rsidR="00AF7657" w:rsidRDefault="00D169D2" w:rsidP="00243017">
            <w:pPr>
              <w:jc w:val="center"/>
              <w:rPr>
                <w:rFonts w:ascii="Times New Roman" w:hAnsi="Times New Roman" w:cs="Times New Roman"/>
              </w:rPr>
            </w:pPr>
            <w:r>
              <w:rPr>
                <w:rFonts w:ascii="Times New Roman" w:hAnsi="Times New Roman" w:cs="Times New Roman"/>
              </w:rPr>
              <w:t>0.28 (0.09 – 0.46)</w:t>
            </w:r>
          </w:p>
        </w:tc>
      </w:tr>
      <w:tr w:rsidR="00AF7657" w:rsidRPr="00BA7E40" w14:paraId="657724CA" w14:textId="77777777" w:rsidTr="00AF7657">
        <w:tc>
          <w:tcPr>
            <w:tcW w:w="2586" w:type="pct"/>
          </w:tcPr>
          <w:p w14:paraId="7C471529" w14:textId="57054018" w:rsidR="00AF7657" w:rsidRDefault="00AF7657" w:rsidP="00243017">
            <w:pPr>
              <w:rPr>
                <w:rFonts w:ascii="Times New Roman" w:hAnsi="Times New Roman" w:cs="Times New Roman"/>
              </w:rPr>
            </w:pPr>
            <w:r>
              <w:rPr>
                <w:rFonts w:ascii="Times New Roman" w:hAnsi="Times New Roman" w:cs="Times New Roman"/>
              </w:rPr>
              <w:t>Excess mortality</w:t>
            </w:r>
            <w:r w:rsidRPr="00BA7E40">
              <w:rPr>
                <w:rFonts w:ascii="Times New Roman" w:hAnsi="Times New Roman" w:cs="Times New Roman"/>
              </w:rPr>
              <w:t xml:space="preserve"> </w:t>
            </w:r>
            <w:r>
              <w:rPr>
                <w:rFonts w:ascii="Times New Roman" w:hAnsi="Times New Roman" w:cs="Times New Roman"/>
              </w:rPr>
              <w:t>(deaths/100,000)</w:t>
            </w:r>
            <w:r w:rsidRPr="00BA7E40">
              <w:rPr>
                <w:rFonts w:ascii="Times New Roman" w:hAnsi="Times New Roman" w:cs="Times New Roman"/>
              </w:rPr>
              <w:t xml:space="preserve"> by </w:t>
            </w:r>
            <w:r>
              <w:t>July 26, 2022</w:t>
            </w:r>
          </w:p>
        </w:tc>
        <w:tc>
          <w:tcPr>
            <w:tcW w:w="817" w:type="pct"/>
            <w:vAlign w:val="center"/>
          </w:tcPr>
          <w:p w14:paraId="4E03C0BD" w14:textId="05A1CA9F" w:rsidR="00AF7657" w:rsidRDefault="00AF7657" w:rsidP="00243017">
            <w:pPr>
              <w:jc w:val="center"/>
              <w:rPr>
                <w:rFonts w:ascii="Times New Roman" w:hAnsi="Times New Roman" w:cs="Times New Roman"/>
              </w:rPr>
            </w:pPr>
            <w:r>
              <w:rPr>
                <w:rFonts w:ascii="Times New Roman" w:hAnsi="Times New Roman" w:cs="Times New Roman"/>
              </w:rPr>
              <w:t>0.26 (0.20 – 0.34)</w:t>
            </w:r>
          </w:p>
        </w:tc>
        <w:tc>
          <w:tcPr>
            <w:tcW w:w="730" w:type="pct"/>
            <w:vAlign w:val="center"/>
          </w:tcPr>
          <w:p w14:paraId="0105F80B" w14:textId="12A1EF29" w:rsidR="00AF7657" w:rsidRDefault="00CA3154" w:rsidP="00243017">
            <w:pPr>
              <w:jc w:val="center"/>
              <w:rPr>
                <w:rFonts w:ascii="Times New Roman" w:hAnsi="Times New Roman" w:cs="Times New Roman"/>
              </w:rPr>
            </w:pPr>
            <w:r>
              <w:rPr>
                <w:rFonts w:ascii="Times New Roman" w:hAnsi="Times New Roman" w:cs="Times New Roman"/>
              </w:rPr>
              <w:t>0.25 (0.18 – 0.33)</w:t>
            </w:r>
          </w:p>
        </w:tc>
        <w:tc>
          <w:tcPr>
            <w:tcW w:w="867" w:type="pct"/>
            <w:vAlign w:val="center"/>
          </w:tcPr>
          <w:p w14:paraId="5D096841" w14:textId="6CA82377" w:rsidR="00AF7657" w:rsidRDefault="00CA3154" w:rsidP="00243017">
            <w:pPr>
              <w:jc w:val="center"/>
              <w:rPr>
                <w:rFonts w:ascii="Times New Roman" w:hAnsi="Times New Roman" w:cs="Times New Roman"/>
              </w:rPr>
            </w:pPr>
            <w:r>
              <w:rPr>
                <w:rFonts w:ascii="Times New Roman" w:hAnsi="Times New Roman" w:cs="Times New Roman"/>
              </w:rPr>
              <w:t>0.32 (0.11 – 0.53)</w:t>
            </w:r>
          </w:p>
        </w:tc>
      </w:tr>
      <w:tr w:rsidR="00AF7657" w:rsidRPr="00BA7E40" w14:paraId="3B0C509C" w14:textId="77777777" w:rsidTr="00AF7657">
        <w:tc>
          <w:tcPr>
            <w:tcW w:w="2586" w:type="pct"/>
          </w:tcPr>
          <w:p w14:paraId="5E757B0D" w14:textId="134BB35E" w:rsidR="00AF7657" w:rsidRDefault="00CA3154" w:rsidP="00424BA5">
            <w:pPr>
              <w:rPr>
                <w:rFonts w:ascii="Times New Roman" w:hAnsi="Times New Roman" w:cs="Times New Roman"/>
              </w:rPr>
            </w:pPr>
            <w:r>
              <w:rPr>
                <w:rFonts w:ascii="Times New Roman" w:hAnsi="Times New Roman" w:cs="Times New Roman"/>
              </w:rPr>
              <w:t xml:space="preserve">Excess mortality </w:t>
            </w:r>
            <w:r w:rsidR="00424BA5">
              <w:rPr>
                <w:rFonts w:ascii="Times New Roman" w:hAnsi="Times New Roman" w:cs="Times New Roman"/>
              </w:rPr>
              <w:t>dropped</w:t>
            </w:r>
            <w:r w:rsidR="00AF7657">
              <w:rPr>
                <w:rFonts w:ascii="Times New Roman" w:hAnsi="Times New Roman" w:cs="Times New Roman"/>
              </w:rPr>
              <w:t xml:space="preserve"> by (%)</w:t>
            </w:r>
          </w:p>
        </w:tc>
        <w:tc>
          <w:tcPr>
            <w:tcW w:w="817" w:type="pct"/>
            <w:vAlign w:val="center"/>
          </w:tcPr>
          <w:p w14:paraId="5BFE86CD" w14:textId="4AB87620" w:rsidR="00AF7657" w:rsidRDefault="00AF7657" w:rsidP="00243017">
            <w:pPr>
              <w:jc w:val="center"/>
              <w:rPr>
                <w:rFonts w:ascii="Times New Roman" w:hAnsi="Times New Roman" w:cs="Times New Roman"/>
              </w:rPr>
            </w:pPr>
            <w:r>
              <w:rPr>
                <w:rFonts w:ascii="Times New Roman" w:hAnsi="Times New Roman" w:cs="Times New Roman"/>
              </w:rPr>
              <w:t>16.13%</w:t>
            </w:r>
          </w:p>
        </w:tc>
        <w:tc>
          <w:tcPr>
            <w:tcW w:w="730" w:type="pct"/>
            <w:vAlign w:val="center"/>
          </w:tcPr>
          <w:p w14:paraId="4E864196" w14:textId="49B37819" w:rsidR="00AF7657" w:rsidRDefault="00CA3154" w:rsidP="00243017">
            <w:pPr>
              <w:jc w:val="center"/>
              <w:rPr>
                <w:rFonts w:ascii="Times New Roman" w:hAnsi="Times New Roman" w:cs="Times New Roman"/>
              </w:rPr>
            </w:pPr>
            <w:r>
              <w:rPr>
                <w:rFonts w:ascii="Times New Roman" w:hAnsi="Times New Roman" w:cs="Times New Roman"/>
              </w:rPr>
              <w:t>13.64%</w:t>
            </w:r>
            <w:r w:rsidR="00424BA5">
              <w:rPr>
                <w:rFonts w:ascii="Times New Roman" w:hAnsi="Times New Roman" w:cs="Times New Roman"/>
              </w:rPr>
              <w:t xml:space="preserve"> (rise)</w:t>
            </w:r>
          </w:p>
        </w:tc>
        <w:tc>
          <w:tcPr>
            <w:tcW w:w="867" w:type="pct"/>
            <w:vAlign w:val="center"/>
          </w:tcPr>
          <w:p w14:paraId="0F8EEC8A" w14:textId="0B216674" w:rsidR="00AF7657" w:rsidRDefault="002F18B7" w:rsidP="00243017">
            <w:pPr>
              <w:jc w:val="center"/>
              <w:rPr>
                <w:rFonts w:ascii="Times New Roman" w:hAnsi="Times New Roman" w:cs="Times New Roman"/>
              </w:rPr>
            </w:pPr>
            <w:r>
              <w:rPr>
                <w:rFonts w:ascii="Times New Roman" w:hAnsi="Times New Roman" w:cs="Times New Roman"/>
              </w:rPr>
              <w:t>50.00%</w:t>
            </w:r>
          </w:p>
        </w:tc>
      </w:tr>
      <w:tr w:rsidR="00AF7657" w:rsidRPr="00BA7E40" w14:paraId="075F533C" w14:textId="77777777" w:rsidTr="00AF7657">
        <w:tc>
          <w:tcPr>
            <w:tcW w:w="2586" w:type="pct"/>
          </w:tcPr>
          <w:p w14:paraId="7909951C" w14:textId="2D18AEE0" w:rsidR="00AF7657" w:rsidRDefault="00AF7657" w:rsidP="00243017">
            <w:pPr>
              <w:rPr>
                <w:rFonts w:ascii="Times New Roman" w:hAnsi="Times New Roman" w:cs="Times New Roman"/>
              </w:rPr>
            </w:pPr>
            <w:r>
              <w:rPr>
                <w:rFonts w:ascii="Times New Roman" w:hAnsi="Times New Roman" w:cs="Times New Roman"/>
              </w:rPr>
              <w:t>p-value (for the differences of excess mortality between 31 Dec 2020</w:t>
            </w:r>
            <w:r w:rsidRPr="00BA7E40">
              <w:rPr>
                <w:rFonts w:ascii="Times New Roman" w:hAnsi="Times New Roman" w:cs="Times New Roman"/>
              </w:rPr>
              <w:t xml:space="preserve"> and </w:t>
            </w:r>
            <w:r>
              <w:rPr>
                <w:rFonts w:ascii="Times New Roman" w:hAnsi="Times New Roman" w:cs="Times New Roman"/>
              </w:rPr>
              <w:t>31</w:t>
            </w:r>
            <w:r w:rsidRPr="00BA7E40">
              <w:rPr>
                <w:rFonts w:ascii="Times New Roman" w:hAnsi="Times New Roman" w:cs="Times New Roman"/>
              </w:rPr>
              <w:t xml:space="preserve"> </w:t>
            </w:r>
            <w:r>
              <w:rPr>
                <w:rFonts w:ascii="Times New Roman" w:hAnsi="Times New Roman" w:cs="Times New Roman"/>
              </w:rPr>
              <w:t>July</w:t>
            </w:r>
            <w:r w:rsidRPr="00BA7E40">
              <w:rPr>
                <w:rFonts w:ascii="Times New Roman" w:hAnsi="Times New Roman" w:cs="Times New Roman"/>
              </w:rPr>
              <w:t xml:space="preserve"> 2022)</w:t>
            </w:r>
          </w:p>
        </w:tc>
        <w:tc>
          <w:tcPr>
            <w:tcW w:w="817" w:type="pct"/>
            <w:vAlign w:val="center"/>
          </w:tcPr>
          <w:p w14:paraId="7FAA3998" w14:textId="584D4E27" w:rsidR="00AF7657" w:rsidRDefault="00224751" w:rsidP="00243017">
            <w:pPr>
              <w:jc w:val="center"/>
              <w:rPr>
                <w:rFonts w:ascii="Times New Roman" w:hAnsi="Times New Roman" w:cs="Times New Roman"/>
              </w:rPr>
            </w:pPr>
            <w:r>
              <w:rPr>
                <w:rFonts w:ascii="Times New Roman" w:hAnsi="Times New Roman" w:cs="Times New Roman"/>
              </w:rPr>
              <w:t>0.537</w:t>
            </w:r>
          </w:p>
        </w:tc>
        <w:tc>
          <w:tcPr>
            <w:tcW w:w="730" w:type="pct"/>
            <w:vAlign w:val="center"/>
          </w:tcPr>
          <w:p w14:paraId="4070881C" w14:textId="371E0676" w:rsidR="00AF7657" w:rsidRPr="00BA7E40" w:rsidRDefault="00BA3939" w:rsidP="00243017">
            <w:pPr>
              <w:jc w:val="center"/>
              <w:rPr>
                <w:rFonts w:ascii="Times New Roman" w:hAnsi="Times New Roman" w:cs="Times New Roman"/>
              </w:rPr>
            </w:pPr>
            <w:r>
              <w:rPr>
                <w:rFonts w:ascii="Times New Roman" w:hAnsi="Times New Roman" w:cs="Times New Roman"/>
              </w:rPr>
              <w:t>0.548</w:t>
            </w:r>
          </w:p>
        </w:tc>
        <w:tc>
          <w:tcPr>
            <w:tcW w:w="867" w:type="pct"/>
            <w:vAlign w:val="center"/>
          </w:tcPr>
          <w:p w14:paraId="382278CF" w14:textId="0739D9E9" w:rsidR="00AF7657" w:rsidRPr="00BA7E40" w:rsidRDefault="00BA3939" w:rsidP="00243017">
            <w:pPr>
              <w:jc w:val="center"/>
              <w:rPr>
                <w:rFonts w:ascii="Times New Roman" w:hAnsi="Times New Roman" w:cs="Times New Roman"/>
              </w:rPr>
            </w:pPr>
            <w:r>
              <w:rPr>
                <w:rFonts w:ascii="Times New Roman" w:hAnsi="Times New Roman" w:cs="Times New Roman"/>
              </w:rPr>
              <w:t>0.180</w:t>
            </w:r>
          </w:p>
        </w:tc>
      </w:tr>
    </w:tbl>
    <w:p w14:paraId="433811C3" w14:textId="5D0F31E5" w:rsidR="00836364" w:rsidRDefault="00836364" w:rsidP="00836364">
      <w:pPr>
        <w:rPr>
          <w:rFonts w:ascii="Times New Roman" w:hAnsi="Times New Roman" w:cs="Times New Roman"/>
          <w:b/>
          <w:color w:val="1C1C1C"/>
          <w:shd w:val="clear" w:color="auto" w:fill="FFFFFF"/>
        </w:rPr>
      </w:pPr>
    </w:p>
    <w:p w14:paraId="6423565A" w14:textId="25323798" w:rsidR="000F31E6" w:rsidRDefault="000F31E6">
      <w:r>
        <w:lastRenderedPageBreak/>
        <w:br w:type="page"/>
      </w:r>
    </w:p>
    <w:p w14:paraId="3AB49A3B" w14:textId="0F1AB1DF" w:rsidR="00C26256" w:rsidRDefault="00C26256" w:rsidP="002B282E">
      <w:r w:rsidRPr="00C26256">
        <w:lastRenderedPageBreak/>
        <w:t xml:space="preserve">Table </w:t>
      </w:r>
      <w:r w:rsidR="00836364">
        <w:t>2</w:t>
      </w:r>
      <w:r w:rsidRPr="00C26256">
        <w:t>. The linear regression and negative binomial regression models for COVID-19-related outcome and other explanatory variables including the GHSI</w:t>
      </w:r>
    </w:p>
    <w:tbl>
      <w:tblPr>
        <w:tblStyle w:val="TableGrid"/>
        <w:tblW w:w="5000" w:type="pct"/>
        <w:tblLook w:val="04A0" w:firstRow="1" w:lastRow="0" w:firstColumn="1" w:lastColumn="0" w:noHBand="0" w:noVBand="1"/>
      </w:tblPr>
      <w:tblGrid>
        <w:gridCol w:w="1864"/>
        <w:gridCol w:w="1714"/>
        <w:gridCol w:w="932"/>
        <w:gridCol w:w="1699"/>
        <w:gridCol w:w="1088"/>
        <w:gridCol w:w="1715"/>
        <w:gridCol w:w="1109"/>
        <w:gridCol w:w="1702"/>
        <w:gridCol w:w="1127"/>
      </w:tblGrid>
      <w:tr w:rsidR="00CF66D4" w14:paraId="017AE55E" w14:textId="77777777" w:rsidTr="00CF66D4">
        <w:tc>
          <w:tcPr>
            <w:tcW w:w="720" w:type="pct"/>
          </w:tcPr>
          <w:p w14:paraId="3D8D939D" w14:textId="77777777" w:rsidR="00CF66D4" w:rsidRDefault="00CF66D4" w:rsidP="00CF66D4">
            <w:pPr>
              <w:jc w:val="center"/>
            </w:pPr>
            <w:r w:rsidRPr="00450FA1">
              <w:t>Dates, until</w:t>
            </w:r>
          </w:p>
        </w:tc>
        <w:tc>
          <w:tcPr>
            <w:tcW w:w="1022" w:type="pct"/>
            <w:gridSpan w:val="2"/>
          </w:tcPr>
          <w:p w14:paraId="7B64C121" w14:textId="77777777" w:rsidR="00CF66D4" w:rsidRPr="00C26256" w:rsidRDefault="00CF66D4" w:rsidP="00CF66D4">
            <w:pPr>
              <w:jc w:val="center"/>
            </w:pPr>
            <w:r w:rsidRPr="00C26256">
              <w:t>December</w:t>
            </w:r>
            <w:r>
              <w:t xml:space="preserve"> 31,</w:t>
            </w:r>
            <w:r w:rsidRPr="00C26256">
              <w:t xml:space="preserve"> 2020</w:t>
            </w:r>
          </w:p>
        </w:tc>
        <w:tc>
          <w:tcPr>
            <w:tcW w:w="1076" w:type="pct"/>
            <w:gridSpan w:val="2"/>
          </w:tcPr>
          <w:p w14:paraId="6351F9AF" w14:textId="77777777" w:rsidR="00CF66D4" w:rsidRPr="00C26256" w:rsidRDefault="00CF66D4" w:rsidP="00CF66D4">
            <w:pPr>
              <w:jc w:val="center"/>
            </w:pPr>
            <w:r w:rsidRPr="00C26256">
              <w:t>June</w:t>
            </w:r>
            <w:r>
              <w:t xml:space="preserve"> 30,</w:t>
            </w:r>
            <w:r w:rsidRPr="00C26256">
              <w:t xml:space="preserve"> 2021</w:t>
            </w:r>
          </w:p>
        </w:tc>
        <w:tc>
          <w:tcPr>
            <w:tcW w:w="1090" w:type="pct"/>
            <w:gridSpan w:val="2"/>
          </w:tcPr>
          <w:p w14:paraId="5AE4A196" w14:textId="77777777" w:rsidR="00CF66D4" w:rsidRDefault="00CF66D4" w:rsidP="00CF66D4">
            <w:pPr>
              <w:jc w:val="center"/>
            </w:pPr>
            <w:r w:rsidRPr="00C26256">
              <w:t xml:space="preserve">December </w:t>
            </w:r>
            <w:r>
              <w:t xml:space="preserve">31, </w:t>
            </w:r>
            <w:r w:rsidRPr="00C26256">
              <w:t>2021</w:t>
            </w:r>
          </w:p>
        </w:tc>
        <w:tc>
          <w:tcPr>
            <w:tcW w:w="1092" w:type="pct"/>
            <w:gridSpan w:val="2"/>
          </w:tcPr>
          <w:p w14:paraId="1017F0BB" w14:textId="78DE1A28" w:rsidR="00CF66D4" w:rsidRDefault="00A43A9C" w:rsidP="00CF66D4">
            <w:pPr>
              <w:jc w:val="center"/>
            </w:pPr>
            <w:r>
              <w:t>July 31</w:t>
            </w:r>
            <w:r w:rsidR="00CF66D4">
              <w:t>, 2022</w:t>
            </w:r>
          </w:p>
        </w:tc>
      </w:tr>
      <w:tr w:rsidR="00C409BF" w14:paraId="77E26B05" w14:textId="77777777" w:rsidTr="00CF66D4">
        <w:tc>
          <w:tcPr>
            <w:tcW w:w="720" w:type="pct"/>
          </w:tcPr>
          <w:p w14:paraId="62BDF9CC" w14:textId="77777777" w:rsidR="00450FA1" w:rsidRDefault="00450FA1" w:rsidP="00450FA1"/>
        </w:tc>
        <w:tc>
          <w:tcPr>
            <w:tcW w:w="662" w:type="pct"/>
          </w:tcPr>
          <w:p w14:paraId="2D24FF39" w14:textId="77777777" w:rsidR="00450FA1" w:rsidRDefault="00E50D46" w:rsidP="00450FA1">
            <w:r>
              <w:t>IRR (95% CI)</w:t>
            </w:r>
          </w:p>
        </w:tc>
        <w:tc>
          <w:tcPr>
            <w:tcW w:w="360" w:type="pct"/>
          </w:tcPr>
          <w:p w14:paraId="7F5FF329" w14:textId="77777777" w:rsidR="00450FA1" w:rsidRDefault="00450FA1" w:rsidP="00450FA1">
            <w:r>
              <w:t>P value</w:t>
            </w:r>
          </w:p>
        </w:tc>
        <w:tc>
          <w:tcPr>
            <w:tcW w:w="656" w:type="pct"/>
          </w:tcPr>
          <w:p w14:paraId="1F007AB6" w14:textId="77777777" w:rsidR="00450FA1" w:rsidRDefault="00E833AC" w:rsidP="00450FA1">
            <w:r>
              <w:t>IRR (95% CI)</w:t>
            </w:r>
          </w:p>
        </w:tc>
        <w:tc>
          <w:tcPr>
            <w:tcW w:w="420" w:type="pct"/>
          </w:tcPr>
          <w:p w14:paraId="707053AF" w14:textId="77777777" w:rsidR="00450FA1" w:rsidRDefault="00450FA1" w:rsidP="00450FA1">
            <w:r>
              <w:t>P value</w:t>
            </w:r>
          </w:p>
        </w:tc>
        <w:tc>
          <w:tcPr>
            <w:tcW w:w="662" w:type="pct"/>
          </w:tcPr>
          <w:p w14:paraId="204749ED" w14:textId="77777777" w:rsidR="00450FA1" w:rsidRDefault="00E833AC" w:rsidP="00450FA1">
            <w:r>
              <w:t>IRR (95% CI)</w:t>
            </w:r>
          </w:p>
        </w:tc>
        <w:tc>
          <w:tcPr>
            <w:tcW w:w="428" w:type="pct"/>
          </w:tcPr>
          <w:p w14:paraId="69EBCB8F" w14:textId="77777777" w:rsidR="00450FA1" w:rsidRDefault="00450FA1" w:rsidP="00450FA1">
            <w:r>
              <w:t>P value</w:t>
            </w:r>
          </w:p>
        </w:tc>
        <w:tc>
          <w:tcPr>
            <w:tcW w:w="657" w:type="pct"/>
          </w:tcPr>
          <w:p w14:paraId="15ED0B36" w14:textId="77777777" w:rsidR="00450FA1" w:rsidRDefault="00E833AC" w:rsidP="00450FA1">
            <w:r>
              <w:t>IRR (95% CI)</w:t>
            </w:r>
          </w:p>
        </w:tc>
        <w:tc>
          <w:tcPr>
            <w:tcW w:w="435" w:type="pct"/>
          </w:tcPr>
          <w:p w14:paraId="41D3DD6D" w14:textId="77777777" w:rsidR="00450FA1" w:rsidRDefault="00450FA1" w:rsidP="00450FA1">
            <w:r>
              <w:t>P value</w:t>
            </w:r>
          </w:p>
        </w:tc>
      </w:tr>
      <w:tr w:rsidR="00C409BF" w14:paraId="42CEAA79" w14:textId="77777777" w:rsidTr="00CF66D4">
        <w:tc>
          <w:tcPr>
            <w:tcW w:w="720" w:type="pct"/>
          </w:tcPr>
          <w:p w14:paraId="4430A982" w14:textId="77777777" w:rsidR="00450FA1" w:rsidRDefault="00450FA1" w:rsidP="00450FA1">
            <w:r w:rsidRPr="00450FA1">
              <w:t>GHSI</w:t>
            </w:r>
          </w:p>
        </w:tc>
        <w:tc>
          <w:tcPr>
            <w:tcW w:w="662" w:type="pct"/>
          </w:tcPr>
          <w:p w14:paraId="19E3C276" w14:textId="77777777" w:rsidR="00450FA1" w:rsidRDefault="005F3BF9" w:rsidP="00450FA1">
            <w:r>
              <w:t>1.04 (</w:t>
            </w:r>
            <w:r w:rsidR="006F2201">
              <w:t>1.01 – 1.08)</w:t>
            </w:r>
          </w:p>
        </w:tc>
        <w:tc>
          <w:tcPr>
            <w:tcW w:w="360" w:type="pct"/>
          </w:tcPr>
          <w:p w14:paraId="51A7E15D" w14:textId="77777777" w:rsidR="00450FA1" w:rsidRDefault="005F3BF9" w:rsidP="00450FA1">
            <w:r>
              <w:t>0.031</w:t>
            </w:r>
            <w:r w:rsidRPr="005F3BF9">
              <w:t xml:space="preserve"> *</w:t>
            </w:r>
          </w:p>
        </w:tc>
        <w:tc>
          <w:tcPr>
            <w:tcW w:w="656" w:type="pct"/>
          </w:tcPr>
          <w:p w14:paraId="307D84FA" w14:textId="77777777" w:rsidR="00450FA1" w:rsidRDefault="00910E77" w:rsidP="00450FA1">
            <w:r>
              <w:t>1.03 (</w:t>
            </w:r>
            <w:r w:rsidR="004278A0">
              <w:t>1.01 – 1.06)</w:t>
            </w:r>
          </w:p>
        </w:tc>
        <w:tc>
          <w:tcPr>
            <w:tcW w:w="420" w:type="pct"/>
          </w:tcPr>
          <w:p w14:paraId="5A633CA4" w14:textId="77777777" w:rsidR="00450FA1" w:rsidRDefault="00C91F46" w:rsidP="00450FA1">
            <w:r>
              <w:t>0.04</w:t>
            </w:r>
            <w:r w:rsidR="00910E77">
              <w:t>3</w:t>
            </w:r>
            <w:r w:rsidR="00B62044">
              <w:t xml:space="preserve"> *</w:t>
            </w:r>
          </w:p>
        </w:tc>
        <w:tc>
          <w:tcPr>
            <w:tcW w:w="662" w:type="pct"/>
          </w:tcPr>
          <w:p w14:paraId="2C1A46E8" w14:textId="77777777" w:rsidR="00450FA1" w:rsidRDefault="00C91F46" w:rsidP="00C91F46">
            <w:r w:rsidRPr="00C91F46">
              <w:t>1.01</w:t>
            </w:r>
            <w:r>
              <w:t xml:space="preserve"> (0.99</w:t>
            </w:r>
            <w:r w:rsidR="00102395">
              <w:t xml:space="preserve"> – 1.04)</w:t>
            </w:r>
          </w:p>
        </w:tc>
        <w:tc>
          <w:tcPr>
            <w:tcW w:w="428" w:type="pct"/>
          </w:tcPr>
          <w:p w14:paraId="071EF845" w14:textId="77777777" w:rsidR="00450FA1" w:rsidRDefault="00262FF0" w:rsidP="00450FA1">
            <w:r>
              <w:t>0.251</w:t>
            </w:r>
          </w:p>
        </w:tc>
        <w:tc>
          <w:tcPr>
            <w:tcW w:w="657" w:type="pct"/>
          </w:tcPr>
          <w:p w14:paraId="4A271534" w14:textId="77777777" w:rsidR="00450FA1" w:rsidRDefault="00F42EF7" w:rsidP="00450FA1">
            <w:r>
              <w:t>1.01</w:t>
            </w:r>
            <w:r w:rsidR="00352AB3">
              <w:t xml:space="preserve"> (</w:t>
            </w:r>
            <w:r>
              <w:t>0.99 – 1.04</w:t>
            </w:r>
            <w:r w:rsidR="00650673">
              <w:t>)</w:t>
            </w:r>
          </w:p>
        </w:tc>
        <w:tc>
          <w:tcPr>
            <w:tcW w:w="435" w:type="pct"/>
          </w:tcPr>
          <w:p w14:paraId="58655730" w14:textId="322C3F7C" w:rsidR="00450FA1" w:rsidRDefault="0063492E" w:rsidP="00450FA1">
            <w:r>
              <w:t>0.249</w:t>
            </w:r>
          </w:p>
        </w:tc>
      </w:tr>
      <w:tr w:rsidR="00C409BF" w14:paraId="799E5B4C" w14:textId="77777777" w:rsidTr="00CF66D4">
        <w:tc>
          <w:tcPr>
            <w:tcW w:w="720" w:type="pct"/>
          </w:tcPr>
          <w:p w14:paraId="0D6EBC3A" w14:textId="77777777" w:rsidR="00450FA1" w:rsidRDefault="00450FA1" w:rsidP="00450FA1">
            <w:r w:rsidRPr="00450FA1">
              <w:t>Total cases/million</w:t>
            </w:r>
          </w:p>
        </w:tc>
        <w:tc>
          <w:tcPr>
            <w:tcW w:w="662" w:type="pct"/>
          </w:tcPr>
          <w:p w14:paraId="6C37AF7F" w14:textId="77777777" w:rsidR="00450FA1" w:rsidRDefault="005F3BF9" w:rsidP="00450FA1">
            <w:r>
              <w:t>1.01 (</w:t>
            </w:r>
            <w:r w:rsidR="006F2201">
              <w:t>1.01 – 1.02)</w:t>
            </w:r>
          </w:p>
        </w:tc>
        <w:tc>
          <w:tcPr>
            <w:tcW w:w="360" w:type="pct"/>
          </w:tcPr>
          <w:p w14:paraId="2F547E58" w14:textId="77777777" w:rsidR="00450FA1" w:rsidRDefault="005F3BF9" w:rsidP="00450FA1">
            <w:r>
              <w:t>0.005</w:t>
            </w:r>
            <w:r w:rsidRPr="005F3BF9">
              <w:t xml:space="preserve"> **</w:t>
            </w:r>
          </w:p>
        </w:tc>
        <w:tc>
          <w:tcPr>
            <w:tcW w:w="656" w:type="pct"/>
          </w:tcPr>
          <w:p w14:paraId="577FBC53" w14:textId="77777777" w:rsidR="00450FA1" w:rsidRDefault="00910E77" w:rsidP="00450FA1">
            <w:r>
              <w:t>1.01</w:t>
            </w:r>
            <w:r w:rsidR="004278A0">
              <w:t xml:space="preserve"> (1.01 – 1.02)</w:t>
            </w:r>
          </w:p>
        </w:tc>
        <w:tc>
          <w:tcPr>
            <w:tcW w:w="420" w:type="pct"/>
          </w:tcPr>
          <w:p w14:paraId="5A68AB7F" w14:textId="77777777" w:rsidR="00450FA1" w:rsidRDefault="00910E77" w:rsidP="00450FA1">
            <w:r>
              <w:t>0.009</w:t>
            </w:r>
            <w:r w:rsidRPr="00910E77">
              <w:t xml:space="preserve"> **</w:t>
            </w:r>
          </w:p>
        </w:tc>
        <w:tc>
          <w:tcPr>
            <w:tcW w:w="662" w:type="pct"/>
          </w:tcPr>
          <w:p w14:paraId="7C87FDD3" w14:textId="77777777" w:rsidR="00450FA1" w:rsidRDefault="00C91F46" w:rsidP="00C91F46">
            <w:r>
              <w:t>1.01 (</w:t>
            </w:r>
            <w:r w:rsidR="00102395">
              <w:t>1.01 – 1.02)</w:t>
            </w:r>
          </w:p>
        </w:tc>
        <w:tc>
          <w:tcPr>
            <w:tcW w:w="428" w:type="pct"/>
          </w:tcPr>
          <w:p w14:paraId="08218DED" w14:textId="77777777" w:rsidR="00450FA1" w:rsidRDefault="00262FF0" w:rsidP="00450FA1">
            <w:r>
              <w:t>0.034</w:t>
            </w:r>
            <w:r w:rsidRPr="00262FF0">
              <w:t xml:space="preserve"> *</w:t>
            </w:r>
          </w:p>
        </w:tc>
        <w:tc>
          <w:tcPr>
            <w:tcW w:w="657" w:type="pct"/>
          </w:tcPr>
          <w:p w14:paraId="0A4E83C2" w14:textId="77777777" w:rsidR="00450FA1" w:rsidRDefault="00A16319" w:rsidP="00450FA1">
            <w:r>
              <w:t>1.01</w:t>
            </w:r>
            <w:r w:rsidR="00E51E3A">
              <w:t xml:space="preserve"> (</w:t>
            </w:r>
            <w:r w:rsidR="00650673">
              <w:t>1.01 – 1.02)</w:t>
            </w:r>
          </w:p>
        </w:tc>
        <w:tc>
          <w:tcPr>
            <w:tcW w:w="435" w:type="pct"/>
          </w:tcPr>
          <w:p w14:paraId="012167F9" w14:textId="3F537839" w:rsidR="00450FA1" w:rsidRDefault="0063492E" w:rsidP="00450FA1">
            <w:r>
              <w:t>0.036</w:t>
            </w:r>
            <w:r w:rsidR="00F42EF7">
              <w:t xml:space="preserve"> *</w:t>
            </w:r>
          </w:p>
        </w:tc>
      </w:tr>
      <w:tr w:rsidR="00C409BF" w14:paraId="631E76CB" w14:textId="77777777" w:rsidTr="00CF66D4">
        <w:tc>
          <w:tcPr>
            <w:tcW w:w="720" w:type="pct"/>
          </w:tcPr>
          <w:p w14:paraId="4B217A61" w14:textId="77777777" w:rsidR="00450FA1" w:rsidRDefault="00450FA1" w:rsidP="00450FA1">
            <w:r>
              <w:t>The percentage of the population</w:t>
            </w:r>
          </w:p>
          <w:p w14:paraId="5E60C5B6" w14:textId="77777777" w:rsidR="00450FA1" w:rsidRDefault="00450FA1" w:rsidP="00450FA1">
            <w:r>
              <w:t>aged 65 and above</w:t>
            </w:r>
          </w:p>
        </w:tc>
        <w:tc>
          <w:tcPr>
            <w:tcW w:w="662" w:type="pct"/>
          </w:tcPr>
          <w:p w14:paraId="418DB53A" w14:textId="77777777" w:rsidR="00450FA1" w:rsidRPr="009514DB" w:rsidRDefault="005F3BF9" w:rsidP="00450FA1">
            <w:r w:rsidRPr="009514DB">
              <w:t>0.91 (</w:t>
            </w:r>
            <w:r w:rsidR="006F2201" w:rsidRPr="009514DB">
              <w:t>0.72 – 1.15)</w:t>
            </w:r>
          </w:p>
        </w:tc>
        <w:tc>
          <w:tcPr>
            <w:tcW w:w="360" w:type="pct"/>
          </w:tcPr>
          <w:p w14:paraId="746E514D" w14:textId="77777777" w:rsidR="00450FA1" w:rsidRPr="009514DB" w:rsidRDefault="008C6304" w:rsidP="00450FA1">
            <w:r w:rsidRPr="009514DB">
              <w:t>0.351</w:t>
            </w:r>
          </w:p>
        </w:tc>
        <w:tc>
          <w:tcPr>
            <w:tcW w:w="656" w:type="pct"/>
          </w:tcPr>
          <w:p w14:paraId="4731F201" w14:textId="77777777" w:rsidR="00450FA1" w:rsidRPr="009514DB" w:rsidRDefault="00910E77" w:rsidP="00450FA1">
            <w:r w:rsidRPr="009514DB">
              <w:t>0.90</w:t>
            </w:r>
            <w:r w:rsidR="004278A0" w:rsidRPr="009514DB">
              <w:t xml:space="preserve"> (0.75 – 1.08)</w:t>
            </w:r>
          </w:p>
        </w:tc>
        <w:tc>
          <w:tcPr>
            <w:tcW w:w="420" w:type="pct"/>
          </w:tcPr>
          <w:p w14:paraId="621DF417" w14:textId="77777777" w:rsidR="00450FA1" w:rsidRPr="009514DB" w:rsidRDefault="00910E77" w:rsidP="00450FA1">
            <w:r w:rsidRPr="009514DB">
              <w:t>0.192</w:t>
            </w:r>
          </w:p>
        </w:tc>
        <w:tc>
          <w:tcPr>
            <w:tcW w:w="662" w:type="pct"/>
          </w:tcPr>
          <w:p w14:paraId="322A0D7E" w14:textId="77777777" w:rsidR="00450FA1" w:rsidRPr="009514DB" w:rsidRDefault="00C91F46" w:rsidP="00C91F46">
            <w:r w:rsidRPr="009514DB">
              <w:t>0.85 (</w:t>
            </w:r>
            <w:r w:rsidR="00102395" w:rsidRPr="009514DB">
              <w:t>0.74 – 0.99)</w:t>
            </w:r>
          </w:p>
        </w:tc>
        <w:tc>
          <w:tcPr>
            <w:tcW w:w="428" w:type="pct"/>
          </w:tcPr>
          <w:p w14:paraId="12546D46" w14:textId="77777777" w:rsidR="00450FA1" w:rsidRPr="009514DB" w:rsidRDefault="00262FF0" w:rsidP="00450FA1">
            <w:r w:rsidRPr="009514DB">
              <w:t>0.024 *</w:t>
            </w:r>
          </w:p>
        </w:tc>
        <w:tc>
          <w:tcPr>
            <w:tcW w:w="657" w:type="pct"/>
          </w:tcPr>
          <w:p w14:paraId="4BF0C961" w14:textId="77777777" w:rsidR="00450FA1" w:rsidRPr="009514DB" w:rsidRDefault="00F42EF7" w:rsidP="00450FA1">
            <w:r>
              <w:t>0.85</w:t>
            </w:r>
            <w:r w:rsidR="00E51E3A" w:rsidRPr="009514DB">
              <w:t xml:space="preserve"> (</w:t>
            </w:r>
            <w:r>
              <w:t>0.73 – 1.01</w:t>
            </w:r>
            <w:r w:rsidR="00650673" w:rsidRPr="009514DB">
              <w:t>)</w:t>
            </w:r>
          </w:p>
        </w:tc>
        <w:tc>
          <w:tcPr>
            <w:tcW w:w="435" w:type="pct"/>
          </w:tcPr>
          <w:p w14:paraId="6F6A7BDB" w14:textId="6474C6E9" w:rsidR="00450FA1" w:rsidRPr="009514DB" w:rsidRDefault="0063492E" w:rsidP="00450FA1">
            <w:r>
              <w:t>0.027</w:t>
            </w:r>
            <w:r w:rsidR="00F42EF7">
              <w:t xml:space="preserve"> *</w:t>
            </w:r>
          </w:p>
        </w:tc>
      </w:tr>
      <w:tr w:rsidR="00C409BF" w14:paraId="41CFEF19" w14:textId="77777777" w:rsidTr="00CF66D4">
        <w:tc>
          <w:tcPr>
            <w:tcW w:w="720" w:type="pct"/>
          </w:tcPr>
          <w:p w14:paraId="22C03BDD" w14:textId="77777777" w:rsidR="00450FA1" w:rsidRDefault="00450FA1" w:rsidP="00450FA1">
            <w:r w:rsidRPr="00450FA1">
              <w:t>WGIs</w:t>
            </w:r>
          </w:p>
        </w:tc>
        <w:tc>
          <w:tcPr>
            <w:tcW w:w="662" w:type="pct"/>
          </w:tcPr>
          <w:p w14:paraId="43C55943" w14:textId="77777777" w:rsidR="00450FA1" w:rsidRDefault="005F3BF9" w:rsidP="00450FA1">
            <w:r>
              <w:t>1.32 (</w:t>
            </w:r>
            <w:r w:rsidR="006F2201">
              <w:t>0.45 – 3.25)</w:t>
            </w:r>
          </w:p>
        </w:tc>
        <w:tc>
          <w:tcPr>
            <w:tcW w:w="360" w:type="pct"/>
          </w:tcPr>
          <w:p w14:paraId="04FE403A" w14:textId="77777777" w:rsidR="00450FA1" w:rsidRDefault="008C6304" w:rsidP="00450FA1">
            <w:r>
              <w:t>0.434</w:t>
            </w:r>
          </w:p>
        </w:tc>
        <w:tc>
          <w:tcPr>
            <w:tcW w:w="656" w:type="pct"/>
          </w:tcPr>
          <w:p w14:paraId="28F29F3A" w14:textId="77777777" w:rsidR="00450FA1" w:rsidRDefault="00910E77" w:rsidP="00450FA1">
            <w:r>
              <w:t>1.72</w:t>
            </w:r>
            <w:r w:rsidR="004278A0">
              <w:t xml:space="preserve"> (0.78 – 3.46)</w:t>
            </w:r>
          </w:p>
        </w:tc>
        <w:tc>
          <w:tcPr>
            <w:tcW w:w="420" w:type="pct"/>
          </w:tcPr>
          <w:p w14:paraId="7ED349B6" w14:textId="77777777" w:rsidR="00450FA1" w:rsidRDefault="00910E77" w:rsidP="00450FA1">
            <w:r>
              <w:t>0.067</w:t>
            </w:r>
          </w:p>
        </w:tc>
        <w:tc>
          <w:tcPr>
            <w:tcW w:w="662" w:type="pct"/>
          </w:tcPr>
          <w:p w14:paraId="0ABFBC90" w14:textId="77777777" w:rsidR="00450FA1" w:rsidRDefault="00C91F46" w:rsidP="00C91F46">
            <w:r>
              <w:t>2.45 (</w:t>
            </w:r>
            <w:r w:rsidR="00102395">
              <w:t>1.25 – 4.48)</w:t>
            </w:r>
          </w:p>
        </w:tc>
        <w:tc>
          <w:tcPr>
            <w:tcW w:w="428" w:type="pct"/>
          </w:tcPr>
          <w:p w14:paraId="78B19416" w14:textId="77777777" w:rsidR="00450FA1" w:rsidRDefault="00262FF0" w:rsidP="00450FA1">
            <w:r>
              <w:t>0.001</w:t>
            </w:r>
            <w:r w:rsidRPr="00262FF0">
              <w:t xml:space="preserve"> **</w:t>
            </w:r>
          </w:p>
        </w:tc>
        <w:tc>
          <w:tcPr>
            <w:tcW w:w="657" w:type="pct"/>
          </w:tcPr>
          <w:p w14:paraId="4F8AFD89" w14:textId="09B70179" w:rsidR="00450FA1" w:rsidRDefault="00F42EF7" w:rsidP="00450FA1">
            <w:r>
              <w:t>2.57</w:t>
            </w:r>
            <w:r w:rsidR="00E51E3A">
              <w:t xml:space="preserve"> (</w:t>
            </w:r>
            <w:r w:rsidR="0063492E">
              <w:t>1.31 – 4.72</w:t>
            </w:r>
            <w:r w:rsidR="00650673">
              <w:t>)</w:t>
            </w:r>
          </w:p>
        </w:tc>
        <w:tc>
          <w:tcPr>
            <w:tcW w:w="435" w:type="pct"/>
          </w:tcPr>
          <w:p w14:paraId="222D6031" w14:textId="77777777" w:rsidR="00450FA1" w:rsidRDefault="00F42EF7" w:rsidP="00450FA1">
            <w:r>
              <w:t>0.001 ***</w:t>
            </w:r>
          </w:p>
        </w:tc>
      </w:tr>
      <w:tr w:rsidR="00C409BF" w14:paraId="0A6E7116" w14:textId="77777777" w:rsidTr="00CF66D4">
        <w:tc>
          <w:tcPr>
            <w:tcW w:w="720" w:type="pct"/>
          </w:tcPr>
          <w:p w14:paraId="61146DDE" w14:textId="77777777" w:rsidR="00450FA1" w:rsidRDefault="00450FA1" w:rsidP="00450FA1">
            <w:r w:rsidRPr="00450FA1">
              <w:t>GDP</w:t>
            </w:r>
          </w:p>
        </w:tc>
        <w:tc>
          <w:tcPr>
            <w:tcW w:w="662" w:type="pct"/>
          </w:tcPr>
          <w:p w14:paraId="67C7CB0B" w14:textId="77777777" w:rsidR="00450FA1" w:rsidRDefault="005F3BF9" w:rsidP="00450FA1">
            <w:r>
              <w:t>0.99 (</w:t>
            </w:r>
            <w:r w:rsidR="006F2201">
              <w:t>0.99 – 1.00)</w:t>
            </w:r>
          </w:p>
        </w:tc>
        <w:tc>
          <w:tcPr>
            <w:tcW w:w="360" w:type="pct"/>
          </w:tcPr>
          <w:p w14:paraId="76C54653" w14:textId="77777777" w:rsidR="00450FA1" w:rsidRDefault="008C6304" w:rsidP="00450FA1">
            <w:r>
              <w:t>0.198</w:t>
            </w:r>
          </w:p>
        </w:tc>
        <w:tc>
          <w:tcPr>
            <w:tcW w:w="656" w:type="pct"/>
          </w:tcPr>
          <w:p w14:paraId="0927DC7C" w14:textId="77777777" w:rsidR="00450FA1" w:rsidRDefault="00910E77" w:rsidP="00910E77">
            <w:r w:rsidRPr="00910E77">
              <w:t>0.99</w:t>
            </w:r>
            <w:r w:rsidR="004278A0">
              <w:t xml:space="preserve"> (0.99 – 1.00)</w:t>
            </w:r>
          </w:p>
        </w:tc>
        <w:tc>
          <w:tcPr>
            <w:tcW w:w="420" w:type="pct"/>
          </w:tcPr>
          <w:p w14:paraId="59423E1D" w14:textId="77777777" w:rsidR="00450FA1" w:rsidRDefault="00910E77" w:rsidP="00450FA1">
            <w:r>
              <w:t>0.356</w:t>
            </w:r>
          </w:p>
        </w:tc>
        <w:tc>
          <w:tcPr>
            <w:tcW w:w="662" w:type="pct"/>
          </w:tcPr>
          <w:p w14:paraId="5D55B9CC" w14:textId="77777777" w:rsidR="00450FA1" w:rsidRDefault="00C91F46" w:rsidP="00C91F46">
            <w:r w:rsidRPr="00C91F46">
              <w:t>0.99</w:t>
            </w:r>
            <w:r>
              <w:t xml:space="preserve"> (</w:t>
            </w:r>
            <w:r w:rsidR="00102395">
              <w:t>0.99 – 1.00)</w:t>
            </w:r>
          </w:p>
        </w:tc>
        <w:tc>
          <w:tcPr>
            <w:tcW w:w="428" w:type="pct"/>
          </w:tcPr>
          <w:p w14:paraId="3CC5AA17" w14:textId="77777777" w:rsidR="00450FA1" w:rsidRDefault="00262FF0" w:rsidP="00450FA1">
            <w:r>
              <w:t>0.675</w:t>
            </w:r>
          </w:p>
        </w:tc>
        <w:tc>
          <w:tcPr>
            <w:tcW w:w="657" w:type="pct"/>
          </w:tcPr>
          <w:p w14:paraId="061B0C2D" w14:textId="77777777" w:rsidR="00450FA1" w:rsidRDefault="00352AB3" w:rsidP="00A16319">
            <w:r w:rsidRPr="00352AB3">
              <w:t>0.99</w:t>
            </w:r>
            <w:r w:rsidR="00E51E3A">
              <w:t xml:space="preserve"> (</w:t>
            </w:r>
            <w:r w:rsidR="00650673">
              <w:t>0.99 – 1.00)</w:t>
            </w:r>
          </w:p>
        </w:tc>
        <w:tc>
          <w:tcPr>
            <w:tcW w:w="435" w:type="pct"/>
          </w:tcPr>
          <w:p w14:paraId="56AEC954" w14:textId="54F2A9DB" w:rsidR="00450FA1" w:rsidRDefault="0063492E" w:rsidP="00450FA1">
            <w:r>
              <w:t>0.907</w:t>
            </w:r>
          </w:p>
        </w:tc>
      </w:tr>
      <w:tr w:rsidR="00C409BF" w14:paraId="0490D42F" w14:textId="77777777" w:rsidTr="00CF66D4">
        <w:tc>
          <w:tcPr>
            <w:tcW w:w="720" w:type="pct"/>
          </w:tcPr>
          <w:p w14:paraId="49F51D1A" w14:textId="77777777" w:rsidR="00450FA1" w:rsidRDefault="00450FA1" w:rsidP="00450FA1">
            <w:r w:rsidRPr="00450FA1">
              <w:t>Population density</w:t>
            </w:r>
          </w:p>
        </w:tc>
        <w:tc>
          <w:tcPr>
            <w:tcW w:w="662" w:type="pct"/>
          </w:tcPr>
          <w:p w14:paraId="5B6A4C8E" w14:textId="77777777" w:rsidR="00450FA1" w:rsidRDefault="005F3BF9" w:rsidP="00450FA1">
            <w:r>
              <w:t>0.99 (</w:t>
            </w:r>
            <w:r w:rsidR="006F2201">
              <w:t>0.98 – 0.99)</w:t>
            </w:r>
          </w:p>
        </w:tc>
        <w:tc>
          <w:tcPr>
            <w:tcW w:w="360" w:type="pct"/>
          </w:tcPr>
          <w:p w14:paraId="1807C2D3" w14:textId="77777777" w:rsidR="00450FA1" w:rsidRDefault="008C6304" w:rsidP="00450FA1">
            <w:r>
              <w:t>0.026</w:t>
            </w:r>
            <w:r w:rsidRPr="008C6304">
              <w:t xml:space="preserve"> *</w:t>
            </w:r>
          </w:p>
        </w:tc>
        <w:tc>
          <w:tcPr>
            <w:tcW w:w="656" w:type="pct"/>
          </w:tcPr>
          <w:p w14:paraId="7CC9C6F4" w14:textId="77777777" w:rsidR="00450FA1" w:rsidRDefault="00910E77" w:rsidP="00910E77">
            <w:r w:rsidRPr="00910E77">
              <w:t>0.99</w:t>
            </w:r>
            <w:r w:rsidR="004278A0">
              <w:t xml:space="preserve"> (0.99 – 1.00)</w:t>
            </w:r>
          </w:p>
        </w:tc>
        <w:tc>
          <w:tcPr>
            <w:tcW w:w="420" w:type="pct"/>
          </w:tcPr>
          <w:p w14:paraId="63E28895" w14:textId="77777777" w:rsidR="00450FA1" w:rsidRDefault="00910E77" w:rsidP="00450FA1">
            <w:r>
              <w:t>0.127</w:t>
            </w:r>
          </w:p>
        </w:tc>
        <w:tc>
          <w:tcPr>
            <w:tcW w:w="662" w:type="pct"/>
          </w:tcPr>
          <w:p w14:paraId="049EA568" w14:textId="77777777" w:rsidR="00450FA1" w:rsidRDefault="00C91F46" w:rsidP="00450FA1">
            <w:r>
              <w:t>0.99 (</w:t>
            </w:r>
            <w:r w:rsidR="00102395">
              <w:t>0.99 – 1.00)</w:t>
            </w:r>
          </w:p>
        </w:tc>
        <w:tc>
          <w:tcPr>
            <w:tcW w:w="428" w:type="pct"/>
          </w:tcPr>
          <w:p w14:paraId="553C4220" w14:textId="77777777" w:rsidR="00450FA1" w:rsidRDefault="00262FF0" w:rsidP="00450FA1">
            <w:r>
              <w:t>0.262</w:t>
            </w:r>
          </w:p>
        </w:tc>
        <w:tc>
          <w:tcPr>
            <w:tcW w:w="657" w:type="pct"/>
          </w:tcPr>
          <w:p w14:paraId="03C19A13" w14:textId="77777777" w:rsidR="00450FA1" w:rsidRDefault="00352AB3" w:rsidP="00A16319">
            <w:r w:rsidRPr="00352AB3">
              <w:t>0.99</w:t>
            </w:r>
            <w:r w:rsidR="00E51E3A">
              <w:t xml:space="preserve"> (</w:t>
            </w:r>
            <w:r w:rsidR="00650673">
              <w:t>0.99 – 1.00)</w:t>
            </w:r>
          </w:p>
        </w:tc>
        <w:tc>
          <w:tcPr>
            <w:tcW w:w="435" w:type="pct"/>
          </w:tcPr>
          <w:p w14:paraId="35407337" w14:textId="0B4BDF9D" w:rsidR="00450FA1" w:rsidRDefault="0063492E" w:rsidP="00450FA1">
            <w:r>
              <w:t>0.175</w:t>
            </w:r>
          </w:p>
        </w:tc>
      </w:tr>
      <w:tr w:rsidR="00352AB3" w14:paraId="289AD4D2" w14:textId="77777777" w:rsidTr="00CF66D4">
        <w:trPr>
          <w:trHeight w:val="89"/>
        </w:trPr>
        <w:tc>
          <w:tcPr>
            <w:tcW w:w="720" w:type="pct"/>
          </w:tcPr>
          <w:p w14:paraId="4328C253" w14:textId="77777777" w:rsidR="00352AB3" w:rsidRDefault="00352AB3" w:rsidP="00450FA1">
            <w:r>
              <w:t>AIC</w:t>
            </w:r>
          </w:p>
        </w:tc>
        <w:tc>
          <w:tcPr>
            <w:tcW w:w="1022" w:type="pct"/>
            <w:gridSpan w:val="2"/>
          </w:tcPr>
          <w:p w14:paraId="0DB3CD49" w14:textId="77777777" w:rsidR="00352AB3" w:rsidRDefault="00352AB3" w:rsidP="00910E77">
            <w:pPr>
              <w:jc w:val="center"/>
            </w:pPr>
            <w:r w:rsidRPr="0023031C">
              <w:t>435.57</w:t>
            </w:r>
          </w:p>
        </w:tc>
        <w:tc>
          <w:tcPr>
            <w:tcW w:w="1076" w:type="pct"/>
            <w:gridSpan w:val="2"/>
          </w:tcPr>
          <w:p w14:paraId="45D728E9" w14:textId="77777777" w:rsidR="00352AB3" w:rsidRDefault="00352AB3" w:rsidP="00910E77">
            <w:pPr>
              <w:jc w:val="center"/>
            </w:pPr>
            <w:r w:rsidRPr="00F638CB">
              <w:t>496.11</w:t>
            </w:r>
          </w:p>
        </w:tc>
        <w:tc>
          <w:tcPr>
            <w:tcW w:w="1090" w:type="pct"/>
            <w:gridSpan w:val="2"/>
          </w:tcPr>
          <w:p w14:paraId="6A493FBE" w14:textId="77777777" w:rsidR="00352AB3" w:rsidRDefault="00352AB3" w:rsidP="00262FF0">
            <w:pPr>
              <w:jc w:val="center"/>
            </w:pPr>
            <w:r w:rsidRPr="00262FF0">
              <w:t>529.35</w:t>
            </w:r>
          </w:p>
        </w:tc>
        <w:tc>
          <w:tcPr>
            <w:tcW w:w="1092" w:type="pct"/>
            <w:gridSpan w:val="2"/>
          </w:tcPr>
          <w:p w14:paraId="171F58B5" w14:textId="0996D2DB" w:rsidR="00352AB3" w:rsidRDefault="0063492E" w:rsidP="00352AB3">
            <w:pPr>
              <w:jc w:val="center"/>
            </w:pPr>
            <w:r>
              <w:t>540.67</w:t>
            </w:r>
          </w:p>
        </w:tc>
      </w:tr>
    </w:tbl>
    <w:p w14:paraId="56E3578D" w14:textId="77777777" w:rsidR="002B282E" w:rsidRDefault="002B282E" w:rsidP="002B282E"/>
    <w:sectPr w:rsidR="002B282E" w:rsidSect="007F3E64">
      <w:footerReference w:type="default" r:id="rId10"/>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ider, Najmul" w:date="2022-08-04T14:40:00Z" w:initials="NH">
    <w:p w14:paraId="4E25E26E" w14:textId="77777777" w:rsidR="00923D0A" w:rsidRDefault="00923D0A">
      <w:pPr>
        <w:pStyle w:val="CommentText"/>
      </w:pPr>
      <w:r>
        <w:rPr>
          <w:rStyle w:val="CommentReference"/>
        </w:rPr>
        <w:annotationRef/>
      </w:r>
      <w:r>
        <w:t>Please fill up this information</w:t>
      </w:r>
      <w:proofErr w:type="gramStart"/>
      <w:r>
        <w:t xml:space="preserve"> ..</w:t>
      </w:r>
      <w:proofErr w:type="gramEnd"/>
      <w:r>
        <w:t xml:space="preserve">  </w:t>
      </w:r>
    </w:p>
    <w:p w14:paraId="40DBDF37" w14:textId="77777777" w:rsidR="009D4D8A" w:rsidRDefault="009D4D8A">
      <w:pPr>
        <w:pStyle w:val="CommentText"/>
      </w:pPr>
    </w:p>
    <w:p w14:paraId="6886503C" w14:textId="1E433EB2" w:rsidR="009D4D8A" w:rsidRDefault="009D4D8A" w:rsidP="009D4D8A">
      <w:pPr>
        <w:pStyle w:val="CommentText"/>
        <w:numPr>
          <w:ilvl w:val="0"/>
          <w:numId w:val="3"/>
        </w:numPr>
      </w:pPr>
      <w:r>
        <w:t xml:space="preserve"> 31 December 2021 </w:t>
      </w:r>
    </w:p>
    <w:p w14:paraId="6A0380C6" w14:textId="32EF9D64" w:rsidR="009D4D8A" w:rsidRDefault="009D4D8A" w:rsidP="009D4D8A">
      <w:pPr>
        <w:pStyle w:val="CommentText"/>
        <w:numPr>
          <w:ilvl w:val="0"/>
          <w:numId w:val="3"/>
        </w:numPr>
      </w:pPr>
      <w:r>
        <w:t xml:space="preserve"> 15 July 2022</w:t>
      </w:r>
    </w:p>
  </w:comment>
  <w:comment w:id="2" w:author="Haider, Najmul" w:date="2022-08-04T14:24:00Z" w:initials="NH">
    <w:p w14:paraId="245943AC" w14:textId="0202DDAD" w:rsidR="006D4A12" w:rsidRDefault="006D4A12">
      <w:pPr>
        <w:pStyle w:val="CommentText"/>
      </w:pPr>
      <w:r>
        <w:rPr>
          <w:rStyle w:val="CommentReference"/>
        </w:rPr>
        <w:annotationRef/>
      </w:r>
      <w:r>
        <w:t xml:space="preserve">Dear </w:t>
      </w:r>
      <w:proofErr w:type="spellStart"/>
      <w:r>
        <w:t>Nayeem</w:t>
      </w:r>
      <w:proofErr w:type="spellEnd"/>
      <w:r>
        <w:t xml:space="preserve">, would you please fill up this information for PAHO region … this is becoming another paper as I can see …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0380C6" w15:done="0"/>
  <w15:commentEx w15:paraId="245943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58ED" w16cex:dateUtc="2022-08-04T13:40:00Z"/>
  <w16cex:commentExtensible w16cex:durableId="2696551B" w16cex:dateUtc="2022-08-04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0380C6" w16cid:durableId="269658ED"/>
  <w16cid:commentId w16cid:paraId="245943AC" w16cid:durableId="2696551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9792A" w14:textId="77777777" w:rsidR="00AD66C6" w:rsidRDefault="00AD66C6" w:rsidP="009D4D8A">
      <w:pPr>
        <w:spacing w:after="0" w:line="240" w:lineRule="auto"/>
      </w:pPr>
      <w:r>
        <w:separator/>
      </w:r>
    </w:p>
  </w:endnote>
  <w:endnote w:type="continuationSeparator" w:id="0">
    <w:p w14:paraId="2F59ADE1" w14:textId="77777777" w:rsidR="00AD66C6" w:rsidRDefault="00AD66C6" w:rsidP="009D4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742364"/>
      <w:docPartObj>
        <w:docPartGallery w:val="Page Numbers (Bottom of Page)"/>
        <w:docPartUnique/>
      </w:docPartObj>
    </w:sdtPr>
    <w:sdtEndPr>
      <w:rPr>
        <w:noProof/>
      </w:rPr>
    </w:sdtEndPr>
    <w:sdtContent>
      <w:p w14:paraId="69F0342C" w14:textId="7AD6C547" w:rsidR="009D4D8A" w:rsidRDefault="009D4D8A">
        <w:pPr>
          <w:pStyle w:val="Footer"/>
          <w:jc w:val="center"/>
        </w:pPr>
        <w:r>
          <w:fldChar w:fldCharType="begin"/>
        </w:r>
        <w:r>
          <w:instrText xml:space="preserve"> PAGE   \* MERGEFORMAT </w:instrText>
        </w:r>
        <w:r>
          <w:fldChar w:fldCharType="separate"/>
        </w:r>
        <w:r w:rsidR="00604828">
          <w:rPr>
            <w:noProof/>
          </w:rPr>
          <w:t>10</w:t>
        </w:r>
        <w:r>
          <w:rPr>
            <w:noProof/>
          </w:rPr>
          <w:fldChar w:fldCharType="end"/>
        </w:r>
      </w:p>
    </w:sdtContent>
  </w:sdt>
  <w:p w14:paraId="160D8C4E" w14:textId="77777777" w:rsidR="009D4D8A" w:rsidRDefault="009D4D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1874E" w14:textId="77777777" w:rsidR="00AD66C6" w:rsidRDefault="00AD66C6" w:rsidP="009D4D8A">
      <w:pPr>
        <w:spacing w:after="0" w:line="240" w:lineRule="auto"/>
      </w:pPr>
      <w:r>
        <w:separator/>
      </w:r>
    </w:p>
  </w:footnote>
  <w:footnote w:type="continuationSeparator" w:id="0">
    <w:p w14:paraId="59E21262" w14:textId="77777777" w:rsidR="00AD66C6" w:rsidRDefault="00AD66C6" w:rsidP="009D4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B0578"/>
    <w:multiLevelType w:val="hybridMultilevel"/>
    <w:tmpl w:val="544C5E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7B6098"/>
    <w:multiLevelType w:val="hybridMultilevel"/>
    <w:tmpl w:val="B3508F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7459DA"/>
    <w:multiLevelType w:val="hybridMultilevel"/>
    <w:tmpl w:val="7D7C8E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ider, Najmul">
    <w15:presenceInfo w15:providerId="None" w15:userId="Haider, Najm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CFE"/>
    <w:rsid w:val="00005DAB"/>
    <w:rsid w:val="00016EC1"/>
    <w:rsid w:val="00030AFD"/>
    <w:rsid w:val="000439D1"/>
    <w:rsid w:val="000B5554"/>
    <w:rsid w:val="000E212C"/>
    <w:rsid w:val="000F31E6"/>
    <w:rsid w:val="00102395"/>
    <w:rsid w:val="00131593"/>
    <w:rsid w:val="001614B5"/>
    <w:rsid w:val="001C21FA"/>
    <w:rsid w:val="001C444F"/>
    <w:rsid w:val="002078C0"/>
    <w:rsid w:val="00224751"/>
    <w:rsid w:val="0023031C"/>
    <w:rsid w:val="0023685D"/>
    <w:rsid w:val="00243017"/>
    <w:rsid w:val="002570C1"/>
    <w:rsid w:val="00262FF0"/>
    <w:rsid w:val="00266EAC"/>
    <w:rsid w:val="002B282E"/>
    <w:rsid w:val="002D03AE"/>
    <w:rsid w:val="002E2228"/>
    <w:rsid w:val="002F18B7"/>
    <w:rsid w:val="00343C46"/>
    <w:rsid w:val="00352AB3"/>
    <w:rsid w:val="00391639"/>
    <w:rsid w:val="00395271"/>
    <w:rsid w:val="003D1311"/>
    <w:rsid w:val="00411852"/>
    <w:rsid w:val="0041393E"/>
    <w:rsid w:val="00424BA5"/>
    <w:rsid w:val="004278A0"/>
    <w:rsid w:val="00450FA1"/>
    <w:rsid w:val="00463FB5"/>
    <w:rsid w:val="00464197"/>
    <w:rsid w:val="004842E0"/>
    <w:rsid w:val="00486B3D"/>
    <w:rsid w:val="00496EED"/>
    <w:rsid w:val="004A0B7D"/>
    <w:rsid w:val="004B720D"/>
    <w:rsid w:val="00504238"/>
    <w:rsid w:val="005114D0"/>
    <w:rsid w:val="00516148"/>
    <w:rsid w:val="00523B47"/>
    <w:rsid w:val="005756B4"/>
    <w:rsid w:val="00585406"/>
    <w:rsid w:val="005A65E1"/>
    <w:rsid w:val="005B75A9"/>
    <w:rsid w:val="005C6C2F"/>
    <w:rsid w:val="005C7324"/>
    <w:rsid w:val="005E19C7"/>
    <w:rsid w:val="005F3BF9"/>
    <w:rsid w:val="00604828"/>
    <w:rsid w:val="0063492E"/>
    <w:rsid w:val="0064229E"/>
    <w:rsid w:val="00650673"/>
    <w:rsid w:val="00650E86"/>
    <w:rsid w:val="00657F62"/>
    <w:rsid w:val="00665AE9"/>
    <w:rsid w:val="00667D87"/>
    <w:rsid w:val="00692A00"/>
    <w:rsid w:val="00697605"/>
    <w:rsid w:val="006A742F"/>
    <w:rsid w:val="006D2C35"/>
    <w:rsid w:val="006D4A12"/>
    <w:rsid w:val="006F1F98"/>
    <w:rsid w:val="006F2201"/>
    <w:rsid w:val="00747EE7"/>
    <w:rsid w:val="007749C7"/>
    <w:rsid w:val="007961E9"/>
    <w:rsid w:val="007A2536"/>
    <w:rsid w:val="007A320A"/>
    <w:rsid w:val="007F3E64"/>
    <w:rsid w:val="007F3F89"/>
    <w:rsid w:val="0082244A"/>
    <w:rsid w:val="00824881"/>
    <w:rsid w:val="00836364"/>
    <w:rsid w:val="00867137"/>
    <w:rsid w:val="00897119"/>
    <w:rsid w:val="008B1D57"/>
    <w:rsid w:val="008B2F30"/>
    <w:rsid w:val="008C3C82"/>
    <w:rsid w:val="008C6304"/>
    <w:rsid w:val="008E3677"/>
    <w:rsid w:val="008F1863"/>
    <w:rsid w:val="008F7B00"/>
    <w:rsid w:val="009040D3"/>
    <w:rsid w:val="00910E77"/>
    <w:rsid w:val="00923D0A"/>
    <w:rsid w:val="00934286"/>
    <w:rsid w:val="00942B20"/>
    <w:rsid w:val="009514DB"/>
    <w:rsid w:val="009961C5"/>
    <w:rsid w:val="009C2D62"/>
    <w:rsid w:val="009C6A75"/>
    <w:rsid w:val="009D4D8A"/>
    <w:rsid w:val="00A10828"/>
    <w:rsid w:val="00A16319"/>
    <w:rsid w:val="00A253F5"/>
    <w:rsid w:val="00A43A9C"/>
    <w:rsid w:val="00A53919"/>
    <w:rsid w:val="00A90ADD"/>
    <w:rsid w:val="00AB2C3B"/>
    <w:rsid w:val="00AC2169"/>
    <w:rsid w:val="00AD66C6"/>
    <w:rsid w:val="00AF7657"/>
    <w:rsid w:val="00B369ED"/>
    <w:rsid w:val="00B62044"/>
    <w:rsid w:val="00B957EF"/>
    <w:rsid w:val="00BA136F"/>
    <w:rsid w:val="00BA3939"/>
    <w:rsid w:val="00BB4760"/>
    <w:rsid w:val="00BB5EE9"/>
    <w:rsid w:val="00BE6CE6"/>
    <w:rsid w:val="00C26256"/>
    <w:rsid w:val="00C409BF"/>
    <w:rsid w:val="00C50EBD"/>
    <w:rsid w:val="00C579E3"/>
    <w:rsid w:val="00C91F46"/>
    <w:rsid w:val="00C96A76"/>
    <w:rsid w:val="00C96DA8"/>
    <w:rsid w:val="00CA3154"/>
    <w:rsid w:val="00CB6DF8"/>
    <w:rsid w:val="00CC4CFE"/>
    <w:rsid w:val="00CC60AA"/>
    <w:rsid w:val="00CD651C"/>
    <w:rsid w:val="00CF66D4"/>
    <w:rsid w:val="00CF77CF"/>
    <w:rsid w:val="00D169D2"/>
    <w:rsid w:val="00D30836"/>
    <w:rsid w:val="00D51E64"/>
    <w:rsid w:val="00D93CB5"/>
    <w:rsid w:val="00DA0B87"/>
    <w:rsid w:val="00E11429"/>
    <w:rsid w:val="00E50D46"/>
    <w:rsid w:val="00E51E3A"/>
    <w:rsid w:val="00E74533"/>
    <w:rsid w:val="00E76304"/>
    <w:rsid w:val="00E833AC"/>
    <w:rsid w:val="00E93E16"/>
    <w:rsid w:val="00EA7AA4"/>
    <w:rsid w:val="00EA7C9D"/>
    <w:rsid w:val="00EC5ADE"/>
    <w:rsid w:val="00F15B10"/>
    <w:rsid w:val="00F2060A"/>
    <w:rsid w:val="00F42EF7"/>
    <w:rsid w:val="00F638CB"/>
    <w:rsid w:val="00F8678F"/>
    <w:rsid w:val="00FE11EE"/>
    <w:rsid w:val="00FE2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E2B9"/>
  <w15:chartTrackingRefBased/>
  <w15:docId w15:val="{C8C42241-0796-43CE-BA07-445B140D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2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14B5"/>
    <w:pPr>
      <w:ind w:left="720"/>
      <w:contextualSpacing/>
    </w:pPr>
  </w:style>
  <w:style w:type="character" w:styleId="CommentReference">
    <w:name w:val="annotation reference"/>
    <w:basedOn w:val="DefaultParagraphFont"/>
    <w:uiPriority w:val="99"/>
    <w:semiHidden/>
    <w:unhideWhenUsed/>
    <w:rsid w:val="006D4A12"/>
    <w:rPr>
      <w:sz w:val="16"/>
      <w:szCs w:val="16"/>
    </w:rPr>
  </w:style>
  <w:style w:type="paragraph" w:styleId="CommentText">
    <w:name w:val="annotation text"/>
    <w:basedOn w:val="Normal"/>
    <w:link w:val="CommentTextChar"/>
    <w:uiPriority w:val="99"/>
    <w:semiHidden/>
    <w:unhideWhenUsed/>
    <w:rsid w:val="006D4A12"/>
    <w:pPr>
      <w:spacing w:line="240" w:lineRule="auto"/>
    </w:pPr>
    <w:rPr>
      <w:sz w:val="20"/>
      <w:szCs w:val="20"/>
    </w:rPr>
  </w:style>
  <w:style w:type="character" w:customStyle="1" w:styleId="CommentTextChar">
    <w:name w:val="Comment Text Char"/>
    <w:basedOn w:val="DefaultParagraphFont"/>
    <w:link w:val="CommentText"/>
    <w:uiPriority w:val="99"/>
    <w:semiHidden/>
    <w:rsid w:val="006D4A12"/>
    <w:rPr>
      <w:sz w:val="20"/>
      <w:szCs w:val="20"/>
    </w:rPr>
  </w:style>
  <w:style w:type="paragraph" w:styleId="CommentSubject">
    <w:name w:val="annotation subject"/>
    <w:basedOn w:val="CommentText"/>
    <w:next w:val="CommentText"/>
    <w:link w:val="CommentSubjectChar"/>
    <w:uiPriority w:val="99"/>
    <w:semiHidden/>
    <w:unhideWhenUsed/>
    <w:rsid w:val="006D4A12"/>
    <w:rPr>
      <w:b/>
      <w:bCs/>
    </w:rPr>
  </w:style>
  <w:style w:type="character" w:customStyle="1" w:styleId="CommentSubjectChar">
    <w:name w:val="Comment Subject Char"/>
    <w:basedOn w:val="CommentTextChar"/>
    <w:link w:val="CommentSubject"/>
    <w:uiPriority w:val="99"/>
    <w:semiHidden/>
    <w:rsid w:val="006D4A12"/>
    <w:rPr>
      <w:b/>
      <w:bCs/>
      <w:sz w:val="20"/>
      <w:szCs w:val="20"/>
    </w:rPr>
  </w:style>
  <w:style w:type="paragraph" w:styleId="Header">
    <w:name w:val="header"/>
    <w:basedOn w:val="Normal"/>
    <w:link w:val="HeaderChar"/>
    <w:uiPriority w:val="99"/>
    <w:unhideWhenUsed/>
    <w:rsid w:val="009D4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D8A"/>
  </w:style>
  <w:style w:type="paragraph" w:styleId="Footer">
    <w:name w:val="footer"/>
    <w:basedOn w:val="Normal"/>
    <w:link w:val="FooterChar"/>
    <w:uiPriority w:val="99"/>
    <w:unhideWhenUsed/>
    <w:rsid w:val="009D4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D8A"/>
  </w:style>
  <w:style w:type="paragraph" w:styleId="BalloonText">
    <w:name w:val="Balloon Text"/>
    <w:basedOn w:val="Normal"/>
    <w:link w:val="BalloonTextChar"/>
    <w:uiPriority w:val="99"/>
    <w:semiHidden/>
    <w:unhideWhenUsed/>
    <w:rsid w:val="00E74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5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0222">
      <w:bodyDiv w:val="1"/>
      <w:marLeft w:val="0"/>
      <w:marRight w:val="0"/>
      <w:marTop w:val="0"/>
      <w:marBottom w:val="0"/>
      <w:divBdr>
        <w:top w:val="none" w:sz="0" w:space="0" w:color="auto"/>
        <w:left w:val="none" w:sz="0" w:space="0" w:color="auto"/>
        <w:bottom w:val="none" w:sz="0" w:space="0" w:color="auto"/>
        <w:right w:val="none" w:sz="0" w:space="0" w:color="auto"/>
      </w:divBdr>
    </w:div>
    <w:div w:id="150214858">
      <w:bodyDiv w:val="1"/>
      <w:marLeft w:val="0"/>
      <w:marRight w:val="0"/>
      <w:marTop w:val="0"/>
      <w:marBottom w:val="0"/>
      <w:divBdr>
        <w:top w:val="none" w:sz="0" w:space="0" w:color="auto"/>
        <w:left w:val="none" w:sz="0" w:space="0" w:color="auto"/>
        <w:bottom w:val="none" w:sz="0" w:space="0" w:color="auto"/>
        <w:right w:val="none" w:sz="0" w:space="0" w:color="auto"/>
      </w:divBdr>
    </w:div>
    <w:div w:id="219052661">
      <w:bodyDiv w:val="1"/>
      <w:marLeft w:val="0"/>
      <w:marRight w:val="0"/>
      <w:marTop w:val="0"/>
      <w:marBottom w:val="0"/>
      <w:divBdr>
        <w:top w:val="none" w:sz="0" w:space="0" w:color="auto"/>
        <w:left w:val="none" w:sz="0" w:space="0" w:color="auto"/>
        <w:bottom w:val="none" w:sz="0" w:space="0" w:color="auto"/>
        <w:right w:val="none" w:sz="0" w:space="0" w:color="auto"/>
      </w:divBdr>
    </w:div>
    <w:div w:id="258373512">
      <w:bodyDiv w:val="1"/>
      <w:marLeft w:val="0"/>
      <w:marRight w:val="0"/>
      <w:marTop w:val="0"/>
      <w:marBottom w:val="0"/>
      <w:divBdr>
        <w:top w:val="none" w:sz="0" w:space="0" w:color="auto"/>
        <w:left w:val="none" w:sz="0" w:space="0" w:color="auto"/>
        <w:bottom w:val="none" w:sz="0" w:space="0" w:color="auto"/>
        <w:right w:val="none" w:sz="0" w:space="0" w:color="auto"/>
      </w:divBdr>
    </w:div>
    <w:div w:id="258374231">
      <w:bodyDiv w:val="1"/>
      <w:marLeft w:val="0"/>
      <w:marRight w:val="0"/>
      <w:marTop w:val="0"/>
      <w:marBottom w:val="0"/>
      <w:divBdr>
        <w:top w:val="none" w:sz="0" w:space="0" w:color="auto"/>
        <w:left w:val="none" w:sz="0" w:space="0" w:color="auto"/>
        <w:bottom w:val="none" w:sz="0" w:space="0" w:color="auto"/>
        <w:right w:val="none" w:sz="0" w:space="0" w:color="auto"/>
      </w:divBdr>
    </w:div>
    <w:div w:id="383725322">
      <w:bodyDiv w:val="1"/>
      <w:marLeft w:val="0"/>
      <w:marRight w:val="0"/>
      <w:marTop w:val="0"/>
      <w:marBottom w:val="0"/>
      <w:divBdr>
        <w:top w:val="none" w:sz="0" w:space="0" w:color="auto"/>
        <w:left w:val="none" w:sz="0" w:space="0" w:color="auto"/>
        <w:bottom w:val="none" w:sz="0" w:space="0" w:color="auto"/>
        <w:right w:val="none" w:sz="0" w:space="0" w:color="auto"/>
      </w:divBdr>
    </w:div>
    <w:div w:id="394207946">
      <w:bodyDiv w:val="1"/>
      <w:marLeft w:val="0"/>
      <w:marRight w:val="0"/>
      <w:marTop w:val="0"/>
      <w:marBottom w:val="0"/>
      <w:divBdr>
        <w:top w:val="none" w:sz="0" w:space="0" w:color="auto"/>
        <w:left w:val="none" w:sz="0" w:space="0" w:color="auto"/>
        <w:bottom w:val="none" w:sz="0" w:space="0" w:color="auto"/>
        <w:right w:val="none" w:sz="0" w:space="0" w:color="auto"/>
      </w:divBdr>
    </w:div>
    <w:div w:id="412774325">
      <w:bodyDiv w:val="1"/>
      <w:marLeft w:val="0"/>
      <w:marRight w:val="0"/>
      <w:marTop w:val="0"/>
      <w:marBottom w:val="0"/>
      <w:divBdr>
        <w:top w:val="none" w:sz="0" w:space="0" w:color="auto"/>
        <w:left w:val="none" w:sz="0" w:space="0" w:color="auto"/>
        <w:bottom w:val="none" w:sz="0" w:space="0" w:color="auto"/>
        <w:right w:val="none" w:sz="0" w:space="0" w:color="auto"/>
      </w:divBdr>
    </w:div>
    <w:div w:id="425469421">
      <w:bodyDiv w:val="1"/>
      <w:marLeft w:val="0"/>
      <w:marRight w:val="0"/>
      <w:marTop w:val="0"/>
      <w:marBottom w:val="0"/>
      <w:divBdr>
        <w:top w:val="none" w:sz="0" w:space="0" w:color="auto"/>
        <w:left w:val="none" w:sz="0" w:space="0" w:color="auto"/>
        <w:bottom w:val="none" w:sz="0" w:space="0" w:color="auto"/>
        <w:right w:val="none" w:sz="0" w:space="0" w:color="auto"/>
      </w:divBdr>
    </w:div>
    <w:div w:id="459230069">
      <w:bodyDiv w:val="1"/>
      <w:marLeft w:val="0"/>
      <w:marRight w:val="0"/>
      <w:marTop w:val="0"/>
      <w:marBottom w:val="0"/>
      <w:divBdr>
        <w:top w:val="none" w:sz="0" w:space="0" w:color="auto"/>
        <w:left w:val="none" w:sz="0" w:space="0" w:color="auto"/>
        <w:bottom w:val="none" w:sz="0" w:space="0" w:color="auto"/>
        <w:right w:val="none" w:sz="0" w:space="0" w:color="auto"/>
      </w:divBdr>
    </w:div>
    <w:div w:id="498274941">
      <w:bodyDiv w:val="1"/>
      <w:marLeft w:val="0"/>
      <w:marRight w:val="0"/>
      <w:marTop w:val="0"/>
      <w:marBottom w:val="0"/>
      <w:divBdr>
        <w:top w:val="none" w:sz="0" w:space="0" w:color="auto"/>
        <w:left w:val="none" w:sz="0" w:space="0" w:color="auto"/>
        <w:bottom w:val="none" w:sz="0" w:space="0" w:color="auto"/>
        <w:right w:val="none" w:sz="0" w:space="0" w:color="auto"/>
      </w:divBdr>
    </w:div>
    <w:div w:id="521355540">
      <w:bodyDiv w:val="1"/>
      <w:marLeft w:val="0"/>
      <w:marRight w:val="0"/>
      <w:marTop w:val="0"/>
      <w:marBottom w:val="0"/>
      <w:divBdr>
        <w:top w:val="none" w:sz="0" w:space="0" w:color="auto"/>
        <w:left w:val="none" w:sz="0" w:space="0" w:color="auto"/>
        <w:bottom w:val="none" w:sz="0" w:space="0" w:color="auto"/>
        <w:right w:val="none" w:sz="0" w:space="0" w:color="auto"/>
      </w:divBdr>
    </w:div>
    <w:div w:id="621115012">
      <w:bodyDiv w:val="1"/>
      <w:marLeft w:val="0"/>
      <w:marRight w:val="0"/>
      <w:marTop w:val="0"/>
      <w:marBottom w:val="0"/>
      <w:divBdr>
        <w:top w:val="none" w:sz="0" w:space="0" w:color="auto"/>
        <w:left w:val="none" w:sz="0" w:space="0" w:color="auto"/>
        <w:bottom w:val="none" w:sz="0" w:space="0" w:color="auto"/>
        <w:right w:val="none" w:sz="0" w:space="0" w:color="auto"/>
      </w:divBdr>
    </w:div>
    <w:div w:id="634794216">
      <w:bodyDiv w:val="1"/>
      <w:marLeft w:val="0"/>
      <w:marRight w:val="0"/>
      <w:marTop w:val="0"/>
      <w:marBottom w:val="0"/>
      <w:divBdr>
        <w:top w:val="none" w:sz="0" w:space="0" w:color="auto"/>
        <w:left w:val="none" w:sz="0" w:space="0" w:color="auto"/>
        <w:bottom w:val="none" w:sz="0" w:space="0" w:color="auto"/>
        <w:right w:val="none" w:sz="0" w:space="0" w:color="auto"/>
      </w:divBdr>
    </w:div>
    <w:div w:id="692416038">
      <w:bodyDiv w:val="1"/>
      <w:marLeft w:val="0"/>
      <w:marRight w:val="0"/>
      <w:marTop w:val="0"/>
      <w:marBottom w:val="0"/>
      <w:divBdr>
        <w:top w:val="none" w:sz="0" w:space="0" w:color="auto"/>
        <w:left w:val="none" w:sz="0" w:space="0" w:color="auto"/>
        <w:bottom w:val="none" w:sz="0" w:space="0" w:color="auto"/>
        <w:right w:val="none" w:sz="0" w:space="0" w:color="auto"/>
      </w:divBdr>
    </w:div>
    <w:div w:id="747120348">
      <w:bodyDiv w:val="1"/>
      <w:marLeft w:val="0"/>
      <w:marRight w:val="0"/>
      <w:marTop w:val="0"/>
      <w:marBottom w:val="0"/>
      <w:divBdr>
        <w:top w:val="none" w:sz="0" w:space="0" w:color="auto"/>
        <w:left w:val="none" w:sz="0" w:space="0" w:color="auto"/>
        <w:bottom w:val="none" w:sz="0" w:space="0" w:color="auto"/>
        <w:right w:val="none" w:sz="0" w:space="0" w:color="auto"/>
      </w:divBdr>
    </w:div>
    <w:div w:id="752748203">
      <w:bodyDiv w:val="1"/>
      <w:marLeft w:val="0"/>
      <w:marRight w:val="0"/>
      <w:marTop w:val="0"/>
      <w:marBottom w:val="0"/>
      <w:divBdr>
        <w:top w:val="none" w:sz="0" w:space="0" w:color="auto"/>
        <w:left w:val="none" w:sz="0" w:space="0" w:color="auto"/>
        <w:bottom w:val="none" w:sz="0" w:space="0" w:color="auto"/>
        <w:right w:val="none" w:sz="0" w:space="0" w:color="auto"/>
      </w:divBdr>
    </w:div>
    <w:div w:id="767240335">
      <w:bodyDiv w:val="1"/>
      <w:marLeft w:val="0"/>
      <w:marRight w:val="0"/>
      <w:marTop w:val="0"/>
      <w:marBottom w:val="0"/>
      <w:divBdr>
        <w:top w:val="none" w:sz="0" w:space="0" w:color="auto"/>
        <w:left w:val="none" w:sz="0" w:space="0" w:color="auto"/>
        <w:bottom w:val="none" w:sz="0" w:space="0" w:color="auto"/>
        <w:right w:val="none" w:sz="0" w:space="0" w:color="auto"/>
      </w:divBdr>
    </w:div>
    <w:div w:id="807476656">
      <w:bodyDiv w:val="1"/>
      <w:marLeft w:val="0"/>
      <w:marRight w:val="0"/>
      <w:marTop w:val="0"/>
      <w:marBottom w:val="0"/>
      <w:divBdr>
        <w:top w:val="none" w:sz="0" w:space="0" w:color="auto"/>
        <w:left w:val="none" w:sz="0" w:space="0" w:color="auto"/>
        <w:bottom w:val="none" w:sz="0" w:space="0" w:color="auto"/>
        <w:right w:val="none" w:sz="0" w:space="0" w:color="auto"/>
      </w:divBdr>
    </w:div>
    <w:div w:id="833761870">
      <w:bodyDiv w:val="1"/>
      <w:marLeft w:val="0"/>
      <w:marRight w:val="0"/>
      <w:marTop w:val="0"/>
      <w:marBottom w:val="0"/>
      <w:divBdr>
        <w:top w:val="none" w:sz="0" w:space="0" w:color="auto"/>
        <w:left w:val="none" w:sz="0" w:space="0" w:color="auto"/>
        <w:bottom w:val="none" w:sz="0" w:space="0" w:color="auto"/>
        <w:right w:val="none" w:sz="0" w:space="0" w:color="auto"/>
      </w:divBdr>
    </w:div>
    <w:div w:id="889996412">
      <w:bodyDiv w:val="1"/>
      <w:marLeft w:val="0"/>
      <w:marRight w:val="0"/>
      <w:marTop w:val="0"/>
      <w:marBottom w:val="0"/>
      <w:divBdr>
        <w:top w:val="none" w:sz="0" w:space="0" w:color="auto"/>
        <w:left w:val="none" w:sz="0" w:space="0" w:color="auto"/>
        <w:bottom w:val="none" w:sz="0" w:space="0" w:color="auto"/>
        <w:right w:val="none" w:sz="0" w:space="0" w:color="auto"/>
      </w:divBdr>
    </w:div>
    <w:div w:id="1000963602">
      <w:bodyDiv w:val="1"/>
      <w:marLeft w:val="0"/>
      <w:marRight w:val="0"/>
      <w:marTop w:val="0"/>
      <w:marBottom w:val="0"/>
      <w:divBdr>
        <w:top w:val="none" w:sz="0" w:space="0" w:color="auto"/>
        <w:left w:val="none" w:sz="0" w:space="0" w:color="auto"/>
        <w:bottom w:val="none" w:sz="0" w:space="0" w:color="auto"/>
        <w:right w:val="none" w:sz="0" w:space="0" w:color="auto"/>
      </w:divBdr>
    </w:div>
    <w:div w:id="1049838145">
      <w:bodyDiv w:val="1"/>
      <w:marLeft w:val="0"/>
      <w:marRight w:val="0"/>
      <w:marTop w:val="0"/>
      <w:marBottom w:val="0"/>
      <w:divBdr>
        <w:top w:val="none" w:sz="0" w:space="0" w:color="auto"/>
        <w:left w:val="none" w:sz="0" w:space="0" w:color="auto"/>
        <w:bottom w:val="none" w:sz="0" w:space="0" w:color="auto"/>
        <w:right w:val="none" w:sz="0" w:space="0" w:color="auto"/>
      </w:divBdr>
    </w:div>
    <w:div w:id="1136990890">
      <w:bodyDiv w:val="1"/>
      <w:marLeft w:val="0"/>
      <w:marRight w:val="0"/>
      <w:marTop w:val="0"/>
      <w:marBottom w:val="0"/>
      <w:divBdr>
        <w:top w:val="none" w:sz="0" w:space="0" w:color="auto"/>
        <w:left w:val="none" w:sz="0" w:space="0" w:color="auto"/>
        <w:bottom w:val="none" w:sz="0" w:space="0" w:color="auto"/>
        <w:right w:val="none" w:sz="0" w:space="0" w:color="auto"/>
      </w:divBdr>
    </w:div>
    <w:div w:id="1155682294">
      <w:bodyDiv w:val="1"/>
      <w:marLeft w:val="0"/>
      <w:marRight w:val="0"/>
      <w:marTop w:val="0"/>
      <w:marBottom w:val="0"/>
      <w:divBdr>
        <w:top w:val="none" w:sz="0" w:space="0" w:color="auto"/>
        <w:left w:val="none" w:sz="0" w:space="0" w:color="auto"/>
        <w:bottom w:val="none" w:sz="0" w:space="0" w:color="auto"/>
        <w:right w:val="none" w:sz="0" w:space="0" w:color="auto"/>
      </w:divBdr>
    </w:div>
    <w:div w:id="1253970054">
      <w:bodyDiv w:val="1"/>
      <w:marLeft w:val="0"/>
      <w:marRight w:val="0"/>
      <w:marTop w:val="0"/>
      <w:marBottom w:val="0"/>
      <w:divBdr>
        <w:top w:val="none" w:sz="0" w:space="0" w:color="auto"/>
        <w:left w:val="none" w:sz="0" w:space="0" w:color="auto"/>
        <w:bottom w:val="none" w:sz="0" w:space="0" w:color="auto"/>
        <w:right w:val="none" w:sz="0" w:space="0" w:color="auto"/>
      </w:divBdr>
    </w:div>
    <w:div w:id="1397126661">
      <w:bodyDiv w:val="1"/>
      <w:marLeft w:val="0"/>
      <w:marRight w:val="0"/>
      <w:marTop w:val="0"/>
      <w:marBottom w:val="0"/>
      <w:divBdr>
        <w:top w:val="none" w:sz="0" w:space="0" w:color="auto"/>
        <w:left w:val="none" w:sz="0" w:space="0" w:color="auto"/>
        <w:bottom w:val="none" w:sz="0" w:space="0" w:color="auto"/>
        <w:right w:val="none" w:sz="0" w:space="0" w:color="auto"/>
      </w:divBdr>
    </w:div>
    <w:div w:id="1420758946">
      <w:bodyDiv w:val="1"/>
      <w:marLeft w:val="0"/>
      <w:marRight w:val="0"/>
      <w:marTop w:val="0"/>
      <w:marBottom w:val="0"/>
      <w:divBdr>
        <w:top w:val="none" w:sz="0" w:space="0" w:color="auto"/>
        <w:left w:val="none" w:sz="0" w:space="0" w:color="auto"/>
        <w:bottom w:val="none" w:sz="0" w:space="0" w:color="auto"/>
        <w:right w:val="none" w:sz="0" w:space="0" w:color="auto"/>
      </w:divBdr>
    </w:div>
    <w:div w:id="1505516523">
      <w:bodyDiv w:val="1"/>
      <w:marLeft w:val="0"/>
      <w:marRight w:val="0"/>
      <w:marTop w:val="0"/>
      <w:marBottom w:val="0"/>
      <w:divBdr>
        <w:top w:val="none" w:sz="0" w:space="0" w:color="auto"/>
        <w:left w:val="none" w:sz="0" w:space="0" w:color="auto"/>
        <w:bottom w:val="none" w:sz="0" w:space="0" w:color="auto"/>
        <w:right w:val="none" w:sz="0" w:space="0" w:color="auto"/>
      </w:divBdr>
    </w:div>
    <w:div w:id="1570340077">
      <w:bodyDiv w:val="1"/>
      <w:marLeft w:val="0"/>
      <w:marRight w:val="0"/>
      <w:marTop w:val="0"/>
      <w:marBottom w:val="0"/>
      <w:divBdr>
        <w:top w:val="none" w:sz="0" w:space="0" w:color="auto"/>
        <w:left w:val="none" w:sz="0" w:space="0" w:color="auto"/>
        <w:bottom w:val="none" w:sz="0" w:space="0" w:color="auto"/>
        <w:right w:val="none" w:sz="0" w:space="0" w:color="auto"/>
      </w:divBdr>
    </w:div>
    <w:div w:id="1575748359">
      <w:bodyDiv w:val="1"/>
      <w:marLeft w:val="0"/>
      <w:marRight w:val="0"/>
      <w:marTop w:val="0"/>
      <w:marBottom w:val="0"/>
      <w:divBdr>
        <w:top w:val="none" w:sz="0" w:space="0" w:color="auto"/>
        <w:left w:val="none" w:sz="0" w:space="0" w:color="auto"/>
        <w:bottom w:val="none" w:sz="0" w:space="0" w:color="auto"/>
        <w:right w:val="none" w:sz="0" w:space="0" w:color="auto"/>
      </w:divBdr>
    </w:div>
    <w:div w:id="1606109915">
      <w:bodyDiv w:val="1"/>
      <w:marLeft w:val="0"/>
      <w:marRight w:val="0"/>
      <w:marTop w:val="0"/>
      <w:marBottom w:val="0"/>
      <w:divBdr>
        <w:top w:val="none" w:sz="0" w:space="0" w:color="auto"/>
        <w:left w:val="none" w:sz="0" w:space="0" w:color="auto"/>
        <w:bottom w:val="none" w:sz="0" w:space="0" w:color="auto"/>
        <w:right w:val="none" w:sz="0" w:space="0" w:color="auto"/>
      </w:divBdr>
    </w:div>
    <w:div w:id="1669601875">
      <w:bodyDiv w:val="1"/>
      <w:marLeft w:val="0"/>
      <w:marRight w:val="0"/>
      <w:marTop w:val="0"/>
      <w:marBottom w:val="0"/>
      <w:divBdr>
        <w:top w:val="none" w:sz="0" w:space="0" w:color="auto"/>
        <w:left w:val="none" w:sz="0" w:space="0" w:color="auto"/>
        <w:bottom w:val="none" w:sz="0" w:space="0" w:color="auto"/>
        <w:right w:val="none" w:sz="0" w:space="0" w:color="auto"/>
      </w:divBdr>
    </w:div>
    <w:div w:id="1685205783">
      <w:bodyDiv w:val="1"/>
      <w:marLeft w:val="0"/>
      <w:marRight w:val="0"/>
      <w:marTop w:val="0"/>
      <w:marBottom w:val="0"/>
      <w:divBdr>
        <w:top w:val="none" w:sz="0" w:space="0" w:color="auto"/>
        <w:left w:val="none" w:sz="0" w:space="0" w:color="auto"/>
        <w:bottom w:val="none" w:sz="0" w:space="0" w:color="auto"/>
        <w:right w:val="none" w:sz="0" w:space="0" w:color="auto"/>
      </w:divBdr>
    </w:div>
    <w:div w:id="1861889255">
      <w:bodyDiv w:val="1"/>
      <w:marLeft w:val="0"/>
      <w:marRight w:val="0"/>
      <w:marTop w:val="0"/>
      <w:marBottom w:val="0"/>
      <w:divBdr>
        <w:top w:val="none" w:sz="0" w:space="0" w:color="auto"/>
        <w:left w:val="none" w:sz="0" w:space="0" w:color="auto"/>
        <w:bottom w:val="none" w:sz="0" w:space="0" w:color="auto"/>
        <w:right w:val="none" w:sz="0" w:space="0" w:color="auto"/>
      </w:divBdr>
    </w:div>
    <w:div w:id="1936397468">
      <w:bodyDiv w:val="1"/>
      <w:marLeft w:val="0"/>
      <w:marRight w:val="0"/>
      <w:marTop w:val="0"/>
      <w:marBottom w:val="0"/>
      <w:divBdr>
        <w:top w:val="none" w:sz="0" w:space="0" w:color="auto"/>
        <w:left w:val="none" w:sz="0" w:space="0" w:color="auto"/>
        <w:bottom w:val="none" w:sz="0" w:space="0" w:color="auto"/>
        <w:right w:val="none" w:sz="0" w:space="0" w:color="auto"/>
      </w:divBdr>
    </w:div>
    <w:div w:id="2072263323">
      <w:bodyDiv w:val="1"/>
      <w:marLeft w:val="0"/>
      <w:marRight w:val="0"/>
      <w:marTop w:val="0"/>
      <w:marBottom w:val="0"/>
      <w:divBdr>
        <w:top w:val="none" w:sz="0" w:space="0" w:color="auto"/>
        <w:left w:val="none" w:sz="0" w:space="0" w:color="auto"/>
        <w:bottom w:val="none" w:sz="0" w:space="0" w:color="auto"/>
        <w:right w:val="none" w:sz="0" w:space="0" w:color="auto"/>
      </w:divBdr>
    </w:div>
    <w:div w:id="213733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tiff"/><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10</Pages>
  <Words>3235</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54</cp:revision>
  <dcterms:created xsi:type="dcterms:W3CDTF">2022-08-04T12:52:00Z</dcterms:created>
  <dcterms:modified xsi:type="dcterms:W3CDTF">2022-08-13T12:40:00Z</dcterms:modified>
</cp:coreProperties>
</file>