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2E" w:rsidRDefault="00F8678F" w:rsidP="002B282E">
      <w:r w:rsidRPr="00F8678F">
        <w:rPr>
          <w:noProof/>
        </w:rPr>
        <w:drawing>
          <wp:inline distT="0" distB="0" distL="0" distR="0">
            <wp:extent cx="6858000" cy="6858000"/>
            <wp:effectExtent l="0" t="0" r="0" b="0"/>
            <wp:docPr id="2" name="Picture 2" descr="E:\WHOPAHO\Grap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HOPAHO\Graph.tif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ED" w:rsidRDefault="002B282E" w:rsidP="002B282E">
      <w:r>
        <w:t>Fig. 1. The Global Health Security Index (GHSI) overall score vs. the countries’ mortality outcome due to COVID-19 (deaths/million). The countries with highest score in GHSI also had higher mortality rate due to COVID-19 (</w:t>
      </w:r>
      <w:r w:rsidR="00747EE7" w:rsidRPr="00747EE7">
        <w:t>Argentina</w:t>
      </w:r>
      <w:r w:rsidR="00747EE7">
        <w:t xml:space="preserve">, </w:t>
      </w:r>
      <w:r w:rsidR="00747EE7" w:rsidRPr="00747EE7">
        <w:t>Brazil</w:t>
      </w:r>
      <w:r w:rsidR="00747EE7">
        <w:t xml:space="preserve">, </w:t>
      </w:r>
      <w:r w:rsidR="00747EE7" w:rsidRPr="00747EE7">
        <w:t>Canada</w:t>
      </w:r>
      <w:r w:rsidR="00747EE7">
        <w:t xml:space="preserve">, </w:t>
      </w:r>
      <w:r w:rsidR="00747EE7" w:rsidRPr="00747EE7">
        <w:t>Chile</w:t>
      </w:r>
      <w:r w:rsidR="00747EE7">
        <w:t xml:space="preserve">, </w:t>
      </w:r>
      <w:r w:rsidR="00747EE7" w:rsidRPr="00747EE7">
        <w:t>Colombia</w:t>
      </w:r>
      <w:r w:rsidR="00747EE7">
        <w:t xml:space="preserve">, </w:t>
      </w:r>
      <w:r w:rsidR="00747EE7" w:rsidRPr="00747EE7">
        <w:t>Costa Rica</w:t>
      </w:r>
      <w:r w:rsidR="00747EE7">
        <w:t xml:space="preserve">, </w:t>
      </w:r>
      <w:r w:rsidR="00747EE7" w:rsidRPr="00747EE7">
        <w:t>Ecuador</w:t>
      </w:r>
      <w:r w:rsidR="00747EE7">
        <w:t xml:space="preserve">, </w:t>
      </w:r>
      <w:r w:rsidR="00747EE7" w:rsidRPr="00747EE7">
        <w:t>El Salvador</w:t>
      </w:r>
      <w:r w:rsidR="00747EE7">
        <w:t xml:space="preserve">, </w:t>
      </w:r>
      <w:r w:rsidR="00747EE7" w:rsidRPr="00747EE7">
        <w:t>Mexico</w:t>
      </w:r>
      <w:r w:rsidR="00747EE7">
        <w:t xml:space="preserve">, </w:t>
      </w:r>
      <w:r w:rsidR="00747EE7" w:rsidRPr="00747EE7">
        <w:t>Peru</w:t>
      </w:r>
      <w:r w:rsidR="00747EE7">
        <w:t xml:space="preserve">, </w:t>
      </w:r>
      <w:r w:rsidR="00747EE7" w:rsidRPr="00747EE7">
        <w:t>United States</w:t>
      </w:r>
      <w:r>
        <w:t>).</w:t>
      </w:r>
      <w:r w:rsidR="00F8678F">
        <w:t xml:space="preserve"> </w:t>
      </w:r>
    </w:p>
    <w:p w:rsidR="00F8678F" w:rsidRDefault="00F8678F" w:rsidP="002B282E">
      <w:r>
        <w:t xml:space="preserve">*a = December 31, 2020, b = June 30, 2021, c = December 31, 2021, d = </w:t>
      </w:r>
      <w:r w:rsidRPr="00F8678F">
        <w:t>July 15, 2022</w:t>
      </w:r>
    </w:p>
    <w:p w:rsidR="002B282E" w:rsidRDefault="002B282E" w:rsidP="002B282E"/>
    <w:p w:rsidR="000F31E6" w:rsidRDefault="000F31E6">
      <w:r>
        <w:br w:type="page"/>
      </w:r>
    </w:p>
    <w:p w:rsidR="00C26256" w:rsidRDefault="00C26256" w:rsidP="002B282E">
      <w:bookmarkStart w:id="0" w:name="_GoBack"/>
      <w:bookmarkEnd w:id="0"/>
      <w:r w:rsidRPr="00C26256">
        <w:lastRenderedPageBreak/>
        <w:t>Table 1. The linear regression and negative binomial regression models for COVID-19-related outcome and other explanatory variables including the GHSI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428"/>
        <w:gridCol w:w="777"/>
        <w:gridCol w:w="1416"/>
        <w:gridCol w:w="906"/>
        <w:gridCol w:w="1429"/>
        <w:gridCol w:w="924"/>
        <w:gridCol w:w="1418"/>
        <w:gridCol w:w="939"/>
      </w:tblGrid>
      <w:tr w:rsidR="00CF66D4" w:rsidTr="00CF66D4">
        <w:tc>
          <w:tcPr>
            <w:tcW w:w="720" w:type="pct"/>
          </w:tcPr>
          <w:p w:rsidR="00CF66D4" w:rsidRDefault="00CF66D4" w:rsidP="00CF66D4">
            <w:pPr>
              <w:jc w:val="center"/>
            </w:pPr>
            <w:r w:rsidRPr="00450FA1">
              <w:t>Dates, until</w:t>
            </w:r>
          </w:p>
        </w:tc>
        <w:tc>
          <w:tcPr>
            <w:tcW w:w="1022" w:type="pct"/>
            <w:gridSpan w:val="2"/>
          </w:tcPr>
          <w:p w:rsidR="00CF66D4" w:rsidRPr="00C26256" w:rsidRDefault="00CF66D4" w:rsidP="00CF66D4">
            <w:pPr>
              <w:jc w:val="center"/>
            </w:pPr>
            <w:r w:rsidRPr="00C26256">
              <w:t>December</w:t>
            </w:r>
            <w:r>
              <w:t xml:space="preserve"> 31,</w:t>
            </w:r>
            <w:r w:rsidRPr="00C26256">
              <w:t xml:space="preserve"> 2020</w:t>
            </w:r>
          </w:p>
        </w:tc>
        <w:tc>
          <w:tcPr>
            <w:tcW w:w="1076" w:type="pct"/>
            <w:gridSpan w:val="2"/>
          </w:tcPr>
          <w:p w:rsidR="00CF66D4" w:rsidRPr="00C26256" w:rsidRDefault="00CF66D4" w:rsidP="00CF66D4">
            <w:pPr>
              <w:jc w:val="center"/>
            </w:pPr>
            <w:r w:rsidRPr="00C26256">
              <w:t>June</w:t>
            </w:r>
            <w:r>
              <w:t xml:space="preserve"> 30,</w:t>
            </w:r>
            <w:r w:rsidRPr="00C26256">
              <w:t xml:space="preserve"> 2021</w:t>
            </w:r>
          </w:p>
        </w:tc>
        <w:tc>
          <w:tcPr>
            <w:tcW w:w="1090" w:type="pct"/>
            <w:gridSpan w:val="2"/>
          </w:tcPr>
          <w:p w:rsidR="00CF66D4" w:rsidRDefault="00CF66D4" w:rsidP="00CF66D4">
            <w:pPr>
              <w:jc w:val="center"/>
            </w:pPr>
            <w:r w:rsidRPr="00C26256">
              <w:t xml:space="preserve">December </w:t>
            </w:r>
            <w:r>
              <w:t xml:space="preserve">31, </w:t>
            </w:r>
            <w:r w:rsidRPr="00C26256">
              <w:t>2021</w:t>
            </w:r>
          </w:p>
        </w:tc>
        <w:tc>
          <w:tcPr>
            <w:tcW w:w="1092" w:type="pct"/>
            <w:gridSpan w:val="2"/>
          </w:tcPr>
          <w:p w:rsidR="00CF66D4" w:rsidRDefault="00CF66D4" w:rsidP="00CF66D4">
            <w:pPr>
              <w:jc w:val="center"/>
            </w:pPr>
            <w:r>
              <w:t>July 15, 2022</w:t>
            </w:r>
          </w:p>
        </w:tc>
      </w:tr>
      <w:tr w:rsidR="00C409BF" w:rsidTr="00CF66D4">
        <w:tc>
          <w:tcPr>
            <w:tcW w:w="720" w:type="pct"/>
          </w:tcPr>
          <w:p w:rsidR="00450FA1" w:rsidRDefault="00450FA1" w:rsidP="00450FA1"/>
        </w:tc>
        <w:tc>
          <w:tcPr>
            <w:tcW w:w="662" w:type="pct"/>
          </w:tcPr>
          <w:p w:rsidR="00450FA1" w:rsidRDefault="00E50D46" w:rsidP="00450FA1">
            <w:r>
              <w:t>IRR (95% CI)</w:t>
            </w:r>
          </w:p>
        </w:tc>
        <w:tc>
          <w:tcPr>
            <w:tcW w:w="360" w:type="pct"/>
          </w:tcPr>
          <w:p w:rsidR="00450FA1" w:rsidRDefault="00450FA1" w:rsidP="00450FA1">
            <w:r>
              <w:t>P value</w:t>
            </w:r>
          </w:p>
        </w:tc>
        <w:tc>
          <w:tcPr>
            <w:tcW w:w="656" w:type="pct"/>
          </w:tcPr>
          <w:p w:rsidR="00450FA1" w:rsidRDefault="00E833AC" w:rsidP="00450FA1">
            <w:r>
              <w:t>IRR (95% CI)</w:t>
            </w:r>
          </w:p>
        </w:tc>
        <w:tc>
          <w:tcPr>
            <w:tcW w:w="420" w:type="pct"/>
          </w:tcPr>
          <w:p w:rsidR="00450FA1" w:rsidRDefault="00450FA1" w:rsidP="00450FA1">
            <w:r>
              <w:t>P value</w:t>
            </w:r>
          </w:p>
        </w:tc>
        <w:tc>
          <w:tcPr>
            <w:tcW w:w="662" w:type="pct"/>
          </w:tcPr>
          <w:p w:rsidR="00450FA1" w:rsidRDefault="00E833AC" w:rsidP="00450FA1">
            <w:r>
              <w:t>IRR (95% CI)</w:t>
            </w:r>
          </w:p>
        </w:tc>
        <w:tc>
          <w:tcPr>
            <w:tcW w:w="428" w:type="pct"/>
          </w:tcPr>
          <w:p w:rsidR="00450FA1" w:rsidRDefault="00450FA1" w:rsidP="00450FA1">
            <w:r>
              <w:t>P value</w:t>
            </w:r>
          </w:p>
        </w:tc>
        <w:tc>
          <w:tcPr>
            <w:tcW w:w="657" w:type="pct"/>
          </w:tcPr>
          <w:p w:rsidR="00450FA1" w:rsidRDefault="00E833AC" w:rsidP="00450FA1">
            <w:r>
              <w:t>IRR (95% CI)</w:t>
            </w:r>
          </w:p>
        </w:tc>
        <w:tc>
          <w:tcPr>
            <w:tcW w:w="435" w:type="pct"/>
          </w:tcPr>
          <w:p w:rsidR="00450FA1" w:rsidRDefault="00450FA1" w:rsidP="00450FA1">
            <w:r>
              <w:t>P value</w:t>
            </w:r>
          </w:p>
        </w:tc>
      </w:tr>
      <w:tr w:rsidR="00C409BF" w:rsidTr="00CF66D4">
        <w:tc>
          <w:tcPr>
            <w:tcW w:w="720" w:type="pct"/>
          </w:tcPr>
          <w:p w:rsidR="00450FA1" w:rsidRDefault="00450FA1" w:rsidP="00450FA1">
            <w:r w:rsidRPr="00450FA1">
              <w:t>GHSI</w:t>
            </w:r>
          </w:p>
        </w:tc>
        <w:tc>
          <w:tcPr>
            <w:tcW w:w="662" w:type="pct"/>
          </w:tcPr>
          <w:p w:rsidR="00450FA1" w:rsidRDefault="005F3BF9" w:rsidP="00450FA1">
            <w:r>
              <w:t>1.04 (</w:t>
            </w:r>
            <w:r w:rsidR="006F2201">
              <w:t>1.01 – 1.08)</w:t>
            </w:r>
          </w:p>
        </w:tc>
        <w:tc>
          <w:tcPr>
            <w:tcW w:w="360" w:type="pct"/>
          </w:tcPr>
          <w:p w:rsidR="00450FA1" w:rsidRDefault="005F3BF9" w:rsidP="00450FA1">
            <w:r>
              <w:t>0.031</w:t>
            </w:r>
            <w:r w:rsidRPr="005F3BF9">
              <w:t xml:space="preserve"> *</w:t>
            </w:r>
          </w:p>
        </w:tc>
        <w:tc>
          <w:tcPr>
            <w:tcW w:w="656" w:type="pct"/>
          </w:tcPr>
          <w:p w:rsidR="00450FA1" w:rsidRDefault="00910E77" w:rsidP="00450FA1">
            <w:r>
              <w:t>1.03 (</w:t>
            </w:r>
            <w:r w:rsidR="004278A0">
              <w:t>1.01 – 1.06)</w:t>
            </w:r>
          </w:p>
        </w:tc>
        <w:tc>
          <w:tcPr>
            <w:tcW w:w="420" w:type="pct"/>
          </w:tcPr>
          <w:p w:rsidR="00450FA1" w:rsidRDefault="00C91F46" w:rsidP="00450FA1">
            <w:r>
              <w:t>0.04</w:t>
            </w:r>
            <w:r w:rsidR="00910E77">
              <w:t>3</w:t>
            </w:r>
            <w:r w:rsidR="00B62044">
              <w:t xml:space="preserve"> *</w:t>
            </w:r>
          </w:p>
        </w:tc>
        <w:tc>
          <w:tcPr>
            <w:tcW w:w="662" w:type="pct"/>
          </w:tcPr>
          <w:p w:rsidR="00450FA1" w:rsidRDefault="00C91F46" w:rsidP="00C91F46">
            <w:r w:rsidRPr="00C91F46">
              <w:t>1.01</w:t>
            </w:r>
            <w:r>
              <w:t xml:space="preserve"> (0.99</w:t>
            </w:r>
            <w:r w:rsidR="00102395">
              <w:t xml:space="preserve"> – 1.04)</w:t>
            </w:r>
          </w:p>
        </w:tc>
        <w:tc>
          <w:tcPr>
            <w:tcW w:w="428" w:type="pct"/>
          </w:tcPr>
          <w:p w:rsidR="00450FA1" w:rsidRDefault="00262FF0" w:rsidP="00450FA1">
            <w:r>
              <w:t>0.251</w:t>
            </w:r>
          </w:p>
        </w:tc>
        <w:tc>
          <w:tcPr>
            <w:tcW w:w="657" w:type="pct"/>
          </w:tcPr>
          <w:p w:rsidR="00450FA1" w:rsidRDefault="00F42EF7" w:rsidP="00450FA1">
            <w:r>
              <w:t>1.01</w:t>
            </w:r>
            <w:r w:rsidR="00352AB3">
              <w:t xml:space="preserve"> (</w:t>
            </w:r>
            <w:r>
              <w:t>0.99 – 1.04</w:t>
            </w:r>
            <w:r w:rsidR="00650673">
              <w:t>)</w:t>
            </w:r>
          </w:p>
        </w:tc>
        <w:tc>
          <w:tcPr>
            <w:tcW w:w="435" w:type="pct"/>
          </w:tcPr>
          <w:p w:rsidR="00450FA1" w:rsidRDefault="00F42EF7" w:rsidP="00450FA1">
            <w:r>
              <w:t>0.238</w:t>
            </w:r>
          </w:p>
        </w:tc>
      </w:tr>
      <w:tr w:rsidR="00C409BF" w:rsidTr="00CF66D4">
        <w:tc>
          <w:tcPr>
            <w:tcW w:w="720" w:type="pct"/>
          </w:tcPr>
          <w:p w:rsidR="00450FA1" w:rsidRDefault="00450FA1" w:rsidP="00450FA1">
            <w:r w:rsidRPr="00450FA1">
              <w:t>Total cases/million</w:t>
            </w:r>
          </w:p>
        </w:tc>
        <w:tc>
          <w:tcPr>
            <w:tcW w:w="662" w:type="pct"/>
          </w:tcPr>
          <w:p w:rsidR="00450FA1" w:rsidRDefault="005F3BF9" w:rsidP="00450FA1">
            <w:r>
              <w:t>1.01 (</w:t>
            </w:r>
            <w:r w:rsidR="006F2201">
              <w:t>1.01 – 1.02)</w:t>
            </w:r>
          </w:p>
        </w:tc>
        <w:tc>
          <w:tcPr>
            <w:tcW w:w="360" w:type="pct"/>
          </w:tcPr>
          <w:p w:rsidR="00450FA1" w:rsidRDefault="005F3BF9" w:rsidP="00450FA1">
            <w:r>
              <w:t>0.005</w:t>
            </w:r>
            <w:r w:rsidRPr="005F3BF9">
              <w:t xml:space="preserve"> **</w:t>
            </w:r>
          </w:p>
        </w:tc>
        <w:tc>
          <w:tcPr>
            <w:tcW w:w="656" w:type="pct"/>
          </w:tcPr>
          <w:p w:rsidR="00450FA1" w:rsidRDefault="00910E77" w:rsidP="00450FA1">
            <w:r>
              <w:t>1.01</w:t>
            </w:r>
            <w:r w:rsidR="004278A0">
              <w:t xml:space="preserve"> (1.01 – 1.02)</w:t>
            </w:r>
          </w:p>
        </w:tc>
        <w:tc>
          <w:tcPr>
            <w:tcW w:w="420" w:type="pct"/>
          </w:tcPr>
          <w:p w:rsidR="00450FA1" w:rsidRDefault="00910E77" w:rsidP="00450FA1">
            <w:r>
              <w:t>0.009</w:t>
            </w:r>
            <w:r w:rsidRPr="00910E77">
              <w:t xml:space="preserve"> **</w:t>
            </w:r>
          </w:p>
        </w:tc>
        <w:tc>
          <w:tcPr>
            <w:tcW w:w="662" w:type="pct"/>
          </w:tcPr>
          <w:p w:rsidR="00450FA1" w:rsidRDefault="00C91F46" w:rsidP="00C91F46">
            <w:r>
              <w:t>1.01 (</w:t>
            </w:r>
            <w:r w:rsidR="00102395">
              <w:t>1.01 – 1.02)</w:t>
            </w:r>
          </w:p>
        </w:tc>
        <w:tc>
          <w:tcPr>
            <w:tcW w:w="428" w:type="pct"/>
          </w:tcPr>
          <w:p w:rsidR="00450FA1" w:rsidRDefault="00262FF0" w:rsidP="00450FA1">
            <w:r>
              <w:t>0.034</w:t>
            </w:r>
            <w:r w:rsidRPr="00262FF0">
              <w:t xml:space="preserve"> *</w:t>
            </w:r>
          </w:p>
        </w:tc>
        <w:tc>
          <w:tcPr>
            <w:tcW w:w="657" w:type="pct"/>
          </w:tcPr>
          <w:p w:rsidR="00450FA1" w:rsidRDefault="00A16319" w:rsidP="00450FA1">
            <w:r>
              <w:t>1.01</w:t>
            </w:r>
            <w:r w:rsidR="00E51E3A">
              <w:t xml:space="preserve"> (</w:t>
            </w:r>
            <w:r w:rsidR="00650673">
              <w:t>1.01 – 1.02)</w:t>
            </w:r>
          </w:p>
        </w:tc>
        <w:tc>
          <w:tcPr>
            <w:tcW w:w="435" w:type="pct"/>
          </w:tcPr>
          <w:p w:rsidR="00450FA1" w:rsidRDefault="00F42EF7" w:rsidP="00450FA1">
            <w:r>
              <w:t>0.039 *</w:t>
            </w:r>
          </w:p>
        </w:tc>
      </w:tr>
      <w:tr w:rsidR="00C409BF" w:rsidTr="00CF66D4">
        <w:tc>
          <w:tcPr>
            <w:tcW w:w="720" w:type="pct"/>
          </w:tcPr>
          <w:p w:rsidR="00450FA1" w:rsidRDefault="00450FA1" w:rsidP="00450FA1">
            <w:r>
              <w:t>The percentage of the population</w:t>
            </w:r>
          </w:p>
          <w:p w:rsidR="00450FA1" w:rsidRDefault="00450FA1" w:rsidP="00450FA1">
            <w:r>
              <w:t>aged 65 and above</w:t>
            </w:r>
          </w:p>
        </w:tc>
        <w:tc>
          <w:tcPr>
            <w:tcW w:w="662" w:type="pct"/>
          </w:tcPr>
          <w:p w:rsidR="00450FA1" w:rsidRPr="009514DB" w:rsidRDefault="005F3BF9" w:rsidP="00450FA1">
            <w:r w:rsidRPr="009514DB">
              <w:t>0.91 (</w:t>
            </w:r>
            <w:r w:rsidR="006F2201" w:rsidRPr="009514DB">
              <w:t>0.72 – 1.15)</w:t>
            </w:r>
          </w:p>
        </w:tc>
        <w:tc>
          <w:tcPr>
            <w:tcW w:w="360" w:type="pct"/>
          </w:tcPr>
          <w:p w:rsidR="00450FA1" w:rsidRPr="009514DB" w:rsidRDefault="008C6304" w:rsidP="00450FA1">
            <w:r w:rsidRPr="009514DB">
              <w:t>0.351</w:t>
            </w:r>
          </w:p>
        </w:tc>
        <w:tc>
          <w:tcPr>
            <w:tcW w:w="656" w:type="pct"/>
          </w:tcPr>
          <w:p w:rsidR="00450FA1" w:rsidRPr="009514DB" w:rsidRDefault="00910E77" w:rsidP="00450FA1">
            <w:r w:rsidRPr="009514DB">
              <w:t>0.90</w:t>
            </w:r>
            <w:r w:rsidR="004278A0" w:rsidRPr="009514DB">
              <w:t xml:space="preserve"> (0.75 – 1.08)</w:t>
            </w:r>
          </w:p>
        </w:tc>
        <w:tc>
          <w:tcPr>
            <w:tcW w:w="420" w:type="pct"/>
          </w:tcPr>
          <w:p w:rsidR="00450FA1" w:rsidRPr="009514DB" w:rsidRDefault="00910E77" w:rsidP="00450FA1">
            <w:r w:rsidRPr="009514DB">
              <w:t>0.192</w:t>
            </w:r>
          </w:p>
        </w:tc>
        <w:tc>
          <w:tcPr>
            <w:tcW w:w="662" w:type="pct"/>
          </w:tcPr>
          <w:p w:rsidR="00450FA1" w:rsidRPr="009514DB" w:rsidRDefault="00C91F46" w:rsidP="00C91F46">
            <w:r w:rsidRPr="009514DB">
              <w:t>0.85 (</w:t>
            </w:r>
            <w:r w:rsidR="00102395" w:rsidRPr="009514DB">
              <w:t>0.74 – 0.99)</w:t>
            </w:r>
          </w:p>
        </w:tc>
        <w:tc>
          <w:tcPr>
            <w:tcW w:w="428" w:type="pct"/>
          </w:tcPr>
          <w:p w:rsidR="00450FA1" w:rsidRPr="009514DB" w:rsidRDefault="00262FF0" w:rsidP="00450FA1">
            <w:r w:rsidRPr="009514DB">
              <w:t>0.024 *</w:t>
            </w:r>
          </w:p>
        </w:tc>
        <w:tc>
          <w:tcPr>
            <w:tcW w:w="657" w:type="pct"/>
          </w:tcPr>
          <w:p w:rsidR="00450FA1" w:rsidRPr="009514DB" w:rsidRDefault="00F42EF7" w:rsidP="00450FA1">
            <w:r>
              <w:t>0.85</w:t>
            </w:r>
            <w:r w:rsidR="00E51E3A" w:rsidRPr="009514DB">
              <w:t xml:space="preserve"> (</w:t>
            </w:r>
            <w:r>
              <w:t>0.73 – 1.01</w:t>
            </w:r>
            <w:r w:rsidR="00650673" w:rsidRPr="009514DB">
              <w:t>)</w:t>
            </w:r>
          </w:p>
        </w:tc>
        <w:tc>
          <w:tcPr>
            <w:tcW w:w="435" w:type="pct"/>
          </w:tcPr>
          <w:p w:rsidR="00450FA1" w:rsidRPr="009514DB" w:rsidRDefault="00F42EF7" w:rsidP="00450FA1">
            <w:r>
              <w:t>0.028 *</w:t>
            </w:r>
          </w:p>
        </w:tc>
      </w:tr>
      <w:tr w:rsidR="00C409BF" w:rsidTr="00CF66D4">
        <w:tc>
          <w:tcPr>
            <w:tcW w:w="720" w:type="pct"/>
          </w:tcPr>
          <w:p w:rsidR="00450FA1" w:rsidRDefault="00450FA1" w:rsidP="00450FA1">
            <w:r w:rsidRPr="00450FA1">
              <w:t>WGIs</w:t>
            </w:r>
          </w:p>
        </w:tc>
        <w:tc>
          <w:tcPr>
            <w:tcW w:w="662" w:type="pct"/>
          </w:tcPr>
          <w:p w:rsidR="00450FA1" w:rsidRDefault="005F3BF9" w:rsidP="00450FA1">
            <w:r>
              <w:t>1.32 (</w:t>
            </w:r>
            <w:r w:rsidR="006F2201">
              <w:t>0.45 – 3.25)</w:t>
            </w:r>
          </w:p>
        </w:tc>
        <w:tc>
          <w:tcPr>
            <w:tcW w:w="360" w:type="pct"/>
          </w:tcPr>
          <w:p w:rsidR="00450FA1" w:rsidRDefault="008C6304" w:rsidP="00450FA1">
            <w:r>
              <w:t>0.434</w:t>
            </w:r>
          </w:p>
        </w:tc>
        <w:tc>
          <w:tcPr>
            <w:tcW w:w="656" w:type="pct"/>
          </w:tcPr>
          <w:p w:rsidR="00450FA1" w:rsidRDefault="00910E77" w:rsidP="00450FA1">
            <w:r>
              <w:t>1.72</w:t>
            </w:r>
            <w:r w:rsidR="004278A0">
              <w:t xml:space="preserve"> (0.78 – 3.46)</w:t>
            </w:r>
          </w:p>
        </w:tc>
        <w:tc>
          <w:tcPr>
            <w:tcW w:w="420" w:type="pct"/>
          </w:tcPr>
          <w:p w:rsidR="00450FA1" w:rsidRDefault="00910E77" w:rsidP="00450FA1">
            <w:r>
              <w:t>0.067</w:t>
            </w:r>
          </w:p>
        </w:tc>
        <w:tc>
          <w:tcPr>
            <w:tcW w:w="662" w:type="pct"/>
          </w:tcPr>
          <w:p w:rsidR="00450FA1" w:rsidRDefault="00C91F46" w:rsidP="00C91F46">
            <w:r>
              <w:t>2.45 (</w:t>
            </w:r>
            <w:r w:rsidR="00102395">
              <w:t>1.25 – 4.48)</w:t>
            </w:r>
          </w:p>
        </w:tc>
        <w:tc>
          <w:tcPr>
            <w:tcW w:w="428" w:type="pct"/>
          </w:tcPr>
          <w:p w:rsidR="00450FA1" w:rsidRDefault="00262FF0" w:rsidP="00450FA1">
            <w:r>
              <w:t>0.001</w:t>
            </w:r>
            <w:r w:rsidRPr="00262FF0">
              <w:t xml:space="preserve"> **</w:t>
            </w:r>
          </w:p>
        </w:tc>
        <w:tc>
          <w:tcPr>
            <w:tcW w:w="657" w:type="pct"/>
          </w:tcPr>
          <w:p w:rsidR="00450FA1" w:rsidRDefault="00F42EF7" w:rsidP="00450FA1">
            <w:r>
              <w:t>2.57</w:t>
            </w:r>
            <w:r w:rsidR="00E51E3A">
              <w:t xml:space="preserve"> (</w:t>
            </w:r>
            <w:r>
              <w:t>1.31 – 4.73</w:t>
            </w:r>
            <w:r w:rsidR="00650673">
              <w:t>)</w:t>
            </w:r>
          </w:p>
        </w:tc>
        <w:tc>
          <w:tcPr>
            <w:tcW w:w="435" w:type="pct"/>
          </w:tcPr>
          <w:p w:rsidR="00450FA1" w:rsidRDefault="00F42EF7" w:rsidP="00450FA1">
            <w:r>
              <w:t>0.001 ***</w:t>
            </w:r>
          </w:p>
        </w:tc>
      </w:tr>
      <w:tr w:rsidR="00C409BF" w:rsidTr="00CF66D4">
        <w:tc>
          <w:tcPr>
            <w:tcW w:w="720" w:type="pct"/>
          </w:tcPr>
          <w:p w:rsidR="00450FA1" w:rsidRDefault="00450FA1" w:rsidP="00450FA1">
            <w:r w:rsidRPr="00450FA1">
              <w:t>GDP</w:t>
            </w:r>
          </w:p>
        </w:tc>
        <w:tc>
          <w:tcPr>
            <w:tcW w:w="662" w:type="pct"/>
          </w:tcPr>
          <w:p w:rsidR="00450FA1" w:rsidRDefault="005F3BF9" w:rsidP="00450FA1">
            <w:r>
              <w:t>0.99 (</w:t>
            </w:r>
            <w:r w:rsidR="006F2201">
              <w:t>0.99 – 1.00)</w:t>
            </w:r>
          </w:p>
        </w:tc>
        <w:tc>
          <w:tcPr>
            <w:tcW w:w="360" w:type="pct"/>
          </w:tcPr>
          <w:p w:rsidR="00450FA1" w:rsidRDefault="008C6304" w:rsidP="00450FA1">
            <w:r>
              <w:t>0.198</w:t>
            </w:r>
          </w:p>
        </w:tc>
        <w:tc>
          <w:tcPr>
            <w:tcW w:w="656" w:type="pct"/>
          </w:tcPr>
          <w:p w:rsidR="00450FA1" w:rsidRDefault="00910E77" w:rsidP="00910E77">
            <w:r w:rsidRPr="00910E77">
              <w:t>0.99</w:t>
            </w:r>
            <w:r w:rsidR="004278A0">
              <w:t xml:space="preserve"> (0.99 – 1.00)</w:t>
            </w:r>
          </w:p>
        </w:tc>
        <w:tc>
          <w:tcPr>
            <w:tcW w:w="420" w:type="pct"/>
          </w:tcPr>
          <w:p w:rsidR="00450FA1" w:rsidRDefault="00910E77" w:rsidP="00450FA1">
            <w:r>
              <w:t>0.356</w:t>
            </w:r>
          </w:p>
        </w:tc>
        <w:tc>
          <w:tcPr>
            <w:tcW w:w="662" w:type="pct"/>
          </w:tcPr>
          <w:p w:rsidR="00450FA1" w:rsidRDefault="00C91F46" w:rsidP="00C91F46">
            <w:r w:rsidRPr="00C91F46">
              <w:t>0.99</w:t>
            </w:r>
            <w:r>
              <w:t xml:space="preserve"> (</w:t>
            </w:r>
            <w:r w:rsidR="00102395">
              <w:t>0.99 – 1.00)</w:t>
            </w:r>
          </w:p>
        </w:tc>
        <w:tc>
          <w:tcPr>
            <w:tcW w:w="428" w:type="pct"/>
          </w:tcPr>
          <w:p w:rsidR="00450FA1" w:rsidRDefault="00262FF0" w:rsidP="00450FA1">
            <w:r>
              <w:t>0.675</w:t>
            </w:r>
          </w:p>
        </w:tc>
        <w:tc>
          <w:tcPr>
            <w:tcW w:w="657" w:type="pct"/>
          </w:tcPr>
          <w:p w:rsidR="00450FA1" w:rsidRDefault="00352AB3" w:rsidP="00A16319">
            <w:r w:rsidRPr="00352AB3">
              <w:t>0.99</w:t>
            </w:r>
            <w:r w:rsidR="00E51E3A">
              <w:t xml:space="preserve"> (</w:t>
            </w:r>
            <w:r w:rsidR="00650673">
              <w:t>0.99 – 1.00)</w:t>
            </w:r>
          </w:p>
        </w:tc>
        <w:tc>
          <w:tcPr>
            <w:tcW w:w="435" w:type="pct"/>
          </w:tcPr>
          <w:p w:rsidR="00450FA1" w:rsidRDefault="00F42EF7" w:rsidP="00450FA1">
            <w:r>
              <w:t>0.887</w:t>
            </w:r>
          </w:p>
        </w:tc>
      </w:tr>
      <w:tr w:rsidR="00C409BF" w:rsidTr="00CF66D4">
        <w:tc>
          <w:tcPr>
            <w:tcW w:w="720" w:type="pct"/>
          </w:tcPr>
          <w:p w:rsidR="00450FA1" w:rsidRDefault="00450FA1" w:rsidP="00450FA1">
            <w:r w:rsidRPr="00450FA1">
              <w:t>Population density</w:t>
            </w:r>
          </w:p>
        </w:tc>
        <w:tc>
          <w:tcPr>
            <w:tcW w:w="662" w:type="pct"/>
          </w:tcPr>
          <w:p w:rsidR="00450FA1" w:rsidRDefault="005F3BF9" w:rsidP="00450FA1">
            <w:r>
              <w:t>0.99 (</w:t>
            </w:r>
            <w:r w:rsidR="006F2201">
              <w:t>0.98 – 0.99)</w:t>
            </w:r>
          </w:p>
        </w:tc>
        <w:tc>
          <w:tcPr>
            <w:tcW w:w="360" w:type="pct"/>
          </w:tcPr>
          <w:p w:rsidR="00450FA1" w:rsidRDefault="008C6304" w:rsidP="00450FA1">
            <w:r>
              <w:t>0.026</w:t>
            </w:r>
            <w:r w:rsidRPr="008C6304">
              <w:t xml:space="preserve"> *</w:t>
            </w:r>
          </w:p>
        </w:tc>
        <w:tc>
          <w:tcPr>
            <w:tcW w:w="656" w:type="pct"/>
          </w:tcPr>
          <w:p w:rsidR="00450FA1" w:rsidRDefault="00910E77" w:rsidP="00910E77">
            <w:r w:rsidRPr="00910E77">
              <w:t>0.99</w:t>
            </w:r>
            <w:r w:rsidR="004278A0">
              <w:t xml:space="preserve"> (0.99 – 1.00)</w:t>
            </w:r>
          </w:p>
        </w:tc>
        <w:tc>
          <w:tcPr>
            <w:tcW w:w="420" w:type="pct"/>
          </w:tcPr>
          <w:p w:rsidR="00450FA1" w:rsidRDefault="00910E77" w:rsidP="00450FA1">
            <w:r>
              <w:t>0.127</w:t>
            </w:r>
          </w:p>
        </w:tc>
        <w:tc>
          <w:tcPr>
            <w:tcW w:w="662" w:type="pct"/>
          </w:tcPr>
          <w:p w:rsidR="00450FA1" w:rsidRDefault="00C91F46" w:rsidP="00450FA1">
            <w:r>
              <w:t>0.99 (</w:t>
            </w:r>
            <w:r w:rsidR="00102395">
              <w:t>0.99 – 1.00)</w:t>
            </w:r>
          </w:p>
        </w:tc>
        <w:tc>
          <w:tcPr>
            <w:tcW w:w="428" w:type="pct"/>
          </w:tcPr>
          <w:p w:rsidR="00450FA1" w:rsidRDefault="00262FF0" w:rsidP="00450FA1">
            <w:r>
              <w:t>0.262</w:t>
            </w:r>
          </w:p>
        </w:tc>
        <w:tc>
          <w:tcPr>
            <w:tcW w:w="657" w:type="pct"/>
          </w:tcPr>
          <w:p w:rsidR="00450FA1" w:rsidRDefault="00352AB3" w:rsidP="00A16319">
            <w:r w:rsidRPr="00352AB3">
              <w:t>0.99</w:t>
            </w:r>
            <w:r w:rsidR="00E51E3A">
              <w:t xml:space="preserve"> (</w:t>
            </w:r>
            <w:r w:rsidR="00650673">
              <w:t>0.99 – 1.00)</w:t>
            </w:r>
          </w:p>
        </w:tc>
        <w:tc>
          <w:tcPr>
            <w:tcW w:w="435" w:type="pct"/>
          </w:tcPr>
          <w:p w:rsidR="00450FA1" w:rsidRDefault="00F42EF7" w:rsidP="00450FA1">
            <w:r>
              <w:t>0.182</w:t>
            </w:r>
          </w:p>
        </w:tc>
      </w:tr>
      <w:tr w:rsidR="00352AB3" w:rsidTr="00CF66D4">
        <w:trPr>
          <w:trHeight w:val="89"/>
        </w:trPr>
        <w:tc>
          <w:tcPr>
            <w:tcW w:w="720" w:type="pct"/>
          </w:tcPr>
          <w:p w:rsidR="00352AB3" w:rsidRDefault="00352AB3" w:rsidP="00450FA1">
            <w:r>
              <w:t>AIC</w:t>
            </w:r>
          </w:p>
        </w:tc>
        <w:tc>
          <w:tcPr>
            <w:tcW w:w="1022" w:type="pct"/>
            <w:gridSpan w:val="2"/>
          </w:tcPr>
          <w:p w:rsidR="00352AB3" w:rsidRDefault="00352AB3" w:rsidP="00910E77">
            <w:pPr>
              <w:jc w:val="center"/>
            </w:pPr>
            <w:r w:rsidRPr="0023031C">
              <w:t>435.57</w:t>
            </w:r>
          </w:p>
        </w:tc>
        <w:tc>
          <w:tcPr>
            <w:tcW w:w="1076" w:type="pct"/>
            <w:gridSpan w:val="2"/>
          </w:tcPr>
          <w:p w:rsidR="00352AB3" w:rsidRDefault="00352AB3" w:rsidP="00910E77">
            <w:pPr>
              <w:jc w:val="center"/>
            </w:pPr>
            <w:r w:rsidRPr="00F638CB">
              <w:t>496.11</w:t>
            </w:r>
          </w:p>
        </w:tc>
        <w:tc>
          <w:tcPr>
            <w:tcW w:w="1090" w:type="pct"/>
            <w:gridSpan w:val="2"/>
          </w:tcPr>
          <w:p w:rsidR="00352AB3" w:rsidRDefault="00352AB3" w:rsidP="00262FF0">
            <w:pPr>
              <w:jc w:val="center"/>
            </w:pPr>
            <w:r w:rsidRPr="00262FF0">
              <w:t>529.35</w:t>
            </w:r>
          </w:p>
        </w:tc>
        <w:tc>
          <w:tcPr>
            <w:tcW w:w="1092" w:type="pct"/>
            <w:gridSpan w:val="2"/>
          </w:tcPr>
          <w:p w:rsidR="00352AB3" w:rsidRDefault="00F42EF7" w:rsidP="00352AB3">
            <w:pPr>
              <w:jc w:val="center"/>
            </w:pPr>
            <w:r>
              <w:t>540.33</w:t>
            </w:r>
          </w:p>
        </w:tc>
      </w:tr>
    </w:tbl>
    <w:p w:rsidR="002B282E" w:rsidRDefault="002B282E" w:rsidP="002B282E"/>
    <w:sectPr w:rsidR="002B282E" w:rsidSect="005F3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FE"/>
    <w:rsid w:val="000F31E6"/>
    <w:rsid w:val="00102395"/>
    <w:rsid w:val="001C444F"/>
    <w:rsid w:val="0023031C"/>
    <w:rsid w:val="00262FF0"/>
    <w:rsid w:val="002B282E"/>
    <w:rsid w:val="00352AB3"/>
    <w:rsid w:val="00395271"/>
    <w:rsid w:val="00411852"/>
    <w:rsid w:val="0041393E"/>
    <w:rsid w:val="004278A0"/>
    <w:rsid w:val="00450FA1"/>
    <w:rsid w:val="004842E0"/>
    <w:rsid w:val="00496EED"/>
    <w:rsid w:val="00523B47"/>
    <w:rsid w:val="005756B4"/>
    <w:rsid w:val="005B75A9"/>
    <w:rsid w:val="005F3BF9"/>
    <w:rsid w:val="00650673"/>
    <w:rsid w:val="00657F62"/>
    <w:rsid w:val="006F2201"/>
    <w:rsid w:val="00747EE7"/>
    <w:rsid w:val="007749C7"/>
    <w:rsid w:val="008C6304"/>
    <w:rsid w:val="009040D3"/>
    <w:rsid w:val="00910E77"/>
    <w:rsid w:val="009514DB"/>
    <w:rsid w:val="00A16319"/>
    <w:rsid w:val="00A253F5"/>
    <w:rsid w:val="00B369ED"/>
    <w:rsid w:val="00B62044"/>
    <w:rsid w:val="00C26256"/>
    <w:rsid w:val="00C409BF"/>
    <w:rsid w:val="00C91F46"/>
    <w:rsid w:val="00CC4CFE"/>
    <w:rsid w:val="00CC60AA"/>
    <w:rsid w:val="00CF66D4"/>
    <w:rsid w:val="00D51E64"/>
    <w:rsid w:val="00E50D46"/>
    <w:rsid w:val="00E51E3A"/>
    <w:rsid w:val="00E76304"/>
    <w:rsid w:val="00E833AC"/>
    <w:rsid w:val="00E93E16"/>
    <w:rsid w:val="00EC5ADE"/>
    <w:rsid w:val="00F2060A"/>
    <w:rsid w:val="00F42EF7"/>
    <w:rsid w:val="00F638CB"/>
    <w:rsid w:val="00F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FF10"/>
  <w15:chartTrackingRefBased/>
  <w15:docId w15:val="{C8C42241-0796-43CE-BA07-445B140D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2022-07-17T19:04:00Z</dcterms:created>
  <dcterms:modified xsi:type="dcterms:W3CDTF">2022-07-21T18:42:00Z</dcterms:modified>
</cp:coreProperties>
</file>