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975E8" w14:textId="2A77153F" w:rsidR="008A1064" w:rsidRDefault="00A253F7">
      <w:r w:rsidRPr="00A253F7">
        <w:t>Assessment of direct cost of cerebral palsy management and its effects on family, Bangladesh perspective</w:t>
      </w:r>
    </w:p>
    <w:p w14:paraId="3576C909" w14:textId="290B2C1F" w:rsidR="00A253F7" w:rsidRDefault="00A253F7"/>
    <w:p w14:paraId="2CA8708A" w14:textId="77777777" w:rsidR="00A253F7" w:rsidRDefault="00A253F7"/>
    <w:sectPr w:rsidR="00A25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11"/>
    <w:rsid w:val="004900F2"/>
    <w:rsid w:val="005B75A9"/>
    <w:rsid w:val="00976C86"/>
    <w:rsid w:val="00A253F7"/>
    <w:rsid w:val="00CC60AA"/>
    <w:rsid w:val="00FC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7812"/>
  <w15:chartTrackingRefBased/>
  <w15:docId w15:val="{89AEBDA7-3B05-4DDF-BBB2-06168E1D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Food for the Hungry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3</cp:revision>
  <dcterms:created xsi:type="dcterms:W3CDTF">2022-10-06T23:09:00Z</dcterms:created>
  <dcterms:modified xsi:type="dcterms:W3CDTF">2022-10-07T15:39:00Z</dcterms:modified>
</cp:coreProperties>
</file>