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78C76" w14:textId="2C505DDF" w:rsidR="006E5D08" w:rsidRPr="0056363C" w:rsidRDefault="006E5D08" w:rsidP="0056363C">
      <w:pPr>
        <w:pStyle w:val="MDPI13authornames"/>
        <w:spacing w:after="120" w:line="480" w:lineRule="auto"/>
        <w:jc w:val="center"/>
        <w:rPr>
          <w:rFonts w:asciiTheme="majorBidi" w:hAnsiTheme="majorBidi" w:cstheme="majorBidi"/>
          <w:sz w:val="28"/>
          <w:szCs w:val="28"/>
          <w:lang w:val="en-GB"/>
        </w:rPr>
      </w:pPr>
      <w:r w:rsidRPr="0056363C">
        <w:rPr>
          <w:rFonts w:asciiTheme="majorBidi" w:hAnsiTheme="majorBidi" w:cstheme="majorBidi"/>
          <w:bCs/>
          <w:color w:val="000000" w:themeColor="text1"/>
          <w:sz w:val="28"/>
          <w:szCs w:val="28"/>
          <w:lang w:val="en-GB"/>
        </w:rPr>
        <w:t>Dietary Risk Factors for Non-Communicable Diseases among Omani adults by Latent Class Analysis and Structural Equation Modelling</w:t>
      </w:r>
    </w:p>
    <w:p w14:paraId="6F14934F" w14:textId="77777777" w:rsidR="006E5D08" w:rsidRPr="006E5D08" w:rsidRDefault="006E5D08" w:rsidP="007E30CF">
      <w:pPr>
        <w:spacing w:line="480" w:lineRule="auto"/>
        <w:rPr>
          <w:rFonts w:asciiTheme="majorBidi" w:hAnsiTheme="majorBidi" w:cstheme="majorBidi"/>
          <w:sz w:val="24"/>
          <w:szCs w:val="24"/>
          <w:lang w:eastAsia="de-DE" w:bidi="en-US"/>
        </w:rPr>
      </w:pPr>
    </w:p>
    <w:p w14:paraId="03643510" w14:textId="77777777" w:rsidR="006E5D08" w:rsidRPr="006E5D08" w:rsidRDefault="006E5D08" w:rsidP="007E30CF">
      <w:pPr>
        <w:spacing w:after="120" w:line="480" w:lineRule="auto"/>
        <w:contextualSpacing/>
        <w:rPr>
          <w:rFonts w:asciiTheme="majorBidi" w:hAnsiTheme="majorBidi" w:cstheme="majorBidi"/>
          <w:b/>
          <w:bCs/>
          <w:color w:val="000000" w:themeColor="text1"/>
          <w:sz w:val="24"/>
          <w:szCs w:val="24"/>
        </w:rPr>
      </w:pPr>
      <w:r w:rsidRPr="006E5D08">
        <w:rPr>
          <w:rFonts w:asciiTheme="majorBidi" w:hAnsiTheme="majorBidi" w:cstheme="majorBidi"/>
          <w:b/>
          <w:bCs/>
          <w:color w:val="000000" w:themeColor="text1"/>
          <w:sz w:val="24"/>
          <w:szCs w:val="24"/>
        </w:rPr>
        <w:t>Adhra Al-Mawali</w:t>
      </w:r>
      <w:r w:rsidRPr="006E5D08">
        <w:rPr>
          <w:rFonts w:asciiTheme="majorBidi" w:hAnsiTheme="majorBidi" w:cstheme="majorBidi"/>
          <w:b/>
          <w:bCs/>
          <w:color w:val="000000" w:themeColor="text1"/>
          <w:sz w:val="24"/>
          <w:szCs w:val="24"/>
          <w:vertAlign w:val="superscript"/>
        </w:rPr>
        <w:t>1*†</w:t>
      </w:r>
      <w:r w:rsidRPr="006E5D08">
        <w:rPr>
          <w:rFonts w:asciiTheme="majorBidi" w:hAnsiTheme="majorBidi" w:cstheme="majorBidi"/>
          <w:b/>
          <w:bCs/>
          <w:color w:val="000000" w:themeColor="text1"/>
          <w:sz w:val="24"/>
          <w:szCs w:val="24"/>
        </w:rPr>
        <w:t xml:space="preserve">, </w:t>
      </w:r>
      <w:proofErr w:type="spellStart"/>
      <w:r w:rsidRPr="006E5D08">
        <w:rPr>
          <w:rFonts w:asciiTheme="majorBidi" w:hAnsiTheme="majorBidi" w:cstheme="majorBidi"/>
          <w:b/>
          <w:bCs/>
          <w:color w:val="000000" w:themeColor="text1"/>
          <w:sz w:val="24"/>
          <w:szCs w:val="24"/>
        </w:rPr>
        <w:t>Ayaman</w:t>
      </w:r>
      <w:proofErr w:type="spellEnd"/>
      <w:r w:rsidRPr="006E5D08">
        <w:rPr>
          <w:rFonts w:asciiTheme="majorBidi" w:hAnsiTheme="majorBidi" w:cstheme="majorBidi"/>
          <w:b/>
          <w:bCs/>
          <w:color w:val="000000" w:themeColor="text1"/>
          <w:sz w:val="24"/>
          <w:szCs w:val="24"/>
        </w:rPr>
        <w:t xml:space="preserve"> Al-Harrasi</w:t>
      </w:r>
      <w:r w:rsidRPr="006E5D08">
        <w:rPr>
          <w:rFonts w:asciiTheme="majorBidi" w:hAnsiTheme="majorBidi" w:cstheme="majorBidi"/>
          <w:b/>
          <w:bCs/>
          <w:color w:val="000000" w:themeColor="text1"/>
          <w:sz w:val="24"/>
          <w:szCs w:val="24"/>
          <w:vertAlign w:val="superscript"/>
        </w:rPr>
        <w:t>1†</w:t>
      </w:r>
      <w:r w:rsidRPr="006E5D08">
        <w:rPr>
          <w:rFonts w:asciiTheme="majorBidi" w:hAnsiTheme="majorBidi" w:cstheme="majorBidi"/>
          <w:b/>
          <w:bCs/>
          <w:color w:val="000000" w:themeColor="text1"/>
          <w:sz w:val="24"/>
          <w:szCs w:val="24"/>
        </w:rPr>
        <w:t>, Avinash Daniel Pinto</w:t>
      </w:r>
      <w:r w:rsidRPr="006E5D08">
        <w:rPr>
          <w:rFonts w:asciiTheme="majorBidi" w:hAnsiTheme="majorBidi" w:cstheme="majorBidi"/>
          <w:b/>
          <w:bCs/>
          <w:color w:val="000000" w:themeColor="text1"/>
          <w:sz w:val="24"/>
          <w:szCs w:val="24"/>
          <w:vertAlign w:val="superscript"/>
        </w:rPr>
        <w:t>1</w:t>
      </w:r>
      <w:r w:rsidRPr="006E5D08">
        <w:rPr>
          <w:rFonts w:asciiTheme="majorBidi" w:hAnsiTheme="majorBidi" w:cstheme="majorBidi"/>
          <w:b/>
          <w:bCs/>
          <w:color w:val="000000" w:themeColor="text1"/>
          <w:sz w:val="24"/>
          <w:szCs w:val="24"/>
        </w:rPr>
        <w:t>, Magdi Morsi</w:t>
      </w:r>
      <w:r w:rsidRPr="006E5D08">
        <w:rPr>
          <w:rFonts w:asciiTheme="majorBidi" w:hAnsiTheme="majorBidi" w:cstheme="majorBidi"/>
          <w:b/>
          <w:bCs/>
          <w:color w:val="000000" w:themeColor="text1"/>
          <w:sz w:val="24"/>
          <w:szCs w:val="24"/>
          <w:vertAlign w:val="superscript"/>
        </w:rPr>
        <w:t>1</w:t>
      </w:r>
      <w:r w:rsidRPr="006E5D08">
        <w:rPr>
          <w:rFonts w:asciiTheme="majorBidi" w:hAnsiTheme="majorBidi" w:cstheme="majorBidi"/>
          <w:b/>
          <w:bCs/>
          <w:color w:val="000000" w:themeColor="text1"/>
          <w:sz w:val="24"/>
          <w:szCs w:val="24"/>
        </w:rPr>
        <w:t>, Abbas Balouchi</w:t>
      </w:r>
      <w:r w:rsidRPr="006E5D08">
        <w:rPr>
          <w:rFonts w:asciiTheme="majorBidi" w:hAnsiTheme="majorBidi" w:cstheme="majorBidi"/>
          <w:b/>
          <w:bCs/>
          <w:color w:val="000000" w:themeColor="text1"/>
          <w:sz w:val="24"/>
          <w:szCs w:val="24"/>
          <w:vertAlign w:val="superscript"/>
        </w:rPr>
        <w:t>2</w:t>
      </w:r>
      <w:r w:rsidRPr="006E5D08">
        <w:rPr>
          <w:rFonts w:asciiTheme="majorBidi" w:hAnsiTheme="majorBidi" w:cstheme="majorBidi"/>
          <w:b/>
          <w:bCs/>
          <w:color w:val="000000" w:themeColor="text1"/>
          <w:sz w:val="24"/>
          <w:szCs w:val="24"/>
        </w:rPr>
        <w:t>, Francesco P Cappuccio</w:t>
      </w:r>
      <w:r w:rsidRPr="006E5D08">
        <w:rPr>
          <w:rFonts w:asciiTheme="majorBidi" w:hAnsiTheme="majorBidi" w:cstheme="majorBidi"/>
          <w:b/>
          <w:bCs/>
          <w:color w:val="000000" w:themeColor="text1"/>
          <w:sz w:val="24"/>
          <w:szCs w:val="24"/>
          <w:vertAlign w:val="superscript"/>
        </w:rPr>
        <w:t>3</w:t>
      </w:r>
    </w:p>
    <w:p w14:paraId="365467ED" w14:textId="77777777" w:rsidR="006E5D08" w:rsidRPr="006E5D08" w:rsidRDefault="006E5D08" w:rsidP="007E30CF">
      <w:pPr>
        <w:spacing w:after="120" w:line="480" w:lineRule="auto"/>
        <w:contextualSpacing/>
        <w:rPr>
          <w:rFonts w:asciiTheme="majorBidi" w:hAnsiTheme="majorBidi" w:cstheme="majorBidi"/>
          <w:b/>
          <w:bCs/>
          <w:color w:val="000000" w:themeColor="text1"/>
          <w:sz w:val="24"/>
          <w:szCs w:val="24"/>
        </w:rPr>
      </w:pPr>
    </w:p>
    <w:p w14:paraId="5F23C304" w14:textId="3278549F" w:rsidR="006E5D08" w:rsidRPr="006E5D08" w:rsidRDefault="006E5D08" w:rsidP="007E30CF">
      <w:pPr>
        <w:pStyle w:val="MDPI16affiliation"/>
        <w:spacing w:line="480" w:lineRule="auto"/>
        <w:ind w:left="198"/>
        <w:rPr>
          <w:rFonts w:asciiTheme="majorBidi" w:hAnsiTheme="majorBidi" w:cstheme="majorBidi"/>
          <w:sz w:val="24"/>
          <w:szCs w:val="24"/>
          <w:lang w:val="en-GB"/>
        </w:rPr>
      </w:pPr>
      <w:r w:rsidRPr="006E5D08">
        <w:rPr>
          <w:rFonts w:asciiTheme="majorBidi" w:hAnsiTheme="majorBidi" w:cstheme="majorBidi"/>
          <w:sz w:val="24"/>
          <w:szCs w:val="24"/>
          <w:vertAlign w:val="superscript"/>
          <w:lang w:val="en-GB"/>
        </w:rPr>
        <w:t>1</w:t>
      </w:r>
      <w:r w:rsidRPr="006E5D08">
        <w:rPr>
          <w:rFonts w:asciiTheme="majorBidi" w:hAnsiTheme="majorBidi" w:cstheme="majorBidi"/>
          <w:sz w:val="24"/>
          <w:szCs w:val="24"/>
          <w:lang w:val="en-GB"/>
        </w:rPr>
        <w:tab/>
        <w:t>Centre of Studies &amp; Research, Ministry of Health,</w:t>
      </w:r>
      <w:r w:rsidR="00811E86">
        <w:rPr>
          <w:rFonts w:asciiTheme="majorBidi" w:hAnsiTheme="majorBidi" w:cstheme="majorBidi"/>
          <w:sz w:val="24"/>
          <w:szCs w:val="24"/>
          <w:lang w:val="en-GB"/>
        </w:rPr>
        <w:t xml:space="preserve"> Muscat,</w:t>
      </w:r>
      <w:r w:rsidRPr="006E5D08">
        <w:rPr>
          <w:rFonts w:asciiTheme="majorBidi" w:hAnsiTheme="majorBidi" w:cstheme="majorBidi"/>
          <w:sz w:val="24"/>
          <w:szCs w:val="24"/>
          <w:lang w:val="en-GB"/>
        </w:rPr>
        <w:t xml:space="preserve"> Sultanate of Oman </w:t>
      </w:r>
      <w:hyperlink r:id="rId6" w:history="1">
        <w:r w:rsidRPr="006E5D08">
          <w:rPr>
            <w:rStyle w:val="Hyperlink"/>
            <w:rFonts w:asciiTheme="majorBidi" w:hAnsiTheme="majorBidi" w:cstheme="majorBidi"/>
            <w:sz w:val="24"/>
            <w:szCs w:val="24"/>
            <w:lang w:val="en-GB"/>
          </w:rPr>
          <w:t>adhra.almawali@gmail.com</w:t>
        </w:r>
      </w:hyperlink>
      <w:r w:rsidRPr="006E5D08">
        <w:rPr>
          <w:rFonts w:asciiTheme="majorBidi" w:hAnsiTheme="majorBidi" w:cstheme="majorBidi"/>
          <w:sz w:val="24"/>
          <w:szCs w:val="24"/>
          <w:lang w:val="en-GB"/>
        </w:rPr>
        <w:t xml:space="preserve">; </w:t>
      </w:r>
      <w:hyperlink r:id="rId7" w:history="1">
        <w:r w:rsidRPr="006E5D08">
          <w:rPr>
            <w:rStyle w:val="Hyperlink"/>
            <w:rFonts w:asciiTheme="majorBidi" w:hAnsiTheme="majorBidi" w:cstheme="majorBidi"/>
            <w:sz w:val="24"/>
            <w:szCs w:val="24"/>
            <w:lang w:val="en-GB"/>
          </w:rPr>
          <w:t>dr.ayaman.harrasi@gmail.com</w:t>
        </w:r>
      </w:hyperlink>
      <w:r w:rsidRPr="006E5D08">
        <w:rPr>
          <w:rFonts w:asciiTheme="majorBidi" w:hAnsiTheme="majorBidi" w:cstheme="majorBidi"/>
          <w:sz w:val="24"/>
          <w:szCs w:val="24"/>
          <w:lang w:val="en-GB"/>
        </w:rPr>
        <w:t xml:space="preserve">; </w:t>
      </w:r>
      <w:hyperlink r:id="rId8" w:history="1">
        <w:r w:rsidRPr="006E5D08">
          <w:rPr>
            <w:rStyle w:val="Hyperlink"/>
            <w:rFonts w:asciiTheme="majorBidi" w:hAnsiTheme="majorBidi" w:cstheme="majorBidi"/>
            <w:sz w:val="24"/>
            <w:szCs w:val="24"/>
            <w:lang w:val="en-GB"/>
          </w:rPr>
          <w:t>avinash.pinto@moh.gov.om</w:t>
        </w:r>
      </w:hyperlink>
      <w:r w:rsidRPr="006E5D08">
        <w:rPr>
          <w:rFonts w:asciiTheme="majorBidi" w:hAnsiTheme="majorBidi" w:cstheme="majorBidi"/>
          <w:sz w:val="24"/>
          <w:szCs w:val="24"/>
          <w:lang w:val="en-GB"/>
        </w:rPr>
        <w:t>; magdi.morsi@moh.gov.om</w:t>
      </w:r>
    </w:p>
    <w:p w14:paraId="79FD5B13" w14:textId="67910DDC" w:rsidR="006E5D08" w:rsidRPr="006E5D08" w:rsidRDefault="006E5D08" w:rsidP="007E30CF">
      <w:pPr>
        <w:pStyle w:val="MDPI16affiliation"/>
        <w:spacing w:line="480" w:lineRule="auto"/>
        <w:ind w:left="198"/>
        <w:rPr>
          <w:rFonts w:asciiTheme="majorBidi" w:hAnsiTheme="majorBidi" w:cstheme="majorBidi"/>
          <w:sz w:val="24"/>
          <w:szCs w:val="24"/>
          <w:lang w:val="en-GB"/>
        </w:rPr>
      </w:pPr>
      <w:r w:rsidRPr="006E5D08">
        <w:rPr>
          <w:rFonts w:asciiTheme="majorBidi" w:hAnsiTheme="majorBidi" w:cstheme="majorBidi"/>
          <w:sz w:val="24"/>
          <w:szCs w:val="24"/>
          <w:vertAlign w:val="superscript"/>
          <w:lang w:val="en-GB"/>
        </w:rPr>
        <w:t>2</w:t>
      </w:r>
      <w:r w:rsidRPr="006E5D08">
        <w:rPr>
          <w:rFonts w:asciiTheme="majorBidi" w:hAnsiTheme="majorBidi" w:cstheme="majorBidi"/>
          <w:sz w:val="24"/>
          <w:szCs w:val="24"/>
          <w:lang w:val="en-GB"/>
        </w:rPr>
        <w:tab/>
        <w:t xml:space="preserve">Iran University of Medical Science, Tehran, Iran </w:t>
      </w:r>
      <w:r w:rsidR="00FF4B9D">
        <w:rPr>
          <w:rFonts w:asciiTheme="majorBidi" w:hAnsiTheme="majorBidi" w:cstheme="majorBidi"/>
          <w:sz w:val="24"/>
          <w:szCs w:val="24"/>
          <w:lang w:val="en-GB"/>
        </w:rPr>
        <w:t>abbasbalouche1990@gmail.com</w:t>
      </w:r>
    </w:p>
    <w:p w14:paraId="079BD3F4" w14:textId="77777777" w:rsidR="006E5D08" w:rsidRDefault="006E5D08" w:rsidP="007E30CF">
      <w:pPr>
        <w:pStyle w:val="MDPI16affiliation"/>
        <w:spacing w:line="480" w:lineRule="auto"/>
        <w:ind w:left="198"/>
        <w:rPr>
          <w:rStyle w:val="Hyperlink"/>
          <w:rFonts w:asciiTheme="majorBidi" w:hAnsiTheme="majorBidi" w:cstheme="majorBidi"/>
          <w:sz w:val="24"/>
          <w:szCs w:val="24"/>
          <w:lang w:val="en-GB"/>
        </w:rPr>
      </w:pPr>
      <w:r w:rsidRPr="006E5D08">
        <w:rPr>
          <w:rFonts w:asciiTheme="majorBidi" w:hAnsiTheme="majorBidi" w:cstheme="majorBidi"/>
          <w:sz w:val="24"/>
          <w:szCs w:val="24"/>
          <w:vertAlign w:val="superscript"/>
          <w:lang w:val="en-GB"/>
        </w:rPr>
        <w:t>3</w:t>
      </w:r>
      <w:r w:rsidRPr="006E5D08">
        <w:rPr>
          <w:rFonts w:asciiTheme="majorBidi" w:hAnsiTheme="majorBidi" w:cstheme="majorBidi"/>
          <w:sz w:val="24"/>
          <w:szCs w:val="24"/>
          <w:vertAlign w:val="superscript"/>
          <w:lang w:val="en-GB"/>
        </w:rPr>
        <w:tab/>
      </w:r>
      <w:r w:rsidRPr="006E5D08">
        <w:rPr>
          <w:rFonts w:asciiTheme="majorBidi" w:hAnsiTheme="majorBidi" w:cstheme="majorBidi"/>
          <w:sz w:val="24"/>
          <w:szCs w:val="24"/>
          <w:lang w:val="en-GB"/>
        </w:rPr>
        <w:t xml:space="preserve">University of Warwick, WHO Collaborating Centre for Nutrition, Coventry, United Kingdom </w:t>
      </w:r>
      <w:hyperlink r:id="rId9" w:history="1">
        <w:r w:rsidRPr="006E5D08">
          <w:rPr>
            <w:rStyle w:val="Hyperlink"/>
            <w:rFonts w:asciiTheme="majorBidi" w:hAnsiTheme="majorBidi" w:cstheme="majorBidi"/>
            <w:sz w:val="24"/>
            <w:szCs w:val="24"/>
            <w:lang w:val="en-GB"/>
          </w:rPr>
          <w:t>f.p.cappuccio@warwick.ac.uk</w:t>
        </w:r>
      </w:hyperlink>
    </w:p>
    <w:p w14:paraId="52522A60" w14:textId="77777777" w:rsidR="00896A27" w:rsidRPr="006E5D08" w:rsidRDefault="00896A27" w:rsidP="007E30CF">
      <w:pPr>
        <w:pStyle w:val="MDPI16affiliation"/>
        <w:spacing w:line="480" w:lineRule="auto"/>
        <w:ind w:left="198"/>
        <w:rPr>
          <w:rFonts w:asciiTheme="majorBidi" w:hAnsiTheme="majorBidi" w:cstheme="majorBidi"/>
          <w:sz w:val="24"/>
          <w:szCs w:val="24"/>
          <w:lang w:val="en-GB"/>
        </w:rPr>
      </w:pPr>
    </w:p>
    <w:p w14:paraId="001EE86C" w14:textId="77777777" w:rsidR="006E5D08" w:rsidRDefault="006E5D08" w:rsidP="007E30CF">
      <w:pPr>
        <w:pStyle w:val="MDPI16affiliation"/>
        <w:spacing w:line="480" w:lineRule="auto"/>
        <w:ind w:left="198"/>
        <w:rPr>
          <w:rFonts w:asciiTheme="majorBidi" w:hAnsiTheme="majorBidi" w:cstheme="majorBidi"/>
          <w:color w:val="000000" w:themeColor="text1"/>
          <w:sz w:val="24"/>
          <w:szCs w:val="24"/>
          <w:lang w:val="en-GB"/>
        </w:rPr>
      </w:pPr>
      <w:r w:rsidRPr="006E5D08">
        <w:rPr>
          <w:rFonts w:asciiTheme="majorBidi" w:hAnsiTheme="majorBidi" w:cstheme="majorBidi"/>
          <w:color w:val="000000" w:themeColor="text1"/>
          <w:sz w:val="24"/>
          <w:szCs w:val="24"/>
          <w:vertAlign w:val="superscript"/>
          <w:lang w:val="en-GB"/>
        </w:rPr>
        <w:t>†</w:t>
      </w:r>
      <w:r w:rsidRPr="006E5D08">
        <w:rPr>
          <w:rFonts w:asciiTheme="majorBidi" w:hAnsiTheme="majorBidi" w:cstheme="majorBidi"/>
          <w:color w:val="000000" w:themeColor="text1"/>
          <w:sz w:val="24"/>
          <w:szCs w:val="24"/>
          <w:vertAlign w:val="superscript"/>
          <w:lang w:val="en-GB"/>
        </w:rPr>
        <w:tab/>
      </w:r>
      <w:r w:rsidRPr="006E5D08">
        <w:rPr>
          <w:rFonts w:asciiTheme="majorBidi" w:hAnsiTheme="majorBidi" w:cstheme="majorBidi"/>
          <w:color w:val="000000" w:themeColor="text1"/>
          <w:sz w:val="24"/>
          <w:szCs w:val="24"/>
          <w:lang w:val="en-GB"/>
        </w:rPr>
        <w:t>contributed equally</w:t>
      </w:r>
    </w:p>
    <w:p w14:paraId="4C9F6589" w14:textId="77777777" w:rsidR="00896A27" w:rsidRPr="006E5D08" w:rsidRDefault="00896A27" w:rsidP="007E30CF">
      <w:pPr>
        <w:pStyle w:val="MDPI16affiliation"/>
        <w:spacing w:line="480" w:lineRule="auto"/>
        <w:ind w:left="198"/>
        <w:rPr>
          <w:rFonts w:asciiTheme="majorBidi" w:hAnsiTheme="majorBidi" w:cstheme="majorBidi"/>
          <w:sz w:val="24"/>
          <w:szCs w:val="24"/>
          <w:lang w:val="en-GB"/>
        </w:rPr>
      </w:pPr>
    </w:p>
    <w:p w14:paraId="3CC7343A" w14:textId="77777777" w:rsidR="006E5D08" w:rsidRPr="006E5D08" w:rsidRDefault="006E5D08" w:rsidP="007E30CF">
      <w:pPr>
        <w:pStyle w:val="MDPI16affiliation"/>
        <w:spacing w:line="480" w:lineRule="auto"/>
        <w:ind w:left="198"/>
        <w:rPr>
          <w:rFonts w:asciiTheme="majorBidi" w:hAnsiTheme="majorBidi" w:cstheme="majorBidi"/>
          <w:sz w:val="24"/>
          <w:szCs w:val="24"/>
          <w:lang w:val="en-GB"/>
        </w:rPr>
      </w:pPr>
      <w:r w:rsidRPr="006E5D08">
        <w:rPr>
          <w:rFonts w:asciiTheme="majorBidi" w:hAnsiTheme="majorBidi" w:cstheme="majorBidi"/>
          <w:b/>
          <w:sz w:val="24"/>
          <w:szCs w:val="24"/>
          <w:lang w:val="en-GB"/>
        </w:rPr>
        <w:t>*</w:t>
      </w:r>
      <w:r w:rsidRPr="006E5D08">
        <w:rPr>
          <w:rFonts w:asciiTheme="majorBidi" w:hAnsiTheme="majorBidi" w:cstheme="majorBidi"/>
          <w:sz w:val="24"/>
          <w:szCs w:val="24"/>
          <w:lang w:val="en-GB"/>
        </w:rPr>
        <w:tab/>
        <w:t xml:space="preserve">Correspondence: </w:t>
      </w:r>
      <w:hyperlink r:id="rId10" w:history="1">
        <w:r w:rsidRPr="006E5D08">
          <w:rPr>
            <w:rStyle w:val="Hyperlink"/>
            <w:rFonts w:asciiTheme="majorBidi" w:hAnsiTheme="majorBidi" w:cstheme="majorBidi"/>
            <w:sz w:val="24"/>
            <w:szCs w:val="24"/>
            <w:lang w:val="en-GB"/>
          </w:rPr>
          <w:t>adhra.almawali@gmail.com</w:t>
        </w:r>
      </w:hyperlink>
      <w:r w:rsidRPr="006E5D08">
        <w:rPr>
          <w:rFonts w:asciiTheme="majorBidi" w:hAnsiTheme="majorBidi" w:cstheme="majorBidi"/>
          <w:sz w:val="24"/>
          <w:szCs w:val="24"/>
          <w:lang w:val="en-GB"/>
        </w:rPr>
        <w:t xml:space="preserve">; German University of Technology in Oman (GUtech), P.O. Box 1816, </w:t>
      </w:r>
      <w:proofErr w:type="spellStart"/>
      <w:r w:rsidRPr="006E5D08">
        <w:rPr>
          <w:rFonts w:asciiTheme="majorBidi" w:hAnsiTheme="majorBidi" w:cstheme="majorBidi"/>
          <w:sz w:val="24"/>
          <w:szCs w:val="24"/>
          <w:lang w:val="en-GB"/>
        </w:rPr>
        <w:t>Athaibah</w:t>
      </w:r>
      <w:proofErr w:type="spellEnd"/>
      <w:r w:rsidRPr="006E5D08">
        <w:rPr>
          <w:rFonts w:asciiTheme="majorBidi" w:hAnsiTheme="majorBidi" w:cstheme="majorBidi"/>
          <w:sz w:val="24"/>
          <w:szCs w:val="24"/>
          <w:lang w:val="en-GB"/>
        </w:rPr>
        <w:t>, PC 130, Sultanate of Oman.</w:t>
      </w:r>
    </w:p>
    <w:p w14:paraId="463D55CA" w14:textId="77777777" w:rsidR="00E32C92" w:rsidRPr="006E5D08" w:rsidRDefault="00E32C92" w:rsidP="007E30CF">
      <w:pPr>
        <w:spacing w:line="480" w:lineRule="auto"/>
        <w:jc w:val="both"/>
        <w:rPr>
          <w:rFonts w:asciiTheme="majorBidi" w:hAnsiTheme="majorBidi" w:cstheme="majorBidi"/>
          <w:sz w:val="24"/>
          <w:szCs w:val="24"/>
        </w:rPr>
      </w:pPr>
    </w:p>
    <w:p w14:paraId="43D36C53" w14:textId="77777777" w:rsidR="006E5D08" w:rsidRPr="006E5D08" w:rsidRDefault="006E5D08" w:rsidP="007E30CF">
      <w:pPr>
        <w:spacing w:line="480" w:lineRule="auto"/>
        <w:jc w:val="both"/>
        <w:rPr>
          <w:rFonts w:asciiTheme="majorBidi" w:hAnsiTheme="majorBidi" w:cstheme="majorBidi"/>
          <w:sz w:val="24"/>
          <w:szCs w:val="24"/>
        </w:rPr>
      </w:pPr>
    </w:p>
    <w:p w14:paraId="1D1FD38A" w14:textId="77777777" w:rsidR="006E5D08" w:rsidRPr="006E5D08" w:rsidRDefault="006E5D08" w:rsidP="007E30CF">
      <w:pPr>
        <w:spacing w:line="480" w:lineRule="auto"/>
        <w:jc w:val="both"/>
        <w:rPr>
          <w:rFonts w:asciiTheme="majorBidi" w:hAnsiTheme="majorBidi" w:cstheme="majorBidi"/>
          <w:sz w:val="24"/>
          <w:szCs w:val="24"/>
        </w:rPr>
      </w:pPr>
    </w:p>
    <w:p w14:paraId="11E314D8" w14:textId="77777777" w:rsidR="006E5D08" w:rsidRPr="00C73B49" w:rsidRDefault="006E5D08" w:rsidP="007E30CF">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lastRenderedPageBreak/>
        <w:t>Abstract</w:t>
      </w:r>
    </w:p>
    <w:p w14:paraId="4FA37078" w14:textId="77777777" w:rsidR="006E5D08" w:rsidRPr="006E5D08" w:rsidRDefault="006E5D08" w:rsidP="007E30CF">
      <w:pPr>
        <w:pStyle w:val="MDPI16affiliation"/>
        <w:spacing w:line="480" w:lineRule="auto"/>
        <w:ind w:left="0" w:firstLine="0"/>
        <w:jc w:val="both"/>
        <w:rPr>
          <w:rFonts w:asciiTheme="majorBidi" w:hAnsiTheme="majorBidi" w:cstheme="majorBidi"/>
          <w:color w:val="000000" w:themeColor="text1"/>
          <w:sz w:val="24"/>
          <w:szCs w:val="24"/>
          <w:lang w:val="en-GB"/>
        </w:rPr>
      </w:pPr>
      <w:r w:rsidRPr="006E5D08">
        <w:rPr>
          <w:rFonts w:asciiTheme="majorBidi" w:hAnsiTheme="majorBidi" w:cstheme="majorBidi"/>
          <w:i/>
          <w:iCs/>
          <w:color w:val="000000" w:themeColor="text1"/>
          <w:sz w:val="24"/>
          <w:szCs w:val="24"/>
          <w:lang w:val="en-GB"/>
        </w:rPr>
        <w:t>Background:</w:t>
      </w:r>
      <w:r w:rsidRPr="006E5D08">
        <w:rPr>
          <w:rFonts w:asciiTheme="majorBidi" w:hAnsiTheme="majorBidi" w:cstheme="majorBidi"/>
          <w:color w:val="000000" w:themeColor="text1"/>
          <w:sz w:val="24"/>
          <w:szCs w:val="24"/>
          <w:lang w:val="en-GB"/>
        </w:rPr>
        <w:t xml:space="preserve"> Risk factor surveillance is vital for public health interventions in non-communicable diseases (NCD) control due to a noticeable nutrition transition among the population affecting dietary patterns. The objective was to investigate the dietary risk factors and its associations based on a first-of-its-kind analysis employing both Latent Class Analysis (LCA) and Structural equation modelling (SEM) to explore the hidden heterogeneity and subgroups with shared dietary pattern and to demonstrate the complex interaction of dietary factors with other risk factors in the development of NCDs. </w:t>
      </w:r>
    </w:p>
    <w:p w14:paraId="4C1E88CE" w14:textId="77777777" w:rsidR="006E5D08" w:rsidRPr="006E5D08" w:rsidRDefault="006E5D08" w:rsidP="007E30CF">
      <w:pPr>
        <w:pStyle w:val="MDPI16affiliation"/>
        <w:spacing w:line="480" w:lineRule="auto"/>
        <w:ind w:left="0" w:firstLine="0"/>
        <w:jc w:val="both"/>
        <w:rPr>
          <w:rFonts w:asciiTheme="majorBidi" w:hAnsiTheme="majorBidi" w:cstheme="majorBidi"/>
          <w:i/>
          <w:iCs/>
          <w:color w:val="000000" w:themeColor="text1"/>
          <w:sz w:val="24"/>
          <w:szCs w:val="24"/>
          <w:lang w:val="en-GB"/>
        </w:rPr>
      </w:pPr>
    </w:p>
    <w:p w14:paraId="4A731F2D" w14:textId="77777777" w:rsidR="006E5D08" w:rsidRPr="006E5D08" w:rsidRDefault="006E5D08" w:rsidP="007E30CF">
      <w:pPr>
        <w:pStyle w:val="MDPI16affiliation"/>
        <w:spacing w:line="480" w:lineRule="auto"/>
        <w:ind w:left="0" w:firstLine="0"/>
        <w:jc w:val="both"/>
        <w:rPr>
          <w:rFonts w:asciiTheme="majorBidi" w:hAnsiTheme="majorBidi" w:cstheme="majorBidi"/>
          <w:color w:val="000000" w:themeColor="text1"/>
          <w:sz w:val="24"/>
          <w:szCs w:val="24"/>
          <w:lang w:val="en-GB"/>
        </w:rPr>
      </w:pPr>
      <w:r w:rsidRPr="006E5D08">
        <w:rPr>
          <w:rFonts w:asciiTheme="majorBidi" w:hAnsiTheme="majorBidi" w:cstheme="majorBidi"/>
          <w:i/>
          <w:iCs/>
          <w:color w:val="000000" w:themeColor="text1"/>
          <w:sz w:val="24"/>
          <w:szCs w:val="24"/>
          <w:lang w:val="en-GB"/>
        </w:rPr>
        <w:t xml:space="preserve">Methods: </w:t>
      </w:r>
      <w:r w:rsidRPr="006E5D08">
        <w:rPr>
          <w:rFonts w:asciiTheme="majorBidi" w:hAnsiTheme="majorBidi" w:cstheme="majorBidi"/>
          <w:color w:val="000000" w:themeColor="text1"/>
          <w:sz w:val="24"/>
          <w:szCs w:val="24"/>
          <w:lang w:val="en-GB"/>
        </w:rPr>
        <w:t xml:space="preserve">A cross-sectional survey was used. Secondary analysis of the 2017 Oman NCD Risk Factors Survey data was performed to investigate three major dietary risk factors (fruits and vegetables intake, eating out, and the type of oil used in cooking) of Omanis using LCA and SEM. </w:t>
      </w:r>
    </w:p>
    <w:p w14:paraId="3D7FE11B" w14:textId="77777777" w:rsidR="006E5D08" w:rsidRPr="006E5D08" w:rsidRDefault="006E5D08" w:rsidP="007E30CF">
      <w:pPr>
        <w:pStyle w:val="MDPI16affiliation"/>
        <w:spacing w:line="480" w:lineRule="auto"/>
        <w:ind w:left="0" w:firstLine="0"/>
        <w:jc w:val="both"/>
        <w:rPr>
          <w:rFonts w:asciiTheme="majorBidi" w:hAnsiTheme="majorBidi" w:cstheme="majorBidi"/>
          <w:color w:val="000000" w:themeColor="text1"/>
          <w:sz w:val="24"/>
          <w:szCs w:val="24"/>
          <w:lang w:val="en-GB"/>
        </w:rPr>
      </w:pPr>
    </w:p>
    <w:p w14:paraId="6DEBA7E4" w14:textId="5D08C2D1" w:rsidR="006E5D08" w:rsidRPr="006E5D08" w:rsidRDefault="006E5D08" w:rsidP="003156E1">
      <w:pPr>
        <w:pStyle w:val="MDPI16affiliation"/>
        <w:spacing w:line="480" w:lineRule="auto"/>
        <w:ind w:left="0" w:firstLine="0"/>
        <w:jc w:val="both"/>
        <w:rPr>
          <w:rFonts w:asciiTheme="majorBidi" w:hAnsiTheme="majorBidi" w:cstheme="majorBidi"/>
          <w:color w:val="000000" w:themeColor="text1"/>
          <w:sz w:val="24"/>
          <w:szCs w:val="24"/>
          <w:lang w:val="en-GB"/>
        </w:rPr>
      </w:pPr>
      <w:r w:rsidRPr="006E5D08">
        <w:rPr>
          <w:rFonts w:asciiTheme="majorBidi" w:hAnsiTheme="majorBidi" w:cstheme="majorBidi"/>
          <w:i/>
          <w:iCs/>
          <w:color w:val="000000" w:themeColor="text1"/>
          <w:sz w:val="24"/>
          <w:szCs w:val="24"/>
          <w:lang w:val="en-GB"/>
        </w:rPr>
        <w:t>Results:</w:t>
      </w:r>
      <w:r w:rsidRPr="006E5D08">
        <w:rPr>
          <w:rFonts w:asciiTheme="majorBidi" w:hAnsiTheme="majorBidi" w:cstheme="majorBidi"/>
          <w:color w:val="000000" w:themeColor="text1"/>
          <w:sz w:val="24"/>
          <w:szCs w:val="24"/>
          <w:lang w:val="en-GB"/>
        </w:rPr>
        <w:t xml:space="preserve"> Dietary risk factors are prevalent in Omanis with 55.8% reporting intake of less than five fruit and vegetable servings per day, 45.3% ate outside the home 1-3 times per week, and 87.3% used vegetable oil for cooking. LCA showed two distinct classes of Omani population with majority belonging to the class mainly eating out 1-3 times per week, </w:t>
      </w:r>
      <w:r w:rsidR="003A45B5">
        <w:rPr>
          <w:rFonts w:asciiTheme="majorBidi" w:hAnsiTheme="majorBidi" w:cstheme="majorBidi"/>
          <w:color w:val="000000" w:themeColor="text1"/>
          <w:sz w:val="24"/>
          <w:szCs w:val="24"/>
          <w:lang w:val="en-GB"/>
        </w:rPr>
        <w:t>eating</w:t>
      </w:r>
      <w:r w:rsidRPr="006E5D08">
        <w:rPr>
          <w:rFonts w:asciiTheme="majorBidi" w:hAnsiTheme="majorBidi" w:cstheme="majorBidi"/>
          <w:color w:val="000000" w:themeColor="text1"/>
          <w:sz w:val="24"/>
          <w:szCs w:val="24"/>
          <w:lang w:val="en-GB"/>
        </w:rPr>
        <w:t xml:space="preserve"> less than the recommended servings of fruits and vegetables, vegetable oil users, educated, and married young adults. SEM showed the </w:t>
      </w:r>
      <w:r w:rsidR="003156E1">
        <w:rPr>
          <w:rFonts w:asciiTheme="majorBidi" w:hAnsiTheme="majorBidi" w:cstheme="majorBidi"/>
          <w:color w:val="000000" w:themeColor="text1"/>
          <w:sz w:val="24"/>
          <w:szCs w:val="24"/>
          <w:lang w:val="en-GB"/>
        </w:rPr>
        <w:t>intricate</w:t>
      </w:r>
      <w:r w:rsidR="003156E1" w:rsidRPr="006E5D08">
        <w:rPr>
          <w:rFonts w:asciiTheme="majorBidi" w:hAnsiTheme="majorBidi" w:cstheme="majorBidi"/>
          <w:color w:val="000000" w:themeColor="text1"/>
          <w:sz w:val="24"/>
          <w:szCs w:val="24"/>
          <w:lang w:val="en-GB"/>
        </w:rPr>
        <w:t xml:space="preserve"> </w:t>
      </w:r>
      <w:r w:rsidRPr="006E5D08">
        <w:rPr>
          <w:rFonts w:asciiTheme="majorBidi" w:hAnsiTheme="majorBidi" w:cstheme="majorBidi"/>
          <w:color w:val="000000" w:themeColor="text1"/>
          <w:sz w:val="24"/>
          <w:szCs w:val="24"/>
          <w:lang w:val="en-GB"/>
        </w:rPr>
        <w:t xml:space="preserve">interplay of dietary factors with 8 direct paths and several indirect paths with NCD indicators. </w:t>
      </w:r>
    </w:p>
    <w:p w14:paraId="0494C2ED" w14:textId="77777777" w:rsidR="006E5D08" w:rsidRPr="006E5D08" w:rsidRDefault="006E5D08" w:rsidP="007E30CF">
      <w:pPr>
        <w:pStyle w:val="MDPI16affiliation"/>
        <w:spacing w:line="480" w:lineRule="auto"/>
        <w:ind w:left="0" w:firstLine="0"/>
        <w:jc w:val="both"/>
        <w:rPr>
          <w:rFonts w:asciiTheme="majorBidi" w:hAnsiTheme="majorBidi" w:cstheme="majorBidi"/>
          <w:i/>
          <w:iCs/>
          <w:color w:val="000000" w:themeColor="text1"/>
          <w:sz w:val="24"/>
          <w:szCs w:val="24"/>
          <w:lang w:val="en-GB"/>
        </w:rPr>
      </w:pPr>
    </w:p>
    <w:p w14:paraId="5A06C38E" w14:textId="77777777" w:rsidR="006E5D08" w:rsidRPr="006E5D08" w:rsidRDefault="006E5D08" w:rsidP="007E30CF">
      <w:pPr>
        <w:pStyle w:val="MDPI16affiliation"/>
        <w:spacing w:line="480" w:lineRule="auto"/>
        <w:ind w:left="0" w:firstLine="0"/>
        <w:jc w:val="both"/>
        <w:rPr>
          <w:rFonts w:asciiTheme="majorBidi" w:hAnsiTheme="majorBidi" w:cstheme="majorBidi"/>
          <w:color w:val="000000" w:themeColor="text1"/>
          <w:sz w:val="24"/>
          <w:szCs w:val="24"/>
          <w:lang w:val="en-GB"/>
        </w:rPr>
      </w:pPr>
      <w:r w:rsidRPr="006E5D08">
        <w:rPr>
          <w:rFonts w:asciiTheme="majorBidi" w:hAnsiTheme="majorBidi" w:cstheme="majorBidi"/>
          <w:i/>
          <w:iCs/>
          <w:color w:val="000000" w:themeColor="text1"/>
          <w:sz w:val="24"/>
          <w:szCs w:val="24"/>
          <w:lang w:val="en-GB"/>
        </w:rPr>
        <w:lastRenderedPageBreak/>
        <w:t>Conclusions:</w:t>
      </w:r>
      <w:r w:rsidRPr="006E5D08">
        <w:rPr>
          <w:rFonts w:asciiTheme="majorBidi" w:hAnsiTheme="majorBidi" w:cstheme="majorBidi"/>
          <w:color w:val="000000" w:themeColor="text1"/>
          <w:sz w:val="24"/>
          <w:szCs w:val="24"/>
          <w:lang w:val="en-GB"/>
        </w:rPr>
        <w:t xml:space="preserve"> These findings may have important implications for targeting health promotion strategies among the high-risk group of Omanis identified in this analysis and inform decision makers for the reduction of NCDs.</w:t>
      </w:r>
    </w:p>
    <w:p w14:paraId="50890709" w14:textId="77777777" w:rsidR="006E5D08" w:rsidRPr="006E5D08" w:rsidRDefault="006E5D08" w:rsidP="007E30CF">
      <w:pPr>
        <w:pStyle w:val="MDPI16affiliation"/>
        <w:spacing w:line="480" w:lineRule="auto"/>
        <w:ind w:left="0" w:firstLine="0"/>
        <w:jc w:val="both"/>
        <w:rPr>
          <w:rFonts w:asciiTheme="majorBidi" w:hAnsiTheme="majorBidi" w:cstheme="majorBidi"/>
          <w:color w:val="000000" w:themeColor="text1"/>
          <w:sz w:val="24"/>
          <w:szCs w:val="24"/>
          <w:lang w:val="en-GB"/>
        </w:rPr>
      </w:pPr>
    </w:p>
    <w:p w14:paraId="33DFC60D" w14:textId="77777777" w:rsidR="006E5D08" w:rsidRPr="006E5D08" w:rsidRDefault="006E5D08" w:rsidP="007E30CF">
      <w:pPr>
        <w:pStyle w:val="MDPI16affiliation"/>
        <w:spacing w:line="480" w:lineRule="auto"/>
        <w:ind w:left="0" w:firstLine="0"/>
        <w:jc w:val="both"/>
        <w:rPr>
          <w:rFonts w:asciiTheme="majorBidi" w:hAnsiTheme="majorBidi" w:cstheme="majorBidi"/>
          <w:sz w:val="24"/>
          <w:szCs w:val="24"/>
          <w:lang w:val="en-GB"/>
        </w:rPr>
      </w:pPr>
    </w:p>
    <w:p w14:paraId="2ABDBC23" w14:textId="77777777" w:rsidR="006E5D08" w:rsidRPr="006E5D08" w:rsidRDefault="006E5D08" w:rsidP="007E30CF">
      <w:pPr>
        <w:pStyle w:val="MDPI17abstract"/>
        <w:spacing w:before="120" w:afterLines="120" w:after="288" w:line="480" w:lineRule="auto"/>
        <w:ind w:left="0"/>
        <w:rPr>
          <w:rFonts w:asciiTheme="majorBidi" w:hAnsiTheme="majorBidi" w:cstheme="majorBidi"/>
          <w:color w:val="000000" w:themeColor="text1"/>
          <w:sz w:val="24"/>
          <w:szCs w:val="24"/>
          <w:lang w:val="en-GB"/>
        </w:rPr>
      </w:pPr>
      <w:r w:rsidRPr="006E5D08">
        <w:rPr>
          <w:rFonts w:asciiTheme="majorBidi" w:hAnsiTheme="majorBidi" w:cstheme="majorBidi"/>
          <w:b/>
          <w:sz w:val="24"/>
          <w:szCs w:val="24"/>
          <w:lang w:val="en-GB"/>
        </w:rPr>
        <w:t xml:space="preserve">Keywords: </w:t>
      </w:r>
      <w:r w:rsidRPr="006E5D08">
        <w:rPr>
          <w:rFonts w:asciiTheme="majorBidi" w:hAnsiTheme="majorBidi" w:cstheme="majorBidi"/>
          <w:color w:val="000000" w:themeColor="text1"/>
          <w:sz w:val="24"/>
          <w:szCs w:val="24"/>
          <w:lang w:val="en-GB"/>
        </w:rPr>
        <w:t>Dietary Risk Factors, Latent Class Analysis, Structural Equation Modelling, Oman, Non-Communicable Disease.</w:t>
      </w:r>
    </w:p>
    <w:p w14:paraId="4187145C" w14:textId="77777777" w:rsidR="006E5D08" w:rsidRPr="006E5D08" w:rsidRDefault="006E5D08" w:rsidP="007E30CF">
      <w:pPr>
        <w:spacing w:line="480" w:lineRule="auto"/>
        <w:jc w:val="both"/>
        <w:rPr>
          <w:rFonts w:asciiTheme="majorBidi" w:hAnsiTheme="majorBidi" w:cstheme="majorBidi"/>
          <w:sz w:val="24"/>
          <w:szCs w:val="24"/>
        </w:rPr>
      </w:pPr>
    </w:p>
    <w:p w14:paraId="23B0FC31" w14:textId="77777777" w:rsidR="006E5D08" w:rsidRPr="006E5D08" w:rsidRDefault="006E5D08" w:rsidP="007E30CF">
      <w:pPr>
        <w:spacing w:line="480" w:lineRule="auto"/>
        <w:jc w:val="both"/>
        <w:rPr>
          <w:rFonts w:asciiTheme="majorBidi" w:hAnsiTheme="majorBidi" w:cstheme="majorBidi"/>
          <w:sz w:val="24"/>
          <w:szCs w:val="24"/>
        </w:rPr>
      </w:pPr>
    </w:p>
    <w:p w14:paraId="21E60F3B" w14:textId="77777777" w:rsidR="006E5D08" w:rsidRPr="006E5D08" w:rsidRDefault="006E5D08" w:rsidP="007E30CF">
      <w:pPr>
        <w:spacing w:line="480" w:lineRule="auto"/>
        <w:jc w:val="both"/>
        <w:rPr>
          <w:rFonts w:asciiTheme="majorBidi" w:hAnsiTheme="majorBidi" w:cstheme="majorBidi"/>
          <w:sz w:val="24"/>
          <w:szCs w:val="24"/>
        </w:rPr>
      </w:pPr>
    </w:p>
    <w:p w14:paraId="4E642C19" w14:textId="77777777" w:rsidR="006E5D08" w:rsidRPr="006E5D08" w:rsidRDefault="006E5D08" w:rsidP="007E30CF">
      <w:pPr>
        <w:spacing w:line="480" w:lineRule="auto"/>
        <w:jc w:val="both"/>
        <w:rPr>
          <w:rFonts w:asciiTheme="majorBidi" w:hAnsiTheme="majorBidi" w:cstheme="majorBidi"/>
          <w:sz w:val="24"/>
          <w:szCs w:val="24"/>
        </w:rPr>
      </w:pPr>
    </w:p>
    <w:p w14:paraId="3C2650B1" w14:textId="77777777" w:rsidR="006E5D08" w:rsidRPr="006E5D08" w:rsidRDefault="006E5D08" w:rsidP="007E30CF">
      <w:pPr>
        <w:spacing w:line="480" w:lineRule="auto"/>
        <w:jc w:val="both"/>
        <w:rPr>
          <w:rFonts w:asciiTheme="majorBidi" w:hAnsiTheme="majorBidi" w:cstheme="majorBidi"/>
          <w:sz w:val="24"/>
          <w:szCs w:val="24"/>
        </w:rPr>
      </w:pPr>
    </w:p>
    <w:p w14:paraId="023DF858" w14:textId="77777777" w:rsidR="006E5D08" w:rsidRPr="006E5D08" w:rsidRDefault="006E5D08" w:rsidP="007E30CF">
      <w:pPr>
        <w:spacing w:line="480" w:lineRule="auto"/>
        <w:jc w:val="both"/>
        <w:rPr>
          <w:rFonts w:asciiTheme="majorBidi" w:hAnsiTheme="majorBidi" w:cstheme="majorBidi"/>
          <w:sz w:val="24"/>
          <w:szCs w:val="24"/>
        </w:rPr>
      </w:pPr>
    </w:p>
    <w:p w14:paraId="53A6F0BA" w14:textId="77777777" w:rsidR="006E5D08" w:rsidRPr="006E5D08" w:rsidRDefault="006E5D08" w:rsidP="007E30CF">
      <w:pPr>
        <w:spacing w:line="480" w:lineRule="auto"/>
        <w:jc w:val="both"/>
        <w:rPr>
          <w:rFonts w:asciiTheme="majorBidi" w:hAnsiTheme="majorBidi" w:cstheme="majorBidi"/>
          <w:sz w:val="24"/>
          <w:szCs w:val="24"/>
        </w:rPr>
      </w:pPr>
    </w:p>
    <w:p w14:paraId="05BF235C" w14:textId="77777777" w:rsidR="006E5D08" w:rsidRPr="006E5D08" w:rsidRDefault="006E5D08" w:rsidP="007E30CF">
      <w:pPr>
        <w:spacing w:line="480" w:lineRule="auto"/>
        <w:jc w:val="both"/>
        <w:rPr>
          <w:rFonts w:asciiTheme="majorBidi" w:hAnsiTheme="majorBidi" w:cstheme="majorBidi"/>
          <w:sz w:val="24"/>
          <w:szCs w:val="24"/>
        </w:rPr>
      </w:pPr>
    </w:p>
    <w:p w14:paraId="1C9ECD12" w14:textId="77777777" w:rsidR="006E5D08" w:rsidRPr="006E5D08" w:rsidRDefault="006E5D08" w:rsidP="007E30CF">
      <w:pPr>
        <w:spacing w:line="480" w:lineRule="auto"/>
        <w:jc w:val="both"/>
        <w:rPr>
          <w:rFonts w:asciiTheme="majorBidi" w:hAnsiTheme="majorBidi" w:cstheme="majorBidi"/>
          <w:sz w:val="24"/>
          <w:szCs w:val="24"/>
        </w:rPr>
      </w:pPr>
    </w:p>
    <w:p w14:paraId="617E11E0" w14:textId="77777777" w:rsidR="006E5D08" w:rsidRPr="006E5D08" w:rsidRDefault="006E5D08" w:rsidP="007E30CF">
      <w:pPr>
        <w:spacing w:line="480" w:lineRule="auto"/>
        <w:jc w:val="both"/>
        <w:rPr>
          <w:rFonts w:asciiTheme="majorBidi" w:hAnsiTheme="majorBidi" w:cstheme="majorBidi"/>
          <w:sz w:val="24"/>
          <w:szCs w:val="24"/>
        </w:rPr>
      </w:pPr>
    </w:p>
    <w:p w14:paraId="2CF4A0CD" w14:textId="77777777" w:rsidR="006E5D08" w:rsidRPr="006E5D08" w:rsidRDefault="006E5D08" w:rsidP="007E30CF">
      <w:pPr>
        <w:spacing w:line="480" w:lineRule="auto"/>
        <w:jc w:val="both"/>
        <w:rPr>
          <w:rFonts w:asciiTheme="majorBidi" w:hAnsiTheme="majorBidi" w:cstheme="majorBidi"/>
          <w:sz w:val="24"/>
          <w:szCs w:val="24"/>
        </w:rPr>
      </w:pPr>
    </w:p>
    <w:p w14:paraId="33BCC76C" w14:textId="77777777" w:rsidR="006E5D08" w:rsidRPr="006E5D08" w:rsidRDefault="006E5D08" w:rsidP="007E30CF">
      <w:pPr>
        <w:spacing w:line="480" w:lineRule="auto"/>
        <w:jc w:val="both"/>
        <w:rPr>
          <w:rFonts w:asciiTheme="majorBidi" w:hAnsiTheme="majorBidi" w:cstheme="majorBidi"/>
          <w:sz w:val="24"/>
          <w:szCs w:val="24"/>
        </w:rPr>
      </w:pPr>
    </w:p>
    <w:p w14:paraId="2620791E" w14:textId="77777777" w:rsidR="006E5D08" w:rsidRPr="00C73B49" w:rsidRDefault="006E5D08" w:rsidP="00C73B49">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lastRenderedPageBreak/>
        <w:t>Introduction</w:t>
      </w:r>
    </w:p>
    <w:p w14:paraId="46D34C3D" w14:textId="6B2CC054" w:rsidR="006E5D08" w:rsidRPr="006E5D08" w:rsidRDefault="006E5D08" w:rsidP="003A45B5">
      <w:pPr>
        <w:spacing w:line="480" w:lineRule="auto"/>
        <w:jc w:val="both"/>
        <w:rPr>
          <w:rFonts w:asciiTheme="majorBidi" w:hAnsiTheme="majorBidi" w:cstheme="majorBidi"/>
          <w:sz w:val="24"/>
          <w:szCs w:val="24"/>
        </w:rPr>
      </w:pPr>
      <w:r w:rsidRPr="006E5D08">
        <w:rPr>
          <w:rFonts w:asciiTheme="majorBidi" w:hAnsiTheme="majorBidi" w:cstheme="majorBidi"/>
          <w:sz w:val="24"/>
          <w:szCs w:val="24"/>
        </w:rPr>
        <w:t xml:space="preserve">Globally, there is a nutrition transition characterized by a rise in the consumption of dense, processed, and convenience foods with a reduction in the intake of healthy food including fibre rich food. </w:t>
      </w:r>
      <w:r w:rsidR="003A45B5">
        <w:rPr>
          <w:rFonts w:asciiTheme="majorBidi" w:hAnsiTheme="majorBidi" w:cstheme="majorBidi"/>
          <w:sz w:val="24"/>
          <w:szCs w:val="24"/>
        </w:rPr>
        <w:t xml:space="preserve">Dietary patterns and nutrient intake are affected by this nutrition transition, </w:t>
      </w:r>
      <w:r w:rsidRPr="006E5D08">
        <w:rPr>
          <w:rFonts w:asciiTheme="majorBidi" w:hAnsiTheme="majorBidi" w:cstheme="majorBidi"/>
          <w:sz w:val="24"/>
          <w:szCs w:val="24"/>
        </w:rPr>
        <w:t xml:space="preserve">which </w:t>
      </w:r>
      <w:r w:rsidR="003A45B5">
        <w:rPr>
          <w:rFonts w:asciiTheme="majorBidi" w:hAnsiTheme="majorBidi" w:cstheme="majorBidi"/>
          <w:sz w:val="24"/>
          <w:szCs w:val="24"/>
        </w:rPr>
        <w:t>in turn affects the</w:t>
      </w:r>
      <w:r w:rsidRPr="006E5D08">
        <w:rPr>
          <w:rFonts w:asciiTheme="majorBidi" w:hAnsiTheme="majorBidi" w:cstheme="majorBidi"/>
          <w:sz w:val="24"/>
          <w:szCs w:val="24"/>
        </w:rPr>
        <w:t xml:space="preserve"> risk of developing non-communicable diseases (NCDs</w:t>
      </w:r>
      <w:proofErr w:type="gramStart"/>
      <w:r w:rsidRPr="006E5D08">
        <w:rPr>
          <w:rFonts w:asciiTheme="majorBidi" w:hAnsiTheme="majorBidi" w:cstheme="majorBidi"/>
          <w:sz w:val="24"/>
          <w:szCs w:val="24"/>
        </w:rPr>
        <w:t>)</w:t>
      </w:r>
      <w:r w:rsidR="00F522C8">
        <w:rPr>
          <w:rFonts w:asciiTheme="majorBidi" w:hAnsiTheme="majorBidi" w:cstheme="majorBidi"/>
          <w:sz w:val="24"/>
          <w:szCs w:val="24"/>
        </w:rPr>
        <w:t>(</w:t>
      </w:r>
      <w:proofErr w:type="gramEnd"/>
      <w:r w:rsidRPr="006E5D08">
        <w:rPr>
          <w:rFonts w:asciiTheme="majorBidi" w:hAnsiTheme="majorBidi" w:cstheme="majorBidi"/>
          <w:sz w:val="24"/>
          <w:szCs w:val="24"/>
        </w:rPr>
        <w:t>1</w:t>
      </w:r>
      <w:r w:rsidR="00F522C8">
        <w:rPr>
          <w:rFonts w:asciiTheme="majorBidi" w:hAnsiTheme="majorBidi" w:cstheme="majorBidi"/>
          <w:sz w:val="24"/>
          <w:szCs w:val="24"/>
        </w:rPr>
        <w:t>)</w:t>
      </w:r>
      <w:r w:rsidRPr="006E5D08">
        <w:rPr>
          <w:rFonts w:asciiTheme="majorBidi" w:hAnsiTheme="majorBidi" w:cstheme="majorBidi"/>
          <w:sz w:val="24"/>
          <w:szCs w:val="24"/>
        </w:rPr>
        <w:t xml:space="preserve">. Based on global burden of diseases (GBD) reports, in 2019 dietary risk factors were attributed with 7.9 million deaths which is the cause of 30% of all NCDs-related deaths and 187.7 million DALYs globally </w:t>
      </w:r>
      <w:r w:rsidR="00F522C8">
        <w:rPr>
          <w:rFonts w:asciiTheme="majorBidi" w:hAnsiTheme="majorBidi" w:cstheme="majorBidi"/>
          <w:sz w:val="24"/>
          <w:szCs w:val="24"/>
        </w:rPr>
        <w:t>(</w:t>
      </w:r>
      <w:r w:rsidRPr="006E5D08">
        <w:rPr>
          <w:rFonts w:asciiTheme="majorBidi" w:hAnsiTheme="majorBidi" w:cstheme="majorBidi"/>
          <w:sz w:val="24"/>
          <w:szCs w:val="24"/>
        </w:rPr>
        <w:t>2</w:t>
      </w:r>
      <w:r w:rsidR="00F522C8">
        <w:rPr>
          <w:rFonts w:asciiTheme="majorBidi" w:hAnsiTheme="majorBidi" w:cstheme="majorBidi"/>
          <w:sz w:val="24"/>
          <w:szCs w:val="24"/>
        </w:rPr>
        <w:t>)</w:t>
      </w:r>
      <w:r w:rsidRPr="006E5D08">
        <w:rPr>
          <w:rFonts w:asciiTheme="majorBidi" w:hAnsiTheme="majorBidi" w:cstheme="majorBidi"/>
          <w:sz w:val="24"/>
          <w:szCs w:val="24"/>
        </w:rPr>
        <w:t>.</w:t>
      </w:r>
    </w:p>
    <w:p w14:paraId="33209FEB" w14:textId="77777777" w:rsidR="006E5D08" w:rsidRPr="006E5D08" w:rsidRDefault="006E5D08" w:rsidP="007E30CF">
      <w:pPr>
        <w:spacing w:line="480" w:lineRule="auto"/>
        <w:jc w:val="both"/>
        <w:rPr>
          <w:rFonts w:asciiTheme="majorBidi" w:hAnsiTheme="majorBidi" w:cstheme="majorBidi"/>
          <w:bCs/>
          <w:sz w:val="24"/>
          <w:szCs w:val="24"/>
          <w:lang w:bidi="en-US"/>
        </w:rPr>
      </w:pPr>
    </w:p>
    <w:p w14:paraId="79DA243C" w14:textId="5877C1C5" w:rsidR="006E5D08" w:rsidRPr="006E5D08" w:rsidRDefault="006E5D08" w:rsidP="002C736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The reduction of NCDs burden can be set in motion by targeting their predisposing risk factors including </w:t>
      </w:r>
      <w:r w:rsidR="00E11B61" w:rsidRPr="006E5D08">
        <w:rPr>
          <w:rFonts w:asciiTheme="majorBidi" w:hAnsiTheme="majorBidi" w:cstheme="majorBidi"/>
          <w:bCs/>
          <w:sz w:val="24"/>
          <w:szCs w:val="24"/>
          <w:lang w:bidi="en-US"/>
        </w:rPr>
        <w:t>metabolic</w:t>
      </w:r>
      <w:r w:rsidR="00E11B61">
        <w:rPr>
          <w:rFonts w:asciiTheme="majorBidi" w:hAnsiTheme="majorBidi" w:cstheme="majorBidi"/>
          <w:bCs/>
          <w:sz w:val="24"/>
          <w:szCs w:val="24"/>
          <w:lang w:bidi="en-US"/>
        </w:rPr>
        <w:t>,</w:t>
      </w:r>
      <w:r w:rsidR="00E11B61" w:rsidRPr="006E5D08">
        <w:rPr>
          <w:rFonts w:asciiTheme="majorBidi" w:hAnsiTheme="majorBidi" w:cstheme="majorBidi"/>
          <w:bCs/>
          <w:sz w:val="24"/>
          <w:szCs w:val="24"/>
          <w:lang w:bidi="en-US"/>
        </w:rPr>
        <w:t xml:space="preserve"> </w:t>
      </w:r>
      <w:r w:rsidR="00D43151" w:rsidRPr="006E5D08">
        <w:rPr>
          <w:rFonts w:asciiTheme="majorBidi" w:hAnsiTheme="majorBidi" w:cstheme="majorBidi"/>
          <w:bCs/>
          <w:sz w:val="24"/>
          <w:szCs w:val="24"/>
          <w:lang w:bidi="en-US"/>
        </w:rPr>
        <w:t>behavioural, and</w:t>
      </w:r>
      <w:r w:rsidRPr="006E5D08">
        <w:rPr>
          <w:rFonts w:asciiTheme="majorBidi" w:hAnsiTheme="majorBidi" w:cstheme="majorBidi"/>
          <w:bCs/>
          <w:sz w:val="24"/>
          <w:szCs w:val="24"/>
          <w:lang w:bidi="en-US"/>
        </w:rPr>
        <w:t xml:space="preserve"> environmental risk factors and by encouraging the increase of favourable behaviours, including consuming more fruit and vegetables and less salt. The reduction in NCDs is now</w:t>
      </w:r>
      <w:r w:rsidR="00D43151">
        <w:rPr>
          <w:rFonts w:asciiTheme="majorBidi" w:hAnsiTheme="majorBidi" w:cstheme="majorBidi"/>
          <w:bCs/>
          <w:sz w:val="24"/>
          <w:szCs w:val="24"/>
          <w:lang w:bidi="en-US"/>
        </w:rPr>
        <w:t xml:space="preserve"> a</w:t>
      </w:r>
      <w:r w:rsidRPr="006E5D08">
        <w:rPr>
          <w:rFonts w:asciiTheme="majorBidi" w:hAnsiTheme="majorBidi" w:cstheme="majorBidi"/>
          <w:bCs/>
          <w:sz w:val="24"/>
          <w:szCs w:val="24"/>
          <w:lang w:bidi="en-US"/>
        </w:rPr>
        <w:t xml:space="preserve"> United Nations global health priority, </w:t>
      </w:r>
      <w:r w:rsidR="00D43151">
        <w:rPr>
          <w:rFonts w:asciiTheme="majorBidi" w:hAnsiTheme="majorBidi" w:cstheme="majorBidi"/>
          <w:bCs/>
          <w:sz w:val="24"/>
          <w:szCs w:val="24"/>
          <w:lang w:bidi="en-US"/>
        </w:rPr>
        <w:t>advocated</w:t>
      </w:r>
      <w:r w:rsidRPr="006E5D08">
        <w:rPr>
          <w:rFonts w:asciiTheme="majorBidi" w:hAnsiTheme="majorBidi" w:cstheme="majorBidi"/>
          <w:bCs/>
          <w:sz w:val="24"/>
          <w:szCs w:val="24"/>
          <w:lang w:bidi="en-US"/>
        </w:rPr>
        <w:t xml:space="preserve"> by the </w:t>
      </w:r>
      <w:bookmarkStart w:id="0" w:name="_Hlk76030784"/>
      <w:r w:rsidRPr="006E5D08">
        <w:rPr>
          <w:rFonts w:asciiTheme="majorBidi" w:hAnsiTheme="majorBidi" w:cstheme="majorBidi"/>
          <w:bCs/>
          <w:sz w:val="24"/>
          <w:szCs w:val="24"/>
          <w:lang w:bidi="en-US"/>
        </w:rPr>
        <w:t xml:space="preserve">World Health Organization </w:t>
      </w:r>
      <w:bookmarkEnd w:id="0"/>
      <w:r w:rsidRPr="006E5D08">
        <w:rPr>
          <w:rFonts w:asciiTheme="majorBidi" w:hAnsiTheme="majorBidi" w:cstheme="majorBidi"/>
          <w:bCs/>
          <w:sz w:val="24"/>
          <w:szCs w:val="24"/>
          <w:lang w:bidi="en-US"/>
        </w:rPr>
        <w:t>(</w:t>
      </w:r>
      <w:bookmarkStart w:id="1" w:name="_Hlk76030778"/>
      <w:r w:rsidRPr="006E5D08">
        <w:rPr>
          <w:rFonts w:asciiTheme="majorBidi" w:hAnsiTheme="majorBidi" w:cstheme="majorBidi"/>
          <w:bCs/>
          <w:sz w:val="24"/>
          <w:szCs w:val="24"/>
          <w:lang w:bidi="en-US"/>
        </w:rPr>
        <w:t>WHO</w:t>
      </w:r>
      <w:bookmarkEnd w:id="1"/>
      <w:r w:rsidRPr="006E5D08">
        <w:rPr>
          <w:rFonts w:asciiTheme="majorBidi" w:hAnsiTheme="majorBidi" w:cstheme="majorBidi"/>
          <w:bCs/>
          <w:sz w:val="24"/>
          <w:szCs w:val="24"/>
          <w:lang w:bidi="en-US"/>
        </w:rPr>
        <w:t xml:space="preserve">) Action Plan, targeting main risk factors like unhealthy diet, harmful </w:t>
      </w:r>
      <w:r w:rsidR="00D43151">
        <w:rPr>
          <w:rFonts w:asciiTheme="majorBidi" w:hAnsiTheme="majorBidi" w:cstheme="majorBidi"/>
          <w:bCs/>
          <w:sz w:val="24"/>
          <w:szCs w:val="24"/>
          <w:lang w:bidi="en-US"/>
        </w:rPr>
        <w:t xml:space="preserve">alcohol consumption, </w:t>
      </w:r>
      <w:r w:rsidR="002C736F" w:rsidRPr="002C736F">
        <w:rPr>
          <w:rFonts w:asciiTheme="majorBidi" w:hAnsiTheme="majorBidi" w:cstheme="majorBidi"/>
          <w:bCs/>
          <w:sz w:val="24"/>
          <w:szCs w:val="24"/>
          <w:lang w:bidi="en-US"/>
        </w:rPr>
        <w:t xml:space="preserve">tobacco use, </w:t>
      </w:r>
      <w:r w:rsidR="00D43151">
        <w:rPr>
          <w:rFonts w:asciiTheme="majorBidi" w:hAnsiTheme="majorBidi" w:cstheme="majorBidi"/>
          <w:bCs/>
          <w:sz w:val="24"/>
          <w:szCs w:val="24"/>
          <w:lang w:bidi="en-US"/>
        </w:rPr>
        <w:t>and physical inactivity. A selection</w:t>
      </w:r>
      <w:r w:rsidRPr="006E5D08">
        <w:rPr>
          <w:rFonts w:asciiTheme="majorBidi" w:hAnsiTheme="majorBidi" w:cstheme="majorBidi"/>
          <w:bCs/>
          <w:sz w:val="24"/>
          <w:szCs w:val="24"/>
          <w:lang w:bidi="en-US"/>
        </w:rPr>
        <w:t xml:space="preserve"> of cost-effective policy</w:t>
      </w:r>
      <w:r w:rsidRPr="006E5D08">
        <w:rPr>
          <w:rFonts w:asciiTheme="majorBidi" w:hAnsiTheme="majorBidi" w:cstheme="majorBidi"/>
          <w:b/>
          <w:sz w:val="24"/>
          <w:szCs w:val="24"/>
          <w:lang w:bidi="en-US"/>
        </w:rPr>
        <w:t xml:space="preserve"> </w:t>
      </w:r>
      <w:r w:rsidRPr="006E5D08">
        <w:rPr>
          <w:rFonts w:asciiTheme="majorBidi" w:hAnsiTheme="majorBidi" w:cstheme="majorBidi"/>
          <w:bCs/>
          <w:sz w:val="24"/>
          <w:szCs w:val="24"/>
          <w:lang w:bidi="en-US"/>
        </w:rPr>
        <w:t xml:space="preserve">options (‘best buys’) has been identified of which promoting healthy consumption of food is one of them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3</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since there is </w:t>
      </w:r>
      <w:r w:rsidR="00B97BB5">
        <w:rPr>
          <w:rFonts w:asciiTheme="majorBidi" w:hAnsiTheme="majorBidi" w:cstheme="majorBidi"/>
          <w:bCs/>
          <w:sz w:val="24"/>
          <w:szCs w:val="24"/>
          <w:lang w:bidi="en-US"/>
        </w:rPr>
        <w:t>substantial</w:t>
      </w:r>
      <w:r w:rsidRPr="006E5D08">
        <w:rPr>
          <w:rFonts w:asciiTheme="majorBidi" w:hAnsiTheme="majorBidi" w:cstheme="majorBidi"/>
          <w:bCs/>
          <w:sz w:val="24"/>
          <w:szCs w:val="24"/>
          <w:lang w:bidi="en-US"/>
        </w:rPr>
        <w:t xml:space="preserve"> evidence of a causal association between dietary </w:t>
      </w:r>
      <w:r w:rsidR="00B97BB5">
        <w:rPr>
          <w:rFonts w:asciiTheme="majorBidi" w:hAnsiTheme="majorBidi" w:cstheme="majorBidi"/>
          <w:bCs/>
          <w:sz w:val="24"/>
          <w:szCs w:val="24"/>
          <w:lang w:bidi="en-US"/>
        </w:rPr>
        <w:t>habits</w:t>
      </w:r>
      <w:r w:rsidRPr="006E5D08">
        <w:rPr>
          <w:rFonts w:asciiTheme="majorBidi" w:hAnsiTheme="majorBidi" w:cstheme="majorBidi"/>
          <w:bCs/>
          <w:sz w:val="24"/>
          <w:szCs w:val="24"/>
          <w:lang w:bidi="en-US"/>
        </w:rPr>
        <w:t xml:space="preserve"> and patterns, nutrient </w:t>
      </w:r>
      <w:r w:rsidR="00B97BB5">
        <w:rPr>
          <w:rFonts w:asciiTheme="majorBidi" w:hAnsiTheme="majorBidi" w:cstheme="majorBidi"/>
          <w:bCs/>
          <w:sz w:val="24"/>
          <w:szCs w:val="24"/>
          <w:lang w:bidi="en-US"/>
        </w:rPr>
        <w:t>consumption</w:t>
      </w:r>
      <w:r w:rsidRPr="006E5D08">
        <w:rPr>
          <w:rFonts w:asciiTheme="majorBidi" w:hAnsiTheme="majorBidi" w:cstheme="majorBidi"/>
          <w:bCs/>
          <w:sz w:val="24"/>
          <w:szCs w:val="24"/>
          <w:lang w:bidi="en-US"/>
        </w:rPr>
        <w:t xml:space="preserve"> and NCDs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4</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w:t>
      </w:r>
    </w:p>
    <w:p w14:paraId="3E2E85BD" w14:textId="77777777" w:rsidR="006E5D08" w:rsidRPr="006E5D08" w:rsidRDefault="006E5D08" w:rsidP="007E30CF">
      <w:pPr>
        <w:spacing w:line="480" w:lineRule="auto"/>
        <w:jc w:val="both"/>
        <w:rPr>
          <w:rFonts w:asciiTheme="majorBidi" w:hAnsiTheme="majorBidi" w:cstheme="majorBidi"/>
          <w:bCs/>
          <w:sz w:val="24"/>
          <w:szCs w:val="24"/>
          <w:lang w:bidi="en-US"/>
        </w:rPr>
      </w:pPr>
    </w:p>
    <w:p w14:paraId="4D15CAA1" w14:textId="77777777" w:rsidR="001E4E5F" w:rsidRDefault="006E5D08" w:rsidP="001E4E5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Healthy food includes a high intake of fibre rich food, not less than 5 servings of vegetables and fruits, low intake of saturated fat replaced by unsaturated fat, low salt intake, and low consumption of energy dense and processed food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5</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w:t>
      </w:r>
      <w:r w:rsidR="001E4E5F">
        <w:rPr>
          <w:rFonts w:asciiTheme="majorBidi" w:hAnsiTheme="majorBidi" w:cstheme="majorBidi"/>
          <w:bCs/>
          <w:sz w:val="24"/>
          <w:szCs w:val="24"/>
          <w:lang w:bidi="en-US"/>
        </w:rPr>
        <w:t>I</w:t>
      </w:r>
      <w:r w:rsidR="001E4E5F" w:rsidRPr="001E4E5F">
        <w:rPr>
          <w:rFonts w:asciiTheme="majorBidi" w:hAnsiTheme="majorBidi" w:cstheme="majorBidi"/>
          <w:bCs/>
          <w:sz w:val="24"/>
          <w:szCs w:val="24"/>
          <w:lang w:bidi="en-US"/>
        </w:rPr>
        <w:t>n addition to mineral</w:t>
      </w:r>
      <w:r w:rsidR="001E4E5F">
        <w:rPr>
          <w:rFonts w:asciiTheme="majorBidi" w:hAnsiTheme="majorBidi" w:cstheme="majorBidi"/>
          <w:bCs/>
          <w:sz w:val="24"/>
          <w:szCs w:val="24"/>
          <w:lang w:bidi="en-US"/>
        </w:rPr>
        <w:t>s</w:t>
      </w:r>
      <w:r w:rsidR="001E4E5F" w:rsidRPr="001E4E5F">
        <w:rPr>
          <w:rFonts w:asciiTheme="majorBidi" w:hAnsiTheme="majorBidi" w:cstheme="majorBidi"/>
          <w:bCs/>
          <w:sz w:val="24"/>
          <w:szCs w:val="24"/>
          <w:lang w:bidi="en-US"/>
        </w:rPr>
        <w:t>, vitamins and antioxidants</w:t>
      </w:r>
      <w:r w:rsidR="001E4E5F">
        <w:rPr>
          <w:rFonts w:asciiTheme="majorBidi" w:hAnsiTheme="majorBidi" w:cstheme="majorBidi"/>
          <w:bCs/>
          <w:sz w:val="24"/>
          <w:szCs w:val="24"/>
          <w:lang w:bidi="en-US"/>
        </w:rPr>
        <w:t>, f</w:t>
      </w:r>
      <w:r w:rsidRPr="006E5D08">
        <w:rPr>
          <w:rFonts w:asciiTheme="majorBidi" w:hAnsiTheme="majorBidi" w:cstheme="majorBidi"/>
          <w:bCs/>
          <w:sz w:val="24"/>
          <w:szCs w:val="24"/>
          <w:lang w:bidi="en-US"/>
        </w:rPr>
        <w:t>resh fruits and vegetables are considered</w:t>
      </w:r>
      <w:r w:rsidR="001E4E5F">
        <w:rPr>
          <w:rFonts w:asciiTheme="majorBidi" w:hAnsiTheme="majorBidi" w:cstheme="majorBidi"/>
          <w:bCs/>
          <w:sz w:val="24"/>
          <w:szCs w:val="24"/>
          <w:lang w:bidi="en-US"/>
        </w:rPr>
        <w:t xml:space="preserve"> to be rich sources of dietary fibre</w:t>
      </w:r>
      <w:r w:rsidRPr="006E5D08">
        <w:rPr>
          <w:rFonts w:asciiTheme="majorBidi" w:hAnsiTheme="majorBidi" w:cstheme="majorBidi"/>
          <w:bCs/>
          <w:sz w:val="24"/>
          <w:szCs w:val="24"/>
          <w:lang w:bidi="en-US"/>
        </w:rPr>
        <w:t xml:space="preserve">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6</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w:t>
      </w:r>
    </w:p>
    <w:p w14:paraId="5546F20A" w14:textId="77777777" w:rsidR="001E4E5F" w:rsidRDefault="001E4E5F" w:rsidP="001E4E5F">
      <w:pPr>
        <w:spacing w:line="480" w:lineRule="auto"/>
        <w:jc w:val="both"/>
        <w:rPr>
          <w:rFonts w:asciiTheme="majorBidi" w:hAnsiTheme="majorBidi" w:cstheme="majorBidi"/>
          <w:bCs/>
          <w:sz w:val="24"/>
          <w:szCs w:val="24"/>
          <w:lang w:bidi="en-US"/>
        </w:rPr>
      </w:pPr>
    </w:p>
    <w:p w14:paraId="40ACFD9E" w14:textId="64DA52D9" w:rsidR="006E5D08" w:rsidRPr="006E5D08" w:rsidRDefault="006E5D08" w:rsidP="00D64528">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There is </w:t>
      </w:r>
      <w:r w:rsidR="001E4E5F">
        <w:rPr>
          <w:rFonts w:asciiTheme="majorBidi" w:hAnsiTheme="majorBidi" w:cstheme="majorBidi"/>
          <w:bCs/>
          <w:sz w:val="24"/>
          <w:szCs w:val="24"/>
          <w:lang w:bidi="en-US"/>
        </w:rPr>
        <w:t>reliable</w:t>
      </w:r>
      <w:r w:rsidRPr="006E5D08">
        <w:rPr>
          <w:rFonts w:asciiTheme="majorBidi" w:hAnsiTheme="majorBidi" w:cstheme="majorBidi"/>
          <w:bCs/>
          <w:sz w:val="24"/>
          <w:szCs w:val="24"/>
          <w:lang w:bidi="en-US"/>
        </w:rPr>
        <w:t xml:space="preserve"> evidence that </w:t>
      </w:r>
      <w:r w:rsidR="001E4E5F">
        <w:rPr>
          <w:rFonts w:asciiTheme="majorBidi" w:hAnsiTheme="majorBidi" w:cstheme="majorBidi"/>
          <w:bCs/>
          <w:sz w:val="24"/>
          <w:szCs w:val="24"/>
          <w:lang w:bidi="en-US"/>
        </w:rPr>
        <w:t xml:space="preserve">dietary </w:t>
      </w:r>
      <w:r w:rsidRPr="006E5D08">
        <w:rPr>
          <w:rFonts w:asciiTheme="majorBidi" w:hAnsiTheme="majorBidi" w:cstheme="majorBidi"/>
          <w:bCs/>
          <w:sz w:val="24"/>
          <w:szCs w:val="24"/>
          <w:lang w:bidi="en-US"/>
        </w:rPr>
        <w:t>intake</w:t>
      </w:r>
      <w:r w:rsidR="001E4E5F">
        <w:rPr>
          <w:rFonts w:asciiTheme="majorBidi" w:hAnsiTheme="majorBidi" w:cstheme="majorBidi"/>
          <w:bCs/>
          <w:sz w:val="24"/>
          <w:szCs w:val="24"/>
          <w:lang w:bidi="en-US"/>
        </w:rPr>
        <w:t xml:space="preserve">s of fruit and vegetables, in excess of </w:t>
      </w:r>
      <w:r w:rsidRPr="006E5D08">
        <w:rPr>
          <w:rFonts w:asciiTheme="majorBidi" w:hAnsiTheme="majorBidi" w:cstheme="majorBidi"/>
          <w:bCs/>
          <w:sz w:val="24"/>
          <w:szCs w:val="24"/>
          <w:lang w:bidi="en-US"/>
        </w:rPr>
        <w:t xml:space="preserve">5 servings </w:t>
      </w:r>
      <w:r w:rsidR="001E4E5F">
        <w:rPr>
          <w:rFonts w:asciiTheme="majorBidi" w:hAnsiTheme="majorBidi" w:cstheme="majorBidi"/>
          <w:bCs/>
          <w:sz w:val="24"/>
          <w:szCs w:val="24"/>
          <w:lang w:bidi="en-US"/>
        </w:rPr>
        <w:t>(or 600g</w:t>
      </w:r>
      <w:r w:rsidRPr="006E5D08">
        <w:rPr>
          <w:rFonts w:asciiTheme="majorBidi" w:hAnsiTheme="majorBidi" w:cstheme="majorBidi"/>
          <w:bCs/>
          <w:sz w:val="24"/>
          <w:szCs w:val="24"/>
          <w:lang w:bidi="en-US"/>
        </w:rPr>
        <w:t>)</w:t>
      </w:r>
      <w:r w:rsidR="001E4E5F">
        <w:rPr>
          <w:rFonts w:asciiTheme="majorBidi" w:hAnsiTheme="majorBidi" w:cstheme="majorBidi"/>
          <w:bCs/>
          <w:sz w:val="24"/>
          <w:szCs w:val="24"/>
          <w:lang w:bidi="en-US"/>
        </w:rPr>
        <w:t xml:space="preserve"> daily</w:t>
      </w:r>
      <w:r w:rsidRPr="006E5D08">
        <w:rPr>
          <w:rFonts w:asciiTheme="majorBidi" w:hAnsiTheme="majorBidi" w:cstheme="majorBidi"/>
          <w:bCs/>
          <w:sz w:val="24"/>
          <w:szCs w:val="24"/>
          <w:lang w:bidi="en-US"/>
        </w:rPr>
        <w:t xml:space="preserve"> promote the prevention of </w:t>
      </w:r>
      <w:r w:rsidR="00D64528">
        <w:rPr>
          <w:rFonts w:asciiTheme="majorBidi" w:hAnsiTheme="majorBidi" w:cstheme="majorBidi"/>
          <w:bCs/>
          <w:sz w:val="24"/>
          <w:szCs w:val="24"/>
          <w:lang w:bidi="en-US"/>
        </w:rPr>
        <w:t>several</w:t>
      </w:r>
      <w:r w:rsidRPr="006E5D08">
        <w:rPr>
          <w:rFonts w:asciiTheme="majorBidi" w:hAnsiTheme="majorBidi" w:cstheme="majorBidi"/>
          <w:bCs/>
          <w:sz w:val="24"/>
          <w:szCs w:val="24"/>
          <w:lang w:bidi="en-US"/>
        </w:rPr>
        <w:t xml:space="preserve"> chronic diseases such as obesity, hypertension, </w:t>
      </w:r>
      <w:bookmarkStart w:id="2" w:name="_Hlk76030818"/>
      <w:r w:rsidRPr="006E5D08">
        <w:rPr>
          <w:rFonts w:asciiTheme="majorBidi" w:hAnsiTheme="majorBidi" w:cstheme="majorBidi"/>
          <w:bCs/>
          <w:sz w:val="24"/>
          <w:szCs w:val="24"/>
          <w:lang w:bidi="en-US"/>
        </w:rPr>
        <w:t xml:space="preserve">cardiovascular diseases </w:t>
      </w:r>
      <w:bookmarkEnd w:id="2"/>
      <w:r w:rsidRPr="006E5D08">
        <w:rPr>
          <w:rFonts w:asciiTheme="majorBidi" w:hAnsiTheme="majorBidi" w:cstheme="majorBidi"/>
          <w:bCs/>
          <w:sz w:val="24"/>
          <w:szCs w:val="24"/>
          <w:lang w:bidi="en-US"/>
        </w:rPr>
        <w:t>(</w:t>
      </w:r>
      <w:bookmarkStart w:id="3" w:name="_Hlk76030810"/>
      <w:r w:rsidRPr="006E5D08">
        <w:rPr>
          <w:rFonts w:asciiTheme="majorBidi" w:hAnsiTheme="majorBidi" w:cstheme="majorBidi"/>
          <w:bCs/>
          <w:sz w:val="24"/>
          <w:szCs w:val="24"/>
          <w:lang w:bidi="en-US"/>
        </w:rPr>
        <w:t>CVD</w:t>
      </w:r>
      <w:bookmarkEnd w:id="3"/>
      <w:r w:rsidRPr="006E5D08">
        <w:rPr>
          <w:rFonts w:asciiTheme="majorBidi" w:hAnsiTheme="majorBidi" w:cstheme="majorBidi"/>
          <w:bCs/>
          <w:sz w:val="24"/>
          <w:szCs w:val="24"/>
          <w:lang w:bidi="en-US"/>
        </w:rPr>
        <w:t xml:space="preserve">) and </w:t>
      </w:r>
      <w:r w:rsidR="00D64528">
        <w:rPr>
          <w:rFonts w:asciiTheme="majorBidi" w:hAnsiTheme="majorBidi" w:cstheme="majorBidi"/>
          <w:bCs/>
          <w:sz w:val="24"/>
          <w:szCs w:val="24"/>
          <w:lang w:bidi="en-US"/>
        </w:rPr>
        <w:t>certain</w:t>
      </w:r>
      <w:r w:rsidRPr="006E5D08">
        <w:rPr>
          <w:rFonts w:asciiTheme="majorBidi" w:hAnsiTheme="majorBidi" w:cstheme="majorBidi"/>
          <w:bCs/>
          <w:sz w:val="24"/>
          <w:szCs w:val="24"/>
          <w:lang w:bidi="en-US"/>
        </w:rPr>
        <w:t xml:space="preserve"> types of cancer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7</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w:t>
      </w:r>
      <w:r w:rsidR="00D64528" w:rsidRPr="00D64528">
        <w:rPr>
          <w:rFonts w:asciiTheme="majorBidi" w:hAnsiTheme="majorBidi" w:cstheme="majorBidi"/>
          <w:bCs/>
          <w:sz w:val="24"/>
          <w:szCs w:val="24"/>
          <w:lang w:bidi="en-US"/>
        </w:rPr>
        <w:t xml:space="preserve">A good indication of the occurrence of these diseases </w:t>
      </w:r>
      <w:r w:rsidR="00D64528">
        <w:rPr>
          <w:rFonts w:asciiTheme="majorBidi" w:hAnsiTheme="majorBidi" w:cstheme="majorBidi"/>
          <w:bCs/>
          <w:sz w:val="24"/>
          <w:szCs w:val="24"/>
          <w:lang w:bidi="en-US"/>
        </w:rPr>
        <w:t>could be</w:t>
      </w:r>
      <w:r w:rsidR="00D64528" w:rsidRPr="00D64528">
        <w:rPr>
          <w:rFonts w:asciiTheme="majorBidi" w:hAnsiTheme="majorBidi" w:cstheme="majorBidi"/>
          <w:bCs/>
          <w:sz w:val="24"/>
          <w:szCs w:val="24"/>
          <w:lang w:bidi="en-US"/>
        </w:rPr>
        <w:t xml:space="preserve"> the trend in c</w:t>
      </w:r>
      <w:r w:rsidR="00D64528">
        <w:rPr>
          <w:rFonts w:asciiTheme="majorBidi" w:hAnsiTheme="majorBidi" w:cstheme="majorBidi"/>
          <w:bCs/>
          <w:sz w:val="24"/>
          <w:szCs w:val="24"/>
          <w:lang w:bidi="en-US"/>
        </w:rPr>
        <w:t>onsumption of such healthy food</w:t>
      </w:r>
      <w:r w:rsidR="00D64528" w:rsidRPr="00D6452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w:t>
      </w:r>
    </w:p>
    <w:p w14:paraId="786ECA89" w14:textId="77777777" w:rsidR="006E5D08" w:rsidRPr="006E5D08" w:rsidRDefault="006E5D08" w:rsidP="007E30CF">
      <w:pPr>
        <w:spacing w:line="480" w:lineRule="auto"/>
        <w:jc w:val="both"/>
        <w:rPr>
          <w:rFonts w:asciiTheme="majorBidi" w:hAnsiTheme="majorBidi" w:cstheme="majorBidi"/>
          <w:b/>
          <w:sz w:val="24"/>
          <w:szCs w:val="24"/>
          <w:lang w:bidi="en-US"/>
        </w:rPr>
      </w:pPr>
    </w:p>
    <w:p w14:paraId="437DCE32" w14:textId="1CB94BCE" w:rsidR="0031299F" w:rsidRDefault="006E5D08" w:rsidP="0094149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Studies </w:t>
      </w:r>
      <w:r w:rsidR="00D64528">
        <w:rPr>
          <w:rFonts w:asciiTheme="majorBidi" w:hAnsiTheme="majorBidi" w:cstheme="majorBidi"/>
          <w:bCs/>
          <w:sz w:val="24"/>
          <w:szCs w:val="24"/>
          <w:lang w:bidi="en-US"/>
        </w:rPr>
        <w:t>have shown</w:t>
      </w:r>
      <w:r w:rsidRPr="006E5D08">
        <w:rPr>
          <w:rFonts w:asciiTheme="majorBidi" w:hAnsiTheme="majorBidi" w:cstheme="majorBidi"/>
          <w:bCs/>
          <w:sz w:val="24"/>
          <w:szCs w:val="24"/>
          <w:lang w:bidi="en-US"/>
        </w:rPr>
        <w:t xml:space="preserve"> that </w:t>
      </w:r>
      <w:r w:rsidR="005F35A2">
        <w:rPr>
          <w:rFonts w:asciiTheme="majorBidi" w:hAnsiTheme="majorBidi" w:cstheme="majorBidi"/>
          <w:bCs/>
          <w:sz w:val="24"/>
          <w:szCs w:val="24"/>
          <w:lang w:bidi="en-US"/>
        </w:rPr>
        <w:t>fruits and vegetables are not adequately consu</w:t>
      </w:r>
      <w:r w:rsidR="002C736F">
        <w:rPr>
          <w:rFonts w:asciiTheme="majorBidi" w:hAnsiTheme="majorBidi" w:cstheme="majorBidi"/>
          <w:bCs/>
          <w:sz w:val="24"/>
          <w:szCs w:val="24"/>
          <w:lang w:bidi="en-US"/>
        </w:rPr>
        <w:t>med by most of the population residing in the</w:t>
      </w:r>
      <w:r w:rsidR="005F35A2">
        <w:rPr>
          <w:rFonts w:asciiTheme="majorBidi" w:hAnsiTheme="majorBidi" w:cstheme="majorBidi"/>
          <w:bCs/>
          <w:sz w:val="24"/>
          <w:szCs w:val="24"/>
          <w:lang w:bidi="en-US"/>
        </w:rPr>
        <w:t xml:space="preserve"> </w:t>
      </w:r>
      <w:r w:rsidRPr="006E5D08">
        <w:rPr>
          <w:rFonts w:asciiTheme="majorBidi" w:hAnsiTheme="majorBidi" w:cstheme="majorBidi"/>
          <w:bCs/>
          <w:sz w:val="24"/>
          <w:szCs w:val="24"/>
          <w:lang w:bidi="en-US"/>
        </w:rPr>
        <w:t xml:space="preserve">Arab Gulf countries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5,8</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In addition, </w:t>
      </w:r>
      <w:r w:rsidR="00C51B0C">
        <w:rPr>
          <w:rFonts w:asciiTheme="majorBidi" w:hAnsiTheme="majorBidi" w:cstheme="majorBidi"/>
          <w:bCs/>
          <w:sz w:val="24"/>
          <w:szCs w:val="24"/>
          <w:lang w:bidi="en-US"/>
        </w:rPr>
        <w:t xml:space="preserve">it is known that </w:t>
      </w:r>
      <w:r w:rsidRPr="006E5D08">
        <w:rPr>
          <w:rFonts w:asciiTheme="majorBidi" w:hAnsiTheme="majorBidi" w:cstheme="majorBidi"/>
          <w:bCs/>
          <w:sz w:val="24"/>
          <w:szCs w:val="24"/>
          <w:lang w:bidi="en-US"/>
        </w:rPr>
        <w:t xml:space="preserve">some </w:t>
      </w:r>
      <w:r w:rsidR="0094149F">
        <w:rPr>
          <w:rFonts w:asciiTheme="majorBidi" w:hAnsiTheme="majorBidi" w:cstheme="majorBidi"/>
          <w:bCs/>
          <w:sz w:val="24"/>
          <w:szCs w:val="24"/>
          <w:lang w:bidi="en-US"/>
        </w:rPr>
        <w:t>dishes traditionally</w:t>
      </w:r>
      <w:r w:rsidRPr="006E5D08">
        <w:rPr>
          <w:rFonts w:asciiTheme="majorBidi" w:hAnsiTheme="majorBidi" w:cstheme="majorBidi"/>
          <w:bCs/>
          <w:sz w:val="24"/>
          <w:szCs w:val="24"/>
          <w:lang w:bidi="en-US"/>
        </w:rPr>
        <w:t xml:space="preserve"> consumed within the Arab Gulf region </w:t>
      </w:r>
      <w:r w:rsidR="00C51B0C">
        <w:rPr>
          <w:rFonts w:asciiTheme="majorBidi" w:hAnsiTheme="majorBidi" w:cstheme="majorBidi"/>
          <w:bCs/>
          <w:sz w:val="24"/>
          <w:szCs w:val="24"/>
          <w:lang w:bidi="en-US"/>
        </w:rPr>
        <w:t>have a</w:t>
      </w:r>
      <w:r w:rsidRPr="006E5D08">
        <w:rPr>
          <w:rFonts w:asciiTheme="majorBidi" w:hAnsiTheme="majorBidi" w:cstheme="majorBidi"/>
          <w:bCs/>
          <w:sz w:val="24"/>
          <w:szCs w:val="24"/>
          <w:lang w:bidi="en-US"/>
        </w:rPr>
        <w:t xml:space="preserve"> substantial</w:t>
      </w:r>
      <w:r w:rsidR="00C51B0C">
        <w:rPr>
          <w:rFonts w:asciiTheme="majorBidi" w:hAnsiTheme="majorBidi" w:cstheme="majorBidi"/>
          <w:bCs/>
          <w:sz w:val="24"/>
          <w:szCs w:val="24"/>
          <w:lang w:bidi="en-US"/>
        </w:rPr>
        <w:t>ly</w:t>
      </w:r>
      <w:r w:rsidRPr="006E5D08">
        <w:rPr>
          <w:rFonts w:asciiTheme="majorBidi" w:hAnsiTheme="majorBidi" w:cstheme="majorBidi"/>
          <w:bCs/>
          <w:sz w:val="24"/>
          <w:szCs w:val="24"/>
          <w:lang w:bidi="en-US"/>
        </w:rPr>
        <w:t xml:space="preserve"> high fat content (5% -20%)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5</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Fat is essential for energy, development, and vitamin</w:t>
      </w:r>
      <w:r w:rsidRPr="006E5D08" w:rsidDel="006560B6">
        <w:rPr>
          <w:rFonts w:asciiTheme="majorBidi" w:hAnsiTheme="majorBidi" w:cstheme="majorBidi"/>
          <w:bCs/>
          <w:sz w:val="24"/>
          <w:szCs w:val="24"/>
          <w:lang w:bidi="en-US"/>
        </w:rPr>
        <w:t xml:space="preserve"> </w:t>
      </w:r>
      <w:r w:rsidRPr="006E5D08">
        <w:rPr>
          <w:rFonts w:asciiTheme="majorBidi" w:hAnsiTheme="majorBidi" w:cstheme="majorBidi"/>
          <w:bCs/>
          <w:sz w:val="24"/>
          <w:szCs w:val="24"/>
          <w:lang w:bidi="en-US"/>
        </w:rPr>
        <w:t xml:space="preserve">absorption. However, </w:t>
      </w:r>
      <w:r w:rsidR="00C51B0C">
        <w:rPr>
          <w:rFonts w:asciiTheme="majorBidi" w:hAnsiTheme="majorBidi" w:cstheme="majorBidi"/>
          <w:bCs/>
          <w:sz w:val="24"/>
          <w:szCs w:val="24"/>
          <w:lang w:bidi="en-US"/>
        </w:rPr>
        <w:t>it is advisable to maintain a moderate</w:t>
      </w:r>
      <w:r w:rsidRPr="006E5D08">
        <w:rPr>
          <w:rFonts w:asciiTheme="majorBidi" w:hAnsiTheme="majorBidi" w:cstheme="majorBidi"/>
          <w:bCs/>
          <w:sz w:val="24"/>
          <w:szCs w:val="24"/>
          <w:lang w:bidi="en-US"/>
        </w:rPr>
        <w:t xml:space="preserve"> in</w:t>
      </w:r>
      <w:r w:rsidR="00C51B0C">
        <w:rPr>
          <w:rFonts w:asciiTheme="majorBidi" w:hAnsiTheme="majorBidi" w:cstheme="majorBidi"/>
          <w:bCs/>
          <w:sz w:val="24"/>
          <w:szCs w:val="24"/>
          <w:lang w:bidi="en-US"/>
        </w:rPr>
        <w:t>take of fat</w:t>
      </w:r>
      <w:r w:rsidRPr="006E5D08">
        <w:rPr>
          <w:rFonts w:asciiTheme="majorBidi" w:hAnsiTheme="majorBidi" w:cstheme="majorBidi"/>
          <w:bCs/>
          <w:sz w:val="24"/>
          <w:szCs w:val="24"/>
          <w:lang w:bidi="en-US"/>
        </w:rPr>
        <w:t xml:space="preserve">. </w:t>
      </w:r>
      <w:r w:rsidR="00684FEB">
        <w:rPr>
          <w:rFonts w:asciiTheme="majorBidi" w:hAnsiTheme="majorBidi" w:cstheme="majorBidi"/>
          <w:bCs/>
          <w:sz w:val="24"/>
          <w:szCs w:val="24"/>
          <w:lang w:bidi="en-US"/>
        </w:rPr>
        <w:t>B</w:t>
      </w:r>
      <w:r w:rsidR="00684FEB" w:rsidRPr="00684FEB">
        <w:rPr>
          <w:rFonts w:asciiTheme="majorBidi" w:hAnsiTheme="majorBidi" w:cstheme="majorBidi"/>
          <w:bCs/>
          <w:sz w:val="24"/>
          <w:szCs w:val="24"/>
          <w:lang w:bidi="en-US"/>
        </w:rPr>
        <w:t xml:space="preserve">ased on </w:t>
      </w:r>
      <w:r w:rsidR="00684FEB">
        <w:rPr>
          <w:rFonts w:asciiTheme="majorBidi" w:hAnsiTheme="majorBidi" w:cstheme="majorBidi"/>
          <w:bCs/>
          <w:sz w:val="24"/>
          <w:szCs w:val="24"/>
          <w:lang w:bidi="en-US"/>
        </w:rPr>
        <w:t>its</w:t>
      </w:r>
      <w:r w:rsidR="00684FEB" w:rsidRPr="00684FEB">
        <w:rPr>
          <w:rFonts w:asciiTheme="majorBidi" w:hAnsiTheme="majorBidi" w:cstheme="majorBidi"/>
          <w:bCs/>
          <w:sz w:val="24"/>
          <w:szCs w:val="24"/>
          <w:lang w:bidi="en-US"/>
        </w:rPr>
        <w:t xml:space="preserve"> </w:t>
      </w:r>
      <w:r w:rsidR="00684FEB">
        <w:rPr>
          <w:rFonts w:asciiTheme="majorBidi" w:hAnsiTheme="majorBidi" w:cstheme="majorBidi"/>
          <w:bCs/>
          <w:sz w:val="24"/>
          <w:szCs w:val="24"/>
          <w:lang w:bidi="en-US"/>
        </w:rPr>
        <w:t>association</w:t>
      </w:r>
      <w:r w:rsidR="00684FEB" w:rsidRPr="00684FEB">
        <w:rPr>
          <w:rFonts w:asciiTheme="majorBidi" w:hAnsiTheme="majorBidi" w:cstheme="majorBidi"/>
          <w:bCs/>
          <w:sz w:val="24"/>
          <w:szCs w:val="24"/>
          <w:lang w:bidi="en-US"/>
        </w:rPr>
        <w:t xml:space="preserve"> to heart disease and </w:t>
      </w:r>
      <w:r w:rsidR="00684FEB">
        <w:rPr>
          <w:rFonts w:asciiTheme="majorBidi" w:hAnsiTheme="majorBidi" w:cstheme="majorBidi"/>
          <w:bCs/>
          <w:sz w:val="24"/>
          <w:szCs w:val="24"/>
          <w:lang w:bidi="en-US"/>
        </w:rPr>
        <w:t>its consequent impact</w:t>
      </w:r>
      <w:r w:rsidR="00684FEB" w:rsidRPr="00684FEB">
        <w:rPr>
          <w:rFonts w:asciiTheme="majorBidi" w:hAnsiTheme="majorBidi" w:cstheme="majorBidi"/>
          <w:bCs/>
          <w:sz w:val="24"/>
          <w:szCs w:val="24"/>
          <w:lang w:bidi="en-US"/>
        </w:rPr>
        <w:t xml:space="preserve"> on </w:t>
      </w:r>
      <w:r w:rsidR="000A1D93">
        <w:rPr>
          <w:rFonts w:asciiTheme="majorBidi" w:hAnsiTheme="majorBidi" w:cstheme="majorBidi"/>
          <w:bCs/>
          <w:sz w:val="24"/>
          <w:szCs w:val="24"/>
          <w:lang w:bidi="en-US"/>
        </w:rPr>
        <w:t>elevated blood</w:t>
      </w:r>
      <w:r w:rsidR="00684FEB" w:rsidRPr="00684FEB">
        <w:rPr>
          <w:rFonts w:asciiTheme="majorBidi" w:hAnsiTheme="majorBidi" w:cstheme="majorBidi"/>
          <w:bCs/>
          <w:sz w:val="24"/>
          <w:szCs w:val="24"/>
          <w:lang w:bidi="en-US"/>
        </w:rPr>
        <w:t xml:space="preserve"> cholesterol levels</w:t>
      </w:r>
      <w:r w:rsidR="00684FEB">
        <w:rPr>
          <w:rFonts w:asciiTheme="majorBidi" w:hAnsiTheme="majorBidi" w:cstheme="majorBidi"/>
          <w:bCs/>
          <w:sz w:val="24"/>
          <w:szCs w:val="24"/>
          <w:lang w:bidi="en-US"/>
        </w:rPr>
        <w:t xml:space="preserve">, dietary fats can be </w:t>
      </w:r>
      <w:r w:rsidR="002C736F">
        <w:rPr>
          <w:rFonts w:asciiTheme="majorBidi" w:hAnsiTheme="majorBidi" w:cstheme="majorBidi"/>
          <w:bCs/>
          <w:sz w:val="24"/>
          <w:szCs w:val="24"/>
          <w:lang w:bidi="en-US"/>
        </w:rPr>
        <w:t xml:space="preserve">categorised </w:t>
      </w:r>
      <w:r w:rsidR="00684FEB">
        <w:rPr>
          <w:rFonts w:asciiTheme="majorBidi" w:hAnsiTheme="majorBidi" w:cstheme="majorBidi"/>
          <w:bCs/>
          <w:sz w:val="24"/>
          <w:szCs w:val="24"/>
          <w:lang w:bidi="en-US"/>
        </w:rPr>
        <w:t>into two types.</w:t>
      </w:r>
      <w:r w:rsidR="00797556">
        <w:rPr>
          <w:rFonts w:asciiTheme="majorBidi" w:hAnsiTheme="majorBidi" w:cstheme="majorBidi"/>
          <w:bCs/>
          <w:sz w:val="24"/>
          <w:szCs w:val="24"/>
          <w:lang w:bidi="en-US"/>
        </w:rPr>
        <w:t xml:space="preserve"> </w:t>
      </w:r>
      <w:r w:rsidR="0094149F">
        <w:rPr>
          <w:rFonts w:asciiTheme="majorBidi" w:hAnsiTheme="majorBidi" w:cstheme="majorBidi"/>
          <w:bCs/>
          <w:sz w:val="24"/>
          <w:szCs w:val="24"/>
          <w:lang w:bidi="en-US"/>
        </w:rPr>
        <w:t>Fat from animal sources</w:t>
      </w:r>
      <w:r w:rsidR="00797556">
        <w:rPr>
          <w:rFonts w:asciiTheme="majorBidi" w:hAnsiTheme="majorBidi" w:cstheme="majorBidi"/>
          <w:bCs/>
          <w:sz w:val="24"/>
          <w:szCs w:val="24"/>
          <w:lang w:bidi="en-US"/>
        </w:rPr>
        <w:t xml:space="preserve">, which can potentially raise blood cholesterol levels, is generally found in </w:t>
      </w:r>
      <w:r w:rsidRPr="006E5D08">
        <w:rPr>
          <w:rFonts w:asciiTheme="majorBidi" w:hAnsiTheme="majorBidi" w:cstheme="majorBidi"/>
          <w:bCs/>
          <w:sz w:val="24"/>
          <w:szCs w:val="24"/>
          <w:lang w:bidi="en-US"/>
        </w:rPr>
        <w:t>me</w:t>
      </w:r>
      <w:r w:rsidR="00797556">
        <w:rPr>
          <w:rFonts w:asciiTheme="majorBidi" w:hAnsiTheme="majorBidi" w:cstheme="majorBidi"/>
          <w:bCs/>
          <w:sz w:val="24"/>
          <w:szCs w:val="24"/>
          <w:lang w:bidi="en-US"/>
        </w:rPr>
        <w:t xml:space="preserve">at, whole milk, </w:t>
      </w:r>
      <w:r w:rsidRPr="006E5D08">
        <w:rPr>
          <w:rFonts w:asciiTheme="majorBidi" w:hAnsiTheme="majorBidi" w:cstheme="majorBidi"/>
          <w:bCs/>
          <w:sz w:val="24"/>
          <w:szCs w:val="24"/>
          <w:lang w:bidi="en-US"/>
        </w:rPr>
        <w:t>butter,</w:t>
      </w:r>
      <w:r w:rsidR="00797556">
        <w:rPr>
          <w:rFonts w:asciiTheme="majorBidi" w:hAnsiTheme="majorBidi" w:cstheme="majorBidi"/>
          <w:bCs/>
          <w:sz w:val="24"/>
          <w:szCs w:val="24"/>
          <w:lang w:bidi="en-US"/>
        </w:rPr>
        <w:t xml:space="preserve"> cheese,</w:t>
      </w:r>
      <w:r w:rsidRPr="006E5D08">
        <w:rPr>
          <w:rFonts w:asciiTheme="majorBidi" w:hAnsiTheme="majorBidi" w:cstheme="majorBidi"/>
          <w:bCs/>
          <w:sz w:val="24"/>
          <w:szCs w:val="24"/>
          <w:lang w:bidi="en-US"/>
        </w:rPr>
        <w:t xml:space="preserve"> </w:t>
      </w:r>
      <w:r w:rsidR="002C736F">
        <w:rPr>
          <w:rFonts w:asciiTheme="majorBidi" w:hAnsiTheme="majorBidi" w:cstheme="majorBidi"/>
          <w:bCs/>
          <w:sz w:val="24"/>
          <w:szCs w:val="24"/>
          <w:lang w:bidi="en-US"/>
        </w:rPr>
        <w:t xml:space="preserve">chicken skin, </w:t>
      </w:r>
      <w:r w:rsidRPr="006E5D08">
        <w:rPr>
          <w:rFonts w:asciiTheme="majorBidi" w:hAnsiTheme="majorBidi" w:cstheme="majorBidi"/>
          <w:bCs/>
          <w:sz w:val="24"/>
          <w:szCs w:val="24"/>
          <w:lang w:bidi="en-US"/>
        </w:rPr>
        <w:t xml:space="preserve">and liver. </w:t>
      </w:r>
      <w:r w:rsidR="00B76C34">
        <w:rPr>
          <w:rFonts w:asciiTheme="majorBidi" w:hAnsiTheme="majorBidi" w:cstheme="majorBidi"/>
          <w:bCs/>
          <w:sz w:val="24"/>
          <w:szCs w:val="24"/>
          <w:lang w:bidi="en-US"/>
        </w:rPr>
        <w:t xml:space="preserve">On the other hand, it is believed that </w:t>
      </w:r>
      <w:r w:rsidR="0094149F">
        <w:rPr>
          <w:rFonts w:asciiTheme="majorBidi" w:hAnsiTheme="majorBidi" w:cstheme="majorBidi"/>
          <w:bCs/>
          <w:sz w:val="24"/>
          <w:szCs w:val="24"/>
          <w:lang w:bidi="en-US"/>
        </w:rPr>
        <w:t>fats from vegetable sources</w:t>
      </w:r>
      <w:r w:rsidRPr="006E5D08">
        <w:rPr>
          <w:rFonts w:asciiTheme="majorBidi" w:hAnsiTheme="majorBidi" w:cstheme="majorBidi"/>
          <w:bCs/>
          <w:sz w:val="24"/>
          <w:szCs w:val="24"/>
          <w:lang w:bidi="en-US"/>
        </w:rPr>
        <w:t xml:space="preserve"> </w:t>
      </w:r>
      <w:r w:rsidR="00B76C34">
        <w:rPr>
          <w:rFonts w:asciiTheme="majorBidi" w:hAnsiTheme="majorBidi" w:cstheme="majorBidi"/>
          <w:bCs/>
          <w:sz w:val="24"/>
          <w:szCs w:val="24"/>
          <w:lang w:bidi="en-US"/>
        </w:rPr>
        <w:t>do not</w:t>
      </w:r>
      <w:r w:rsidRPr="006E5D08">
        <w:rPr>
          <w:rFonts w:asciiTheme="majorBidi" w:hAnsiTheme="majorBidi" w:cstheme="majorBidi"/>
          <w:bCs/>
          <w:sz w:val="24"/>
          <w:szCs w:val="24"/>
          <w:lang w:bidi="en-US"/>
        </w:rPr>
        <w:t xml:space="preserve"> </w:t>
      </w:r>
      <w:r w:rsidR="00B76C34">
        <w:rPr>
          <w:rFonts w:asciiTheme="majorBidi" w:hAnsiTheme="majorBidi" w:cstheme="majorBidi"/>
          <w:bCs/>
          <w:sz w:val="24"/>
          <w:szCs w:val="24"/>
          <w:lang w:bidi="en-US"/>
        </w:rPr>
        <w:t>raise</w:t>
      </w:r>
      <w:r w:rsidRPr="006E5D08">
        <w:rPr>
          <w:rFonts w:asciiTheme="majorBidi" w:hAnsiTheme="majorBidi" w:cstheme="majorBidi"/>
          <w:bCs/>
          <w:sz w:val="24"/>
          <w:szCs w:val="24"/>
          <w:lang w:bidi="en-US"/>
        </w:rPr>
        <w:t xml:space="preserve"> blood cholesterol </w:t>
      </w:r>
      <w:r w:rsidR="00B76C34">
        <w:rPr>
          <w:rFonts w:asciiTheme="majorBidi" w:hAnsiTheme="majorBidi" w:cstheme="majorBidi"/>
          <w:bCs/>
          <w:sz w:val="24"/>
          <w:szCs w:val="24"/>
          <w:lang w:bidi="en-US"/>
        </w:rPr>
        <w:t>levels</w:t>
      </w:r>
      <w:r w:rsidRPr="006E5D08">
        <w:rPr>
          <w:rFonts w:asciiTheme="majorBidi" w:hAnsiTheme="majorBidi" w:cstheme="majorBidi"/>
          <w:bCs/>
          <w:sz w:val="24"/>
          <w:szCs w:val="24"/>
          <w:lang w:bidi="en-US"/>
        </w:rPr>
        <w:t xml:space="preserve"> compared to animal fat – however, use of coconut oil and palm oil has conflicting evidence for its role in cardiovascular disease as compared to olive, sunflower, and can</w:t>
      </w:r>
      <w:r w:rsidR="00B76C34">
        <w:rPr>
          <w:rFonts w:asciiTheme="majorBidi" w:hAnsiTheme="majorBidi" w:cstheme="majorBidi"/>
          <w:bCs/>
          <w:sz w:val="24"/>
          <w:szCs w:val="24"/>
          <w:lang w:bidi="en-US"/>
        </w:rPr>
        <w:t xml:space="preserve">ola oils. However, fats </w:t>
      </w:r>
      <w:r w:rsidR="00D41038">
        <w:rPr>
          <w:rFonts w:asciiTheme="majorBidi" w:hAnsiTheme="majorBidi" w:cstheme="majorBidi"/>
          <w:bCs/>
          <w:sz w:val="24"/>
          <w:szCs w:val="24"/>
          <w:lang w:bidi="en-US"/>
        </w:rPr>
        <w:t xml:space="preserve">do </w:t>
      </w:r>
      <w:r w:rsidR="00B76C34">
        <w:rPr>
          <w:rFonts w:asciiTheme="majorBidi" w:hAnsiTheme="majorBidi" w:cstheme="majorBidi"/>
          <w:bCs/>
          <w:sz w:val="24"/>
          <w:szCs w:val="24"/>
          <w:lang w:bidi="en-US"/>
        </w:rPr>
        <w:t xml:space="preserve">contain a lot </w:t>
      </w:r>
      <w:r w:rsidRPr="006E5D08">
        <w:rPr>
          <w:rFonts w:asciiTheme="majorBidi" w:hAnsiTheme="majorBidi" w:cstheme="majorBidi"/>
          <w:bCs/>
          <w:sz w:val="24"/>
          <w:szCs w:val="24"/>
          <w:lang w:bidi="en-US"/>
        </w:rPr>
        <w:t xml:space="preserve">of energy, so </w:t>
      </w:r>
      <w:r w:rsidR="00B76C34">
        <w:rPr>
          <w:rFonts w:asciiTheme="majorBidi" w:hAnsiTheme="majorBidi" w:cstheme="majorBidi"/>
          <w:bCs/>
          <w:sz w:val="24"/>
          <w:szCs w:val="24"/>
          <w:lang w:bidi="en-US"/>
        </w:rPr>
        <w:t>a disproportionate</w:t>
      </w:r>
      <w:r w:rsidR="00B76C34" w:rsidRPr="006E5D08">
        <w:rPr>
          <w:rFonts w:asciiTheme="majorBidi" w:hAnsiTheme="majorBidi" w:cstheme="majorBidi"/>
          <w:bCs/>
          <w:sz w:val="24"/>
          <w:szCs w:val="24"/>
          <w:lang w:bidi="en-US"/>
        </w:rPr>
        <w:t xml:space="preserve"> </w:t>
      </w:r>
      <w:r w:rsidRPr="006E5D08">
        <w:rPr>
          <w:rFonts w:asciiTheme="majorBidi" w:hAnsiTheme="majorBidi" w:cstheme="majorBidi"/>
          <w:bCs/>
          <w:sz w:val="24"/>
          <w:szCs w:val="24"/>
          <w:lang w:bidi="en-US"/>
        </w:rPr>
        <w:t xml:space="preserve">intake of food rich in fat </w:t>
      </w:r>
      <w:r w:rsidR="00B76C34">
        <w:rPr>
          <w:rFonts w:asciiTheme="majorBidi" w:hAnsiTheme="majorBidi" w:cstheme="majorBidi"/>
          <w:bCs/>
          <w:sz w:val="24"/>
          <w:szCs w:val="24"/>
          <w:lang w:bidi="en-US"/>
        </w:rPr>
        <w:t>such as</w:t>
      </w:r>
      <w:r w:rsidRPr="006E5D08">
        <w:rPr>
          <w:rFonts w:asciiTheme="majorBidi" w:hAnsiTheme="majorBidi" w:cstheme="majorBidi"/>
          <w:bCs/>
          <w:sz w:val="24"/>
          <w:szCs w:val="24"/>
          <w:lang w:bidi="en-US"/>
        </w:rPr>
        <w:t xml:space="preserve"> fast food may </w:t>
      </w:r>
      <w:r w:rsidR="00B76C34">
        <w:rPr>
          <w:rFonts w:asciiTheme="majorBidi" w:hAnsiTheme="majorBidi" w:cstheme="majorBidi"/>
          <w:bCs/>
          <w:sz w:val="24"/>
          <w:szCs w:val="24"/>
          <w:lang w:bidi="en-US"/>
        </w:rPr>
        <w:t>be a significant</w:t>
      </w:r>
      <w:r w:rsidRPr="006E5D08">
        <w:rPr>
          <w:rFonts w:asciiTheme="majorBidi" w:hAnsiTheme="majorBidi" w:cstheme="majorBidi"/>
          <w:bCs/>
          <w:sz w:val="24"/>
          <w:szCs w:val="24"/>
          <w:lang w:bidi="en-US"/>
        </w:rPr>
        <w:t xml:space="preserve"> factor for </w:t>
      </w:r>
      <w:r w:rsidR="002C736F">
        <w:rPr>
          <w:rFonts w:asciiTheme="majorBidi" w:hAnsiTheme="majorBidi" w:cstheme="majorBidi"/>
          <w:bCs/>
          <w:sz w:val="24"/>
          <w:szCs w:val="24"/>
          <w:lang w:bidi="en-US"/>
        </w:rPr>
        <w:t>mounting</w:t>
      </w:r>
      <w:r w:rsidR="00B76C34">
        <w:rPr>
          <w:rFonts w:asciiTheme="majorBidi" w:hAnsiTheme="majorBidi" w:cstheme="majorBidi"/>
          <w:bCs/>
          <w:sz w:val="24"/>
          <w:szCs w:val="24"/>
          <w:lang w:bidi="en-US"/>
        </w:rPr>
        <w:t xml:space="preserve"> </w:t>
      </w:r>
      <w:r w:rsidR="002C736F">
        <w:rPr>
          <w:rFonts w:asciiTheme="majorBidi" w:hAnsiTheme="majorBidi" w:cstheme="majorBidi"/>
          <w:bCs/>
          <w:sz w:val="24"/>
          <w:szCs w:val="24"/>
          <w:lang w:bidi="en-US"/>
        </w:rPr>
        <w:t>obesity prevalence</w:t>
      </w:r>
      <w:r w:rsidR="00B76C34">
        <w:rPr>
          <w:rFonts w:asciiTheme="majorBidi" w:hAnsiTheme="majorBidi" w:cstheme="majorBidi"/>
          <w:bCs/>
          <w:sz w:val="24"/>
          <w:szCs w:val="24"/>
          <w:lang w:bidi="en-US"/>
        </w:rPr>
        <w:t xml:space="preserve"> in the</w:t>
      </w:r>
      <w:r w:rsidRPr="006E5D08">
        <w:rPr>
          <w:rFonts w:asciiTheme="majorBidi" w:hAnsiTheme="majorBidi" w:cstheme="majorBidi"/>
          <w:bCs/>
          <w:sz w:val="24"/>
          <w:szCs w:val="24"/>
          <w:lang w:bidi="en-US"/>
        </w:rPr>
        <w:t xml:space="preserve"> region. </w:t>
      </w:r>
      <w:r w:rsidR="00485EA4">
        <w:rPr>
          <w:rFonts w:asciiTheme="majorBidi" w:hAnsiTheme="majorBidi" w:cstheme="majorBidi"/>
          <w:bCs/>
          <w:sz w:val="24"/>
          <w:szCs w:val="24"/>
          <w:lang w:bidi="en-US"/>
        </w:rPr>
        <w:t>As a consequence, f</w:t>
      </w:r>
      <w:r w:rsidR="00D41038">
        <w:rPr>
          <w:rFonts w:asciiTheme="majorBidi" w:hAnsiTheme="majorBidi" w:cstheme="majorBidi"/>
          <w:bCs/>
          <w:sz w:val="24"/>
          <w:szCs w:val="24"/>
          <w:lang w:bidi="en-US"/>
        </w:rPr>
        <w:t>ood of plant origin like legumes, grains, seeds and nuts are recommended to meet energy requirements.</w:t>
      </w:r>
      <w:r w:rsidR="00485EA4">
        <w:rPr>
          <w:rFonts w:asciiTheme="majorBidi" w:hAnsiTheme="majorBidi" w:cstheme="majorBidi"/>
          <w:bCs/>
          <w:sz w:val="24"/>
          <w:szCs w:val="24"/>
          <w:lang w:bidi="en-US"/>
        </w:rPr>
        <w:t xml:space="preserve"> </w:t>
      </w:r>
      <w:r w:rsidRPr="006E5D08">
        <w:rPr>
          <w:rFonts w:asciiTheme="majorBidi" w:hAnsiTheme="majorBidi" w:cstheme="majorBidi"/>
          <w:bCs/>
          <w:sz w:val="24"/>
          <w:szCs w:val="24"/>
          <w:lang w:bidi="en-US"/>
        </w:rPr>
        <w:t xml:space="preserve">Although Oman’s Ministry of Health has </w:t>
      </w:r>
      <w:r w:rsidR="00EE5C9E">
        <w:rPr>
          <w:rFonts w:asciiTheme="majorBidi" w:hAnsiTheme="majorBidi" w:cstheme="majorBidi"/>
          <w:bCs/>
          <w:sz w:val="24"/>
          <w:szCs w:val="24"/>
          <w:lang w:bidi="en-US"/>
        </w:rPr>
        <w:t>supported</w:t>
      </w:r>
      <w:r w:rsidRPr="006E5D08">
        <w:rPr>
          <w:rFonts w:asciiTheme="majorBidi" w:hAnsiTheme="majorBidi" w:cstheme="majorBidi"/>
          <w:bCs/>
          <w:sz w:val="24"/>
          <w:szCs w:val="24"/>
          <w:lang w:bidi="en-US"/>
        </w:rPr>
        <w:t xml:space="preserve"> the global</w:t>
      </w:r>
      <w:r w:rsidR="002C736F">
        <w:rPr>
          <w:rFonts w:asciiTheme="majorBidi" w:hAnsiTheme="majorBidi" w:cstheme="majorBidi"/>
          <w:bCs/>
          <w:sz w:val="24"/>
          <w:szCs w:val="24"/>
          <w:lang w:bidi="en-US"/>
        </w:rPr>
        <w:t xml:space="preserve"> overall</w:t>
      </w:r>
      <w:r w:rsidRPr="006E5D08">
        <w:rPr>
          <w:rFonts w:asciiTheme="majorBidi" w:hAnsiTheme="majorBidi" w:cstheme="majorBidi"/>
          <w:bCs/>
          <w:sz w:val="24"/>
          <w:szCs w:val="24"/>
          <w:lang w:bidi="en-US"/>
        </w:rPr>
        <w:t xml:space="preserve"> vision of halting and reducing the </w:t>
      </w:r>
      <w:r w:rsidR="002C736F">
        <w:rPr>
          <w:rFonts w:asciiTheme="majorBidi" w:hAnsiTheme="majorBidi" w:cstheme="majorBidi"/>
          <w:bCs/>
          <w:sz w:val="24"/>
          <w:szCs w:val="24"/>
          <w:lang w:bidi="en-US"/>
        </w:rPr>
        <w:t xml:space="preserve">threat posed by </w:t>
      </w:r>
      <w:r w:rsidRPr="006E5D08">
        <w:rPr>
          <w:rFonts w:asciiTheme="majorBidi" w:hAnsiTheme="majorBidi" w:cstheme="majorBidi"/>
          <w:bCs/>
          <w:sz w:val="24"/>
          <w:szCs w:val="24"/>
          <w:lang w:bidi="en-US"/>
        </w:rPr>
        <w:t>NCD</w:t>
      </w:r>
      <w:r w:rsidR="002C736F">
        <w:rPr>
          <w:rFonts w:asciiTheme="majorBidi" w:hAnsiTheme="majorBidi" w:cstheme="majorBidi"/>
          <w:bCs/>
          <w:sz w:val="24"/>
          <w:szCs w:val="24"/>
          <w:lang w:bidi="en-US"/>
        </w:rPr>
        <w:t>s</w:t>
      </w:r>
      <w:r w:rsidRPr="006E5D08">
        <w:rPr>
          <w:rFonts w:asciiTheme="majorBidi" w:hAnsiTheme="majorBidi" w:cstheme="majorBidi"/>
          <w:bCs/>
          <w:sz w:val="24"/>
          <w:szCs w:val="24"/>
          <w:lang w:bidi="en-US"/>
        </w:rPr>
        <w:t xml:space="preserve"> and </w:t>
      </w:r>
      <w:r w:rsidR="00EE5C9E">
        <w:rPr>
          <w:rFonts w:asciiTheme="majorBidi" w:hAnsiTheme="majorBidi" w:cstheme="majorBidi"/>
          <w:bCs/>
          <w:sz w:val="24"/>
          <w:szCs w:val="24"/>
          <w:lang w:bidi="en-US"/>
        </w:rPr>
        <w:t>adopted</w:t>
      </w:r>
      <w:r w:rsidRPr="006E5D08">
        <w:rPr>
          <w:rFonts w:asciiTheme="majorBidi" w:hAnsiTheme="majorBidi" w:cstheme="majorBidi"/>
          <w:bCs/>
          <w:sz w:val="24"/>
          <w:szCs w:val="24"/>
          <w:lang w:bidi="en-US"/>
        </w:rPr>
        <w:t xml:space="preserve"> the Oman National Strategy for the Prevent</w:t>
      </w:r>
      <w:r w:rsidR="00523C69">
        <w:rPr>
          <w:rFonts w:asciiTheme="majorBidi" w:hAnsiTheme="majorBidi" w:cstheme="majorBidi"/>
          <w:bCs/>
          <w:sz w:val="24"/>
          <w:szCs w:val="24"/>
          <w:lang w:bidi="en-US"/>
        </w:rPr>
        <w:t>ion and Control of NCD</w:t>
      </w:r>
      <w:r w:rsidRPr="006E5D08">
        <w:rPr>
          <w:rFonts w:asciiTheme="majorBidi" w:hAnsiTheme="majorBidi" w:cstheme="majorBidi"/>
          <w:bCs/>
          <w:sz w:val="24"/>
          <w:szCs w:val="24"/>
          <w:lang w:bidi="en-US"/>
        </w:rPr>
        <w:t xml:space="preserve"> to </w:t>
      </w:r>
      <w:r w:rsidR="00523C69">
        <w:rPr>
          <w:rFonts w:asciiTheme="majorBidi" w:hAnsiTheme="majorBidi" w:cstheme="majorBidi"/>
          <w:bCs/>
          <w:sz w:val="24"/>
          <w:szCs w:val="24"/>
          <w:lang w:bidi="en-US"/>
        </w:rPr>
        <w:t>oversee</w:t>
      </w:r>
      <w:r w:rsidRPr="006E5D08">
        <w:rPr>
          <w:rFonts w:asciiTheme="majorBidi" w:hAnsiTheme="majorBidi" w:cstheme="majorBidi"/>
          <w:bCs/>
          <w:sz w:val="24"/>
          <w:szCs w:val="24"/>
          <w:lang w:bidi="en-US"/>
        </w:rPr>
        <w:t xml:space="preserve"> the implementation of </w:t>
      </w:r>
      <w:r w:rsidR="002C736F">
        <w:rPr>
          <w:rFonts w:asciiTheme="majorBidi" w:hAnsiTheme="majorBidi" w:cstheme="majorBidi"/>
          <w:bCs/>
          <w:sz w:val="24"/>
          <w:szCs w:val="24"/>
          <w:lang w:bidi="en-US"/>
        </w:rPr>
        <w:t>definitive</w:t>
      </w:r>
      <w:r w:rsidRPr="006E5D08">
        <w:rPr>
          <w:rFonts w:asciiTheme="majorBidi" w:hAnsiTheme="majorBidi" w:cstheme="majorBidi"/>
          <w:bCs/>
          <w:sz w:val="24"/>
          <w:szCs w:val="24"/>
          <w:lang w:bidi="en-US"/>
        </w:rPr>
        <w:t xml:space="preserve"> actions </w:t>
      </w:r>
      <w:r w:rsidR="00523C69">
        <w:rPr>
          <w:rFonts w:asciiTheme="majorBidi" w:hAnsiTheme="majorBidi" w:cstheme="majorBidi"/>
          <w:bCs/>
          <w:sz w:val="24"/>
          <w:szCs w:val="24"/>
          <w:lang w:bidi="en-US"/>
        </w:rPr>
        <w:t>aimed at reducing</w:t>
      </w:r>
      <w:r w:rsidRPr="006E5D08">
        <w:rPr>
          <w:rFonts w:asciiTheme="majorBidi" w:hAnsiTheme="majorBidi" w:cstheme="majorBidi"/>
          <w:bCs/>
          <w:sz w:val="24"/>
          <w:szCs w:val="24"/>
          <w:lang w:bidi="en-US"/>
        </w:rPr>
        <w:t xml:space="preserve"> the burden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9</w:t>
      </w:r>
      <w:r w:rsidR="00F522C8">
        <w:rPr>
          <w:rFonts w:asciiTheme="majorBidi" w:hAnsiTheme="majorBidi" w:cstheme="majorBidi"/>
          <w:bCs/>
          <w:sz w:val="24"/>
          <w:szCs w:val="24"/>
          <w:lang w:bidi="en-US"/>
        </w:rPr>
        <w:t>)</w:t>
      </w:r>
      <w:r w:rsidR="00523C69">
        <w:rPr>
          <w:rFonts w:asciiTheme="majorBidi" w:hAnsiTheme="majorBidi" w:cstheme="majorBidi"/>
          <w:bCs/>
          <w:sz w:val="24"/>
          <w:szCs w:val="24"/>
          <w:lang w:bidi="en-US"/>
        </w:rPr>
        <w:t>, the importance of</w:t>
      </w:r>
      <w:r w:rsidRPr="006E5D08">
        <w:rPr>
          <w:rFonts w:asciiTheme="majorBidi" w:hAnsiTheme="majorBidi" w:cstheme="majorBidi"/>
          <w:bCs/>
          <w:sz w:val="24"/>
          <w:szCs w:val="24"/>
          <w:lang w:bidi="en-US"/>
        </w:rPr>
        <w:t xml:space="preserve"> food-based dietary </w:t>
      </w:r>
      <w:r w:rsidRPr="006E5D08">
        <w:rPr>
          <w:rFonts w:asciiTheme="majorBidi" w:hAnsiTheme="majorBidi" w:cstheme="majorBidi"/>
          <w:bCs/>
          <w:sz w:val="24"/>
          <w:szCs w:val="24"/>
          <w:lang w:bidi="en-US"/>
        </w:rPr>
        <w:lastRenderedPageBreak/>
        <w:t>guidelines (</w:t>
      </w:r>
      <w:bookmarkStart w:id="4" w:name="_Hlk76030840"/>
      <w:r w:rsidRPr="006E5D08">
        <w:rPr>
          <w:rFonts w:asciiTheme="majorBidi" w:hAnsiTheme="majorBidi" w:cstheme="majorBidi"/>
          <w:bCs/>
          <w:sz w:val="24"/>
          <w:szCs w:val="24"/>
          <w:lang w:bidi="en-US"/>
        </w:rPr>
        <w:t>FBDG</w:t>
      </w:r>
      <w:bookmarkEnd w:id="4"/>
      <w:r w:rsidRPr="006E5D08">
        <w:rPr>
          <w:rFonts w:asciiTheme="majorBidi" w:hAnsiTheme="majorBidi" w:cstheme="majorBidi"/>
          <w:bCs/>
          <w:sz w:val="24"/>
          <w:szCs w:val="24"/>
          <w:lang w:bidi="en-US"/>
        </w:rPr>
        <w:t xml:space="preserve">) </w:t>
      </w:r>
      <w:r w:rsidR="00523C69">
        <w:rPr>
          <w:rFonts w:asciiTheme="majorBidi" w:hAnsiTheme="majorBidi" w:cstheme="majorBidi"/>
          <w:bCs/>
          <w:sz w:val="24"/>
          <w:szCs w:val="24"/>
          <w:lang w:bidi="en-US"/>
        </w:rPr>
        <w:t>continues to be</w:t>
      </w:r>
      <w:r w:rsidRPr="006E5D08">
        <w:rPr>
          <w:rFonts w:asciiTheme="majorBidi" w:hAnsiTheme="majorBidi" w:cstheme="majorBidi"/>
          <w:bCs/>
          <w:sz w:val="24"/>
          <w:szCs w:val="24"/>
          <w:lang w:bidi="en-US"/>
        </w:rPr>
        <w:t xml:space="preserve"> emphasised by </w:t>
      </w:r>
      <w:bookmarkStart w:id="5" w:name="_Hlk76030869"/>
      <w:r w:rsidRPr="006E5D08">
        <w:rPr>
          <w:rFonts w:asciiTheme="majorBidi" w:hAnsiTheme="majorBidi" w:cstheme="majorBidi"/>
          <w:bCs/>
          <w:sz w:val="24"/>
          <w:szCs w:val="24"/>
          <w:lang w:bidi="en-US"/>
        </w:rPr>
        <w:t>FAO</w:t>
      </w:r>
      <w:bookmarkEnd w:id="5"/>
      <w:r w:rsidRPr="006E5D08">
        <w:rPr>
          <w:rFonts w:asciiTheme="majorBidi" w:hAnsiTheme="majorBidi" w:cstheme="majorBidi"/>
          <w:bCs/>
          <w:sz w:val="24"/>
          <w:szCs w:val="24"/>
          <w:lang w:bidi="en-US"/>
        </w:rPr>
        <w:t xml:space="preserve">/WHO. </w:t>
      </w:r>
      <w:r w:rsidR="00523C69">
        <w:rPr>
          <w:rFonts w:asciiTheme="majorBidi" w:hAnsiTheme="majorBidi" w:cstheme="majorBidi"/>
          <w:bCs/>
          <w:sz w:val="24"/>
          <w:szCs w:val="24"/>
          <w:lang w:bidi="en-US"/>
        </w:rPr>
        <w:t xml:space="preserve">Hence, FBDG for the Arab Gulf countries was set up by the </w:t>
      </w:r>
      <w:r w:rsidR="00523C69" w:rsidRPr="00523C69">
        <w:rPr>
          <w:rFonts w:asciiTheme="majorBidi" w:hAnsiTheme="majorBidi" w:cstheme="majorBidi"/>
          <w:bCs/>
          <w:sz w:val="24"/>
          <w:szCs w:val="24"/>
          <w:lang w:bidi="en-US"/>
        </w:rPr>
        <w:t xml:space="preserve">Arab </w:t>
      </w:r>
      <w:proofErr w:type="spellStart"/>
      <w:r w:rsidR="00523C69" w:rsidRPr="00523C69">
        <w:rPr>
          <w:rFonts w:asciiTheme="majorBidi" w:hAnsiTheme="majorBidi" w:cstheme="majorBidi"/>
          <w:bCs/>
          <w:sz w:val="24"/>
          <w:szCs w:val="24"/>
          <w:lang w:bidi="en-US"/>
        </w:rPr>
        <w:t>Center</w:t>
      </w:r>
      <w:proofErr w:type="spellEnd"/>
      <w:r w:rsidR="00523C69" w:rsidRPr="00523C69">
        <w:rPr>
          <w:rFonts w:asciiTheme="majorBidi" w:hAnsiTheme="majorBidi" w:cstheme="majorBidi"/>
          <w:bCs/>
          <w:sz w:val="24"/>
          <w:szCs w:val="24"/>
          <w:lang w:bidi="en-US"/>
        </w:rPr>
        <w:t xml:space="preserve"> for Nutrition</w:t>
      </w:r>
      <w:r w:rsidR="00523C69">
        <w:rPr>
          <w:rFonts w:asciiTheme="majorBidi" w:hAnsiTheme="majorBidi" w:cstheme="majorBidi"/>
          <w:bCs/>
          <w:sz w:val="24"/>
          <w:szCs w:val="24"/>
          <w:lang w:bidi="en-US"/>
        </w:rPr>
        <w:t xml:space="preserve"> for </w:t>
      </w:r>
      <w:r w:rsidR="0094149F">
        <w:rPr>
          <w:rFonts w:asciiTheme="majorBidi" w:hAnsiTheme="majorBidi" w:cstheme="majorBidi"/>
          <w:bCs/>
          <w:sz w:val="24"/>
          <w:szCs w:val="24"/>
          <w:lang w:bidi="en-US"/>
        </w:rPr>
        <w:t xml:space="preserve">timely </w:t>
      </w:r>
      <w:r w:rsidR="00523C69">
        <w:rPr>
          <w:rFonts w:asciiTheme="majorBidi" w:hAnsiTheme="majorBidi" w:cstheme="majorBidi"/>
          <w:bCs/>
          <w:sz w:val="24"/>
          <w:szCs w:val="24"/>
          <w:lang w:bidi="en-US"/>
        </w:rPr>
        <w:t xml:space="preserve">prevention and </w:t>
      </w:r>
      <w:r w:rsidR="0094149F">
        <w:rPr>
          <w:rFonts w:asciiTheme="majorBidi" w:hAnsiTheme="majorBidi" w:cstheme="majorBidi"/>
          <w:bCs/>
          <w:sz w:val="24"/>
          <w:szCs w:val="24"/>
          <w:lang w:bidi="en-US"/>
        </w:rPr>
        <w:t xml:space="preserve">appropriate </w:t>
      </w:r>
      <w:r w:rsidR="00523C69">
        <w:rPr>
          <w:rFonts w:asciiTheme="majorBidi" w:hAnsiTheme="majorBidi" w:cstheme="majorBidi"/>
          <w:bCs/>
          <w:sz w:val="24"/>
          <w:szCs w:val="24"/>
          <w:lang w:bidi="en-US"/>
        </w:rPr>
        <w:t>control of diet-related diseases, with a specific focus on chronic disease</w:t>
      </w:r>
      <w:r w:rsidRPr="006E5D08">
        <w:rPr>
          <w:rFonts w:asciiTheme="majorBidi" w:hAnsiTheme="majorBidi" w:cstheme="majorBidi"/>
          <w:bCs/>
          <w:sz w:val="24"/>
          <w:szCs w:val="24"/>
          <w:lang w:bidi="en-US"/>
        </w:rPr>
        <w:t xml:space="preserve">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5</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A recent modelling study suggests that the environmental sustainability of these national and global FBDG could be enhanced by reducing red and processed meat with balanced energy intake whilst increasing </w:t>
      </w:r>
      <w:r w:rsidR="00364D0F">
        <w:rPr>
          <w:rFonts w:asciiTheme="majorBidi" w:hAnsiTheme="majorBidi" w:cstheme="majorBidi"/>
          <w:bCs/>
          <w:sz w:val="24"/>
          <w:szCs w:val="24"/>
          <w:lang w:bidi="en-US"/>
        </w:rPr>
        <w:t>consumption</w:t>
      </w:r>
      <w:r w:rsidRPr="006E5D08">
        <w:rPr>
          <w:rFonts w:asciiTheme="majorBidi" w:hAnsiTheme="majorBidi" w:cstheme="majorBidi"/>
          <w:bCs/>
          <w:sz w:val="24"/>
          <w:szCs w:val="24"/>
          <w:lang w:bidi="en-US"/>
        </w:rPr>
        <w:t xml:space="preserve"> of whole grains, fruits and vegetables, </w:t>
      </w:r>
      <w:r w:rsidR="00364D0F">
        <w:rPr>
          <w:rFonts w:asciiTheme="majorBidi" w:hAnsiTheme="majorBidi" w:cstheme="majorBidi"/>
          <w:bCs/>
          <w:sz w:val="24"/>
          <w:szCs w:val="24"/>
          <w:lang w:bidi="en-US"/>
        </w:rPr>
        <w:t xml:space="preserve">legumes, and nuts and seeds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10</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w:t>
      </w:r>
      <w:r w:rsidR="0031299F">
        <w:rPr>
          <w:rFonts w:asciiTheme="majorBidi" w:hAnsiTheme="majorBidi" w:cstheme="majorBidi"/>
          <w:bCs/>
          <w:sz w:val="24"/>
          <w:szCs w:val="24"/>
          <w:lang w:bidi="en-US"/>
        </w:rPr>
        <w:t>R</w:t>
      </w:r>
      <w:r w:rsidR="0031299F" w:rsidRPr="006E5D08">
        <w:rPr>
          <w:rFonts w:asciiTheme="majorBidi" w:hAnsiTheme="majorBidi" w:cstheme="majorBidi"/>
          <w:bCs/>
          <w:sz w:val="24"/>
          <w:szCs w:val="24"/>
          <w:lang w:bidi="en-US"/>
        </w:rPr>
        <w:t>ealistic objectives for national programmes</w:t>
      </w:r>
      <w:r w:rsidR="0031299F">
        <w:rPr>
          <w:rFonts w:asciiTheme="majorBidi" w:hAnsiTheme="majorBidi" w:cstheme="majorBidi"/>
          <w:bCs/>
          <w:sz w:val="24"/>
          <w:szCs w:val="24"/>
          <w:lang w:bidi="en-US"/>
        </w:rPr>
        <w:t xml:space="preserve"> need to be set along with increased preventive measures and behavioural modification for adolescents and </w:t>
      </w:r>
      <w:r w:rsidR="007B7AEB">
        <w:rPr>
          <w:rFonts w:asciiTheme="majorBidi" w:hAnsiTheme="majorBidi" w:cstheme="majorBidi"/>
          <w:bCs/>
          <w:sz w:val="24"/>
          <w:szCs w:val="24"/>
          <w:lang w:bidi="en-US"/>
        </w:rPr>
        <w:t>youth</w:t>
      </w:r>
      <w:r w:rsidR="0031299F">
        <w:rPr>
          <w:rFonts w:asciiTheme="majorBidi" w:hAnsiTheme="majorBidi" w:cstheme="majorBidi"/>
          <w:bCs/>
          <w:sz w:val="24"/>
          <w:szCs w:val="24"/>
          <w:lang w:bidi="en-US"/>
        </w:rPr>
        <w:t xml:space="preserve"> through </w:t>
      </w:r>
      <w:r w:rsidR="0056280F">
        <w:rPr>
          <w:rFonts w:asciiTheme="majorBidi" w:hAnsiTheme="majorBidi" w:cstheme="majorBidi"/>
          <w:bCs/>
          <w:sz w:val="24"/>
          <w:szCs w:val="24"/>
          <w:lang w:bidi="en-US"/>
        </w:rPr>
        <w:t xml:space="preserve">changes in their </w:t>
      </w:r>
      <w:r w:rsidR="0056280F" w:rsidRPr="0056280F">
        <w:rPr>
          <w:rFonts w:asciiTheme="majorBidi" w:hAnsiTheme="majorBidi" w:cstheme="majorBidi"/>
          <w:bCs/>
          <w:sz w:val="24"/>
          <w:szCs w:val="24"/>
          <w:lang w:bidi="en-US"/>
        </w:rPr>
        <w:t>physical, social</w:t>
      </w:r>
      <w:r w:rsidR="007B7AEB">
        <w:rPr>
          <w:rFonts w:asciiTheme="majorBidi" w:hAnsiTheme="majorBidi" w:cstheme="majorBidi"/>
          <w:bCs/>
          <w:sz w:val="24"/>
          <w:szCs w:val="24"/>
          <w:lang w:bidi="en-US"/>
        </w:rPr>
        <w:t>,</w:t>
      </w:r>
      <w:r w:rsidR="0056280F" w:rsidRPr="0056280F">
        <w:rPr>
          <w:rFonts w:asciiTheme="majorBidi" w:hAnsiTheme="majorBidi" w:cstheme="majorBidi"/>
          <w:bCs/>
          <w:sz w:val="24"/>
          <w:szCs w:val="24"/>
          <w:lang w:bidi="en-US"/>
        </w:rPr>
        <w:t xml:space="preserve"> and economic</w:t>
      </w:r>
      <w:r w:rsidR="007B7AEB" w:rsidRPr="007B7AEB">
        <w:rPr>
          <w:rFonts w:asciiTheme="majorBidi" w:hAnsiTheme="majorBidi" w:cstheme="majorBidi"/>
          <w:bCs/>
          <w:sz w:val="24"/>
          <w:szCs w:val="24"/>
          <w:lang w:bidi="en-US"/>
        </w:rPr>
        <w:t xml:space="preserve"> </w:t>
      </w:r>
      <w:r w:rsidR="007B7AEB">
        <w:rPr>
          <w:rFonts w:asciiTheme="majorBidi" w:hAnsiTheme="majorBidi" w:cstheme="majorBidi"/>
          <w:bCs/>
          <w:sz w:val="24"/>
          <w:szCs w:val="24"/>
          <w:lang w:bidi="en-US"/>
        </w:rPr>
        <w:t>ecosystem</w:t>
      </w:r>
      <w:r w:rsidR="0056280F">
        <w:rPr>
          <w:rFonts w:asciiTheme="majorBidi" w:hAnsiTheme="majorBidi" w:cstheme="majorBidi"/>
          <w:bCs/>
          <w:sz w:val="24"/>
          <w:szCs w:val="24"/>
          <w:lang w:bidi="en-US"/>
        </w:rPr>
        <w:t>.</w:t>
      </w:r>
    </w:p>
    <w:p w14:paraId="783E470D" w14:textId="77777777" w:rsidR="0031299F" w:rsidRDefault="0031299F" w:rsidP="00364D0F">
      <w:pPr>
        <w:spacing w:line="480" w:lineRule="auto"/>
        <w:jc w:val="both"/>
        <w:rPr>
          <w:rFonts w:asciiTheme="majorBidi" w:hAnsiTheme="majorBidi" w:cstheme="majorBidi"/>
          <w:bCs/>
          <w:sz w:val="24"/>
          <w:szCs w:val="24"/>
          <w:lang w:bidi="en-US"/>
        </w:rPr>
      </w:pPr>
    </w:p>
    <w:p w14:paraId="27340C7C" w14:textId="66C32FDA" w:rsidR="006E5D08" w:rsidRPr="006E5D08" w:rsidRDefault="006E5D08" w:rsidP="007B7AEB">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In this study, we perform a secondary in-depth analysis on the data available from the STEPS survey, the largest representative survey</w:t>
      </w:r>
      <w:r w:rsidR="0056280F">
        <w:rPr>
          <w:rFonts w:asciiTheme="majorBidi" w:hAnsiTheme="majorBidi" w:cstheme="majorBidi"/>
          <w:bCs/>
          <w:sz w:val="24"/>
          <w:szCs w:val="24"/>
          <w:lang w:bidi="en-US"/>
        </w:rPr>
        <w:t xml:space="preserve"> on a national scale</w:t>
      </w:r>
      <w:r w:rsidRPr="006E5D08">
        <w:rPr>
          <w:rFonts w:asciiTheme="majorBidi" w:hAnsiTheme="majorBidi" w:cstheme="majorBidi"/>
          <w:bCs/>
          <w:sz w:val="24"/>
          <w:szCs w:val="24"/>
          <w:lang w:bidi="en-US"/>
        </w:rPr>
        <w:t xml:space="preserve"> to identify the magnitude of NCD risk factors </w:t>
      </w:r>
      <w:r w:rsidR="007B7AEB">
        <w:rPr>
          <w:rFonts w:asciiTheme="majorBidi" w:hAnsiTheme="majorBidi" w:cstheme="majorBidi"/>
          <w:bCs/>
          <w:sz w:val="24"/>
          <w:szCs w:val="24"/>
          <w:lang w:bidi="en-US"/>
        </w:rPr>
        <w:t>among</w:t>
      </w:r>
      <w:r w:rsidRPr="006E5D08">
        <w:rPr>
          <w:rFonts w:asciiTheme="majorBidi" w:hAnsiTheme="majorBidi" w:cstheme="majorBidi"/>
          <w:bCs/>
          <w:sz w:val="24"/>
          <w:szCs w:val="24"/>
          <w:lang w:bidi="en-US"/>
        </w:rPr>
        <w:t xml:space="preserve"> the Omani population. </w:t>
      </w:r>
      <w:r w:rsidR="0056280F">
        <w:rPr>
          <w:rFonts w:asciiTheme="majorBidi" w:hAnsiTheme="majorBidi" w:cstheme="majorBidi"/>
          <w:bCs/>
          <w:sz w:val="24"/>
          <w:szCs w:val="24"/>
          <w:lang w:bidi="en-US"/>
        </w:rPr>
        <w:t xml:space="preserve">In order to enable countries to </w:t>
      </w:r>
      <w:r w:rsidR="007B7AEB">
        <w:rPr>
          <w:rFonts w:asciiTheme="majorBidi" w:hAnsiTheme="majorBidi" w:cstheme="majorBidi"/>
          <w:bCs/>
          <w:sz w:val="24"/>
          <w:szCs w:val="24"/>
          <w:lang w:bidi="en-US"/>
        </w:rPr>
        <w:t>gather</w:t>
      </w:r>
      <w:r w:rsidR="0056280F">
        <w:rPr>
          <w:rFonts w:asciiTheme="majorBidi" w:hAnsiTheme="majorBidi" w:cstheme="majorBidi"/>
          <w:bCs/>
          <w:sz w:val="24"/>
          <w:szCs w:val="24"/>
          <w:lang w:bidi="en-US"/>
        </w:rPr>
        <w:t xml:space="preserve"> core </w:t>
      </w:r>
      <w:r w:rsidR="007B7AEB">
        <w:rPr>
          <w:rFonts w:asciiTheme="majorBidi" w:hAnsiTheme="majorBidi" w:cstheme="majorBidi"/>
          <w:bCs/>
          <w:sz w:val="24"/>
          <w:szCs w:val="24"/>
          <w:lang w:bidi="en-US"/>
        </w:rPr>
        <w:t>information</w:t>
      </w:r>
      <w:r w:rsidR="0056280F">
        <w:rPr>
          <w:rFonts w:asciiTheme="majorBidi" w:hAnsiTheme="majorBidi" w:cstheme="majorBidi"/>
          <w:bCs/>
          <w:sz w:val="24"/>
          <w:szCs w:val="24"/>
          <w:lang w:bidi="en-US"/>
        </w:rPr>
        <w:t xml:space="preserve"> on the main risk factors that contribute to disease burden, the WHO conceived the </w:t>
      </w:r>
      <w:proofErr w:type="spellStart"/>
      <w:r w:rsidR="0056280F" w:rsidRPr="006E5D08">
        <w:rPr>
          <w:rFonts w:asciiTheme="majorBidi" w:hAnsiTheme="majorBidi" w:cstheme="majorBidi"/>
          <w:bCs/>
          <w:sz w:val="24"/>
          <w:szCs w:val="24"/>
          <w:lang w:bidi="en-US"/>
        </w:rPr>
        <w:t>STEPwise</w:t>
      </w:r>
      <w:proofErr w:type="spellEnd"/>
      <w:r w:rsidR="0056280F" w:rsidRPr="006E5D08">
        <w:rPr>
          <w:rFonts w:asciiTheme="majorBidi" w:hAnsiTheme="majorBidi" w:cstheme="majorBidi"/>
          <w:bCs/>
          <w:sz w:val="24"/>
          <w:szCs w:val="24"/>
          <w:lang w:bidi="en-US"/>
        </w:rPr>
        <w:t xml:space="preserve"> approach to risk factor surveillance (STEPS)</w:t>
      </w:r>
      <w:r w:rsidR="0056280F">
        <w:rPr>
          <w:rFonts w:asciiTheme="majorBidi" w:hAnsiTheme="majorBidi" w:cstheme="majorBidi"/>
          <w:bCs/>
          <w:sz w:val="24"/>
          <w:szCs w:val="24"/>
          <w:lang w:bidi="en-US"/>
        </w:rPr>
        <w:t>, with a flexible structure allowing countries to adapt it according to their specific needs</w:t>
      </w:r>
      <w:r w:rsidRPr="006E5D08">
        <w:rPr>
          <w:rFonts w:asciiTheme="majorBidi" w:hAnsiTheme="majorBidi" w:cstheme="majorBidi"/>
          <w:bCs/>
          <w:sz w:val="24"/>
          <w:szCs w:val="24"/>
          <w:lang w:bidi="en-US"/>
        </w:rPr>
        <w:t xml:space="preserve">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11</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It consists of three</w:t>
      </w:r>
      <w:r w:rsidR="007B7AEB">
        <w:rPr>
          <w:rFonts w:asciiTheme="majorBidi" w:hAnsiTheme="majorBidi" w:cstheme="majorBidi"/>
          <w:bCs/>
          <w:sz w:val="24"/>
          <w:szCs w:val="24"/>
          <w:lang w:bidi="en-US"/>
        </w:rPr>
        <w:t xml:space="preserve"> main</w:t>
      </w:r>
      <w:r w:rsidRPr="006E5D08">
        <w:rPr>
          <w:rFonts w:asciiTheme="majorBidi" w:hAnsiTheme="majorBidi" w:cstheme="majorBidi"/>
          <w:bCs/>
          <w:sz w:val="24"/>
          <w:szCs w:val="24"/>
          <w:lang w:bidi="en-US"/>
        </w:rPr>
        <w:t xml:space="preserve"> steps: a questionnaire</w:t>
      </w:r>
      <w:r w:rsidR="0056280F">
        <w:rPr>
          <w:rFonts w:asciiTheme="majorBidi" w:hAnsiTheme="majorBidi" w:cstheme="majorBidi"/>
          <w:bCs/>
          <w:sz w:val="24"/>
          <w:szCs w:val="24"/>
          <w:lang w:bidi="en-US"/>
        </w:rPr>
        <w:t xml:space="preserve"> to assess</w:t>
      </w:r>
      <w:r w:rsidR="007B7AEB">
        <w:rPr>
          <w:rFonts w:asciiTheme="majorBidi" w:hAnsiTheme="majorBidi" w:cstheme="majorBidi"/>
          <w:bCs/>
          <w:sz w:val="24"/>
          <w:szCs w:val="24"/>
          <w:lang w:bidi="en-US"/>
        </w:rPr>
        <w:t xml:space="preserve"> socio-demographic</w:t>
      </w:r>
      <w:r w:rsidRPr="006E5D08">
        <w:rPr>
          <w:rFonts w:asciiTheme="majorBidi" w:hAnsiTheme="majorBidi" w:cstheme="majorBidi"/>
          <w:bCs/>
          <w:sz w:val="24"/>
          <w:szCs w:val="24"/>
          <w:lang w:bidi="en-US"/>
        </w:rPr>
        <w:t>, nutritional</w:t>
      </w:r>
      <w:r w:rsidR="007B7AEB">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and behavioural information; physical measurements; and biochemical measurements of blood </w:t>
      </w:r>
      <w:r w:rsidR="0056280F">
        <w:rPr>
          <w:rFonts w:asciiTheme="majorBidi" w:hAnsiTheme="majorBidi" w:cstheme="majorBidi"/>
          <w:bCs/>
          <w:sz w:val="24"/>
          <w:szCs w:val="24"/>
          <w:lang w:bidi="en-US"/>
        </w:rPr>
        <w:t>glucose</w:t>
      </w:r>
      <w:r w:rsidRPr="006E5D08">
        <w:rPr>
          <w:rFonts w:asciiTheme="majorBidi" w:hAnsiTheme="majorBidi" w:cstheme="majorBidi"/>
          <w:bCs/>
          <w:sz w:val="24"/>
          <w:szCs w:val="24"/>
          <w:lang w:bidi="en-US"/>
        </w:rPr>
        <w:t xml:space="preserve"> and </w:t>
      </w:r>
      <w:r w:rsidR="00303279">
        <w:rPr>
          <w:rFonts w:asciiTheme="majorBidi" w:hAnsiTheme="majorBidi" w:cstheme="majorBidi"/>
          <w:bCs/>
          <w:sz w:val="24"/>
          <w:szCs w:val="24"/>
          <w:lang w:bidi="en-US"/>
        </w:rPr>
        <w:t xml:space="preserve">lipid profile, including </w:t>
      </w:r>
      <w:r w:rsidRPr="006E5D08">
        <w:rPr>
          <w:rFonts w:asciiTheme="majorBidi" w:hAnsiTheme="majorBidi" w:cstheme="majorBidi"/>
          <w:bCs/>
          <w:sz w:val="24"/>
          <w:szCs w:val="24"/>
          <w:lang w:bidi="en-US"/>
        </w:rPr>
        <w:t xml:space="preserve">cholesterol. Nested within are further questions to identify levels of dietary intake, </w:t>
      </w:r>
      <w:r w:rsidR="000D57D4">
        <w:rPr>
          <w:rFonts w:asciiTheme="majorBidi" w:hAnsiTheme="majorBidi" w:cstheme="majorBidi"/>
          <w:bCs/>
          <w:sz w:val="24"/>
          <w:szCs w:val="24"/>
          <w:lang w:bidi="en-US"/>
        </w:rPr>
        <w:t>in particular</w:t>
      </w:r>
      <w:r w:rsidR="000D57D4" w:rsidRPr="006E5D08">
        <w:rPr>
          <w:rFonts w:asciiTheme="majorBidi" w:hAnsiTheme="majorBidi" w:cstheme="majorBidi"/>
          <w:bCs/>
          <w:sz w:val="24"/>
          <w:szCs w:val="24"/>
          <w:lang w:bidi="en-US"/>
        </w:rPr>
        <w:t xml:space="preserve"> </w:t>
      </w:r>
      <w:r w:rsidR="000D57D4">
        <w:rPr>
          <w:rFonts w:asciiTheme="majorBidi" w:hAnsiTheme="majorBidi" w:cstheme="majorBidi"/>
          <w:bCs/>
          <w:sz w:val="24"/>
          <w:szCs w:val="24"/>
          <w:lang w:bidi="en-US"/>
        </w:rPr>
        <w:t xml:space="preserve">on intake of fruits, </w:t>
      </w:r>
      <w:r w:rsidRPr="006E5D08">
        <w:rPr>
          <w:rFonts w:asciiTheme="majorBidi" w:hAnsiTheme="majorBidi" w:cstheme="majorBidi"/>
          <w:bCs/>
          <w:sz w:val="24"/>
          <w:szCs w:val="24"/>
          <w:lang w:bidi="en-US"/>
        </w:rPr>
        <w:t>vegetables</w:t>
      </w:r>
      <w:r w:rsidR="000D57D4">
        <w:rPr>
          <w:rFonts w:asciiTheme="majorBidi" w:hAnsiTheme="majorBidi" w:cstheme="majorBidi"/>
          <w:bCs/>
          <w:sz w:val="24"/>
          <w:szCs w:val="24"/>
          <w:lang w:bidi="en-US"/>
        </w:rPr>
        <w:t xml:space="preserve"> and</w:t>
      </w:r>
      <w:r w:rsidRPr="006E5D08">
        <w:rPr>
          <w:rFonts w:asciiTheme="majorBidi" w:hAnsiTheme="majorBidi" w:cstheme="majorBidi"/>
          <w:bCs/>
          <w:sz w:val="24"/>
          <w:szCs w:val="24"/>
          <w:lang w:bidi="en-US"/>
        </w:rPr>
        <w:t xml:space="preserve"> salt along with </w:t>
      </w:r>
      <w:r w:rsidR="000D57D4">
        <w:rPr>
          <w:rFonts w:asciiTheme="majorBidi" w:hAnsiTheme="majorBidi" w:cstheme="majorBidi"/>
          <w:bCs/>
          <w:sz w:val="24"/>
          <w:szCs w:val="24"/>
          <w:lang w:bidi="en-US"/>
        </w:rPr>
        <w:t xml:space="preserve">the </w:t>
      </w:r>
      <w:r w:rsidRPr="006E5D08">
        <w:rPr>
          <w:rFonts w:asciiTheme="majorBidi" w:hAnsiTheme="majorBidi" w:cstheme="majorBidi"/>
          <w:bCs/>
          <w:sz w:val="24"/>
          <w:szCs w:val="24"/>
          <w:lang w:bidi="en-US"/>
        </w:rPr>
        <w:t xml:space="preserve">consumption of food outside home and oils used in cooking. </w:t>
      </w:r>
    </w:p>
    <w:p w14:paraId="6CFA20AE" w14:textId="77777777" w:rsidR="006E5D08" w:rsidRPr="006E5D08" w:rsidRDefault="006E5D08" w:rsidP="007E30CF">
      <w:pPr>
        <w:spacing w:line="480" w:lineRule="auto"/>
        <w:jc w:val="both"/>
        <w:rPr>
          <w:rFonts w:asciiTheme="majorBidi" w:hAnsiTheme="majorBidi" w:cstheme="majorBidi"/>
          <w:bCs/>
          <w:sz w:val="24"/>
          <w:szCs w:val="24"/>
          <w:lang w:bidi="en-US"/>
        </w:rPr>
      </w:pPr>
    </w:p>
    <w:p w14:paraId="08321F95" w14:textId="50482F18" w:rsidR="00232241" w:rsidRDefault="006E5D08" w:rsidP="007E30C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lastRenderedPageBreak/>
        <w:t xml:space="preserve">The main objective of this study was to investigate the dietary risk factors of the Omani population using </w:t>
      </w:r>
      <w:bookmarkStart w:id="6" w:name="_Hlk76030928"/>
      <w:r w:rsidRPr="006E5D08">
        <w:rPr>
          <w:rFonts w:asciiTheme="majorBidi" w:hAnsiTheme="majorBidi" w:cstheme="majorBidi"/>
          <w:bCs/>
          <w:sz w:val="24"/>
          <w:szCs w:val="24"/>
          <w:lang w:bidi="en-US"/>
        </w:rPr>
        <w:t xml:space="preserve">Latent Class Analysis </w:t>
      </w:r>
      <w:bookmarkEnd w:id="6"/>
      <w:r w:rsidRPr="006E5D08">
        <w:rPr>
          <w:rFonts w:asciiTheme="majorBidi" w:hAnsiTheme="majorBidi" w:cstheme="majorBidi"/>
          <w:bCs/>
          <w:sz w:val="24"/>
          <w:szCs w:val="24"/>
          <w:lang w:bidi="en-US"/>
        </w:rPr>
        <w:t>(</w:t>
      </w:r>
      <w:bookmarkStart w:id="7" w:name="_Hlk76030922"/>
      <w:r w:rsidRPr="006E5D08">
        <w:rPr>
          <w:rFonts w:asciiTheme="majorBidi" w:hAnsiTheme="majorBidi" w:cstheme="majorBidi"/>
          <w:bCs/>
          <w:sz w:val="24"/>
          <w:szCs w:val="24"/>
          <w:lang w:bidi="en-US"/>
        </w:rPr>
        <w:t>LCA</w:t>
      </w:r>
      <w:bookmarkEnd w:id="7"/>
      <w:r w:rsidRPr="006E5D08">
        <w:rPr>
          <w:rFonts w:asciiTheme="majorBidi" w:hAnsiTheme="majorBidi" w:cstheme="majorBidi"/>
          <w:bCs/>
          <w:sz w:val="24"/>
          <w:szCs w:val="24"/>
          <w:lang w:bidi="en-US"/>
        </w:rPr>
        <w:t>) to explore the hidden heterogeneity and subgroups with shared dietary pattern to enlighten and inform decision makers with more reliable information that can guide them to build targeted action plans to reduce the burden of NCDs.</w:t>
      </w:r>
    </w:p>
    <w:p w14:paraId="7C439A16" w14:textId="77777777" w:rsidR="00810061" w:rsidRDefault="00810061" w:rsidP="007E30CF">
      <w:pPr>
        <w:spacing w:line="480" w:lineRule="auto"/>
        <w:jc w:val="both"/>
        <w:rPr>
          <w:rFonts w:asciiTheme="majorBidi" w:hAnsiTheme="majorBidi" w:cstheme="majorBidi"/>
          <w:bCs/>
          <w:sz w:val="24"/>
          <w:szCs w:val="24"/>
          <w:lang w:bidi="en-US"/>
        </w:rPr>
      </w:pPr>
    </w:p>
    <w:p w14:paraId="5D5E3EFA" w14:textId="6DA90502" w:rsidR="006E5D08" w:rsidRPr="00C73B49" w:rsidRDefault="006E5D08" w:rsidP="00C73B49">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t>Methods</w:t>
      </w:r>
    </w:p>
    <w:p w14:paraId="03A2D8B0" w14:textId="34D2750F" w:rsidR="006E5D08" w:rsidRPr="006E5D08" w:rsidRDefault="006E5D08" w:rsidP="007E30CF">
      <w:pPr>
        <w:spacing w:line="480" w:lineRule="auto"/>
        <w:jc w:val="both"/>
        <w:rPr>
          <w:rFonts w:asciiTheme="majorBidi" w:hAnsiTheme="majorBidi" w:cstheme="majorBidi"/>
          <w:bCs/>
          <w:i/>
          <w:iCs/>
          <w:sz w:val="24"/>
          <w:szCs w:val="24"/>
          <w:lang w:bidi="en-US"/>
        </w:rPr>
      </w:pPr>
      <w:r w:rsidRPr="006E5D08">
        <w:rPr>
          <w:rFonts w:asciiTheme="majorBidi" w:hAnsiTheme="majorBidi" w:cstheme="majorBidi"/>
          <w:bCs/>
          <w:i/>
          <w:iCs/>
          <w:sz w:val="24"/>
          <w:szCs w:val="24"/>
          <w:lang w:bidi="en-US"/>
        </w:rPr>
        <w:t>Sampling</w:t>
      </w:r>
    </w:p>
    <w:p w14:paraId="195F7F94" w14:textId="61367D1E" w:rsidR="006E5D08" w:rsidRDefault="006E5D08" w:rsidP="007D1F4E">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Data was derived from the dataset of a large cross-sectional nationally-representative community-based Oman NCD Risk Factors Survey adopting WHO </w:t>
      </w:r>
      <w:proofErr w:type="spellStart"/>
      <w:r w:rsidRPr="006E5D08">
        <w:rPr>
          <w:rFonts w:asciiTheme="majorBidi" w:hAnsiTheme="majorBidi" w:cstheme="majorBidi"/>
          <w:bCs/>
          <w:sz w:val="24"/>
          <w:szCs w:val="24"/>
          <w:lang w:bidi="en-US"/>
        </w:rPr>
        <w:t>STEPwise</w:t>
      </w:r>
      <w:proofErr w:type="spellEnd"/>
      <w:r w:rsidRPr="006E5D08">
        <w:rPr>
          <w:rFonts w:asciiTheme="majorBidi" w:hAnsiTheme="majorBidi" w:cstheme="majorBidi"/>
          <w:bCs/>
          <w:sz w:val="24"/>
          <w:szCs w:val="24"/>
          <w:lang w:bidi="en-US"/>
        </w:rPr>
        <w:t xml:space="preserve"> methodol</w:t>
      </w:r>
      <w:r w:rsidR="00E7105D">
        <w:rPr>
          <w:rFonts w:asciiTheme="majorBidi" w:hAnsiTheme="majorBidi" w:cstheme="majorBidi"/>
          <w:bCs/>
          <w:sz w:val="24"/>
          <w:szCs w:val="24"/>
          <w:lang w:bidi="en-US"/>
        </w:rPr>
        <w:t>ogy, and employing a multi-level</w:t>
      </w:r>
      <w:r w:rsidRPr="006E5D08">
        <w:rPr>
          <w:rFonts w:asciiTheme="majorBidi" w:hAnsiTheme="majorBidi" w:cstheme="majorBidi"/>
          <w:bCs/>
          <w:sz w:val="24"/>
          <w:szCs w:val="24"/>
          <w:lang w:bidi="en-US"/>
        </w:rPr>
        <w:t xml:space="preserve"> stratified, geographically clustered sampling approach </w:t>
      </w:r>
      <w:r w:rsidR="00E7105D">
        <w:rPr>
          <w:rFonts w:asciiTheme="majorBidi" w:hAnsiTheme="majorBidi" w:cstheme="majorBidi"/>
          <w:bCs/>
          <w:sz w:val="24"/>
          <w:szCs w:val="24"/>
          <w:lang w:bidi="en-US"/>
        </w:rPr>
        <w:t>across all</w:t>
      </w:r>
      <w:r w:rsidRPr="006E5D08">
        <w:rPr>
          <w:rFonts w:asciiTheme="majorBidi" w:hAnsiTheme="majorBidi" w:cstheme="majorBidi"/>
          <w:bCs/>
          <w:sz w:val="24"/>
          <w:szCs w:val="24"/>
          <w:lang w:bidi="en-US"/>
        </w:rPr>
        <w:t xml:space="preserve"> governorates (regions) of the Sultanate of Oman. Adjustments were done to the sample weights by primary and secondary sampling units as well as for</w:t>
      </w:r>
      <w:r w:rsidR="007D1F4E">
        <w:rPr>
          <w:rFonts w:asciiTheme="majorBidi" w:hAnsiTheme="majorBidi" w:cstheme="majorBidi"/>
          <w:bCs/>
          <w:sz w:val="24"/>
          <w:szCs w:val="24"/>
          <w:lang w:bidi="en-US"/>
        </w:rPr>
        <w:t xml:space="preserve"> household </w:t>
      </w:r>
      <w:r w:rsidRPr="006E5D08">
        <w:rPr>
          <w:rFonts w:asciiTheme="majorBidi" w:hAnsiTheme="majorBidi" w:cstheme="majorBidi"/>
          <w:bCs/>
          <w:sz w:val="24"/>
          <w:szCs w:val="24"/>
          <w:lang w:bidi="en-US"/>
        </w:rPr>
        <w:t>non-response</w:t>
      </w:r>
      <w:r w:rsidR="007D1F4E" w:rsidRPr="007D1F4E">
        <w:rPr>
          <w:rFonts w:asciiTheme="majorBidi" w:hAnsiTheme="majorBidi" w:cstheme="majorBidi"/>
          <w:bCs/>
          <w:sz w:val="24"/>
          <w:szCs w:val="24"/>
          <w:lang w:bidi="en-US"/>
        </w:rPr>
        <w:t xml:space="preserve"> </w:t>
      </w:r>
      <w:r w:rsidR="007D1F4E">
        <w:rPr>
          <w:rFonts w:asciiTheme="majorBidi" w:hAnsiTheme="majorBidi" w:cstheme="majorBidi"/>
          <w:bCs/>
          <w:sz w:val="24"/>
          <w:szCs w:val="24"/>
          <w:lang w:bidi="en-US"/>
        </w:rPr>
        <w:t>level</w:t>
      </w:r>
      <w:r w:rsidRPr="006E5D08">
        <w:rPr>
          <w:rFonts w:asciiTheme="majorBidi" w:hAnsiTheme="majorBidi" w:cstheme="majorBidi"/>
          <w:bCs/>
          <w:sz w:val="24"/>
          <w:szCs w:val="24"/>
          <w:lang w:bidi="en-US"/>
        </w:rPr>
        <w:t xml:space="preserve">. Further details of the survey methodology are available on the main NCD survey article </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12</w:t>
      </w:r>
      <w:r w:rsidR="00F522C8">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The analysis presented here included all eligible adult Omani citizens, men and women, aged 18 years and above </w:t>
      </w:r>
      <w:r w:rsidR="00C97BE0">
        <w:rPr>
          <w:rFonts w:asciiTheme="majorBidi" w:hAnsiTheme="majorBidi" w:cstheme="majorBidi"/>
          <w:bCs/>
          <w:sz w:val="24"/>
          <w:szCs w:val="24"/>
          <w:lang w:bidi="en-US"/>
        </w:rPr>
        <w:t xml:space="preserve">taken </w:t>
      </w:r>
      <w:r w:rsidRPr="006E5D08">
        <w:rPr>
          <w:rFonts w:asciiTheme="majorBidi" w:hAnsiTheme="majorBidi" w:cstheme="majorBidi"/>
          <w:bCs/>
          <w:sz w:val="24"/>
          <w:szCs w:val="24"/>
          <w:lang w:bidi="en-US"/>
        </w:rPr>
        <w:t xml:space="preserve">from the total survey population (4,320 participants). </w:t>
      </w:r>
    </w:p>
    <w:p w14:paraId="12CCBA95" w14:textId="77777777" w:rsidR="007E30CF" w:rsidRPr="006E5D08" w:rsidRDefault="007E30CF" w:rsidP="007E30CF">
      <w:pPr>
        <w:spacing w:line="480" w:lineRule="auto"/>
        <w:jc w:val="both"/>
        <w:rPr>
          <w:rFonts w:asciiTheme="majorBidi" w:hAnsiTheme="majorBidi" w:cstheme="majorBidi"/>
          <w:bCs/>
          <w:sz w:val="24"/>
          <w:szCs w:val="24"/>
          <w:lang w:bidi="en-US"/>
        </w:rPr>
      </w:pPr>
    </w:p>
    <w:p w14:paraId="7FAE079C" w14:textId="08E18E3A" w:rsidR="006E5D08" w:rsidRPr="006E5D08" w:rsidRDefault="006E5D08" w:rsidP="007E30CF">
      <w:pPr>
        <w:spacing w:line="480" w:lineRule="auto"/>
        <w:jc w:val="both"/>
        <w:rPr>
          <w:rFonts w:asciiTheme="majorBidi" w:hAnsiTheme="majorBidi" w:cstheme="majorBidi"/>
          <w:bCs/>
          <w:i/>
          <w:iCs/>
          <w:sz w:val="24"/>
          <w:szCs w:val="24"/>
          <w:lang w:bidi="en-US"/>
        </w:rPr>
      </w:pPr>
      <w:r w:rsidRPr="006E5D08">
        <w:rPr>
          <w:rFonts w:asciiTheme="majorBidi" w:hAnsiTheme="majorBidi" w:cstheme="majorBidi"/>
          <w:bCs/>
          <w:i/>
          <w:iCs/>
          <w:sz w:val="24"/>
          <w:szCs w:val="24"/>
          <w:lang w:bidi="en-US"/>
        </w:rPr>
        <w:t>Questionnaire</w:t>
      </w:r>
    </w:p>
    <w:p w14:paraId="5266EA60" w14:textId="1E873631" w:rsidR="006E5D08" w:rsidRDefault="006E5D08" w:rsidP="00303279">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Based on the WHO STEPS instrument, </w:t>
      </w:r>
      <w:r w:rsidR="00C97BE0">
        <w:rPr>
          <w:rFonts w:asciiTheme="majorBidi" w:hAnsiTheme="majorBidi" w:cstheme="majorBidi"/>
          <w:bCs/>
          <w:sz w:val="24"/>
          <w:szCs w:val="24"/>
          <w:lang w:bidi="en-US"/>
        </w:rPr>
        <w:t xml:space="preserve">a questionnaire for obtaining </w:t>
      </w:r>
      <w:r w:rsidRPr="006E5D08">
        <w:rPr>
          <w:rFonts w:asciiTheme="majorBidi" w:hAnsiTheme="majorBidi" w:cstheme="majorBidi"/>
          <w:bCs/>
          <w:sz w:val="24"/>
          <w:szCs w:val="24"/>
          <w:lang w:bidi="en-US"/>
        </w:rPr>
        <w:t xml:space="preserve">demographic and behavioural </w:t>
      </w:r>
      <w:r w:rsidR="00C97BE0">
        <w:rPr>
          <w:rFonts w:asciiTheme="majorBidi" w:hAnsiTheme="majorBidi" w:cstheme="majorBidi"/>
          <w:bCs/>
          <w:sz w:val="24"/>
          <w:szCs w:val="24"/>
          <w:lang w:bidi="en-US"/>
        </w:rPr>
        <w:t>data</w:t>
      </w:r>
      <w:r w:rsidRPr="006E5D08">
        <w:rPr>
          <w:rFonts w:asciiTheme="majorBidi" w:hAnsiTheme="majorBidi" w:cstheme="majorBidi"/>
          <w:bCs/>
          <w:sz w:val="24"/>
          <w:szCs w:val="24"/>
          <w:lang w:bidi="en-US"/>
        </w:rPr>
        <w:t xml:space="preserve"> </w:t>
      </w:r>
      <w:r w:rsidR="00303279">
        <w:rPr>
          <w:rFonts w:asciiTheme="majorBidi" w:hAnsiTheme="majorBidi" w:cstheme="majorBidi"/>
          <w:bCs/>
          <w:sz w:val="24"/>
          <w:szCs w:val="24"/>
          <w:lang w:bidi="en-US"/>
        </w:rPr>
        <w:t>in addition to the</w:t>
      </w:r>
      <w:r w:rsidRPr="006E5D08">
        <w:rPr>
          <w:rFonts w:asciiTheme="majorBidi" w:hAnsiTheme="majorBidi" w:cstheme="majorBidi"/>
          <w:bCs/>
          <w:sz w:val="24"/>
          <w:szCs w:val="24"/>
          <w:lang w:bidi="en-US"/>
        </w:rPr>
        <w:t xml:space="preserve"> physical and biochemical measurements were used. </w:t>
      </w:r>
      <w:r w:rsidR="00C97BE0" w:rsidRPr="00C97BE0">
        <w:rPr>
          <w:rFonts w:asciiTheme="majorBidi" w:hAnsiTheme="majorBidi" w:cstheme="majorBidi"/>
          <w:bCs/>
          <w:sz w:val="24"/>
          <w:szCs w:val="24"/>
          <w:lang w:bidi="en-US"/>
        </w:rPr>
        <w:t xml:space="preserve">A section on dietary history related to salt, fat, </w:t>
      </w:r>
      <w:r w:rsidR="00C97BE0">
        <w:rPr>
          <w:rFonts w:asciiTheme="majorBidi" w:hAnsiTheme="majorBidi" w:cstheme="majorBidi"/>
          <w:bCs/>
          <w:sz w:val="24"/>
          <w:szCs w:val="24"/>
          <w:lang w:bidi="en-US"/>
        </w:rPr>
        <w:t xml:space="preserve">and </w:t>
      </w:r>
      <w:r w:rsidR="00C97BE0" w:rsidRPr="00C97BE0">
        <w:rPr>
          <w:rFonts w:asciiTheme="majorBidi" w:hAnsiTheme="majorBidi" w:cstheme="majorBidi"/>
          <w:bCs/>
          <w:sz w:val="24"/>
          <w:szCs w:val="24"/>
          <w:lang w:bidi="en-US"/>
        </w:rPr>
        <w:t xml:space="preserve">fruit and vegetable intake was included in the questionnaire. </w:t>
      </w:r>
      <w:r w:rsidRPr="006E5D08">
        <w:rPr>
          <w:rFonts w:asciiTheme="majorBidi" w:hAnsiTheme="majorBidi" w:cstheme="majorBidi"/>
          <w:bCs/>
          <w:sz w:val="24"/>
          <w:szCs w:val="24"/>
          <w:lang w:bidi="en-US"/>
        </w:rPr>
        <w:t xml:space="preserve">The </w:t>
      </w:r>
      <w:r w:rsidRPr="006E5D08">
        <w:rPr>
          <w:rFonts w:asciiTheme="majorBidi" w:hAnsiTheme="majorBidi" w:cstheme="majorBidi"/>
          <w:bCs/>
          <w:sz w:val="24"/>
          <w:szCs w:val="24"/>
          <w:lang w:bidi="en-US"/>
        </w:rPr>
        <w:lastRenderedPageBreak/>
        <w:t xml:space="preserve">dietary questionnaire (Template in Text S1) was based on stated </w:t>
      </w:r>
      <w:r w:rsidR="00C97BE0">
        <w:rPr>
          <w:rFonts w:asciiTheme="majorBidi" w:hAnsiTheme="majorBidi" w:cstheme="majorBidi"/>
          <w:bCs/>
          <w:sz w:val="24"/>
          <w:szCs w:val="24"/>
          <w:lang w:bidi="en-US"/>
        </w:rPr>
        <w:t>consumption. R</w:t>
      </w:r>
      <w:r w:rsidRPr="006E5D08">
        <w:rPr>
          <w:rFonts w:asciiTheme="majorBidi" w:hAnsiTheme="majorBidi" w:cstheme="majorBidi"/>
          <w:bCs/>
          <w:sz w:val="24"/>
          <w:szCs w:val="24"/>
          <w:lang w:bidi="en-US"/>
        </w:rPr>
        <w:t xml:space="preserve">espondents were </w:t>
      </w:r>
      <w:r w:rsidR="00303279">
        <w:rPr>
          <w:rFonts w:asciiTheme="majorBidi" w:hAnsiTheme="majorBidi" w:cstheme="majorBidi"/>
          <w:bCs/>
          <w:sz w:val="24"/>
          <w:szCs w:val="24"/>
          <w:lang w:bidi="en-US"/>
        </w:rPr>
        <w:t>provided with</w:t>
      </w:r>
      <w:r w:rsidRPr="006E5D08">
        <w:rPr>
          <w:rFonts w:asciiTheme="majorBidi" w:hAnsiTheme="majorBidi" w:cstheme="majorBidi"/>
          <w:bCs/>
          <w:sz w:val="24"/>
          <w:szCs w:val="24"/>
          <w:lang w:bidi="en-US"/>
        </w:rPr>
        <w:t xml:space="preserve"> examples of foods</w:t>
      </w:r>
      <w:r w:rsidR="00C97BE0">
        <w:rPr>
          <w:rFonts w:asciiTheme="majorBidi" w:hAnsiTheme="majorBidi" w:cstheme="majorBidi"/>
          <w:bCs/>
          <w:sz w:val="24"/>
          <w:szCs w:val="24"/>
          <w:lang w:bidi="en-US"/>
        </w:rPr>
        <w:t xml:space="preserve"> </w:t>
      </w:r>
      <w:r w:rsidRPr="006E5D08">
        <w:rPr>
          <w:rFonts w:asciiTheme="majorBidi" w:hAnsiTheme="majorBidi" w:cstheme="majorBidi"/>
          <w:bCs/>
          <w:sz w:val="24"/>
          <w:szCs w:val="24"/>
          <w:lang w:bidi="en-US"/>
        </w:rPr>
        <w:t>high</w:t>
      </w:r>
      <w:r w:rsidR="00303279">
        <w:rPr>
          <w:rFonts w:asciiTheme="majorBidi" w:hAnsiTheme="majorBidi" w:cstheme="majorBidi"/>
          <w:bCs/>
          <w:sz w:val="24"/>
          <w:szCs w:val="24"/>
          <w:lang w:bidi="en-US"/>
        </w:rPr>
        <w:t xml:space="preserve"> in</w:t>
      </w:r>
      <w:r w:rsidRPr="006E5D08">
        <w:rPr>
          <w:rFonts w:asciiTheme="majorBidi" w:hAnsiTheme="majorBidi" w:cstheme="majorBidi"/>
          <w:bCs/>
          <w:sz w:val="24"/>
          <w:szCs w:val="24"/>
          <w:lang w:bidi="en-US"/>
        </w:rPr>
        <w:t xml:space="preserve"> </w:t>
      </w:r>
      <w:r w:rsidR="00C97BE0">
        <w:rPr>
          <w:rFonts w:asciiTheme="majorBidi" w:hAnsiTheme="majorBidi" w:cstheme="majorBidi"/>
          <w:bCs/>
          <w:sz w:val="24"/>
          <w:szCs w:val="24"/>
          <w:lang w:bidi="en-US"/>
        </w:rPr>
        <w:t>salt content</w:t>
      </w:r>
      <w:r w:rsidRPr="006E5D08">
        <w:rPr>
          <w:rFonts w:asciiTheme="majorBidi" w:hAnsiTheme="majorBidi" w:cstheme="majorBidi"/>
          <w:bCs/>
          <w:sz w:val="24"/>
          <w:szCs w:val="24"/>
          <w:lang w:bidi="en-US"/>
        </w:rPr>
        <w:t xml:space="preserve">. </w:t>
      </w:r>
    </w:p>
    <w:p w14:paraId="63820F93" w14:textId="77777777" w:rsidR="007E30CF" w:rsidRPr="006E5D08" w:rsidRDefault="007E30CF" w:rsidP="007E30CF">
      <w:pPr>
        <w:spacing w:line="480" w:lineRule="auto"/>
        <w:jc w:val="both"/>
        <w:rPr>
          <w:rFonts w:asciiTheme="majorBidi" w:hAnsiTheme="majorBidi" w:cstheme="majorBidi"/>
          <w:bCs/>
          <w:sz w:val="24"/>
          <w:szCs w:val="24"/>
          <w:lang w:bidi="en-US"/>
        </w:rPr>
      </w:pPr>
    </w:p>
    <w:p w14:paraId="513A44B5" w14:textId="531E9E66" w:rsidR="006E5D08" w:rsidRPr="006E5D08" w:rsidRDefault="006E5D08" w:rsidP="007E30CF">
      <w:pPr>
        <w:spacing w:line="480" w:lineRule="auto"/>
        <w:jc w:val="both"/>
        <w:rPr>
          <w:rFonts w:asciiTheme="majorBidi" w:hAnsiTheme="majorBidi" w:cstheme="majorBidi"/>
          <w:bCs/>
          <w:i/>
          <w:iCs/>
          <w:sz w:val="24"/>
          <w:szCs w:val="24"/>
          <w:lang w:bidi="en-US"/>
        </w:rPr>
      </w:pPr>
      <w:r w:rsidRPr="006E5D08">
        <w:rPr>
          <w:rFonts w:asciiTheme="majorBidi" w:hAnsiTheme="majorBidi" w:cstheme="majorBidi"/>
          <w:bCs/>
          <w:i/>
          <w:iCs/>
          <w:sz w:val="24"/>
          <w:szCs w:val="24"/>
          <w:lang w:bidi="en-US"/>
        </w:rPr>
        <w:t>Variables</w:t>
      </w:r>
    </w:p>
    <w:p w14:paraId="436AB9CE" w14:textId="1A1EE6FD" w:rsidR="006E5D08" w:rsidRDefault="006E5D08" w:rsidP="001B033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These included reported low </w:t>
      </w:r>
      <w:r w:rsidR="000F6CCA">
        <w:rPr>
          <w:rFonts w:asciiTheme="majorBidi" w:hAnsiTheme="majorBidi" w:cstheme="majorBidi"/>
          <w:bCs/>
          <w:sz w:val="24"/>
          <w:szCs w:val="24"/>
          <w:lang w:bidi="en-US"/>
        </w:rPr>
        <w:t>consumption</w:t>
      </w:r>
      <w:r w:rsidRPr="006E5D08">
        <w:rPr>
          <w:rFonts w:asciiTheme="majorBidi" w:hAnsiTheme="majorBidi" w:cstheme="majorBidi"/>
          <w:bCs/>
          <w:sz w:val="24"/>
          <w:szCs w:val="24"/>
          <w:lang w:bidi="en-US"/>
        </w:rPr>
        <w:t xml:space="preserve"> of fruits and vegetables by participants, eating outside to represent fast food </w:t>
      </w:r>
      <w:r w:rsidR="000F6CCA">
        <w:rPr>
          <w:rFonts w:asciiTheme="majorBidi" w:hAnsiTheme="majorBidi" w:cstheme="majorBidi"/>
          <w:bCs/>
          <w:sz w:val="24"/>
          <w:szCs w:val="24"/>
          <w:lang w:bidi="en-US"/>
        </w:rPr>
        <w:t>consumption</w:t>
      </w:r>
      <w:r w:rsidRPr="006E5D08">
        <w:rPr>
          <w:rFonts w:asciiTheme="majorBidi" w:hAnsiTheme="majorBidi" w:cstheme="majorBidi"/>
          <w:bCs/>
          <w:sz w:val="24"/>
          <w:szCs w:val="24"/>
          <w:lang w:bidi="en-US"/>
        </w:rPr>
        <w:t xml:space="preserve"> and </w:t>
      </w:r>
      <w:r w:rsidR="000F6CCA">
        <w:rPr>
          <w:rFonts w:asciiTheme="majorBidi" w:hAnsiTheme="majorBidi" w:cstheme="majorBidi"/>
          <w:bCs/>
          <w:sz w:val="24"/>
          <w:szCs w:val="24"/>
          <w:lang w:bidi="en-US"/>
        </w:rPr>
        <w:t xml:space="preserve">the </w:t>
      </w:r>
      <w:r w:rsidRPr="006E5D08">
        <w:rPr>
          <w:rFonts w:asciiTheme="majorBidi" w:hAnsiTheme="majorBidi" w:cstheme="majorBidi"/>
          <w:bCs/>
          <w:sz w:val="24"/>
          <w:szCs w:val="24"/>
          <w:lang w:bidi="en-US"/>
        </w:rPr>
        <w:t>type of oil used for cooking</w:t>
      </w:r>
      <w:r w:rsidRPr="00136907">
        <w:rPr>
          <w:rFonts w:asciiTheme="majorBidi" w:hAnsiTheme="majorBidi" w:cstheme="majorBidi"/>
          <w:bCs/>
          <w:sz w:val="24"/>
          <w:szCs w:val="24"/>
          <w:lang w:bidi="en-US"/>
        </w:rPr>
        <w:t xml:space="preserve">. Inadequate intake of fruits and vegetables was defined as </w:t>
      </w:r>
      <w:r w:rsidR="000F6CCA" w:rsidRPr="00136907">
        <w:rPr>
          <w:rFonts w:asciiTheme="majorBidi" w:hAnsiTheme="majorBidi" w:cstheme="majorBidi"/>
          <w:bCs/>
          <w:sz w:val="24"/>
          <w:szCs w:val="24"/>
          <w:lang w:bidi="en-US"/>
        </w:rPr>
        <w:t>intake</w:t>
      </w:r>
      <w:r w:rsidRPr="00136907">
        <w:rPr>
          <w:rFonts w:asciiTheme="majorBidi" w:hAnsiTheme="majorBidi" w:cstheme="majorBidi"/>
          <w:bCs/>
          <w:sz w:val="24"/>
          <w:szCs w:val="24"/>
          <w:lang w:bidi="en-US"/>
        </w:rPr>
        <w:t xml:space="preserve"> of less than five </w:t>
      </w:r>
      <w:r w:rsidR="00303279" w:rsidRPr="00136907">
        <w:rPr>
          <w:rFonts w:asciiTheme="majorBidi" w:hAnsiTheme="majorBidi" w:cstheme="majorBidi"/>
          <w:bCs/>
          <w:sz w:val="24"/>
          <w:szCs w:val="24"/>
          <w:lang w:bidi="en-US"/>
        </w:rPr>
        <w:t>portions</w:t>
      </w:r>
      <w:r w:rsidR="00136907">
        <w:rPr>
          <w:rFonts w:asciiTheme="majorBidi" w:hAnsiTheme="majorBidi" w:cstheme="majorBidi"/>
          <w:bCs/>
          <w:sz w:val="24"/>
          <w:szCs w:val="24"/>
          <w:lang w:bidi="en-US"/>
        </w:rPr>
        <w:t xml:space="preserve"> (or 400g)</w:t>
      </w:r>
      <w:r w:rsidRPr="00136907">
        <w:rPr>
          <w:rFonts w:asciiTheme="majorBidi" w:hAnsiTheme="majorBidi" w:cstheme="majorBidi"/>
          <w:bCs/>
          <w:sz w:val="24"/>
          <w:szCs w:val="24"/>
          <w:lang w:bidi="en-US"/>
        </w:rPr>
        <w:t xml:space="preserve"> of fruits and vegetables per day, as recommended</w:t>
      </w:r>
      <w:r w:rsidR="00136907">
        <w:rPr>
          <w:rFonts w:asciiTheme="majorBidi" w:hAnsiTheme="majorBidi" w:cstheme="majorBidi"/>
          <w:bCs/>
          <w:sz w:val="24"/>
          <w:szCs w:val="24"/>
          <w:lang w:bidi="en-US"/>
        </w:rPr>
        <w:t xml:space="preserve"> minimal intake</w:t>
      </w:r>
      <w:r w:rsidRPr="00136907">
        <w:rPr>
          <w:rFonts w:asciiTheme="majorBidi" w:hAnsiTheme="majorBidi" w:cstheme="majorBidi"/>
          <w:bCs/>
          <w:sz w:val="24"/>
          <w:szCs w:val="24"/>
          <w:lang w:bidi="en-US"/>
        </w:rPr>
        <w:t xml:space="preserve"> by the </w:t>
      </w:r>
      <w:r w:rsidR="00136907" w:rsidRPr="00136907">
        <w:rPr>
          <w:rFonts w:asciiTheme="majorBidi" w:hAnsiTheme="majorBidi" w:cstheme="majorBidi"/>
          <w:bCs/>
          <w:sz w:val="24"/>
          <w:szCs w:val="24"/>
          <w:lang w:bidi="en-US"/>
        </w:rPr>
        <w:t>WHO (11)</w:t>
      </w:r>
      <w:r w:rsidRPr="00136907">
        <w:rPr>
          <w:rFonts w:asciiTheme="majorBidi" w:hAnsiTheme="majorBidi" w:cstheme="majorBidi"/>
          <w:bCs/>
          <w:sz w:val="24"/>
          <w:szCs w:val="24"/>
          <w:lang w:bidi="en-US"/>
        </w:rPr>
        <w:t xml:space="preserve">. </w:t>
      </w:r>
      <w:r w:rsidR="000F6CCA" w:rsidRPr="00136907">
        <w:rPr>
          <w:rFonts w:asciiTheme="majorBidi" w:hAnsiTheme="majorBidi" w:cstheme="majorBidi"/>
          <w:bCs/>
          <w:sz w:val="24"/>
          <w:szCs w:val="24"/>
          <w:lang w:bidi="en-US"/>
        </w:rPr>
        <w:t xml:space="preserve">In </w:t>
      </w:r>
      <w:r w:rsidR="001B033F">
        <w:rPr>
          <w:rFonts w:asciiTheme="majorBidi" w:hAnsiTheme="majorBidi" w:cstheme="majorBidi"/>
          <w:bCs/>
          <w:sz w:val="24"/>
          <w:szCs w:val="24"/>
          <w:lang w:bidi="en-US"/>
        </w:rPr>
        <w:t xml:space="preserve">the </w:t>
      </w:r>
      <w:r w:rsidR="000F6CCA" w:rsidRPr="00136907">
        <w:rPr>
          <w:rFonts w:asciiTheme="majorBidi" w:hAnsiTheme="majorBidi" w:cstheme="majorBidi"/>
          <w:bCs/>
          <w:sz w:val="24"/>
          <w:szCs w:val="24"/>
          <w:lang w:bidi="en-US"/>
        </w:rPr>
        <w:t xml:space="preserve">course of the survey, </w:t>
      </w:r>
      <w:r w:rsidR="00D062EA" w:rsidRPr="00136907">
        <w:rPr>
          <w:rFonts w:asciiTheme="majorBidi" w:hAnsiTheme="majorBidi" w:cstheme="majorBidi"/>
          <w:bCs/>
          <w:sz w:val="24"/>
          <w:szCs w:val="24"/>
          <w:lang w:bidi="en-US"/>
        </w:rPr>
        <w:t>the questionnaire included</w:t>
      </w:r>
      <w:r w:rsidR="000F6CCA" w:rsidRPr="00136907">
        <w:t xml:space="preserve"> </w:t>
      </w:r>
      <w:r w:rsidR="000F6CCA" w:rsidRPr="000F6CCA">
        <w:rPr>
          <w:rFonts w:asciiTheme="majorBidi" w:hAnsiTheme="majorBidi" w:cstheme="majorBidi"/>
          <w:bCs/>
          <w:sz w:val="24"/>
          <w:szCs w:val="24"/>
          <w:lang w:bidi="en-US"/>
        </w:rPr>
        <w:t>frequency in terms of days and servings</w:t>
      </w:r>
      <w:r w:rsidR="000F6CCA">
        <w:rPr>
          <w:rFonts w:asciiTheme="majorBidi" w:hAnsiTheme="majorBidi" w:cstheme="majorBidi"/>
          <w:bCs/>
          <w:sz w:val="24"/>
          <w:szCs w:val="24"/>
          <w:lang w:bidi="en-US"/>
        </w:rPr>
        <w:t xml:space="preserve"> to assess the consumption of fruits and vegetables. </w:t>
      </w:r>
      <w:r w:rsidRPr="006E5D08">
        <w:rPr>
          <w:rFonts w:asciiTheme="majorBidi" w:hAnsiTheme="majorBidi" w:cstheme="majorBidi"/>
          <w:bCs/>
          <w:sz w:val="24"/>
          <w:szCs w:val="24"/>
          <w:lang w:bidi="en-US"/>
        </w:rPr>
        <w:t xml:space="preserve">All the outcome variables were </w:t>
      </w:r>
      <w:r w:rsidR="001B033F">
        <w:rPr>
          <w:rFonts w:asciiTheme="majorBidi" w:hAnsiTheme="majorBidi" w:cstheme="majorBidi"/>
          <w:bCs/>
          <w:sz w:val="24"/>
          <w:szCs w:val="24"/>
          <w:lang w:bidi="en-US"/>
        </w:rPr>
        <w:t xml:space="preserve">evaluated </w:t>
      </w:r>
      <w:r w:rsidR="000F6CCA">
        <w:rPr>
          <w:rFonts w:asciiTheme="majorBidi" w:hAnsiTheme="majorBidi" w:cstheme="majorBidi"/>
          <w:bCs/>
          <w:sz w:val="24"/>
          <w:szCs w:val="24"/>
          <w:lang w:bidi="en-US"/>
        </w:rPr>
        <w:t>with</w:t>
      </w:r>
      <w:r w:rsidRPr="006E5D08">
        <w:rPr>
          <w:rFonts w:asciiTheme="majorBidi" w:hAnsiTheme="majorBidi" w:cstheme="majorBidi"/>
          <w:bCs/>
          <w:sz w:val="24"/>
          <w:szCs w:val="24"/>
          <w:lang w:bidi="en-US"/>
        </w:rPr>
        <w:t xml:space="preserve"> </w:t>
      </w:r>
      <w:r w:rsidR="000F6CCA">
        <w:rPr>
          <w:rFonts w:asciiTheme="majorBidi" w:hAnsiTheme="majorBidi" w:cstheme="majorBidi"/>
          <w:bCs/>
          <w:sz w:val="24"/>
          <w:szCs w:val="24"/>
          <w:lang w:bidi="en-US"/>
        </w:rPr>
        <w:t>the several</w:t>
      </w:r>
      <w:r w:rsidRPr="006E5D08">
        <w:rPr>
          <w:rFonts w:asciiTheme="majorBidi" w:hAnsiTheme="majorBidi" w:cstheme="majorBidi"/>
          <w:bCs/>
          <w:sz w:val="24"/>
          <w:szCs w:val="24"/>
          <w:lang w:bidi="en-US"/>
        </w:rPr>
        <w:t xml:space="preserve"> independent variables </w:t>
      </w:r>
      <w:r w:rsidR="00D062EA">
        <w:rPr>
          <w:rFonts w:asciiTheme="majorBidi" w:hAnsiTheme="majorBidi" w:cstheme="majorBidi"/>
          <w:bCs/>
          <w:sz w:val="24"/>
          <w:szCs w:val="24"/>
          <w:lang w:bidi="en-US"/>
        </w:rPr>
        <w:t>employed</w:t>
      </w:r>
      <w:r w:rsidRPr="006E5D08">
        <w:rPr>
          <w:rFonts w:asciiTheme="majorBidi" w:hAnsiTheme="majorBidi" w:cstheme="majorBidi"/>
          <w:bCs/>
          <w:sz w:val="24"/>
          <w:szCs w:val="24"/>
          <w:lang w:bidi="en-US"/>
        </w:rPr>
        <w:t xml:space="preserve"> in this study</w:t>
      </w:r>
      <w:r w:rsidR="000F6CCA">
        <w:rPr>
          <w:rFonts w:asciiTheme="majorBidi" w:hAnsiTheme="majorBidi" w:cstheme="majorBidi"/>
          <w:bCs/>
          <w:sz w:val="24"/>
          <w:szCs w:val="24"/>
          <w:lang w:bidi="en-US"/>
        </w:rPr>
        <w:t>,</w:t>
      </w:r>
      <w:r w:rsidR="00D062EA">
        <w:rPr>
          <w:rFonts w:asciiTheme="majorBidi" w:hAnsiTheme="majorBidi" w:cstheme="majorBidi"/>
          <w:bCs/>
          <w:sz w:val="24"/>
          <w:szCs w:val="24"/>
          <w:lang w:bidi="en-US"/>
        </w:rPr>
        <w:t xml:space="preserve"> including age, sex</w:t>
      </w:r>
      <w:r w:rsidRPr="006E5D08">
        <w:rPr>
          <w:rFonts w:asciiTheme="majorBidi" w:hAnsiTheme="majorBidi" w:cstheme="majorBidi"/>
          <w:bCs/>
          <w:sz w:val="24"/>
          <w:szCs w:val="24"/>
          <w:lang w:bidi="en-US"/>
        </w:rPr>
        <w:t xml:space="preserve">, </w:t>
      </w:r>
      <w:r w:rsidR="00D062EA">
        <w:rPr>
          <w:rFonts w:asciiTheme="majorBidi" w:hAnsiTheme="majorBidi" w:cstheme="majorBidi"/>
          <w:bCs/>
          <w:sz w:val="24"/>
          <w:szCs w:val="24"/>
          <w:lang w:bidi="en-US"/>
        </w:rPr>
        <w:t>education level, marital status,</w:t>
      </w:r>
      <w:r w:rsidRPr="006E5D08">
        <w:rPr>
          <w:rFonts w:asciiTheme="majorBidi" w:hAnsiTheme="majorBidi" w:cstheme="majorBidi"/>
          <w:bCs/>
          <w:sz w:val="24"/>
          <w:szCs w:val="24"/>
          <w:lang w:bidi="en-US"/>
        </w:rPr>
        <w:t xml:space="preserve"> and work status. </w:t>
      </w:r>
    </w:p>
    <w:p w14:paraId="7D32EADA" w14:textId="77777777" w:rsidR="007E30CF" w:rsidRPr="006E5D08" w:rsidRDefault="007E30CF" w:rsidP="007E30CF">
      <w:pPr>
        <w:spacing w:line="480" w:lineRule="auto"/>
        <w:jc w:val="both"/>
        <w:rPr>
          <w:rFonts w:asciiTheme="majorBidi" w:hAnsiTheme="majorBidi" w:cstheme="majorBidi"/>
          <w:bCs/>
          <w:sz w:val="24"/>
          <w:szCs w:val="24"/>
          <w:lang w:bidi="en-US"/>
        </w:rPr>
      </w:pPr>
    </w:p>
    <w:p w14:paraId="7066FCCF" w14:textId="2568B784" w:rsidR="006E5D08" w:rsidRPr="006E5D08" w:rsidRDefault="006E5D08" w:rsidP="007E30CF">
      <w:pPr>
        <w:spacing w:line="480" w:lineRule="auto"/>
        <w:jc w:val="both"/>
        <w:rPr>
          <w:rFonts w:asciiTheme="majorBidi" w:hAnsiTheme="majorBidi" w:cstheme="majorBidi"/>
          <w:bCs/>
          <w:i/>
          <w:iCs/>
          <w:sz w:val="24"/>
          <w:szCs w:val="24"/>
          <w:lang w:bidi="en-US"/>
        </w:rPr>
      </w:pPr>
      <w:r w:rsidRPr="006E5D08">
        <w:rPr>
          <w:rFonts w:asciiTheme="majorBidi" w:hAnsiTheme="majorBidi" w:cstheme="majorBidi"/>
          <w:bCs/>
          <w:i/>
          <w:iCs/>
          <w:sz w:val="24"/>
          <w:szCs w:val="24"/>
          <w:lang w:bidi="en-US"/>
        </w:rPr>
        <w:t>Statistical analysis</w:t>
      </w:r>
    </w:p>
    <w:p w14:paraId="39FD7D65" w14:textId="3AB8B25C" w:rsidR="006E5D08" w:rsidRDefault="006E5D08" w:rsidP="005F137D">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Statistical analysis was </w:t>
      </w:r>
      <w:r w:rsidR="005F137D">
        <w:rPr>
          <w:rFonts w:asciiTheme="majorBidi" w:hAnsiTheme="majorBidi" w:cstheme="majorBidi"/>
          <w:bCs/>
          <w:sz w:val="24"/>
          <w:szCs w:val="24"/>
          <w:lang w:bidi="en-US"/>
        </w:rPr>
        <w:t>carried out</w:t>
      </w:r>
      <w:r w:rsidRPr="006E5D08">
        <w:rPr>
          <w:rFonts w:asciiTheme="majorBidi" w:hAnsiTheme="majorBidi" w:cstheme="majorBidi"/>
          <w:bCs/>
          <w:sz w:val="24"/>
          <w:szCs w:val="24"/>
          <w:lang w:bidi="en-US"/>
        </w:rPr>
        <w:t xml:space="preserve"> </w:t>
      </w:r>
      <w:r w:rsidR="0094555A">
        <w:rPr>
          <w:rFonts w:asciiTheme="majorBidi" w:hAnsiTheme="majorBidi" w:cstheme="majorBidi"/>
          <w:bCs/>
          <w:sz w:val="24"/>
          <w:szCs w:val="24"/>
          <w:lang w:bidi="en-US"/>
        </w:rPr>
        <w:t>with</w:t>
      </w:r>
      <w:r w:rsidRPr="006E5D08">
        <w:rPr>
          <w:rFonts w:asciiTheme="majorBidi" w:hAnsiTheme="majorBidi" w:cstheme="majorBidi"/>
          <w:bCs/>
          <w:sz w:val="24"/>
          <w:szCs w:val="24"/>
          <w:lang w:bidi="en-US"/>
        </w:rPr>
        <w:t xml:space="preserve"> STATA </w:t>
      </w:r>
      <w:r w:rsidR="0094555A">
        <w:rPr>
          <w:rFonts w:asciiTheme="majorBidi" w:hAnsiTheme="majorBidi" w:cstheme="majorBidi"/>
          <w:bCs/>
          <w:sz w:val="24"/>
          <w:szCs w:val="24"/>
          <w:lang w:bidi="en-US"/>
        </w:rPr>
        <w:t>(</w:t>
      </w:r>
      <w:r w:rsidRPr="006E5D08">
        <w:rPr>
          <w:rFonts w:asciiTheme="majorBidi" w:hAnsiTheme="majorBidi" w:cstheme="majorBidi"/>
          <w:bCs/>
          <w:sz w:val="24"/>
          <w:szCs w:val="24"/>
          <w:lang w:bidi="en-US"/>
        </w:rPr>
        <w:t>version 2016</w:t>
      </w:r>
      <w:r w:rsidR="0094555A">
        <w:rPr>
          <w:rFonts w:asciiTheme="majorBidi" w:hAnsiTheme="majorBidi" w:cstheme="majorBidi"/>
          <w:bCs/>
          <w:sz w:val="24"/>
          <w:szCs w:val="24"/>
          <w:lang w:bidi="en-US"/>
        </w:rPr>
        <w:t>)</w:t>
      </w:r>
      <w:r w:rsidRPr="006E5D08">
        <w:rPr>
          <w:rFonts w:asciiTheme="majorBidi" w:hAnsiTheme="majorBidi" w:cstheme="majorBidi"/>
          <w:bCs/>
          <w:sz w:val="24"/>
          <w:szCs w:val="24"/>
          <w:lang w:bidi="en-US"/>
        </w:rPr>
        <w:t xml:space="preserve">. Complex samples analysis was used to generate estimates </w:t>
      </w:r>
      <w:r w:rsidR="005F137D">
        <w:rPr>
          <w:rFonts w:asciiTheme="majorBidi" w:hAnsiTheme="majorBidi" w:cstheme="majorBidi"/>
          <w:bCs/>
          <w:sz w:val="24"/>
          <w:szCs w:val="24"/>
          <w:lang w:bidi="en-US"/>
        </w:rPr>
        <w:t>with adjustment</w:t>
      </w:r>
      <w:r w:rsidRPr="006E5D08">
        <w:rPr>
          <w:rFonts w:asciiTheme="majorBidi" w:hAnsiTheme="majorBidi" w:cstheme="majorBidi"/>
          <w:bCs/>
          <w:sz w:val="24"/>
          <w:szCs w:val="24"/>
          <w:lang w:bidi="en-US"/>
        </w:rPr>
        <w:t xml:space="preserve"> for the complex, multi-level sampli</w:t>
      </w:r>
      <w:r w:rsidR="0094555A">
        <w:rPr>
          <w:rFonts w:asciiTheme="majorBidi" w:hAnsiTheme="majorBidi" w:cstheme="majorBidi"/>
          <w:bCs/>
          <w:sz w:val="24"/>
          <w:szCs w:val="24"/>
          <w:lang w:bidi="en-US"/>
        </w:rPr>
        <w:t xml:space="preserve">ng design, </w:t>
      </w:r>
      <w:r w:rsidR="005F137D">
        <w:rPr>
          <w:rFonts w:asciiTheme="majorBidi" w:hAnsiTheme="majorBidi" w:cstheme="majorBidi"/>
          <w:bCs/>
          <w:sz w:val="24"/>
          <w:szCs w:val="24"/>
          <w:lang w:bidi="en-US"/>
        </w:rPr>
        <w:t xml:space="preserve">incorporating </w:t>
      </w:r>
      <w:r w:rsidR="0094555A">
        <w:rPr>
          <w:rFonts w:asciiTheme="majorBidi" w:hAnsiTheme="majorBidi" w:cstheme="majorBidi"/>
          <w:bCs/>
          <w:sz w:val="24"/>
          <w:szCs w:val="24"/>
          <w:lang w:bidi="en-US"/>
        </w:rPr>
        <w:t>stratified</w:t>
      </w:r>
      <w:r w:rsidRPr="006E5D08">
        <w:rPr>
          <w:rFonts w:asciiTheme="majorBidi" w:hAnsiTheme="majorBidi" w:cstheme="majorBidi"/>
          <w:bCs/>
          <w:sz w:val="24"/>
          <w:szCs w:val="24"/>
          <w:lang w:bidi="en-US"/>
        </w:rPr>
        <w:t xml:space="preserve"> sampling by governorates and enumerator areas. Descriptive analysis was calculated using proportions and testing relationships between categorical variables using chi square variance analysis at 95% confidence level. regression analysis then was performed to assess the significance of dietary behaviours on some unhealthy bio-physical and biochemical variables controlling for sociodemographic variables.</w:t>
      </w:r>
    </w:p>
    <w:p w14:paraId="014A96F2" w14:textId="77777777" w:rsidR="007E30CF" w:rsidRPr="006E5D08" w:rsidRDefault="007E30CF" w:rsidP="007E30CF">
      <w:pPr>
        <w:spacing w:line="480" w:lineRule="auto"/>
        <w:jc w:val="both"/>
        <w:rPr>
          <w:rFonts w:asciiTheme="majorBidi" w:hAnsiTheme="majorBidi" w:cstheme="majorBidi"/>
          <w:bCs/>
          <w:sz w:val="24"/>
          <w:szCs w:val="24"/>
          <w:lang w:bidi="en-US"/>
        </w:rPr>
      </w:pPr>
    </w:p>
    <w:p w14:paraId="4CC0709F" w14:textId="7DCFE0C5" w:rsidR="006E5D08" w:rsidRDefault="0094555A" w:rsidP="00DA7129">
      <w:pPr>
        <w:spacing w:line="480" w:lineRule="auto"/>
        <w:jc w:val="both"/>
        <w:rPr>
          <w:rFonts w:asciiTheme="majorBidi" w:hAnsiTheme="majorBidi" w:cstheme="majorBidi"/>
          <w:bCs/>
          <w:sz w:val="24"/>
          <w:szCs w:val="24"/>
          <w:lang w:bidi="en-US"/>
        </w:rPr>
      </w:pPr>
      <w:r w:rsidRPr="0094555A">
        <w:rPr>
          <w:rFonts w:asciiTheme="majorBidi" w:hAnsiTheme="majorBidi" w:cstheme="majorBidi"/>
          <w:bCs/>
          <w:sz w:val="24"/>
          <w:szCs w:val="24"/>
          <w:lang w:bidi="en-US"/>
        </w:rPr>
        <w:lastRenderedPageBreak/>
        <w:t>In additio</w:t>
      </w:r>
      <w:r>
        <w:rPr>
          <w:rFonts w:asciiTheme="majorBidi" w:hAnsiTheme="majorBidi" w:cstheme="majorBidi"/>
          <w:bCs/>
          <w:sz w:val="24"/>
          <w:szCs w:val="24"/>
          <w:lang w:bidi="en-US"/>
        </w:rPr>
        <w:t>n, there is a strong emphasis by</w:t>
      </w:r>
      <w:r w:rsidRPr="0094555A">
        <w:rPr>
          <w:rFonts w:asciiTheme="majorBidi" w:hAnsiTheme="majorBidi" w:cstheme="majorBidi"/>
          <w:bCs/>
          <w:sz w:val="24"/>
          <w:szCs w:val="24"/>
          <w:lang w:bidi="en-US"/>
        </w:rPr>
        <w:t xml:space="preserve"> many researchers on the signs and statistical significance of effects, but very little emphasis is often placed on the substantive and practical significance of the results.</w:t>
      </w:r>
      <w:r>
        <w:rPr>
          <w:rFonts w:asciiTheme="majorBidi" w:hAnsiTheme="majorBidi" w:cstheme="majorBidi"/>
          <w:bCs/>
          <w:sz w:val="24"/>
          <w:szCs w:val="24"/>
          <w:lang w:bidi="en-US"/>
        </w:rPr>
        <w:t xml:space="preserve"> Using predicted or expected values to model </w:t>
      </w:r>
      <w:r w:rsidRPr="0094555A">
        <w:rPr>
          <w:rFonts w:asciiTheme="majorBidi" w:hAnsiTheme="majorBidi" w:cstheme="majorBidi"/>
          <w:bCs/>
          <w:sz w:val="24"/>
          <w:szCs w:val="24"/>
          <w:lang w:bidi="en-US"/>
        </w:rPr>
        <w:t>hypothetical or prototypical cases</w:t>
      </w:r>
      <w:r>
        <w:rPr>
          <w:rFonts w:asciiTheme="majorBidi" w:hAnsiTheme="majorBidi" w:cstheme="majorBidi"/>
          <w:bCs/>
          <w:sz w:val="24"/>
          <w:szCs w:val="24"/>
          <w:lang w:bidi="en-US"/>
        </w:rPr>
        <w:t xml:space="preserve"> can often result in </w:t>
      </w:r>
      <w:r w:rsidR="00DA7129">
        <w:rPr>
          <w:rFonts w:asciiTheme="majorBidi" w:hAnsiTheme="majorBidi" w:cstheme="majorBidi"/>
          <w:bCs/>
          <w:sz w:val="24"/>
          <w:szCs w:val="24"/>
          <w:lang w:bidi="en-US"/>
        </w:rPr>
        <w:t>more tangible results</w:t>
      </w:r>
      <w:r w:rsidR="006E5D08" w:rsidRPr="006E5D08">
        <w:rPr>
          <w:rFonts w:asciiTheme="majorBidi" w:hAnsiTheme="majorBidi" w:cstheme="majorBidi"/>
          <w:bCs/>
          <w:sz w:val="24"/>
          <w:szCs w:val="24"/>
          <w:lang w:bidi="en-US"/>
        </w:rPr>
        <w:t xml:space="preserve"> </w:t>
      </w:r>
      <w:r w:rsidR="00F522C8">
        <w:rPr>
          <w:rFonts w:asciiTheme="majorBidi" w:hAnsiTheme="majorBidi" w:cstheme="majorBidi"/>
          <w:bCs/>
          <w:sz w:val="24"/>
          <w:szCs w:val="24"/>
          <w:lang w:bidi="en-US"/>
        </w:rPr>
        <w:t>(</w:t>
      </w:r>
      <w:r w:rsidR="006E5D08" w:rsidRPr="006E5D08">
        <w:rPr>
          <w:rFonts w:asciiTheme="majorBidi" w:hAnsiTheme="majorBidi" w:cstheme="majorBidi"/>
          <w:bCs/>
          <w:sz w:val="24"/>
          <w:szCs w:val="24"/>
          <w:lang w:bidi="en-US"/>
        </w:rPr>
        <w:t>13</w:t>
      </w:r>
      <w:r w:rsidR="00F522C8">
        <w:rPr>
          <w:rFonts w:asciiTheme="majorBidi" w:hAnsiTheme="majorBidi" w:cstheme="majorBidi"/>
          <w:bCs/>
          <w:sz w:val="24"/>
          <w:szCs w:val="24"/>
          <w:lang w:bidi="en-US"/>
        </w:rPr>
        <w:t>)</w:t>
      </w:r>
      <w:r w:rsidR="006E5D08" w:rsidRPr="006E5D08">
        <w:rPr>
          <w:rFonts w:asciiTheme="majorBidi" w:hAnsiTheme="majorBidi" w:cstheme="majorBidi"/>
          <w:bCs/>
          <w:sz w:val="24"/>
          <w:szCs w:val="24"/>
          <w:lang w:bidi="en-US"/>
        </w:rPr>
        <w:t xml:space="preserve">. Thus, marginal effect analysis was conducted to extract more meaningful results. Moreover, although </w:t>
      </w:r>
      <w:r w:rsidR="00DA7129">
        <w:rPr>
          <w:rFonts w:asciiTheme="majorBidi" w:hAnsiTheme="majorBidi" w:cstheme="majorBidi"/>
          <w:bCs/>
          <w:sz w:val="24"/>
          <w:szCs w:val="24"/>
          <w:lang w:bidi="en-US"/>
        </w:rPr>
        <w:t>conventional</w:t>
      </w:r>
      <w:r w:rsidR="00DA7129" w:rsidRPr="006E5D08">
        <w:rPr>
          <w:rFonts w:asciiTheme="majorBidi" w:hAnsiTheme="majorBidi" w:cstheme="majorBidi"/>
          <w:bCs/>
          <w:sz w:val="24"/>
          <w:szCs w:val="24"/>
          <w:lang w:bidi="en-US"/>
        </w:rPr>
        <w:t xml:space="preserve"> </w:t>
      </w:r>
      <w:r w:rsidR="006E5D08" w:rsidRPr="006E5D08">
        <w:rPr>
          <w:rFonts w:asciiTheme="majorBidi" w:hAnsiTheme="majorBidi" w:cstheme="majorBidi"/>
          <w:bCs/>
          <w:sz w:val="24"/>
          <w:szCs w:val="24"/>
          <w:lang w:bidi="en-US"/>
        </w:rPr>
        <w:t xml:space="preserve">variable-level studies (such as regression) </w:t>
      </w:r>
      <w:r w:rsidR="00DA7129">
        <w:rPr>
          <w:rFonts w:asciiTheme="majorBidi" w:hAnsiTheme="majorBidi" w:cstheme="majorBidi"/>
          <w:bCs/>
          <w:sz w:val="24"/>
          <w:szCs w:val="24"/>
          <w:lang w:bidi="en-US"/>
        </w:rPr>
        <w:t>include</w:t>
      </w:r>
      <w:r w:rsidR="00DA7129" w:rsidRPr="006E5D08">
        <w:rPr>
          <w:rFonts w:asciiTheme="majorBidi" w:hAnsiTheme="majorBidi" w:cstheme="majorBidi"/>
          <w:bCs/>
          <w:sz w:val="24"/>
          <w:szCs w:val="24"/>
          <w:lang w:bidi="en-US"/>
        </w:rPr>
        <w:t xml:space="preserve"> </w:t>
      </w:r>
      <w:r w:rsidR="00DA7129">
        <w:rPr>
          <w:rFonts w:asciiTheme="majorBidi" w:hAnsiTheme="majorBidi" w:cstheme="majorBidi"/>
          <w:bCs/>
          <w:sz w:val="24"/>
          <w:szCs w:val="24"/>
          <w:lang w:bidi="en-US"/>
        </w:rPr>
        <w:t>important</w:t>
      </w:r>
      <w:r w:rsidR="006E5D08" w:rsidRPr="006E5D08">
        <w:rPr>
          <w:rFonts w:asciiTheme="majorBidi" w:hAnsiTheme="majorBidi" w:cstheme="majorBidi"/>
          <w:bCs/>
          <w:sz w:val="24"/>
          <w:szCs w:val="24"/>
          <w:lang w:bidi="en-US"/>
        </w:rPr>
        <w:t xml:space="preserve"> information, important aspects of relationships that are often </w:t>
      </w:r>
      <w:r w:rsidR="00DA7129">
        <w:rPr>
          <w:rFonts w:asciiTheme="majorBidi" w:hAnsiTheme="majorBidi" w:cstheme="majorBidi"/>
          <w:bCs/>
          <w:sz w:val="24"/>
          <w:szCs w:val="24"/>
          <w:lang w:bidi="en-US"/>
        </w:rPr>
        <w:t xml:space="preserve">rooted in sample </w:t>
      </w:r>
      <w:r w:rsidR="00DA7129" w:rsidRPr="006E5D08">
        <w:rPr>
          <w:rFonts w:asciiTheme="majorBidi" w:hAnsiTheme="majorBidi" w:cstheme="majorBidi"/>
          <w:bCs/>
          <w:sz w:val="24"/>
          <w:szCs w:val="24"/>
          <w:lang w:bidi="en-US"/>
        </w:rPr>
        <w:t>heterogeneity</w:t>
      </w:r>
      <w:r w:rsidR="00DA7129">
        <w:rPr>
          <w:rFonts w:asciiTheme="majorBidi" w:hAnsiTheme="majorBidi" w:cstheme="majorBidi"/>
          <w:bCs/>
          <w:sz w:val="24"/>
          <w:szCs w:val="24"/>
          <w:lang w:bidi="en-US"/>
        </w:rPr>
        <w:t xml:space="preserve"> are not captured</w:t>
      </w:r>
      <w:r w:rsidR="006E5D08" w:rsidRPr="006E5D08">
        <w:rPr>
          <w:rFonts w:asciiTheme="majorBidi" w:hAnsiTheme="majorBidi" w:cstheme="majorBidi"/>
          <w:bCs/>
          <w:sz w:val="24"/>
          <w:szCs w:val="24"/>
          <w:lang w:bidi="en-US"/>
        </w:rPr>
        <w:t xml:space="preserve">. Thus, LCA </w:t>
      </w:r>
      <w:r w:rsidR="00F522C8">
        <w:rPr>
          <w:rFonts w:asciiTheme="majorBidi" w:hAnsiTheme="majorBidi" w:cstheme="majorBidi"/>
          <w:bCs/>
          <w:sz w:val="24"/>
          <w:szCs w:val="24"/>
          <w:lang w:bidi="en-US"/>
        </w:rPr>
        <w:t>(</w:t>
      </w:r>
      <w:r w:rsidR="006E5D08" w:rsidRPr="006E5D08">
        <w:rPr>
          <w:rFonts w:asciiTheme="majorBidi" w:hAnsiTheme="majorBidi" w:cstheme="majorBidi"/>
          <w:bCs/>
          <w:sz w:val="24"/>
          <w:szCs w:val="24"/>
          <w:lang w:bidi="en-US"/>
        </w:rPr>
        <w:t>14</w:t>
      </w:r>
      <w:r w:rsidR="00F522C8">
        <w:rPr>
          <w:rFonts w:asciiTheme="majorBidi" w:hAnsiTheme="majorBidi" w:cstheme="majorBidi"/>
          <w:bCs/>
          <w:sz w:val="24"/>
          <w:szCs w:val="24"/>
          <w:lang w:bidi="en-US"/>
        </w:rPr>
        <w:t>)</w:t>
      </w:r>
      <w:r w:rsidR="006E5D08" w:rsidRPr="006E5D08">
        <w:rPr>
          <w:rFonts w:asciiTheme="majorBidi" w:hAnsiTheme="majorBidi" w:cstheme="majorBidi"/>
          <w:bCs/>
          <w:sz w:val="24"/>
          <w:szCs w:val="24"/>
          <w:lang w:bidi="en-US"/>
        </w:rPr>
        <w:t xml:space="preserve"> was done which is one of several person-centred </w:t>
      </w:r>
      <w:r w:rsidR="00DA7129">
        <w:rPr>
          <w:rFonts w:asciiTheme="majorBidi" w:hAnsiTheme="majorBidi" w:cstheme="majorBidi"/>
          <w:bCs/>
          <w:sz w:val="24"/>
          <w:szCs w:val="24"/>
          <w:lang w:bidi="en-US"/>
        </w:rPr>
        <w:t>techniques</w:t>
      </w:r>
      <w:r w:rsidR="006E5D08" w:rsidRPr="006E5D08">
        <w:rPr>
          <w:rFonts w:asciiTheme="majorBidi" w:hAnsiTheme="majorBidi" w:cstheme="majorBidi"/>
          <w:bCs/>
          <w:sz w:val="24"/>
          <w:szCs w:val="24"/>
          <w:lang w:bidi="en-US"/>
        </w:rPr>
        <w:t xml:space="preserve"> that can</w:t>
      </w:r>
      <w:r w:rsidR="00DA7129">
        <w:rPr>
          <w:rFonts w:asciiTheme="majorBidi" w:hAnsiTheme="majorBidi" w:cstheme="majorBidi"/>
          <w:bCs/>
          <w:sz w:val="24"/>
          <w:szCs w:val="24"/>
          <w:lang w:bidi="en-US"/>
        </w:rPr>
        <w:t xml:space="preserve"> be used to</w:t>
      </w:r>
      <w:r w:rsidR="006E5D08" w:rsidRPr="006E5D08">
        <w:rPr>
          <w:rFonts w:asciiTheme="majorBidi" w:hAnsiTheme="majorBidi" w:cstheme="majorBidi"/>
          <w:bCs/>
          <w:sz w:val="24"/>
          <w:szCs w:val="24"/>
          <w:lang w:bidi="en-US"/>
        </w:rPr>
        <w:t xml:space="preserve"> capture</w:t>
      </w:r>
      <w:r w:rsidR="00DA7129">
        <w:rPr>
          <w:rFonts w:asciiTheme="majorBidi" w:hAnsiTheme="majorBidi" w:cstheme="majorBidi"/>
          <w:bCs/>
          <w:sz w:val="24"/>
          <w:szCs w:val="24"/>
          <w:lang w:bidi="en-US"/>
        </w:rPr>
        <w:t xml:space="preserve"> sample</w:t>
      </w:r>
      <w:r w:rsidR="006E5D08" w:rsidRPr="006E5D08">
        <w:rPr>
          <w:rFonts w:asciiTheme="majorBidi" w:hAnsiTheme="majorBidi" w:cstheme="majorBidi"/>
          <w:bCs/>
          <w:sz w:val="24"/>
          <w:szCs w:val="24"/>
          <w:lang w:bidi="en-US"/>
        </w:rPr>
        <w:t xml:space="preserve"> heterogeneity within and between </w:t>
      </w:r>
      <w:r w:rsidR="00FF73CF">
        <w:rPr>
          <w:rFonts w:asciiTheme="majorBidi" w:hAnsiTheme="majorBidi" w:cstheme="majorBidi"/>
          <w:bCs/>
          <w:sz w:val="24"/>
          <w:szCs w:val="24"/>
          <w:lang w:bidi="en-US"/>
        </w:rPr>
        <w:t xml:space="preserve">various </w:t>
      </w:r>
      <w:r w:rsidR="006E5D08" w:rsidRPr="006E5D08">
        <w:rPr>
          <w:rFonts w:asciiTheme="majorBidi" w:hAnsiTheme="majorBidi" w:cstheme="majorBidi"/>
          <w:bCs/>
          <w:sz w:val="24"/>
          <w:szCs w:val="24"/>
          <w:lang w:bidi="en-US"/>
        </w:rPr>
        <w:t>groups.</w:t>
      </w:r>
    </w:p>
    <w:p w14:paraId="3DB81C31" w14:textId="2478DA2D" w:rsidR="007E30CF" w:rsidRDefault="007E30CF" w:rsidP="007E30CF">
      <w:pPr>
        <w:spacing w:line="480" w:lineRule="auto"/>
        <w:jc w:val="both"/>
        <w:rPr>
          <w:rFonts w:asciiTheme="majorBidi" w:hAnsiTheme="majorBidi" w:cstheme="majorBidi"/>
          <w:bCs/>
          <w:sz w:val="24"/>
          <w:szCs w:val="24"/>
          <w:lang w:bidi="en-US"/>
        </w:rPr>
      </w:pPr>
    </w:p>
    <w:p w14:paraId="4B56C05F" w14:textId="78138E23" w:rsidR="00FF73CF" w:rsidRPr="00FF73CF" w:rsidRDefault="00FF73CF" w:rsidP="00FF73CF">
      <w:pPr>
        <w:spacing w:line="480" w:lineRule="auto"/>
        <w:jc w:val="both"/>
        <w:rPr>
          <w:rFonts w:asciiTheme="majorBidi" w:hAnsiTheme="majorBidi" w:cstheme="majorBidi"/>
          <w:bCs/>
          <w:sz w:val="24"/>
          <w:szCs w:val="24"/>
          <w:lang w:bidi="en-US"/>
        </w:rPr>
      </w:pPr>
      <w:r w:rsidRPr="00FF73CF">
        <w:rPr>
          <w:rFonts w:asciiTheme="majorBidi" w:hAnsiTheme="majorBidi" w:cstheme="majorBidi"/>
          <w:bCs/>
          <w:sz w:val="24"/>
          <w:szCs w:val="24"/>
          <w:lang w:bidi="en-US"/>
        </w:rPr>
        <w:t xml:space="preserve">By using STATA, LCA </w:t>
      </w:r>
      <w:r>
        <w:rPr>
          <w:rFonts w:asciiTheme="majorBidi" w:hAnsiTheme="majorBidi" w:cstheme="majorBidi"/>
          <w:bCs/>
          <w:sz w:val="24"/>
          <w:szCs w:val="24"/>
          <w:lang w:bidi="en-US"/>
        </w:rPr>
        <w:t>was</w:t>
      </w:r>
      <w:r w:rsidRPr="00FF73CF">
        <w:rPr>
          <w:rFonts w:asciiTheme="majorBidi" w:hAnsiTheme="majorBidi" w:cstheme="majorBidi"/>
          <w:bCs/>
          <w:sz w:val="24"/>
          <w:szCs w:val="24"/>
          <w:lang w:bidi="en-US"/>
        </w:rPr>
        <w:t xml:space="preserve"> performed on a weighted sample. The fact that </w:t>
      </w:r>
      <w:r>
        <w:rPr>
          <w:rFonts w:asciiTheme="majorBidi" w:hAnsiTheme="majorBidi" w:cstheme="majorBidi"/>
          <w:bCs/>
          <w:sz w:val="24"/>
          <w:szCs w:val="24"/>
          <w:lang w:bidi="en-US"/>
        </w:rPr>
        <w:t>a</w:t>
      </w:r>
      <w:r w:rsidRPr="00FF73CF">
        <w:rPr>
          <w:rFonts w:asciiTheme="majorBidi" w:hAnsiTheme="majorBidi" w:cstheme="majorBidi"/>
          <w:bCs/>
          <w:sz w:val="24"/>
          <w:szCs w:val="24"/>
          <w:lang w:bidi="en-US"/>
        </w:rPr>
        <w:t xml:space="preserve"> model is estimated and a case has been selected by random selection to fit into one</w:t>
      </w:r>
      <w:r>
        <w:rPr>
          <w:rFonts w:asciiTheme="majorBidi" w:hAnsiTheme="majorBidi" w:cstheme="majorBidi"/>
          <w:bCs/>
          <w:sz w:val="24"/>
          <w:szCs w:val="24"/>
          <w:lang w:bidi="en-US"/>
        </w:rPr>
        <w:t xml:space="preserve"> specific</w:t>
      </w:r>
      <w:r w:rsidRPr="00FF73CF">
        <w:rPr>
          <w:rFonts w:asciiTheme="majorBidi" w:hAnsiTheme="majorBidi" w:cstheme="majorBidi"/>
          <w:bCs/>
          <w:sz w:val="24"/>
          <w:szCs w:val="24"/>
          <w:lang w:bidi="en-US"/>
        </w:rPr>
        <w:t xml:space="preserve"> class </w:t>
      </w:r>
      <w:r>
        <w:rPr>
          <w:rFonts w:asciiTheme="majorBidi" w:hAnsiTheme="majorBidi" w:cstheme="majorBidi"/>
          <w:bCs/>
          <w:sz w:val="24"/>
          <w:szCs w:val="24"/>
          <w:lang w:bidi="en-US"/>
        </w:rPr>
        <w:t>provides</w:t>
      </w:r>
      <w:r w:rsidRPr="00FF73CF">
        <w:rPr>
          <w:rFonts w:asciiTheme="majorBidi" w:hAnsiTheme="majorBidi" w:cstheme="majorBidi"/>
          <w:bCs/>
          <w:sz w:val="24"/>
          <w:szCs w:val="24"/>
          <w:lang w:bidi="en-US"/>
        </w:rPr>
        <w:t xml:space="preserve"> some information as to what response pattern </w:t>
      </w:r>
      <w:r>
        <w:rPr>
          <w:rFonts w:asciiTheme="majorBidi" w:hAnsiTheme="majorBidi" w:cstheme="majorBidi"/>
          <w:bCs/>
          <w:sz w:val="24"/>
          <w:szCs w:val="24"/>
          <w:lang w:bidi="en-US"/>
        </w:rPr>
        <w:t>the</w:t>
      </w:r>
      <w:r w:rsidRPr="00FF73CF">
        <w:rPr>
          <w:rFonts w:asciiTheme="majorBidi" w:hAnsiTheme="majorBidi" w:cstheme="majorBidi"/>
          <w:bCs/>
          <w:sz w:val="24"/>
          <w:szCs w:val="24"/>
          <w:lang w:bidi="en-US"/>
        </w:rPr>
        <w:t xml:space="preserve"> case will have.</w:t>
      </w:r>
    </w:p>
    <w:p w14:paraId="5EE75E0B" w14:textId="77777777" w:rsidR="006E5D08" w:rsidRPr="006E5D08" w:rsidRDefault="006E5D08" w:rsidP="007E30CF">
      <w:pPr>
        <w:spacing w:line="480" w:lineRule="auto"/>
        <w:jc w:val="both"/>
        <w:rPr>
          <w:rFonts w:asciiTheme="majorBidi" w:hAnsiTheme="majorBidi" w:cstheme="majorBidi"/>
          <w:bCs/>
          <w:sz w:val="24"/>
          <w:szCs w:val="24"/>
          <w:lang w:bidi="en-US"/>
        </w:rPr>
      </w:pPr>
    </w:p>
    <w:p w14:paraId="6E5BE048" w14:textId="3863EE0F" w:rsidR="006E5D08" w:rsidRPr="00C73B49" w:rsidRDefault="006E5D08" w:rsidP="00C73B49">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t>Results</w:t>
      </w:r>
    </w:p>
    <w:p w14:paraId="55B8121E" w14:textId="5B1E670B" w:rsidR="006E5D08" w:rsidRPr="006E5D08" w:rsidRDefault="006E5D08" w:rsidP="007E30CF">
      <w:pPr>
        <w:spacing w:line="480" w:lineRule="auto"/>
        <w:jc w:val="both"/>
        <w:rPr>
          <w:rFonts w:asciiTheme="majorBidi" w:hAnsiTheme="majorBidi" w:cstheme="majorBidi"/>
          <w:i/>
          <w:iCs/>
          <w:sz w:val="24"/>
          <w:szCs w:val="24"/>
          <w:lang w:bidi="en-US"/>
        </w:rPr>
      </w:pPr>
      <w:r w:rsidRPr="006E5D08">
        <w:rPr>
          <w:rFonts w:asciiTheme="majorBidi" w:hAnsiTheme="majorBidi" w:cstheme="majorBidi"/>
          <w:i/>
          <w:iCs/>
          <w:sz w:val="24"/>
          <w:szCs w:val="24"/>
          <w:lang w:bidi="en-US"/>
        </w:rPr>
        <w:t>Participant characteristics</w:t>
      </w:r>
    </w:p>
    <w:p w14:paraId="119BF6F9" w14:textId="77777777" w:rsidR="006E5D08" w:rsidRDefault="006E5D08" w:rsidP="007E30C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Table 1 presents the demographic attributes of the study participants. 4320 Omani citizens were included in the secondary data analysis, of which the majority of participants were young in the age group of 18-44 years (59.39%), women (56.13%), had secondary education or above (68.44%), married (63.98%), and not currently working (62.72%).</w:t>
      </w:r>
    </w:p>
    <w:p w14:paraId="4A25B632" w14:textId="77777777" w:rsidR="007E30CF" w:rsidRPr="006E5D08" w:rsidRDefault="007E30CF" w:rsidP="007E30CF">
      <w:pPr>
        <w:spacing w:line="480" w:lineRule="auto"/>
        <w:jc w:val="both"/>
        <w:rPr>
          <w:rFonts w:asciiTheme="majorBidi" w:hAnsiTheme="majorBidi" w:cstheme="majorBidi"/>
          <w:bCs/>
          <w:sz w:val="24"/>
          <w:szCs w:val="24"/>
          <w:lang w:bidi="en-US"/>
        </w:rPr>
      </w:pPr>
    </w:p>
    <w:p w14:paraId="275E5B6A" w14:textId="23CB7A80" w:rsidR="006E5D08" w:rsidRPr="006E5D08" w:rsidRDefault="006E5D08" w:rsidP="007E30CF">
      <w:pPr>
        <w:spacing w:line="480" w:lineRule="auto"/>
        <w:jc w:val="both"/>
        <w:rPr>
          <w:rFonts w:asciiTheme="majorBidi" w:hAnsiTheme="majorBidi" w:cstheme="majorBidi"/>
          <w:i/>
          <w:iCs/>
          <w:sz w:val="24"/>
          <w:szCs w:val="24"/>
          <w:lang w:bidi="en-US"/>
        </w:rPr>
      </w:pPr>
      <w:r w:rsidRPr="006E5D08">
        <w:rPr>
          <w:rFonts w:asciiTheme="majorBidi" w:hAnsiTheme="majorBidi" w:cstheme="majorBidi"/>
          <w:i/>
          <w:iCs/>
          <w:sz w:val="24"/>
          <w:szCs w:val="24"/>
          <w:lang w:bidi="en-US"/>
        </w:rPr>
        <w:lastRenderedPageBreak/>
        <w:t>Prevalence of Dietary Risk Factors</w:t>
      </w:r>
    </w:p>
    <w:p w14:paraId="69E5CABF" w14:textId="311AAD65" w:rsid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More than half of the</w:t>
      </w:r>
      <w:r w:rsidR="00494FA1">
        <w:rPr>
          <w:rFonts w:asciiTheme="majorBidi" w:hAnsiTheme="majorBidi" w:cstheme="majorBidi"/>
          <w:sz w:val="24"/>
          <w:szCs w:val="24"/>
          <w:lang w:bidi="en-US"/>
        </w:rPr>
        <w:t xml:space="preserve"> surveyed</w:t>
      </w:r>
      <w:r w:rsidRPr="006E5D08">
        <w:rPr>
          <w:rFonts w:asciiTheme="majorBidi" w:hAnsiTheme="majorBidi" w:cstheme="majorBidi"/>
          <w:sz w:val="24"/>
          <w:szCs w:val="24"/>
          <w:lang w:bidi="en-US"/>
        </w:rPr>
        <w:t xml:space="preserve"> respondents reported taking less than five fruits and vegetable servings per day (Table 2) while 45.3 % ate meals outside the home 1-3 times per week. It was also found that 87.3% used vegetable oil for cooking in comparison to butter (4.3%, 95% </w:t>
      </w:r>
      <w:bookmarkStart w:id="8" w:name="_Hlk76030955"/>
      <w:r w:rsidRPr="006E5D08">
        <w:rPr>
          <w:rFonts w:asciiTheme="majorBidi" w:hAnsiTheme="majorBidi" w:cstheme="majorBidi"/>
          <w:sz w:val="24"/>
          <w:szCs w:val="24"/>
          <w:lang w:bidi="en-US"/>
        </w:rPr>
        <w:t>CI</w:t>
      </w:r>
      <w:bookmarkEnd w:id="8"/>
      <w:r w:rsidRPr="006E5D08">
        <w:rPr>
          <w:rFonts w:asciiTheme="majorBidi" w:hAnsiTheme="majorBidi" w:cstheme="majorBidi"/>
          <w:sz w:val="24"/>
          <w:szCs w:val="24"/>
          <w:lang w:bidi="en-US"/>
        </w:rPr>
        <w:t>: 3.4%-5.6%) (Table 2). The prevalence of high dietary salt consumption was observed in 60.8% of the participants (Table 2).</w:t>
      </w:r>
    </w:p>
    <w:p w14:paraId="2FF78FDC" w14:textId="25415CBA" w:rsidR="00E80466" w:rsidRPr="006E5D08" w:rsidRDefault="00E80466" w:rsidP="00254C54">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Table 1. Socio-demographic </w:t>
      </w:r>
      <w:r w:rsidR="00254C54">
        <w:rPr>
          <w:rFonts w:asciiTheme="majorBidi" w:hAnsiTheme="majorBidi" w:cstheme="majorBidi"/>
          <w:bCs/>
          <w:sz w:val="24"/>
          <w:szCs w:val="24"/>
          <w:lang w:bidi="en-US"/>
        </w:rPr>
        <w:t>attributes</w:t>
      </w:r>
      <w:r w:rsidR="00254C54" w:rsidRPr="006E5D08">
        <w:rPr>
          <w:rFonts w:asciiTheme="majorBidi" w:hAnsiTheme="majorBidi" w:cstheme="majorBidi"/>
          <w:bCs/>
          <w:sz w:val="24"/>
          <w:szCs w:val="24"/>
          <w:lang w:bidi="en-US"/>
        </w:rPr>
        <w:t xml:space="preserve"> </w:t>
      </w:r>
      <w:r w:rsidRPr="006E5D08">
        <w:rPr>
          <w:rFonts w:asciiTheme="majorBidi" w:hAnsiTheme="majorBidi" w:cstheme="majorBidi"/>
          <w:bCs/>
          <w:sz w:val="24"/>
          <w:szCs w:val="24"/>
          <w:lang w:bidi="en-US"/>
        </w:rPr>
        <w:t>of the respondents, Oman STEPS survey, 2017.</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4"/>
        <w:gridCol w:w="2324"/>
        <w:gridCol w:w="3252"/>
      </w:tblGrid>
      <w:tr w:rsidR="00E80466" w:rsidRPr="006E5D08" w14:paraId="256E9983" w14:textId="77777777" w:rsidTr="00A452E4">
        <w:trPr>
          <w:trHeight w:val="705"/>
          <w:jc w:val="center"/>
        </w:trPr>
        <w:tc>
          <w:tcPr>
            <w:tcW w:w="2018" w:type="pct"/>
          </w:tcPr>
          <w:p w14:paraId="4756AC69" w14:textId="77777777" w:rsidR="00E80466" w:rsidRPr="006E5D08" w:rsidRDefault="00E80466" w:rsidP="00E11B61">
            <w:pPr>
              <w:spacing w:line="240" w:lineRule="auto"/>
              <w:jc w:val="both"/>
              <w:rPr>
                <w:rFonts w:asciiTheme="majorBidi" w:hAnsiTheme="majorBidi" w:cstheme="majorBidi"/>
                <w:b/>
                <w:sz w:val="24"/>
                <w:szCs w:val="24"/>
              </w:rPr>
            </w:pPr>
            <w:r w:rsidRPr="006E5D08">
              <w:rPr>
                <w:rFonts w:asciiTheme="majorBidi" w:hAnsiTheme="majorBidi" w:cstheme="majorBidi"/>
                <w:b/>
                <w:sz w:val="24"/>
                <w:szCs w:val="24"/>
              </w:rPr>
              <w:t>Variable (n)</w:t>
            </w:r>
          </w:p>
        </w:tc>
        <w:tc>
          <w:tcPr>
            <w:tcW w:w="1243" w:type="pct"/>
          </w:tcPr>
          <w:p w14:paraId="6321088A" w14:textId="77777777" w:rsidR="00E80466" w:rsidRPr="006E5D08" w:rsidRDefault="00E80466" w:rsidP="00E80466">
            <w:pPr>
              <w:spacing w:line="240" w:lineRule="auto"/>
              <w:jc w:val="center"/>
              <w:rPr>
                <w:rFonts w:asciiTheme="majorBidi" w:hAnsiTheme="majorBidi" w:cstheme="majorBidi"/>
                <w:b/>
                <w:sz w:val="24"/>
                <w:szCs w:val="24"/>
              </w:rPr>
            </w:pPr>
            <w:r w:rsidRPr="006E5D08">
              <w:rPr>
                <w:rFonts w:asciiTheme="majorBidi" w:hAnsiTheme="majorBidi" w:cstheme="majorBidi"/>
                <w:b/>
                <w:sz w:val="24"/>
                <w:szCs w:val="24"/>
              </w:rPr>
              <w:t>Proportion (%)</w:t>
            </w:r>
          </w:p>
        </w:tc>
        <w:tc>
          <w:tcPr>
            <w:tcW w:w="1739" w:type="pct"/>
          </w:tcPr>
          <w:p w14:paraId="05519285" w14:textId="77777777" w:rsidR="00E80466" w:rsidRPr="006E5D08" w:rsidRDefault="00E80466" w:rsidP="00E80466">
            <w:pPr>
              <w:spacing w:line="240" w:lineRule="auto"/>
              <w:jc w:val="center"/>
              <w:rPr>
                <w:rFonts w:asciiTheme="majorBidi" w:hAnsiTheme="majorBidi" w:cstheme="majorBidi"/>
                <w:b/>
                <w:sz w:val="24"/>
                <w:szCs w:val="24"/>
              </w:rPr>
            </w:pPr>
            <w:r w:rsidRPr="006E5D08">
              <w:rPr>
                <w:rFonts w:asciiTheme="majorBidi" w:hAnsiTheme="majorBidi" w:cstheme="majorBidi"/>
                <w:b/>
                <w:sz w:val="24"/>
                <w:szCs w:val="24"/>
              </w:rPr>
              <w:t>95% Confidence Interval</w:t>
            </w:r>
          </w:p>
        </w:tc>
      </w:tr>
      <w:tr w:rsidR="00E80466" w:rsidRPr="006E5D08" w14:paraId="49508EFC" w14:textId="77777777" w:rsidTr="00A452E4">
        <w:trPr>
          <w:trHeight w:val="2625"/>
          <w:jc w:val="center"/>
        </w:trPr>
        <w:tc>
          <w:tcPr>
            <w:tcW w:w="2018" w:type="pct"/>
          </w:tcPr>
          <w:p w14:paraId="1F03FBFA" w14:textId="7777777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t>Age group, years</w:t>
            </w:r>
          </w:p>
          <w:p w14:paraId="76E660F0"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18-29 (1,102)</w:t>
            </w:r>
          </w:p>
          <w:p w14:paraId="7F21BD16"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30-44 (1,337)</w:t>
            </w:r>
          </w:p>
          <w:p w14:paraId="4C5FF665"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40-49 (856)</w:t>
            </w:r>
          </w:p>
          <w:p w14:paraId="187C4ED8"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50-59 (484)</w:t>
            </w:r>
          </w:p>
          <w:p w14:paraId="73E97940"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60+ (542)</w:t>
            </w:r>
          </w:p>
        </w:tc>
        <w:tc>
          <w:tcPr>
            <w:tcW w:w="1243" w:type="pct"/>
          </w:tcPr>
          <w:p w14:paraId="5EDD82B6" w14:textId="77777777" w:rsidR="00E80466" w:rsidRPr="006E5D08" w:rsidRDefault="00E80466" w:rsidP="00E80466">
            <w:pPr>
              <w:spacing w:line="240" w:lineRule="auto"/>
              <w:jc w:val="center"/>
              <w:rPr>
                <w:rFonts w:asciiTheme="majorBidi" w:hAnsiTheme="majorBidi" w:cstheme="majorBidi"/>
                <w:bCs/>
                <w:sz w:val="24"/>
                <w:szCs w:val="24"/>
              </w:rPr>
            </w:pPr>
          </w:p>
          <w:p w14:paraId="72EC60B2"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33.7</w:t>
            </w:r>
          </w:p>
          <w:p w14:paraId="71469209"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25.7</w:t>
            </w:r>
          </w:p>
          <w:p w14:paraId="3B5D4966"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19.0</w:t>
            </w:r>
          </w:p>
          <w:p w14:paraId="04D597B7"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10.7</w:t>
            </w:r>
          </w:p>
          <w:p w14:paraId="1129E9CD"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10.9</w:t>
            </w:r>
          </w:p>
        </w:tc>
        <w:tc>
          <w:tcPr>
            <w:tcW w:w="1739" w:type="pct"/>
          </w:tcPr>
          <w:p w14:paraId="0FFB184B" w14:textId="77777777" w:rsidR="00E80466" w:rsidRPr="006E5D08" w:rsidRDefault="00E80466" w:rsidP="00E80466">
            <w:pPr>
              <w:spacing w:line="240" w:lineRule="auto"/>
              <w:jc w:val="center"/>
              <w:rPr>
                <w:rFonts w:asciiTheme="majorBidi" w:hAnsiTheme="majorBidi" w:cstheme="majorBidi"/>
                <w:bCs/>
                <w:sz w:val="24"/>
                <w:szCs w:val="24"/>
              </w:rPr>
            </w:pPr>
          </w:p>
          <w:p w14:paraId="2EDFBF47"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31.3 – 36.2</w:t>
            </w:r>
          </w:p>
          <w:p w14:paraId="58B9CBF3"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23.8 – 27.8</w:t>
            </w:r>
          </w:p>
          <w:p w14:paraId="6AD21C37"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17.0 – 21.1</w:t>
            </w:r>
          </w:p>
          <w:p w14:paraId="19915C40"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9.2 – 12.5</w:t>
            </w:r>
          </w:p>
          <w:p w14:paraId="788CB6DF"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9.5 – 12.5</w:t>
            </w:r>
          </w:p>
        </w:tc>
      </w:tr>
      <w:tr w:rsidR="00E80466" w:rsidRPr="006E5D08" w14:paraId="70194D05" w14:textId="77777777" w:rsidTr="00A452E4">
        <w:trPr>
          <w:trHeight w:val="1305"/>
          <w:jc w:val="center"/>
        </w:trPr>
        <w:tc>
          <w:tcPr>
            <w:tcW w:w="2018" w:type="pct"/>
          </w:tcPr>
          <w:p w14:paraId="328A2AB2" w14:textId="348F81B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t>Sex</w:t>
            </w:r>
          </w:p>
          <w:p w14:paraId="7994BDA3"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Men (1,665)</w:t>
            </w:r>
          </w:p>
          <w:p w14:paraId="5A3C0149"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Women (2,655)</w:t>
            </w:r>
          </w:p>
        </w:tc>
        <w:tc>
          <w:tcPr>
            <w:tcW w:w="1243" w:type="pct"/>
          </w:tcPr>
          <w:p w14:paraId="4B0A3D16" w14:textId="77777777" w:rsidR="00E80466" w:rsidRPr="006E5D08" w:rsidRDefault="00E80466" w:rsidP="00E80466">
            <w:pPr>
              <w:spacing w:line="240" w:lineRule="auto"/>
              <w:jc w:val="center"/>
              <w:rPr>
                <w:rFonts w:asciiTheme="majorBidi" w:hAnsiTheme="majorBidi" w:cstheme="majorBidi"/>
                <w:bCs/>
                <w:sz w:val="24"/>
                <w:szCs w:val="24"/>
              </w:rPr>
            </w:pPr>
          </w:p>
          <w:p w14:paraId="62D66096"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43.9</w:t>
            </w:r>
          </w:p>
          <w:p w14:paraId="55445466"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56.1</w:t>
            </w:r>
          </w:p>
        </w:tc>
        <w:tc>
          <w:tcPr>
            <w:tcW w:w="1739" w:type="pct"/>
          </w:tcPr>
          <w:p w14:paraId="3966BB33" w14:textId="77777777" w:rsidR="00E80466" w:rsidRPr="006E5D08" w:rsidRDefault="00E80466" w:rsidP="00E80466">
            <w:pPr>
              <w:spacing w:line="240" w:lineRule="auto"/>
              <w:jc w:val="center"/>
              <w:rPr>
                <w:rFonts w:asciiTheme="majorBidi" w:hAnsiTheme="majorBidi" w:cstheme="majorBidi"/>
                <w:bCs/>
                <w:sz w:val="24"/>
                <w:szCs w:val="24"/>
              </w:rPr>
            </w:pPr>
          </w:p>
          <w:p w14:paraId="35286DD1"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41.4 – 46.4</w:t>
            </w:r>
          </w:p>
          <w:p w14:paraId="6B09C00B"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53.6 – 58.6</w:t>
            </w:r>
          </w:p>
        </w:tc>
      </w:tr>
      <w:tr w:rsidR="00E80466" w:rsidRPr="006E5D08" w14:paraId="6F0B4D04" w14:textId="77777777" w:rsidTr="00A452E4">
        <w:trPr>
          <w:trHeight w:val="2730"/>
          <w:jc w:val="center"/>
        </w:trPr>
        <w:tc>
          <w:tcPr>
            <w:tcW w:w="2018" w:type="pct"/>
          </w:tcPr>
          <w:p w14:paraId="15ACAFBB" w14:textId="1EEC13C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t>Education attainment</w:t>
            </w:r>
          </w:p>
          <w:p w14:paraId="1CDE569A"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None (1,274)</w:t>
            </w:r>
          </w:p>
          <w:p w14:paraId="18AD183B"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Preparatory or less (487)</w:t>
            </w:r>
          </w:p>
          <w:p w14:paraId="43875172"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Secondary (1,648)</w:t>
            </w:r>
          </w:p>
          <w:p w14:paraId="394C5D3A"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University or more (908)</w:t>
            </w:r>
          </w:p>
        </w:tc>
        <w:tc>
          <w:tcPr>
            <w:tcW w:w="1243" w:type="pct"/>
          </w:tcPr>
          <w:p w14:paraId="41A1599B" w14:textId="77777777" w:rsidR="00E80466" w:rsidRPr="006E5D08" w:rsidRDefault="00E80466" w:rsidP="00E80466">
            <w:pPr>
              <w:spacing w:line="240" w:lineRule="auto"/>
              <w:jc w:val="center"/>
              <w:rPr>
                <w:rFonts w:asciiTheme="majorBidi" w:hAnsiTheme="majorBidi" w:cstheme="majorBidi"/>
                <w:bCs/>
                <w:sz w:val="24"/>
                <w:szCs w:val="24"/>
              </w:rPr>
            </w:pPr>
          </w:p>
          <w:p w14:paraId="65F7597C"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21.8</w:t>
            </w:r>
          </w:p>
          <w:p w14:paraId="5D30E381"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9.7</w:t>
            </w:r>
          </w:p>
          <w:p w14:paraId="3794B690"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42.7</w:t>
            </w:r>
          </w:p>
          <w:p w14:paraId="5F2C7EF6"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25.7</w:t>
            </w:r>
          </w:p>
        </w:tc>
        <w:tc>
          <w:tcPr>
            <w:tcW w:w="1739" w:type="pct"/>
          </w:tcPr>
          <w:p w14:paraId="490F9C9A" w14:textId="77777777" w:rsidR="00E80466" w:rsidRPr="006E5D08" w:rsidRDefault="00E80466" w:rsidP="00E80466">
            <w:pPr>
              <w:spacing w:line="240" w:lineRule="auto"/>
              <w:jc w:val="center"/>
              <w:rPr>
                <w:rFonts w:asciiTheme="majorBidi" w:hAnsiTheme="majorBidi" w:cstheme="majorBidi"/>
                <w:bCs/>
                <w:sz w:val="24"/>
                <w:szCs w:val="24"/>
              </w:rPr>
            </w:pPr>
          </w:p>
          <w:p w14:paraId="76F795BC"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20.1 – 23.7</w:t>
            </w:r>
          </w:p>
          <w:p w14:paraId="13384CAE"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8.5 – 11.1</w:t>
            </w:r>
          </w:p>
          <w:p w14:paraId="71E25A97"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40.2 – 45.3</w:t>
            </w:r>
          </w:p>
          <w:p w14:paraId="13BA5994"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23.6 – 28.0</w:t>
            </w:r>
          </w:p>
        </w:tc>
      </w:tr>
      <w:tr w:rsidR="00E80466" w:rsidRPr="006E5D08" w14:paraId="4F1B3DD5" w14:textId="77777777" w:rsidTr="00A452E4">
        <w:trPr>
          <w:trHeight w:val="2460"/>
          <w:jc w:val="center"/>
        </w:trPr>
        <w:tc>
          <w:tcPr>
            <w:tcW w:w="2018" w:type="pct"/>
          </w:tcPr>
          <w:p w14:paraId="1F9692E2" w14:textId="7777777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lastRenderedPageBreak/>
              <w:t>Marital status</w:t>
            </w:r>
          </w:p>
          <w:p w14:paraId="6E8DA876"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Not married (742)</w:t>
            </w:r>
          </w:p>
          <w:p w14:paraId="4B84B831"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Married (3,161)</w:t>
            </w:r>
          </w:p>
          <w:p w14:paraId="3D9B1D6C"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Separated/Divorced (114)</w:t>
            </w:r>
          </w:p>
          <w:p w14:paraId="02C4881D"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Widowed (303)</w:t>
            </w:r>
          </w:p>
        </w:tc>
        <w:tc>
          <w:tcPr>
            <w:tcW w:w="1243" w:type="pct"/>
          </w:tcPr>
          <w:p w14:paraId="48A665C6" w14:textId="77777777" w:rsidR="00E80466" w:rsidRPr="006E5D08" w:rsidRDefault="00E80466" w:rsidP="00E80466">
            <w:pPr>
              <w:spacing w:line="240" w:lineRule="auto"/>
              <w:jc w:val="center"/>
              <w:rPr>
                <w:rFonts w:asciiTheme="majorBidi" w:hAnsiTheme="majorBidi" w:cstheme="majorBidi"/>
                <w:bCs/>
                <w:sz w:val="24"/>
                <w:szCs w:val="24"/>
              </w:rPr>
            </w:pPr>
          </w:p>
          <w:p w14:paraId="329B4156"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28.2</w:t>
            </w:r>
          </w:p>
          <w:p w14:paraId="09265A03"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64.0</w:t>
            </w:r>
          </w:p>
          <w:p w14:paraId="1F57C96F"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2.7</w:t>
            </w:r>
          </w:p>
          <w:p w14:paraId="05D75E7A"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5.1</w:t>
            </w:r>
          </w:p>
        </w:tc>
        <w:tc>
          <w:tcPr>
            <w:tcW w:w="1739" w:type="pct"/>
          </w:tcPr>
          <w:p w14:paraId="325015CF" w14:textId="77777777" w:rsidR="00E80466" w:rsidRPr="006E5D08" w:rsidRDefault="00E80466" w:rsidP="00E80466">
            <w:pPr>
              <w:spacing w:line="240" w:lineRule="auto"/>
              <w:jc w:val="center"/>
              <w:rPr>
                <w:rFonts w:asciiTheme="majorBidi" w:hAnsiTheme="majorBidi" w:cstheme="majorBidi"/>
                <w:bCs/>
                <w:sz w:val="24"/>
                <w:szCs w:val="24"/>
              </w:rPr>
            </w:pPr>
          </w:p>
          <w:p w14:paraId="45617579"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25.8 – 30.8</w:t>
            </w:r>
          </w:p>
          <w:p w14:paraId="46E4838A"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61.4 – 66.5</w:t>
            </w:r>
          </w:p>
          <w:p w14:paraId="47972424"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1.9 – 3.8</w:t>
            </w:r>
          </w:p>
          <w:p w14:paraId="0C525F35"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4.1 – 6.3</w:t>
            </w:r>
          </w:p>
        </w:tc>
      </w:tr>
      <w:tr w:rsidR="00E80466" w:rsidRPr="006E5D08" w14:paraId="3B7BC814" w14:textId="77777777" w:rsidTr="00A452E4">
        <w:trPr>
          <w:trHeight w:val="1740"/>
          <w:jc w:val="center"/>
        </w:trPr>
        <w:tc>
          <w:tcPr>
            <w:tcW w:w="2018" w:type="pct"/>
          </w:tcPr>
          <w:p w14:paraId="631FFC74" w14:textId="7777777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t>Work status</w:t>
            </w:r>
          </w:p>
          <w:p w14:paraId="5D24D371"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Public sector (1,042)</w:t>
            </w:r>
          </w:p>
          <w:p w14:paraId="68D08611"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Private sector (465)</w:t>
            </w:r>
          </w:p>
          <w:p w14:paraId="22B42939"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Not working (2,810)</w:t>
            </w:r>
          </w:p>
        </w:tc>
        <w:tc>
          <w:tcPr>
            <w:tcW w:w="1243" w:type="pct"/>
          </w:tcPr>
          <w:p w14:paraId="749E2A86" w14:textId="77777777" w:rsidR="00E80466" w:rsidRPr="006E5D08" w:rsidRDefault="00E80466" w:rsidP="00E80466">
            <w:pPr>
              <w:spacing w:line="240" w:lineRule="auto"/>
              <w:jc w:val="center"/>
              <w:rPr>
                <w:rFonts w:asciiTheme="majorBidi" w:hAnsiTheme="majorBidi" w:cstheme="majorBidi"/>
                <w:bCs/>
                <w:sz w:val="24"/>
                <w:szCs w:val="24"/>
              </w:rPr>
            </w:pPr>
          </w:p>
          <w:p w14:paraId="72D24712"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23.9</w:t>
            </w:r>
          </w:p>
          <w:p w14:paraId="07FD6911"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13.4</w:t>
            </w:r>
          </w:p>
          <w:p w14:paraId="1FB45777"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62.7</w:t>
            </w:r>
          </w:p>
        </w:tc>
        <w:tc>
          <w:tcPr>
            <w:tcW w:w="1739" w:type="pct"/>
          </w:tcPr>
          <w:p w14:paraId="648C4319" w14:textId="77777777" w:rsidR="00E80466" w:rsidRPr="006E5D08" w:rsidRDefault="00E80466" w:rsidP="00E80466">
            <w:pPr>
              <w:spacing w:line="240" w:lineRule="auto"/>
              <w:jc w:val="center"/>
              <w:rPr>
                <w:rFonts w:asciiTheme="majorBidi" w:hAnsiTheme="majorBidi" w:cstheme="majorBidi"/>
                <w:bCs/>
                <w:sz w:val="24"/>
                <w:szCs w:val="24"/>
              </w:rPr>
            </w:pPr>
          </w:p>
          <w:p w14:paraId="73F7123C"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21.9 – 26.0</w:t>
            </w:r>
          </w:p>
          <w:p w14:paraId="6883872C"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11.6 – 15.5</w:t>
            </w:r>
          </w:p>
          <w:p w14:paraId="18E59B19"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60.2 – 65.1</w:t>
            </w:r>
          </w:p>
        </w:tc>
      </w:tr>
    </w:tbl>
    <w:p w14:paraId="642FF309" w14:textId="77777777" w:rsidR="00A452E4" w:rsidRDefault="00A452E4" w:rsidP="00E80466">
      <w:pPr>
        <w:spacing w:line="480" w:lineRule="auto"/>
        <w:jc w:val="both"/>
        <w:rPr>
          <w:rFonts w:asciiTheme="majorBidi" w:hAnsiTheme="majorBidi" w:cstheme="majorBidi"/>
          <w:bCs/>
          <w:sz w:val="24"/>
          <w:szCs w:val="24"/>
          <w:lang w:bidi="en-US"/>
        </w:rPr>
      </w:pPr>
    </w:p>
    <w:p w14:paraId="15571CD6" w14:textId="3DB1AC68" w:rsidR="00E80466" w:rsidRPr="006E5D08" w:rsidRDefault="00E80466" w:rsidP="00E80466">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Table 2.</w:t>
      </w:r>
      <w:r w:rsidRPr="006E5D08">
        <w:rPr>
          <w:rFonts w:asciiTheme="majorBidi" w:hAnsiTheme="majorBidi" w:cstheme="majorBidi"/>
          <w:sz w:val="24"/>
          <w:szCs w:val="24"/>
          <w:lang w:bidi="en-US"/>
        </w:rPr>
        <w:t xml:space="preserve"> Prevalence of Dietary Risk Factors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4"/>
        <w:gridCol w:w="2324"/>
        <w:gridCol w:w="3252"/>
      </w:tblGrid>
      <w:tr w:rsidR="00E80466" w:rsidRPr="006E5D08" w14:paraId="750630E6" w14:textId="77777777" w:rsidTr="00A452E4">
        <w:trPr>
          <w:jc w:val="center"/>
        </w:trPr>
        <w:tc>
          <w:tcPr>
            <w:tcW w:w="2018" w:type="pct"/>
          </w:tcPr>
          <w:p w14:paraId="49F9F6D6" w14:textId="77777777" w:rsidR="00E80466" w:rsidRPr="006E5D08" w:rsidRDefault="00E80466" w:rsidP="00E80466">
            <w:pPr>
              <w:spacing w:line="480" w:lineRule="auto"/>
              <w:rPr>
                <w:rFonts w:asciiTheme="majorBidi" w:hAnsiTheme="majorBidi" w:cstheme="majorBidi"/>
                <w:b/>
                <w:sz w:val="24"/>
                <w:szCs w:val="24"/>
              </w:rPr>
            </w:pPr>
            <w:r w:rsidRPr="006E5D08">
              <w:rPr>
                <w:rFonts w:asciiTheme="majorBidi" w:hAnsiTheme="majorBidi" w:cstheme="majorBidi"/>
                <w:b/>
                <w:sz w:val="24"/>
                <w:szCs w:val="24"/>
              </w:rPr>
              <w:t>Dietary Variable</w:t>
            </w:r>
          </w:p>
        </w:tc>
        <w:tc>
          <w:tcPr>
            <w:tcW w:w="1243" w:type="pct"/>
          </w:tcPr>
          <w:p w14:paraId="157F5952" w14:textId="77777777" w:rsidR="00E80466" w:rsidRPr="006E5D08" w:rsidRDefault="00E80466" w:rsidP="00E80466">
            <w:pPr>
              <w:spacing w:line="480" w:lineRule="auto"/>
              <w:jc w:val="center"/>
              <w:rPr>
                <w:rFonts w:asciiTheme="majorBidi" w:hAnsiTheme="majorBidi" w:cstheme="majorBidi"/>
                <w:b/>
                <w:sz w:val="24"/>
                <w:szCs w:val="24"/>
              </w:rPr>
            </w:pPr>
            <w:r w:rsidRPr="006E5D08">
              <w:rPr>
                <w:rFonts w:asciiTheme="majorBidi" w:hAnsiTheme="majorBidi" w:cstheme="majorBidi"/>
                <w:b/>
                <w:sz w:val="24"/>
                <w:szCs w:val="24"/>
              </w:rPr>
              <w:t>Proportion (%)</w:t>
            </w:r>
          </w:p>
        </w:tc>
        <w:tc>
          <w:tcPr>
            <w:tcW w:w="1739" w:type="pct"/>
          </w:tcPr>
          <w:p w14:paraId="51924FA4" w14:textId="77777777" w:rsidR="00E80466" w:rsidRPr="006E5D08" w:rsidRDefault="00E80466" w:rsidP="00E80466">
            <w:pPr>
              <w:spacing w:line="480" w:lineRule="auto"/>
              <w:jc w:val="center"/>
              <w:rPr>
                <w:rFonts w:asciiTheme="majorBidi" w:hAnsiTheme="majorBidi" w:cstheme="majorBidi"/>
                <w:b/>
                <w:sz w:val="24"/>
                <w:szCs w:val="24"/>
              </w:rPr>
            </w:pPr>
            <w:r w:rsidRPr="006E5D08">
              <w:rPr>
                <w:rFonts w:asciiTheme="majorBidi" w:hAnsiTheme="majorBidi" w:cstheme="majorBidi"/>
                <w:b/>
                <w:sz w:val="24"/>
                <w:szCs w:val="24"/>
              </w:rPr>
              <w:t>95% Confidence Interval</w:t>
            </w:r>
          </w:p>
        </w:tc>
      </w:tr>
      <w:tr w:rsidR="00E80466" w:rsidRPr="006E5D08" w14:paraId="7B05BC03" w14:textId="77777777" w:rsidTr="00A452E4">
        <w:trPr>
          <w:jc w:val="center"/>
        </w:trPr>
        <w:tc>
          <w:tcPr>
            <w:tcW w:w="2018" w:type="pct"/>
          </w:tcPr>
          <w:p w14:paraId="098EDE18" w14:textId="7777777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t>High dietary salt</w:t>
            </w:r>
          </w:p>
        </w:tc>
        <w:tc>
          <w:tcPr>
            <w:tcW w:w="1243" w:type="pct"/>
          </w:tcPr>
          <w:p w14:paraId="48EAFFFB"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60.8</w:t>
            </w:r>
          </w:p>
        </w:tc>
        <w:tc>
          <w:tcPr>
            <w:tcW w:w="1739" w:type="pct"/>
          </w:tcPr>
          <w:p w14:paraId="7A6B2209"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44.6 – 74.9</w:t>
            </w:r>
          </w:p>
        </w:tc>
      </w:tr>
      <w:tr w:rsidR="00E80466" w:rsidRPr="006E5D08" w14:paraId="4DE653B7" w14:textId="77777777" w:rsidTr="00A452E4">
        <w:trPr>
          <w:jc w:val="center"/>
        </w:trPr>
        <w:tc>
          <w:tcPr>
            <w:tcW w:w="2018" w:type="pct"/>
          </w:tcPr>
          <w:p w14:paraId="260AABF6" w14:textId="7777777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t>Fruit and/or vegetable intake</w:t>
            </w:r>
          </w:p>
          <w:p w14:paraId="0273D35D"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w:t>
            </w:r>
            <w:r w:rsidRPr="006E5D08">
              <w:rPr>
                <w:rFonts w:asciiTheme="majorBidi" w:hAnsiTheme="majorBidi" w:cstheme="majorBidi"/>
                <w:bCs/>
                <w:sz w:val="24"/>
                <w:szCs w:val="24"/>
                <w:u w:val="single"/>
              </w:rPr>
              <w:t>&gt;</w:t>
            </w:r>
            <w:r w:rsidRPr="006E5D08">
              <w:rPr>
                <w:rFonts w:asciiTheme="majorBidi" w:hAnsiTheme="majorBidi" w:cstheme="majorBidi"/>
                <w:bCs/>
                <w:sz w:val="24"/>
                <w:szCs w:val="24"/>
              </w:rPr>
              <w:t>5 servings/day</w:t>
            </w:r>
          </w:p>
          <w:p w14:paraId="308045D7"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&lt;5 servings/day</w:t>
            </w:r>
          </w:p>
        </w:tc>
        <w:tc>
          <w:tcPr>
            <w:tcW w:w="1243" w:type="pct"/>
          </w:tcPr>
          <w:p w14:paraId="440425A5" w14:textId="77777777" w:rsidR="00E80466" w:rsidRPr="006E5D08" w:rsidRDefault="00E80466" w:rsidP="00E80466">
            <w:pPr>
              <w:spacing w:line="240" w:lineRule="auto"/>
              <w:jc w:val="center"/>
              <w:rPr>
                <w:rFonts w:asciiTheme="majorBidi" w:hAnsiTheme="majorBidi" w:cstheme="majorBidi"/>
                <w:bCs/>
                <w:sz w:val="24"/>
                <w:szCs w:val="24"/>
              </w:rPr>
            </w:pPr>
          </w:p>
          <w:p w14:paraId="6E2501EE"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44.2</w:t>
            </w:r>
          </w:p>
          <w:p w14:paraId="1CC8033F"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55.8</w:t>
            </w:r>
          </w:p>
        </w:tc>
        <w:tc>
          <w:tcPr>
            <w:tcW w:w="1739" w:type="pct"/>
          </w:tcPr>
          <w:p w14:paraId="40313E0F" w14:textId="77777777" w:rsidR="00E80466" w:rsidRPr="006E5D08" w:rsidRDefault="00E80466" w:rsidP="00E80466">
            <w:pPr>
              <w:spacing w:line="240" w:lineRule="auto"/>
              <w:jc w:val="center"/>
              <w:rPr>
                <w:rFonts w:asciiTheme="majorBidi" w:hAnsiTheme="majorBidi" w:cstheme="majorBidi"/>
                <w:bCs/>
                <w:sz w:val="24"/>
                <w:szCs w:val="24"/>
              </w:rPr>
            </w:pPr>
          </w:p>
          <w:p w14:paraId="3C26ABCD"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41.7 – 46.7</w:t>
            </w:r>
          </w:p>
          <w:p w14:paraId="3299B5F5"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53.3 – 58.3</w:t>
            </w:r>
          </w:p>
        </w:tc>
      </w:tr>
      <w:tr w:rsidR="00E80466" w:rsidRPr="006E5D08" w14:paraId="4ECF86D2" w14:textId="77777777" w:rsidTr="00A452E4">
        <w:trPr>
          <w:jc w:val="center"/>
        </w:trPr>
        <w:tc>
          <w:tcPr>
            <w:tcW w:w="2018" w:type="pct"/>
          </w:tcPr>
          <w:p w14:paraId="182679E9" w14:textId="7777777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t>Eating meals outside the home</w:t>
            </w:r>
          </w:p>
          <w:p w14:paraId="171F9EBD"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Never</w:t>
            </w:r>
          </w:p>
          <w:p w14:paraId="331969E4"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1-3 times per week</w:t>
            </w:r>
          </w:p>
          <w:p w14:paraId="71001044"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4 or more times per week</w:t>
            </w:r>
          </w:p>
        </w:tc>
        <w:tc>
          <w:tcPr>
            <w:tcW w:w="1243" w:type="pct"/>
          </w:tcPr>
          <w:p w14:paraId="2A7CE2A3" w14:textId="77777777" w:rsidR="00E80466" w:rsidRPr="006E5D08" w:rsidRDefault="00E80466" w:rsidP="00E80466">
            <w:pPr>
              <w:spacing w:line="240" w:lineRule="auto"/>
              <w:jc w:val="center"/>
              <w:rPr>
                <w:rFonts w:asciiTheme="majorBidi" w:hAnsiTheme="majorBidi" w:cstheme="majorBidi"/>
                <w:bCs/>
                <w:sz w:val="24"/>
                <w:szCs w:val="24"/>
              </w:rPr>
            </w:pPr>
          </w:p>
          <w:p w14:paraId="140F4A47"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38.6</w:t>
            </w:r>
          </w:p>
          <w:p w14:paraId="29A14F13"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45.3</w:t>
            </w:r>
          </w:p>
          <w:p w14:paraId="2C63581B"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16.2</w:t>
            </w:r>
          </w:p>
        </w:tc>
        <w:tc>
          <w:tcPr>
            <w:tcW w:w="1739" w:type="pct"/>
          </w:tcPr>
          <w:p w14:paraId="7A37D33B" w14:textId="77777777" w:rsidR="00E80466" w:rsidRPr="006E5D08" w:rsidRDefault="00E80466" w:rsidP="00E80466">
            <w:pPr>
              <w:spacing w:line="240" w:lineRule="auto"/>
              <w:jc w:val="center"/>
              <w:rPr>
                <w:rFonts w:asciiTheme="majorBidi" w:hAnsiTheme="majorBidi" w:cstheme="majorBidi"/>
                <w:bCs/>
                <w:sz w:val="24"/>
                <w:szCs w:val="24"/>
              </w:rPr>
            </w:pPr>
          </w:p>
          <w:p w14:paraId="4AAF6CF4"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36.2 – 40.9</w:t>
            </w:r>
          </w:p>
          <w:p w14:paraId="46F3A37B"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42.7 – 47.9</w:t>
            </w:r>
          </w:p>
          <w:p w14:paraId="0BD39388"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14.2 – 18.3</w:t>
            </w:r>
          </w:p>
        </w:tc>
      </w:tr>
      <w:tr w:rsidR="00E80466" w:rsidRPr="006E5D08" w14:paraId="746DE9A2" w14:textId="77777777" w:rsidTr="00A452E4">
        <w:trPr>
          <w:jc w:val="center"/>
        </w:trPr>
        <w:tc>
          <w:tcPr>
            <w:tcW w:w="2018" w:type="pct"/>
          </w:tcPr>
          <w:p w14:paraId="0A740BE5" w14:textId="77777777" w:rsidR="00E80466" w:rsidRPr="00E340D0" w:rsidRDefault="00E80466" w:rsidP="00E11B61">
            <w:pPr>
              <w:spacing w:line="240" w:lineRule="auto"/>
              <w:jc w:val="both"/>
              <w:rPr>
                <w:rFonts w:asciiTheme="majorBidi" w:hAnsiTheme="majorBidi" w:cstheme="majorBidi"/>
                <w:b/>
                <w:sz w:val="24"/>
                <w:szCs w:val="24"/>
              </w:rPr>
            </w:pPr>
            <w:r w:rsidRPr="00E340D0">
              <w:rPr>
                <w:rFonts w:asciiTheme="majorBidi" w:hAnsiTheme="majorBidi" w:cstheme="majorBidi"/>
                <w:b/>
                <w:sz w:val="24"/>
                <w:szCs w:val="24"/>
              </w:rPr>
              <w:t>Type of cooking oil used</w:t>
            </w:r>
          </w:p>
          <w:p w14:paraId="20F90F5C"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Vegetable oil</w:t>
            </w:r>
          </w:p>
          <w:p w14:paraId="0DCEF49F"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Butter</w:t>
            </w:r>
          </w:p>
          <w:p w14:paraId="578B3414" w14:textId="77777777" w:rsidR="00E80466" w:rsidRPr="006E5D08" w:rsidRDefault="00E80466" w:rsidP="00E11B61">
            <w:pPr>
              <w:spacing w:line="240" w:lineRule="auto"/>
              <w:jc w:val="both"/>
              <w:rPr>
                <w:rFonts w:asciiTheme="majorBidi" w:hAnsiTheme="majorBidi" w:cstheme="majorBidi"/>
                <w:bCs/>
                <w:sz w:val="24"/>
                <w:szCs w:val="24"/>
              </w:rPr>
            </w:pPr>
            <w:r w:rsidRPr="006E5D08">
              <w:rPr>
                <w:rFonts w:asciiTheme="majorBidi" w:hAnsiTheme="majorBidi" w:cstheme="majorBidi"/>
                <w:bCs/>
                <w:sz w:val="24"/>
                <w:szCs w:val="24"/>
              </w:rPr>
              <w:t xml:space="preserve">  Other</w:t>
            </w:r>
          </w:p>
        </w:tc>
        <w:tc>
          <w:tcPr>
            <w:tcW w:w="1243" w:type="pct"/>
          </w:tcPr>
          <w:p w14:paraId="1259C593" w14:textId="77777777" w:rsidR="00E80466" w:rsidRPr="006E5D08" w:rsidRDefault="00E80466" w:rsidP="00E80466">
            <w:pPr>
              <w:spacing w:line="240" w:lineRule="auto"/>
              <w:jc w:val="center"/>
              <w:rPr>
                <w:rFonts w:asciiTheme="majorBidi" w:hAnsiTheme="majorBidi" w:cstheme="majorBidi"/>
                <w:bCs/>
                <w:sz w:val="24"/>
                <w:szCs w:val="24"/>
              </w:rPr>
            </w:pPr>
          </w:p>
          <w:p w14:paraId="18FD57DF"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87.3</w:t>
            </w:r>
          </w:p>
          <w:p w14:paraId="4A20B3B8"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4.3</w:t>
            </w:r>
          </w:p>
          <w:p w14:paraId="639B6C0A"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8.4</w:t>
            </w:r>
          </w:p>
        </w:tc>
        <w:tc>
          <w:tcPr>
            <w:tcW w:w="1739" w:type="pct"/>
          </w:tcPr>
          <w:p w14:paraId="5C8C9F70" w14:textId="77777777" w:rsidR="00E80466" w:rsidRPr="006E5D08" w:rsidRDefault="00E80466" w:rsidP="00E80466">
            <w:pPr>
              <w:spacing w:line="240" w:lineRule="auto"/>
              <w:jc w:val="center"/>
              <w:rPr>
                <w:rFonts w:asciiTheme="majorBidi" w:hAnsiTheme="majorBidi" w:cstheme="majorBidi"/>
                <w:bCs/>
                <w:sz w:val="24"/>
                <w:szCs w:val="24"/>
              </w:rPr>
            </w:pPr>
          </w:p>
          <w:p w14:paraId="19CD636E"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85.7 – 88.8</w:t>
            </w:r>
          </w:p>
          <w:p w14:paraId="776C4155"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3.4 – 5.6</w:t>
            </w:r>
          </w:p>
          <w:p w14:paraId="0F1359EF" w14:textId="77777777" w:rsidR="00E80466" w:rsidRPr="006E5D08" w:rsidRDefault="00E80466" w:rsidP="00E80466">
            <w:pPr>
              <w:spacing w:line="240" w:lineRule="auto"/>
              <w:jc w:val="center"/>
              <w:rPr>
                <w:rFonts w:asciiTheme="majorBidi" w:hAnsiTheme="majorBidi" w:cstheme="majorBidi"/>
                <w:bCs/>
                <w:sz w:val="24"/>
                <w:szCs w:val="24"/>
              </w:rPr>
            </w:pPr>
            <w:r w:rsidRPr="006E5D08">
              <w:rPr>
                <w:rFonts w:asciiTheme="majorBidi" w:hAnsiTheme="majorBidi" w:cstheme="majorBidi"/>
                <w:bCs/>
                <w:sz w:val="24"/>
                <w:szCs w:val="24"/>
              </w:rPr>
              <w:t>7.2 – 9.6</w:t>
            </w:r>
          </w:p>
        </w:tc>
      </w:tr>
    </w:tbl>
    <w:p w14:paraId="29BFEBC5" w14:textId="77777777" w:rsidR="00E80466" w:rsidRDefault="00E80466" w:rsidP="007E30CF">
      <w:pPr>
        <w:spacing w:line="480" w:lineRule="auto"/>
        <w:jc w:val="both"/>
        <w:rPr>
          <w:rFonts w:asciiTheme="majorBidi" w:hAnsiTheme="majorBidi" w:cstheme="majorBidi"/>
          <w:i/>
          <w:iCs/>
          <w:sz w:val="24"/>
          <w:szCs w:val="24"/>
          <w:lang w:bidi="en-US"/>
        </w:rPr>
      </w:pPr>
    </w:p>
    <w:p w14:paraId="3F22DF15" w14:textId="77777777" w:rsidR="00E80466" w:rsidRDefault="00E80466" w:rsidP="007E30CF">
      <w:pPr>
        <w:spacing w:line="480" w:lineRule="auto"/>
        <w:jc w:val="both"/>
        <w:rPr>
          <w:rFonts w:asciiTheme="majorBidi" w:hAnsiTheme="majorBidi" w:cstheme="majorBidi"/>
          <w:i/>
          <w:iCs/>
          <w:sz w:val="24"/>
          <w:szCs w:val="24"/>
          <w:lang w:bidi="en-US"/>
        </w:rPr>
      </w:pPr>
    </w:p>
    <w:p w14:paraId="6DBC4F43" w14:textId="77777777" w:rsidR="00E80466" w:rsidRPr="006E5D08" w:rsidRDefault="00E80466" w:rsidP="00E80466">
      <w:pPr>
        <w:spacing w:line="480" w:lineRule="auto"/>
        <w:jc w:val="both"/>
        <w:rPr>
          <w:rFonts w:asciiTheme="majorBidi" w:hAnsiTheme="majorBidi" w:cstheme="majorBidi"/>
          <w:i/>
          <w:iCs/>
          <w:sz w:val="24"/>
          <w:szCs w:val="24"/>
          <w:lang w:bidi="en-US"/>
        </w:rPr>
      </w:pPr>
      <w:r w:rsidRPr="006E5D08">
        <w:rPr>
          <w:rFonts w:asciiTheme="majorBidi" w:hAnsiTheme="majorBidi" w:cstheme="majorBidi"/>
          <w:i/>
          <w:iCs/>
          <w:sz w:val="24"/>
          <w:szCs w:val="24"/>
          <w:lang w:bidi="en-US"/>
        </w:rPr>
        <w:lastRenderedPageBreak/>
        <w:t>Dietary Risk Factor Associations</w:t>
      </w:r>
    </w:p>
    <w:p w14:paraId="6C39B526" w14:textId="1030D0B5" w:rsidR="00E80466" w:rsidRPr="006E5D08" w:rsidRDefault="00E80466" w:rsidP="00BD3A72">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 xml:space="preserve">Fruits and vegetables intake varied significantly within the different age groups, education level groups, and marital status groups (all p&lt;0.001) (Table S1). The majority of respondents who </w:t>
      </w:r>
      <w:r w:rsidR="00BD3A72">
        <w:rPr>
          <w:rFonts w:asciiTheme="majorBidi" w:hAnsiTheme="majorBidi" w:cstheme="majorBidi"/>
          <w:sz w:val="24"/>
          <w:szCs w:val="24"/>
          <w:lang w:bidi="en-US"/>
        </w:rPr>
        <w:t>had an intake of</w:t>
      </w:r>
      <w:r w:rsidRPr="006E5D08">
        <w:rPr>
          <w:rFonts w:asciiTheme="majorBidi" w:hAnsiTheme="majorBidi" w:cstheme="majorBidi"/>
          <w:sz w:val="24"/>
          <w:szCs w:val="24"/>
          <w:lang w:bidi="en-US"/>
        </w:rPr>
        <w:t xml:space="preserve"> less than 5 servings of fruits and vegetables were young (18-29 years old) (37.4%), completed secondary school (42.2%) and were married (57.9%)).</w:t>
      </w:r>
    </w:p>
    <w:p w14:paraId="18043E54" w14:textId="77777777" w:rsidR="009E594E" w:rsidRDefault="009E594E" w:rsidP="007E30CF">
      <w:pPr>
        <w:spacing w:line="480" w:lineRule="auto"/>
        <w:jc w:val="both"/>
        <w:rPr>
          <w:rFonts w:asciiTheme="majorBidi" w:hAnsiTheme="majorBidi" w:cstheme="majorBidi"/>
          <w:bCs/>
          <w:sz w:val="24"/>
          <w:szCs w:val="24"/>
          <w:lang w:bidi="en-US"/>
        </w:rPr>
      </w:pPr>
    </w:p>
    <w:p w14:paraId="54230D67" w14:textId="4E468AAB" w:rsidR="006E5D08" w:rsidRDefault="006E5D08" w:rsidP="007E30C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Similarly, eating outside the home was associated with age, sex, education level, marital status and working status (all p&lt;0.001). Most respondents eating more than 4 times/week were 18-29 years (56.4%), men (64.9%), and completed secondary school (48.8%), never married (30.1%), and not currently working (47.4%). Most of the women ate at home while most of the men eat 1-3 times/week outside the home. In general, as the education level increased, there was a higher tendency for eating outside the home. Most of those who were working were eating from outside but those who were not working ate mostly at home (Table S2).</w:t>
      </w:r>
    </w:p>
    <w:p w14:paraId="59069E51" w14:textId="77777777" w:rsidR="007E30CF" w:rsidRPr="006E5D08" w:rsidRDefault="007E30CF" w:rsidP="007E30CF">
      <w:pPr>
        <w:spacing w:line="480" w:lineRule="auto"/>
        <w:jc w:val="both"/>
        <w:rPr>
          <w:rFonts w:asciiTheme="majorBidi" w:hAnsiTheme="majorBidi" w:cstheme="majorBidi"/>
          <w:bCs/>
          <w:sz w:val="24"/>
          <w:szCs w:val="24"/>
          <w:lang w:bidi="en-US"/>
        </w:rPr>
      </w:pPr>
    </w:p>
    <w:p w14:paraId="5FC60481" w14:textId="4C84A1AD" w:rsidR="006E5D08" w:rsidRDefault="006E5D08" w:rsidP="00494FA1">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 xml:space="preserve">We found that the type of oil used for cooking varied significantly among sex, educational level, and working status groups (all p&lt;0.001). Most respondents who used vegetable oils were mostly women (56.2%), completed secondary school (42.3%) and not working (61.9%). Among all subcategories of the above which showed significant correlation with the type of </w:t>
      </w:r>
      <w:r w:rsidR="00494FA1">
        <w:rPr>
          <w:rFonts w:asciiTheme="majorBidi" w:hAnsiTheme="majorBidi" w:cstheme="majorBidi"/>
          <w:bCs/>
          <w:sz w:val="24"/>
          <w:szCs w:val="24"/>
          <w:lang w:bidi="en-US"/>
        </w:rPr>
        <w:t xml:space="preserve">cooking </w:t>
      </w:r>
      <w:r w:rsidRPr="006E5D08">
        <w:rPr>
          <w:rFonts w:asciiTheme="majorBidi" w:hAnsiTheme="majorBidi" w:cstheme="majorBidi"/>
          <w:bCs/>
          <w:sz w:val="24"/>
          <w:szCs w:val="24"/>
          <w:lang w:bidi="en-US"/>
        </w:rPr>
        <w:t xml:space="preserve">oil used, vegetable oil was the main oil used for cooking (Table S3). </w:t>
      </w:r>
    </w:p>
    <w:p w14:paraId="5437B1E0" w14:textId="77777777" w:rsidR="007E30CF" w:rsidRPr="006E5D08" w:rsidRDefault="007E30CF" w:rsidP="007E30CF">
      <w:pPr>
        <w:spacing w:line="480" w:lineRule="auto"/>
        <w:jc w:val="both"/>
        <w:rPr>
          <w:rFonts w:asciiTheme="majorBidi" w:hAnsiTheme="majorBidi" w:cstheme="majorBidi"/>
          <w:bCs/>
          <w:sz w:val="24"/>
          <w:szCs w:val="24"/>
          <w:lang w:bidi="en-US"/>
        </w:rPr>
      </w:pPr>
    </w:p>
    <w:p w14:paraId="4AA7ABC5" w14:textId="77777777" w:rsidR="006E5D08" w:rsidRDefault="006E5D08" w:rsidP="007E30C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lastRenderedPageBreak/>
        <w:t>Those having high blood pressure were mostly eating outside the home (55%). However, most of those who were eating more than 4 times outside had normal systolic blood pressure. They mostly used vegetable oil for cooking (88.2%). Fruits and vegetables did not vary significantly between blood pressure groups.</w:t>
      </w:r>
    </w:p>
    <w:p w14:paraId="29D677B1" w14:textId="77777777" w:rsidR="007E30CF" w:rsidRPr="006E5D08" w:rsidRDefault="007E30CF" w:rsidP="007E30CF">
      <w:pPr>
        <w:spacing w:line="480" w:lineRule="auto"/>
        <w:jc w:val="both"/>
        <w:rPr>
          <w:rFonts w:asciiTheme="majorBidi" w:hAnsiTheme="majorBidi" w:cstheme="majorBidi"/>
          <w:bCs/>
          <w:sz w:val="24"/>
          <w:szCs w:val="24"/>
          <w:lang w:bidi="en-US"/>
        </w:rPr>
      </w:pPr>
    </w:p>
    <w:p w14:paraId="1D75756B" w14:textId="14B70E61" w:rsidR="006E5D08" w:rsidRPr="006E5D08" w:rsidRDefault="006E5D08" w:rsidP="007E30C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Most of those who are eating outside more than 4 times/week and those using vegetable oil for cooking are having normal weight but abnormal waist-to-hip ratio. Higher total cholesterol is seen more with those who are eatin</w:t>
      </w:r>
      <w:r w:rsidR="00BD3A72">
        <w:rPr>
          <w:rFonts w:asciiTheme="majorBidi" w:hAnsiTheme="majorBidi" w:cstheme="majorBidi"/>
          <w:bCs/>
          <w:sz w:val="24"/>
          <w:szCs w:val="24"/>
          <w:lang w:bidi="en-US"/>
        </w:rPr>
        <w:t>g at home and eating less than five</w:t>
      </w:r>
      <w:r w:rsidRPr="006E5D08">
        <w:rPr>
          <w:rFonts w:asciiTheme="majorBidi" w:hAnsiTheme="majorBidi" w:cstheme="majorBidi"/>
          <w:bCs/>
          <w:sz w:val="24"/>
          <w:szCs w:val="24"/>
          <w:lang w:bidi="en-US"/>
        </w:rPr>
        <w:t xml:space="preserve"> serving</w:t>
      </w:r>
      <w:r w:rsidR="00BD3A72">
        <w:rPr>
          <w:rFonts w:asciiTheme="majorBidi" w:hAnsiTheme="majorBidi" w:cstheme="majorBidi"/>
          <w:bCs/>
          <w:sz w:val="24"/>
          <w:szCs w:val="24"/>
          <w:lang w:bidi="en-US"/>
        </w:rPr>
        <w:t>s</w:t>
      </w:r>
      <w:r w:rsidRPr="006E5D08">
        <w:rPr>
          <w:rFonts w:asciiTheme="majorBidi" w:hAnsiTheme="majorBidi" w:cstheme="majorBidi"/>
          <w:bCs/>
          <w:sz w:val="24"/>
          <w:szCs w:val="24"/>
          <w:lang w:bidi="en-US"/>
        </w:rPr>
        <w:t xml:space="preserve"> of fruits and vegetables but it is not correlated significantly with type of oil used for cooking. Interestingly, Low </w:t>
      </w:r>
      <w:bookmarkStart w:id="9" w:name="_Hlk76031002"/>
      <w:r w:rsidRPr="006E5D08">
        <w:rPr>
          <w:rFonts w:asciiTheme="majorBidi" w:hAnsiTheme="majorBidi" w:cstheme="majorBidi"/>
          <w:bCs/>
          <w:sz w:val="24"/>
          <w:szCs w:val="24"/>
          <w:lang w:bidi="en-US"/>
        </w:rPr>
        <w:t>HDL</w:t>
      </w:r>
      <w:bookmarkEnd w:id="9"/>
      <w:r w:rsidRPr="006E5D08">
        <w:rPr>
          <w:rFonts w:asciiTheme="majorBidi" w:hAnsiTheme="majorBidi" w:cstheme="majorBidi"/>
          <w:bCs/>
          <w:sz w:val="24"/>
          <w:szCs w:val="24"/>
          <w:lang w:bidi="en-US"/>
        </w:rPr>
        <w:t xml:space="preserve"> was seen mostly among those who ate more than 4 times/week outside compared to those who ate a home. We found that high blood glucose is found more in vegetable oil users and those who are eating at home. Regressing total cholesterol on the dietary risk factors and controlling for sociodemographic (age, sex, work status, marital status, education level, family history of </w:t>
      </w:r>
      <w:proofErr w:type="spellStart"/>
      <w:r w:rsidRPr="006E5D08">
        <w:rPr>
          <w:rFonts w:asciiTheme="majorBidi" w:hAnsiTheme="majorBidi" w:cstheme="majorBidi"/>
          <w:bCs/>
          <w:sz w:val="24"/>
          <w:szCs w:val="24"/>
          <w:lang w:bidi="en-US"/>
        </w:rPr>
        <w:t>hypercholesteremia</w:t>
      </w:r>
      <w:proofErr w:type="spellEnd"/>
      <w:r w:rsidRPr="006E5D08">
        <w:rPr>
          <w:rFonts w:asciiTheme="majorBidi" w:hAnsiTheme="majorBidi" w:cstheme="majorBidi"/>
          <w:bCs/>
          <w:sz w:val="24"/>
          <w:szCs w:val="24"/>
          <w:lang w:bidi="en-US"/>
        </w:rPr>
        <w:t>), and biophysical factors (obesity, waist-to-hip ratio) we found that dietary risk factors are significant indicators for total cholesterol level (Table 3). Further analysis on margins, we found that higher total cholesterol level is associated with eating less fruits and vegetables, using vegetable oil for cooking, and eating at home (Figure 1-A, B, C).</w:t>
      </w:r>
    </w:p>
    <w:p w14:paraId="3E263CF9" w14:textId="77777777" w:rsidR="006E5D08" w:rsidRPr="001133F6" w:rsidRDefault="006E5D08" w:rsidP="007E30CF">
      <w:pPr>
        <w:spacing w:line="480" w:lineRule="auto"/>
        <w:jc w:val="both"/>
        <w:rPr>
          <w:rFonts w:asciiTheme="majorBidi" w:hAnsiTheme="majorBidi" w:cstheme="majorBidi"/>
          <w:bCs/>
          <w:lang w:bidi="en-US"/>
        </w:rPr>
      </w:pPr>
    </w:p>
    <w:p w14:paraId="5BFDF1A6" w14:textId="77777777" w:rsidR="006E5D08" w:rsidRPr="006E5D08" w:rsidRDefault="006E5D08" w:rsidP="007E30CF">
      <w:pPr>
        <w:spacing w:line="480" w:lineRule="auto"/>
        <w:jc w:val="both"/>
        <w:rPr>
          <w:rFonts w:asciiTheme="majorBidi" w:hAnsiTheme="majorBidi" w:cstheme="majorBidi"/>
          <w:bCs/>
          <w:sz w:val="24"/>
          <w:szCs w:val="24"/>
          <w:lang w:bidi="en-US"/>
        </w:rPr>
      </w:pPr>
      <w:r w:rsidRPr="006E5D08">
        <w:rPr>
          <w:rFonts w:asciiTheme="majorBidi" w:hAnsiTheme="majorBidi" w:cstheme="majorBidi"/>
          <w:bCs/>
          <w:sz w:val="24"/>
          <w:szCs w:val="24"/>
          <w:lang w:bidi="en-US"/>
        </w:rPr>
        <w:t>Table 3. Output of regression model of Total cholesterol on dietary risk factors controlling for sociodemographic and biophysical factors</w:t>
      </w:r>
    </w:p>
    <w:tbl>
      <w:tblPr>
        <w:tblW w:w="5000" w:type="pct"/>
        <w:jc w:val="right"/>
        <w:tblLook w:val="04A0" w:firstRow="1" w:lastRow="0" w:firstColumn="1" w:lastColumn="0" w:noHBand="0" w:noVBand="1"/>
      </w:tblPr>
      <w:tblGrid>
        <w:gridCol w:w="4107"/>
        <w:gridCol w:w="1842"/>
        <w:gridCol w:w="2167"/>
        <w:gridCol w:w="1234"/>
      </w:tblGrid>
      <w:tr w:rsidR="006E5D08" w:rsidRPr="006E5D08" w14:paraId="36334C18"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18B76554" w14:textId="77777777" w:rsidR="006E5D08" w:rsidRPr="006E5D08" w:rsidRDefault="006E5D08" w:rsidP="00E80466">
            <w:pPr>
              <w:spacing w:line="240" w:lineRule="auto"/>
              <w:jc w:val="both"/>
              <w:rPr>
                <w:rFonts w:asciiTheme="majorBidi" w:hAnsiTheme="majorBidi" w:cstheme="majorBidi"/>
                <w:b/>
                <w:bCs/>
                <w:sz w:val="24"/>
                <w:szCs w:val="24"/>
              </w:rPr>
            </w:pPr>
            <w:r w:rsidRPr="006E5D08">
              <w:rPr>
                <w:rFonts w:asciiTheme="majorBidi" w:hAnsiTheme="majorBidi" w:cstheme="majorBidi"/>
                <w:b/>
                <w:bCs/>
                <w:sz w:val="24"/>
                <w:szCs w:val="24"/>
              </w:rPr>
              <w:t>Covariates</w:t>
            </w:r>
          </w:p>
        </w:tc>
        <w:tc>
          <w:tcPr>
            <w:tcW w:w="985" w:type="pct"/>
            <w:tcBorders>
              <w:top w:val="single" w:sz="4" w:space="0" w:color="auto"/>
              <w:left w:val="single" w:sz="4" w:space="0" w:color="auto"/>
              <w:bottom w:val="single" w:sz="4" w:space="0" w:color="auto"/>
              <w:right w:val="single" w:sz="4" w:space="0" w:color="auto"/>
            </w:tcBorders>
          </w:tcPr>
          <w:p w14:paraId="4EB6FE83" w14:textId="77777777" w:rsidR="006E5D08" w:rsidRPr="006E5D08" w:rsidRDefault="006E5D08" w:rsidP="001133F6">
            <w:pPr>
              <w:spacing w:line="240" w:lineRule="auto"/>
              <w:jc w:val="center"/>
              <w:rPr>
                <w:rFonts w:asciiTheme="majorBidi" w:hAnsiTheme="majorBidi" w:cstheme="majorBidi"/>
                <w:b/>
                <w:bCs/>
                <w:sz w:val="24"/>
                <w:szCs w:val="24"/>
              </w:rPr>
            </w:pPr>
            <w:r w:rsidRPr="006E5D08">
              <w:rPr>
                <w:rFonts w:asciiTheme="majorBidi" w:hAnsiTheme="majorBidi" w:cstheme="majorBidi"/>
                <w:b/>
                <w:bCs/>
                <w:sz w:val="24"/>
                <w:szCs w:val="24"/>
              </w:rPr>
              <w:t>Coefficient (x10</w:t>
            </w:r>
            <w:r w:rsidRPr="006E5D08">
              <w:rPr>
                <w:rFonts w:asciiTheme="majorBidi" w:hAnsiTheme="majorBidi" w:cstheme="majorBidi"/>
                <w:b/>
                <w:bCs/>
                <w:sz w:val="24"/>
                <w:szCs w:val="24"/>
                <w:vertAlign w:val="superscript"/>
              </w:rPr>
              <w:t>-3</w:t>
            </w:r>
            <w:r w:rsidRPr="006E5D08">
              <w:rPr>
                <w:rFonts w:asciiTheme="majorBidi" w:hAnsiTheme="majorBidi" w:cstheme="majorBidi"/>
                <w:b/>
                <w:bCs/>
                <w:sz w:val="24"/>
                <w:szCs w:val="24"/>
              </w:rPr>
              <w:t>)</w:t>
            </w:r>
          </w:p>
        </w:tc>
        <w:tc>
          <w:tcPr>
            <w:tcW w:w="1159" w:type="pct"/>
            <w:tcBorders>
              <w:top w:val="single" w:sz="4" w:space="0" w:color="auto"/>
              <w:left w:val="single" w:sz="4" w:space="0" w:color="auto"/>
              <w:bottom w:val="single" w:sz="4" w:space="0" w:color="auto"/>
              <w:right w:val="single" w:sz="4" w:space="0" w:color="auto"/>
            </w:tcBorders>
          </w:tcPr>
          <w:p w14:paraId="5D4ECDDE" w14:textId="77777777" w:rsidR="006E5D08" w:rsidRPr="006E5D08" w:rsidRDefault="006E5D08" w:rsidP="001133F6">
            <w:pPr>
              <w:spacing w:line="240" w:lineRule="auto"/>
              <w:jc w:val="center"/>
              <w:rPr>
                <w:rFonts w:asciiTheme="majorBidi" w:hAnsiTheme="majorBidi" w:cstheme="majorBidi"/>
                <w:b/>
                <w:bCs/>
                <w:sz w:val="24"/>
                <w:szCs w:val="24"/>
              </w:rPr>
            </w:pPr>
            <w:r w:rsidRPr="006E5D08">
              <w:rPr>
                <w:rFonts w:asciiTheme="majorBidi" w:hAnsiTheme="majorBidi" w:cstheme="majorBidi"/>
                <w:b/>
                <w:bCs/>
                <w:sz w:val="24"/>
                <w:szCs w:val="24"/>
              </w:rPr>
              <w:t>95% Confidence Intervals (x10</w:t>
            </w:r>
            <w:r w:rsidRPr="006E5D08">
              <w:rPr>
                <w:rFonts w:asciiTheme="majorBidi" w:hAnsiTheme="majorBidi" w:cstheme="majorBidi"/>
                <w:b/>
                <w:bCs/>
                <w:sz w:val="24"/>
                <w:szCs w:val="24"/>
                <w:vertAlign w:val="superscript"/>
              </w:rPr>
              <w:t>-3</w:t>
            </w:r>
            <w:r w:rsidRPr="006E5D08">
              <w:rPr>
                <w:rFonts w:asciiTheme="majorBidi" w:hAnsiTheme="majorBidi" w:cstheme="majorBidi"/>
                <w:b/>
                <w:bCs/>
                <w:sz w:val="24"/>
                <w:szCs w:val="24"/>
              </w:rPr>
              <w:t>)</w:t>
            </w:r>
          </w:p>
        </w:tc>
        <w:tc>
          <w:tcPr>
            <w:tcW w:w="660" w:type="pct"/>
            <w:tcBorders>
              <w:top w:val="single" w:sz="4" w:space="0" w:color="auto"/>
              <w:left w:val="single" w:sz="4" w:space="0" w:color="auto"/>
              <w:bottom w:val="single" w:sz="4" w:space="0" w:color="auto"/>
              <w:right w:val="single" w:sz="4" w:space="0" w:color="auto"/>
            </w:tcBorders>
          </w:tcPr>
          <w:p w14:paraId="333C952A" w14:textId="77777777" w:rsidR="006E5D08" w:rsidRPr="006E5D08" w:rsidRDefault="006E5D08" w:rsidP="001133F6">
            <w:pPr>
              <w:spacing w:line="240" w:lineRule="auto"/>
              <w:jc w:val="center"/>
              <w:rPr>
                <w:rFonts w:asciiTheme="majorBidi" w:hAnsiTheme="majorBidi" w:cstheme="majorBidi"/>
                <w:b/>
                <w:bCs/>
                <w:sz w:val="24"/>
                <w:szCs w:val="24"/>
              </w:rPr>
            </w:pPr>
            <w:r w:rsidRPr="006E5D08">
              <w:rPr>
                <w:rFonts w:asciiTheme="majorBidi" w:hAnsiTheme="majorBidi" w:cstheme="majorBidi"/>
                <w:b/>
                <w:bCs/>
                <w:sz w:val="24"/>
                <w:szCs w:val="24"/>
              </w:rPr>
              <w:t>p-value</w:t>
            </w:r>
          </w:p>
        </w:tc>
      </w:tr>
      <w:tr w:rsidR="006E5D08" w:rsidRPr="006E5D08" w14:paraId="50411EBD"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68FAF468"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lastRenderedPageBreak/>
              <w:t>Age (years)</w:t>
            </w:r>
          </w:p>
        </w:tc>
        <w:tc>
          <w:tcPr>
            <w:tcW w:w="985" w:type="pct"/>
            <w:tcBorders>
              <w:top w:val="single" w:sz="4" w:space="0" w:color="auto"/>
              <w:left w:val="single" w:sz="4" w:space="0" w:color="auto"/>
              <w:bottom w:val="single" w:sz="4" w:space="0" w:color="auto"/>
              <w:right w:val="single" w:sz="4" w:space="0" w:color="auto"/>
            </w:tcBorders>
          </w:tcPr>
          <w:p w14:paraId="7E7F22C1"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7.9</w:t>
            </w:r>
          </w:p>
        </w:tc>
        <w:tc>
          <w:tcPr>
            <w:tcW w:w="1159" w:type="pct"/>
            <w:tcBorders>
              <w:top w:val="single" w:sz="4" w:space="0" w:color="auto"/>
              <w:left w:val="single" w:sz="4" w:space="0" w:color="auto"/>
              <w:bottom w:val="single" w:sz="4" w:space="0" w:color="auto"/>
              <w:right w:val="single" w:sz="4" w:space="0" w:color="auto"/>
            </w:tcBorders>
            <w:vAlign w:val="bottom"/>
          </w:tcPr>
          <w:p w14:paraId="6E65324F"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4.6 - 11.1</w:t>
            </w:r>
          </w:p>
        </w:tc>
        <w:tc>
          <w:tcPr>
            <w:tcW w:w="660" w:type="pct"/>
            <w:tcBorders>
              <w:top w:val="single" w:sz="4" w:space="0" w:color="auto"/>
              <w:left w:val="single" w:sz="4" w:space="0" w:color="auto"/>
              <w:bottom w:val="single" w:sz="4" w:space="0" w:color="auto"/>
              <w:right w:val="single" w:sz="4" w:space="0" w:color="auto"/>
            </w:tcBorders>
          </w:tcPr>
          <w:p w14:paraId="3B47E5A1"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&lt;0.001</w:t>
            </w:r>
          </w:p>
        </w:tc>
      </w:tr>
      <w:tr w:rsidR="006E5D08" w:rsidRPr="006E5D08" w14:paraId="37C54361"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6D451CE9"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Sex (</w:t>
            </w:r>
            <w:proofErr w:type="spellStart"/>
            <w:r w:rsidRPr="006E5D08">
              <w:rPr>
                <w:rFonts w:asciiTheme="majorBidi" w:hAnsiTheme="majorBidi" w:cstheme="majorBidi"/>
                <w:sz w:val="24"/>
                <w:szCs w:val="24"/>
              </w:rPr>
              <w:t>mnf</w:t>
            </w:r>
            <w:proofErr w:type="spellEnd"/>
            <w:r w:rsidRPr="006E5D08">
              <w:rPr>
                <w:rFonts w:asciiTheme="majorBidi" w:hAnsiTheme="majorBidi" w:cstheme="majorBidi"/>
                <w:sz w:val="24"/>
                <w:szCs w:val="24"/>
              </w:rPr>
              <w:t>)</w:t>
            </w:r>
          </w:p>
        </w:tc>
        <w:tc>
          <w:tcPr>
            <w:tcW w:w="985" w:type="pct"/>
            <w:tcBorders>
              <w:top w:val="single" w:sz="4" w:space="0" w:color="auto"/>
              <w:left w:val="single" w:sz="4" w:space="0" w:color="auto"/>
              <w:bottom w:val="single" w:sz="4" w:space="0" w:color="auto"/>
              <w:right w:val="single" w:sz="4" w:space="0" w:color="auto"/>
            </w:tcBorders>
          </w:tcPr>
          <w:p w14:paraId="0F731833"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130.6</w:t>
            </w:r>
          </w:p>
        </w:tc>
        <w:tc>
          <w:tcPr>
            <w:tcW w:w="1159" w:type="pct"/>
            <w:tcBorders>
              <w:top w:val="single" w:sz="4" w:space="0" w:color="auto"/>
              <w:left w:val="single" w:sz="4" w:space="0" w:color="auto"/>
              <w:bottom w:val="single" w:sz="4" w:space="0" w:color="auto"/>
              <w:right w:val="single" w:sz="4" w:space="0" w:color="auto"/>
            </w:tcBorders>
            <w:vAlign w:val="bottom"/>
          </w:tcPr>
          <w:p w14:paraId="4D741240"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48.4 - 212.8</w:t>
            </w:r>
          </w:p>
        </w:tc>
        <w:tc>
          <w:tcPr>
            <w:tcW w:w="660" w:type="pct"/>
            <w:tcBorders>
              <w:top w:val="single" w:sz="4" w:space="0" w:color="auto"/>
              <w:left w:val="single" w:sz="4" w:space="0" w:color="auto"/>
              <w:bottom w:val="single" w:sz="4" w:space="0" w:color="auto"/>
              <w:right w:val="single" w:sz="4" w:space="0" w:color="auto"/>
            </w:tcBorders>
          </w:tcPr>
          <w:p w14:paraId="78ED0427"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0.002</w:t>
            </w:r>
          </w:p>
        </w:tc>
      </w:tr>
      <w:tr w:rsidR="006E5D08" w:rsidRPr="006E5D08" w14:paraId="015FC76D"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25B6B9C8"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Marital status*</w:t>
            </w:r>
          </w:p>
        </w:tc>
        <w:tc>
          <w:tcPr>
            <w:tcW w:w="985" w:type="pct"/>
            <w:tcBorders>
              <w:top w:val="single" w:sz="4" w:space="0" w:color="auto"/>
              <w:left w:val="single" w:sz="4" w:space="0" w:color="auto"/>
              <w:bottom w:val="single" w:sz="4" w:space="0" w:color="auto"/>
              <w:right w:val="single" w:sz="4" w:space="0" w:color="auto"/>
            </w:tcBorders>
          </w:tcPr>
          <w:p w14:paraId="6E01E374"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35.7</w:t>
            </w:r>
          </w:p>
        </w:tc>
        <w:tc>
          <w:tcPr>
            <w:tcW w:w="1159" w:type="pct"/>
            <w:tcBorders>
              <w:top w:val="single" w:sz="4" w:space="0" w:color="auto"/>
              <w:left w:val="single" w:sz="4" w:space="0" w:color="auto"/>
              <w:bottom w:val="single" w:sz="4" w:space="0" w:color="auto"/>
              <w:right w:val="single" w:sz="4" w:space="0" w:color="auto"/>
            </w:tcBorders>
            <w:vAlign w:val="bottom"/>
          </w:tcPr>
          <w:p w14:paraId="597FC303"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-21.5 - 93.0</w:t>
            </w:r>
          </w:p>
        </w:tc>
        <w:tc>
          <w:tcPr>
            <w:tcW w:w="660" w:type="pct"/>
            <w:tcBorders>
              <w:top w:val="single" w:sz="4" w:space="0" w:color="auto"/>
              <w:left w:val="single" w:sz="4" w:space="0" w:color="auto"/>
              <w:bottom w:val="single" w:sz="4" w:space="0" w:color="auto"/>
              <w:right w:val="single" w:sz="4" w:space="0" w:color="auto"/>
            </w:tcBorders>
          </w:tcPr>
          <w:p w14:paraId="15693D42"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0.221</w:t>
            </w:r>
          </w:p>
        </w:tc>
      </w:tr>
      <w:tr w:rsidR="006E5D08" w:rsidRPr="006E5D08" w14:paraId="6C69E80A"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527247C9"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Educational levels*</w:t>
            </w:r>
          </w:p>
        </w:tc>
        <w:tc>
          <w:tcPr>
            <w:tcW w:w="985" w:type="pct"/>
            <w:tcBorders>
              <w:top w:val="single" w:sz="4" w:space="0" w:color="auto"/>
              <w:left w:val="single" w:sz="4" w:space="0" w:color="auto"/>
              <w:bottom w:val="single" w:sz="4" w:space="0" w:color="auto"/>
              <w:right w:val="single" w:sz="4" w:space="0" w:color="auto"/>
            </w:tcBorders>
          </w:tcPr>
          <w:p w14:paraId="0538C3CA"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-56.1</w:t>
            </w:r>
          </w:p>
        </w:tc>
        <w:tc>
          <w:tcPr>
            <w:tcW w:w="1159" w:type="pct"/>
            <w:tcBorders>
              <w:top w:val="single" w:sz="4" w:space="0" w:color="auto"/>
              <w:left w:val="single" w:sz="4" w:space="0" w:color="auto"/>
              <w:bottom w:val="single" w:sz="4" w:space="0" w:color="auto"/>
              <w:right w:val="single" w:sz="4" w:space="0" w:color="auto"/>
            </w:tcBorders>
            <w:vAlign w:val="bottom"/>
          </w:tcPr>
          <w:p w14:paraId="6DBBCC2F"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-97.6 - 14.6</w:t>
            </w:r>
          </w:p>
        </w:tc>
        <w:tc>
          <w:tcPr>
            <w:tcW w:w="660" w:type="pct"/>
            <w:tcBorders>
              <w:top w:val="single" w:sz="4" w:space="0" w:color="auto"/>
              <w:left w:val="single" w:sz="4" w:space="0" w:color="auto"/>
              <w:bottom w:val="single" w:sz="4" w:space="0" w:color="auto"/>
              <w:right w:val="single" w:sz="4" w:space="0" w:color="auto"/>
            </w:tcBorders>
          </w:tcPr>
          <w:p w14:paraId="589522EE"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0.008</w:t>
            </w:r>
          </w:p>
        </w:tc>
      </w:tr>
      <w:tr w:rsidR="006E5D08" w:rsidRPr="006E5D08" w14:paraId="63E907DE"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35F7B0D5"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Working status*</w:t>
            </w:r>
          </w:p>
        </w:tc>
        <w:tc>
          <w:tcPr>
            <w:tcW w:w="985" w:type="pct"/>
            <w:tcBorders>
              <w:top w:val="single" w:sz="4" w:space="0" w:color="auto"/>
              <w:left w:val="single" w:sz="4" w:space="0" w:color="auto"/>
              <w:bottom w:val="single" w:sz="4" w:space="0" w:color="auto"/>
              <w:right w:val="single" w:sz="4" w:space="0" w:color="auto"/>
            </w:tcBorders>
            <w:vAlign w:val="bottom"/>
          </w:tcPr>
          <w:p w14:paraId="7A47B61D"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-131.2</w:t>
            </w:r>
          </w:p>
        </w:tc>
        <w:tc>
          <w:tcPr>
            <w:tcW w:w="1159" w:type="pct"/>
            <w:tcBorders>
              <w:top w:val="single" w:sz="4" w:space="0" w:color="auto"/>
              <w:left w:val="single" w:sz="4" w:space="0" w:color="auto"/>
              <w:bottom w:val="single" w:sz="4" w:space="0" w:color="auto"/>
              <w:right w:val="single" w:sz="4" w:space="0" w:color="auto"/>
            </w:tcBorders>
            <w:vAlign w:val="bottom"/>
          </w:tcPr>
          <w:p w14:paraId="2C227577"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-180.0 - 82.4</w:t>
            </w:r>
          </w:p>
        </w:tc>
        <w:tc>
          <w:tcPr>
            <w:tcW w:w="660" w:type="pct"/>
            <w:tcBorders>
              <w:top w:val="single" w:sz="4" w:space="0" w:color="auto"/>
              <w:left w:val="single" w:sz="4" w:space="0" w:color="auto"/>
              <w:bottom w:val="single" w:sz="4" w:space="0" w:color="auto"/>
              <w:right w:val="single" w:sz="4" w:space="0" w:color="auto"/>
            </w:tcBorders>
          </w:tcPr>
          <w:p w14:paraId="410124AE"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&lt;0.001</w:t>
            </w:r>
          </w:p>
        </w:tc>
      </w:tr>
      <w:tr w:rsidR="006E5D08" w:rsidRPr="006E5D08" w14:paraId="390742AD"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7DDFB59F"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Smoking</w:t>
            </w:r>
          </w:p>
        </w:tc>
        <w:tc>
          <w:tcPr>
            <w:tcW w:w="985" w:type="pct"/>
            <w:tcBorders>
              <w:top w:val="single" w:sz="4" w:space="0" w:color="auto"/>
              <w:left w:val="single" w:sz="4" w:space="0" w:color="auto"/>
              <w:bottom w:val="single" w:sz="4" w:space="0" w:color="auto"/>
              <w:right w:val="single" w:sz="4" w:space="0" w:color="auto"/>
            </w:tcBorders>
            <w:vAlign w:val="bottom"/>
          </w:tcPr>
          <w:p w14:paraId="0A479D23"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105.7</w:t>
            </w:r>
          </w:p>
        </w:tc>
        <w:tc>
          <w:tcPr>
            <w:tcW w:w="1159" w:type="pct"/>
            <w:tcBorders>
              <w:top w:val="single" w:sz="4" w:space="0" w:color="auto"/>
              <w:left w:val="single" w:sz="4" w:space="0" w:color="auto"/>
              <w:bottom w:val="single" w:sz="4" w:space="0" w:color="auto"/>
              <w:right w:val="single" w:sz="4" w:space="0" w:color="auto"/>
            </w:tcBorders>
            <w:vAlign w:val="bottom"/>
          </w:tcPr>
          <w:p w14:paraId="7863EB4D"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-41.6 - 253.0</w:t>
            </w:r>
          </w:p>
        </w:tc>
        <w:tc>
          <w:tcPr>
            <w:tcW w:w="660" w:type="pct"/>
            <w:tcBorders>
              <w:top w:val="single" w:sz="4" w:space="0" w:color="auto"/>
              <w:left w:val="single" w:sz="4" w:space="0" w:color="auto"/>
              <w:bottom w:val="single" w:sz="4" w:space="0" w:color="auto"/>
              <w:right w:val="single" w:sz="4" w:space="0" w:color="auto"/>
            </w:tcBorders>
          </w:tcPr>
          <w:p w14:paraId="2C46F3E4"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0.16</w:t>
            </w:r>
          </w:p>
        </w:tc>
      </w:tr>
      <w:tr w:rsidR="006E5D08" w:rsidRPr="006E5D08" w14:paraId="6DF9399D"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6695C04F"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Eating meal out**</w:t>
            </w:r>
          </w:p>
        </w:tc>
        <w:tc>
          <w:tcPr>
            <w:tcW w:w="985" w:type="pct"/>
            <w:tcBorders>
              <w:top w:val="single" w:sz="4" w:space="0" w:color="auto"/>
              <w:left w:val="single" w:sz="4" w:space="0" w:color="auto"/>
              <w:bottom w:val="single" w:sz="4" w:space="0" w:color="auto"/>
              <w:right w:val="single" w:sz="4" w:space="0" w:color="auto"/>
            </w:tcBorders>
            <w:vAlign w:val="bottom"/>
          </w:tcPr>
          <w:p w14:paraId="19FF9242"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-223.9</w:t>
            </w:r>
          </w:p>
        </w:tc>
        <w:tc>
          <w:tcPr>
            <w:tcW w:w="1159" w:type="pct"/>
            <w:tcBorders>
              <w:top w:val="single" w:sz="4" w:space="0" w:color="auto"/>
              <w:left w:val="single" w:sz="4" w:space="0" w:color="auto"/>
              <w:bottom w:val="single" w:sz="4" w:space="0" w:color="auto"/>
              <w:right w:val="single" w:sz="4" w:space="0" w:color="auto"/>
            </w:tcBorders>
            <w:vAlign w:val="bottom"/>
          </w:tcPr>
          <w:p w14:paraId="7C9AB59B"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-275.8 - 172.1</w:t>
            </w:r>
          </w:p>
        </w:tc>
        <w:tc>
          <w:tcPr>
            <w:tcW w:w="660" w:type="pct"/>
            <w:tcBorders>
              <w:top w:val="single" w:sz="4" w:space="0" w:color="auto"/>
              <w:left w:val="single" w:sz="4" w:space="0" w:color="auto"/>
              <w:bottom w:val="single" w:sz="4" w:space="0" w:color="auto"/>
              <w:right w:val="single" w:sz="4" w:space="0" w:color="auto"/>
            </w:tcBorders>
          </w:tcPr>
          <w:p w14:paraId="5635EE06"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&lt;0.001</w:t>
            </w:r>
          </w:p>
        </w:tc>
      </w:tr>
      <w:tr w:rsidR="006E5D08" w:rsidRPr="006E5D08" w14:paraId="46E9CF8C"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0D242949"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Oil used for cooking**</w:t>
            </w:r>
          </w:p>
        </w:tc>
        <w:tc>
          <w:tcPr>
            <w:tcW w:w="985" w:type="pct"/>
            <w:tcBorders>
              <w:top w:val="single" w:sz="4" w:space="0" w:color="auto"/>
              <w:left w:val="single" w:sz="4" w:space="0" w:color="auto"/>
              <w:bottom w:val="single" w:sz="4" w:space="0" w:color="auto"/>
              <w:right w:val="single" w:sz="4" w:space="0" w:color="auto"/>
            </w:tcBorders>
            <w:vAlign w:val="bottom"/>
          </w:tcPr>
          <w:p w14:paraId="3F5082B4"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-100.8</w:t>
            </w:r>
          </w:p>
        </w:tc>
        <w:tc>
          <w:tcPr>
            <w:tcW w:w="1159" w:type="pct"/>
            <w:tcBorders>
              <w:top w:val="single" w:sz="4" w:space="0" w:color="auto"/>
              <w:left w:val="single" w:sz="4" w:space="0" w:color="auto"/>
              <w:bottom w:val="single" w:sz="4" w:space="0" w:color="auto"/>
              <w:right w:val="single" w:sz="4" w:space="0" w:color="auto"/>
            </w:tcBorders>
            <w:vAlign w:val="bottom"/>
          </w:tcPr>
          <w:p w14:paraId="0EB2FB2D"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-157.4 - 44.3</w:t>
            </w:r>
          </w:p>
        </w:tc>
        <w:tc>
          <w:tcPr>
            <w:tcW w:w="660" w:type="pct"/>
            <w:tcBorders>
              <w:top w:val="single" w:sz="4" w:space="0" w:color="auto"/>
              <w:left w:val="single" w:sz="4" w:space="0" w:color="auto"/>
              <w:bottom w:val="single" w:sz="4" w:space="0" w:color="auto"/>
              <w:right w:val="single" w:sz="4" w:space="0" w:color="auto"/>
            </w:tcBorders>
          </w:tcPr>
          <w:p w14:paraId="035AA147"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&lt;0.001</w:t>
            </w:r>
          </w:p>
        </w:tc>
      </w:tr>
      <w:tr w:rsidR="006E5D08" w:rsidRPr="006E5D08" w14:paraId="3673ADC7"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12CC14E4"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Family history of high cholesterol (y/n)</w:t>
            </w:r>
          </w:p>
        </w:tc>
        <w:tc>
          <w:tcPr>
            <w:tcW w:w="985" w:type="pct"/>
            <w:tcBorders>
              <w:top w:val="single" w:sz="4" w:space="0" w:color="auto"/>
              <w:left w:val="single" w:sz="4" w:space="0" w:color="auto"/>
              <w:bottom w:val="single" w:sz="4" w:space="0" w:color="auto"/>
              <w:right w:val="single" w:sz="4" w:space="0" w:color="auto"/>
            </w:tcBorders>
          </w:tcPr>
          <w:p w14:paraId="3A4A18F0"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120.5</w:t>
            </w:r>
          </w:p>
        </w:tc>
        <w:tc>
          <w:tcPr>
            <w:tcW w:w="1159" w:type="pct"/>
            <w:tcBorders>
              <w:top w:val="single" w:sz="4" w:space="0" w:color="auto"/>
              <w:left w:val="single" w:sz="4" w:space="0" w:color="auto"/>
              <w:bottom w:val="single" w:sz="4" w:space="0" w:color="auto"/>
              <w:right w:val="single" w:sz="4" w:space="0" w:color="auto"/>
            </w:tcBorders>
            <w:vAlign w:val="bottom"/>
          </w:tcPr>
          <w:p w14:paraId="47AB8C2C"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47.1 - 193.8</w:t>
            </w:r>
          </w:p>
        </w:tc>
        <w:tc>
          <w:tcPr>
            <w:tcW w:w="660" w:type="pct"/>
            <w:tcBorders>
              <w:top w:val="single" w:sz="4" w:space="0" w:color="auto"/>
              <w:left w:val="single" w:sz="4" w:space="0" w:color="auto"/>
              <w:bottom w:val="single" w:sz="4" w:space="0" w:color="auto"/>
              <w:right w:val="single" w:sz="4" w:space="0" w:color="auto"/>
            </w:tcBorders>
          </w:tcPr>
          <w:p w14:paraId="1B2D5DC9"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0.001</w:t>
            </w:r>
          </w:p>
        </w:tc>
      </w:tr>
      <w:tr w:rsidR="006E5D08" w:rsidRPr="006E5D08" w14:paraId="1D5DF2D4"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0EDE8942"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Fruit and vegetable intake**</w:t>
            </w:r>
          </w:p>
        </w:tc>
        <w:tc>
          <w:tcPr>
            <w:tcW w:w="985" w:type="pct"/>
            <w:tcBorders>
              <w:top w:val="single" w:sz="4" w:space="0" w:color="auto"/>
              <w:left w:val="single" w:sz="4" w:space="0" w:color="auto"/>
              <w:bottom w:val="single" w:sz="4" w:space="0" w:color="auto"/>
              <w:right w:val="single" w:sz="4" w:space="0" w:color="auto"/>
            </w:tcBorders>
            <w:vAlign w:val="bottom"/>
          </w:tcPr>
          <w:p w14:paraId="0A4453EA"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125.8</w:t>
            </w:r>
          </w:p>
        </w:tc>
        <w:tc>
          <w:tcPr>
            <w:tcW w:w="1159" w:type="pct"/>
            <w:tcBorders>
              <w:top w:val="single" w:sz="4" w:space="0" w:color="auto"/>
              <w:left w:val="single" w:sz="4" w:space="0" w:color="auto"/>
              <w:bottom w:val="single" w:sz="4" w:space="0" w:color="auto"/>
              <w:right w:val="single" w:sz="4" w:space="0" w:color="auto"/>
            </w:tcBorders>
            <w:vAlign w:val="bottom"/>
          </w:tcPr>
          <w:p w14:paraId="7A53EE8D"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59.1 - 192.5</w:t>
            </w:r>
          </w:p>
        </w:tc>
        <w:tc>
          <w:tcPr>
            <w:tcW w:w="660" w:type="pct"/>
            <w:tcBorders>
              <w:top w:val="single" w:sz="4" w:space="0" w:color="auto"/>
              <w:left w:val="single" w:sz="4" w:space="0" w:color="auto"/>
              <w:bottom w:val="single" w:sz="4" w:space="0" w:color="auto"/>
              <w:right w:val="single" w:sz="4" w:space="0" w:color="auto"/>
            </w:tcBorders>
          </w:tcPr>
          <w:p w14:paraId="00F3A06C"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&lt;0.001</w:t>
            </w:r>
          </w:p>
        </w:tc>
      </w:tr>
      <w:tr w:rsidR="006E5D08" w:rsidRPr="006E5D08" w14:paraId="21CC0367"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38396D35"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Waist-to-hip ratio</w:t>
            </w:r>
          </w:p>
        </w:tc>
        <w:tc>
          <w:tcPr>
            <w:tcW w:w="985" w:type="pct"/>
            <w:tcBorders>
              <w:top w:val="single" w:sz="4" w:space="0" w:color="auto"/>
              <w:left w:val="single" w:sz="4" w:space="0" w:color="auto"/>
              <w:bottom w:val="single" w:sz="4" w:space="0" w:color="auto"/>
              <w:right w:val="single" w:sz="4" w:space="0" w:color="auto"/>
            </w:tcBorders>
            <w:vAlign w:val="bottom"/>
          </w:tcPr>
          <w:p w14:paraId="0E1F6675"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89.9</w:t>
            </w:r>
          </w:p>
        </w:tc>
        <w:tc>
          <w:tcPr>
            <w:tcW w:w="1159" w:type="pct"/>
            <w:tcBorders>
              <w:top w:val="single" w:sz="4" w:space="0" w:color="auto"/>
              <w:left w:val="single" w:sz="4" w:space="0" w:color="auto"/>
              <w:bottom w:val="single" w:sz="4" w:space="0" w:color="auto"/>
              <w:right w:val="single" w:sz="4" w:space="0" w:color="auto"/>
            </w:tcBorders>
            <w:vAlign w:val="bottom"/>
          </w:tcPr>
          <w:p w14:paraId="65AA4A5A"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18.4 - 161.5</w:t>
            </w:r>
          </w:p>
        </w:tc>
        <w:tc>
          <w:tcPr>
            <w:tcW w:w="660" w:type="pct"/>
            <w:tcBorders>
              <w:top w:val="single" w:sz="4" w:space="0" w:color="auto"/>
              <w:left w:val="single" w:sz="4" w:space="0" w:color="auto"/>
              <w:bottom w:val="single" w:sz="4" w:space="0" w:color="auto"/>
              <w:right w:val="single" w:sz="4" w:space="0" w:color="auto"/>
            </w:tcBorders>
          </w:tcPr>
          <w:p w14:paraId="50F35335"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0.014</w:t>
            </w:r>
          </w:p>
        </w:tc>
      </w:tr>
      <w:tr w:rsidR="006E5D08" w:rsidRPr="006E5D08" w14:paraId="658B14C2"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2AAB5685"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 xml:space="preserve">Obesity </w:t>
            </w:r>
          </w:p>
        </w:tc>
        <w:tc>
          <w:tcPr>
            <w:tcW w:w="985" w:type="pct"/>
            <w:tcBorders>
              <w:top w:val="single" w:sz="4" w:space="0" w:color="auto"/>
              <w:left w:val="single" w:sz="4" w:space="0" w:color="auto"/>
              <w:bottom w:val="single" w:sz="4" w:space="0" w:color="auto"/>
              <w:right w:val="single" w:sz="4" w:space="0" w:color="auto"/>
            </w:tcBorders>
            <w:vAlign w:val="bottom"/>
          </w:tcPr>
          <w:p w14:paraId="0A22E677"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87.9</w:t>
            </w:r>
          </w:p>
        </w:tc>
        <w:tc>
          <w:tcPr>
            <w:tcW w:w="1159" w:type="pct"/>
            <w:tcBorders>
              <w:top w:val="single" w:sz="4" w:space="0" w:color="auto"/>
              <w:left w:val="single" w:sz="4" w:space="0" w:color="auto"/>
              <w:bottom w:val="single" w:sz="4" w:space="0" w:color="auto"/>
              <w:right w:val="single" w:sz="4" w:space="0" w:color="auto"/>
            </w:tcBorders>
            <w:vAlign w:val="bottom"/>
          </w:tcPr>
          <w:p w14:paraId="77F014E8"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19.2 - 156.6</w:t>
            </w:r>
          </w:p>
        </w:tc>
        <w:tc>
          <w:tcPr>
            <w:tcW w:w="660" w:type="pct"/>
            <w:tcBorders>
              <w:top w:val="single" w:sz="4" w:space="0" w:color="auto"/>
              <w:left w:val="single" w:sz="4" w:space="0" w:color="auto"/>
              <w:bottom w:val="single" w:sz="4" w:space="0" w:color="auto"/>
              <w:right w:val="single" w:sz="4" w:space="0" w:color="auto"/>
            </w:tcBorders>
          </w:tcPr>
          <w:p w14:paraId="505EF287"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0.012</w:t>
            </w:r>
          </w:p>
        </w:tc>
      </w:tr>
      <w:tr w:rsidR="006E5D08" w:rsidRPr="006E5D08" w14:paraId="267834EA" w14:textId="77777777" w:rsidTr="001133F6">
        <w:trPr>
          <w:jc w:val="right"/>
        </w:trPr>
        <w:tc>
          <w:tcPr>
            <w:tcW w:w="2196" w:type="pct"/>
            <w:tcBorders>
              <w:top w:val="single" w:sz="4" w:space="0" w:color="auto"/>
              <w:left w:val="single" w:sz="4" w:space="0" w:color="auto"/>
              <w:bottom w:val="single" w:sz="4" w:space="0" w:color="auto"/>
              <w:right w:val="single" w:sz="4" w:space="0" w:color="auto"/>
            </w:tcBorders>
          </w:tcPr>
          <w:p w14:paraId="23A85003"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Sedentary life-style</w:t>
            </w:r>
          </w:p>
        </w:tc>
        <w:tc>
          <w:tcPr>
            <w:tcW w:w="985" w:type="pct"/>
            <w:tcBorders>
              <w:top w:val="single" w:sz="4" w:space="0" w:color="auto"/>
              <w:left w:val="single" w:sz="4" w:space="0" w:color="auto"/>
              <w:bottom w:val="single" w:sz="4" w:space="0" w:color="auto"/>
              <w:right w:val="single" w:sz="4" w:space="0" w:color="auto"/>
            </w:tcBorders>
            <w:vAlign w:val="bottom"/>
          </w:tcPr>
          <w:p w14:paraId="0B124E65"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12.7</w:t>
            </w:r>
          </w:p>
        </w:tc>
        <w:tc>
          <w:tcPr>
            <w:tcW w:w="1159" w:type="pct"/>
            <w:tcBorders>
              <w:top w:val="single" w:sz="4" w:space="0" w:color="auto"/>
              <w:left w:val="single" w:sz="4" w:space="0" w:color="auto"/>
              <w:bottom w:val="single" w:sz="4" w:space="0" w:color="auto"/>
              <w:right w:val="single" w:sz="4" w:space="0" w:color="auto"/>
            </w:tcBorders>
            <w:vAlign w:val="bottom"/>
          </w:tcPr>
          <w:p w14:paraId="58564139"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-52.9 - 78.3</w:t>
            </w:r>
          </w:p>
        </w:tc>
        <w:tc>
          <w:tcPr>
            <w:tcW w:w="660" w:type="pct"/>
            <w:tcBorders>
              <w:top w:val="single" w:sz="4" w:space="0" w:color="auto"/>
              <w:left w:val="single" w:sz="4" w:space="0" w:color="auto"/>
              <w:bottom w:val="single" w:sz="4" w:space="0" w:color="auto"/>
              <w:right w:val="single" w:sz="4" w:space="0" w:color="auto"/>
            </w:tcBorders>
          </w:tcPr>
          <w:p w14:paraId="0010FAF5" w14:textId="77777777" w:rsidR="006E5D08" w:rsidRPr="006E5D08" w:rsidRDefault="006E5D08" w:rsidP="001133F6">
            <w:pPr>
              <w:spacing w:line="240" w:lineRule="auto"/>
              <w:jc w:val="center"/>
              <w:rPr>
                <w:rFonts w:asciiTheme="majorBidi" w:hAnsiTheme="majorBidi" w:cstheme="majorBidi"/>
                <w:sz w:val="24"/>
                <w:szCs w:val="24"/>
              </w:rPr>
            </w:pPr>
            <w:r w:rsidRPr="006E5D08">
              <w:rPr>
                <w:rFonts w:asciiTheme="majorBidi" w:hAnsiTheme="majorBidi" w:cstheme="majorBidi"/>
                <w:sz w:val="24"/>
                <w:szCs w:val="24"/>
              </w:rPr>
              <w:t>0.704</w:t>
            </w:r>
          </w:p>
        </w:tc>
      </w:tr>
      <w:tr w:rsidR="006E5D08" w:rsidRPr="006E5D08" w14:paraId="4225BA03" w14:textId="77777777" w:rsidTr="001133F6">
        <w:trPr>
          <w:jc w:val="right"/>
        </w:trPr>
        <w:tc>
          <w:tcPr>
            <w:tcW w:w="2196" w:type="pct"/>
            <w:tcBorders>
              <w:top w:val="single" w:sz="4" w:space="0" w:color="auto"/>
            </w:tcBorders>
          </w:tcPr>
          <w:p w14:paraId="6C92B96B" w14:textId="77777777" w:rsidR="006E5D08" w:rsidRPr="006E5D08" w:rsidRDefault="006E5D08" w:rsidP="009E594E">
            <w:pPr>
              <w:spacing w:line="240" w:lineRule="auto"/>
              <w:jc w:val="both"/>
              <w:rPr>
                <w:rFonts w:asciiTheme="majorBidi" w:hAnsiTheme="majorBidi" w:cstheme="majorBidi"/>
                <w:sz w:val="24"/>
                <w:szCs w:val="24"/>
              </w:rPr>
            </w:pPr>
            <w:r w:rsidRPr="006E5D08">
              <w:rPr>
                <w:rFonts w:asciiTheme="majorBidi" w:hAnsiTheme="majorBidi" w:cstheme="majorBidi"/>
                <w:sz w:val="24"/>
                <w:szCs w:val="24"/>
              </w:rPr>
              <w:t>*Units in Table 1; **Units in Table 2</w:t>
            </w:r>
          </w:p>
        </w:tc>
        <w:tc>
          <w:tcPr>
            <w:tcW w:w="985" w:type="pct"/>
            <w:tcBorders>
              <w:top w:val="single" w:sz="4" w:space="0" w:color="auto"/>
            </w:tcBorders>
            <w:vAlign w:val="bottom"/>
          </w:tcPr>
          <w:p w14:paraId="53E01F21" w14:textId="77777777" w:rsidR="006E5D08" w:rsidRPr="006E5D08" w:rsidRDefault="006E5D08" w:rsidP="009E594E">
            <w:pPr>
              <w:spacing w:line="240" w:lineRule="auto"/>
              <w:jc w:val="both"/>
              <w:rPr>
                <w:rFonts w:asciiTheme="majorBidi" w:hAnsiTheme="majorBidi" w:cstheme="majorBidi"/>
                <w:sz w:val="24"/>
                <w:szCs w:val="24"/>
              </w:rPr>
            </w:pPr>
          </w:p>
        </w:tc>
        <w:tc>
          <w:tcPr>
            <w:tcW w:w="1159" w:type="pct"/>
            <w:tcBorders>
              <w:top w:val="single" w:sz="4" w:space="0" w:color="auto"/>
            </w:tcBorders>
            <w:vAlign w:val="bottom"/>
          </w:tcPr>
          <w:p w14:paraId="58170622" w14:textId="77777777" w:rsidR="006E5D08" w:rsidRPr="006E5D08" w:rsidRDefault="006E5D08" w:rsidP="009E594E">
            <w:pPr>
              <w:spacing w:line="240" w:lineRule="auto"/>
              <w:jc w:val="both"/>
              <w:rPr>
                <w:rFonts w:asciiTheme="majorBidi" w:hAnsiTheme="majorBidi" w:cstheme="majorBidi"/>
                <w:sz w:val="24"/>
                <w:szCs w:val="24"/>
              </w:rPr>
            </w:pPr>
          </w:p>
        </w:tc>
        <w:tc>
          <w:tcPr>
            <w:tcW w:w="660" w:type="pct"/>
            <w:tcBorders>
              <w:top w:val="single" w:sz="4" w:space="0" w:color="auto"/>
            </w:tcBorders>
          </w:tcPr>
          <w:p w14:paraId="06533BB1" w14:textId="77777777" w:rsidR="006E5D08" w:rsidRPr="006E5D08" w:rsidRDefault="006E5D08" w:rsidP="009E594E">
            <w:pPr>
              <w:spacing w:line="240" w:lineRule="auto"/>
              <w:jc w:val="both"/>
              <w:rPr>
                <w:rFonts w:asciiTheme="majorBidi" w:hAnsiTheme="majorBidi" w:cstheme="majorBidi"/>
                <w:sz w:val="24"/>
                <w:szCs w:val="24"/>
              </w:rPr>
            </w:pPr>
          </w:p>
        </w:tc>
      </w:tr>
    </w:tbl>
    <w:p w14:paraId="735A0E1F"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 xml:space="preserve">Figure 1. </w:t>
      </w:r>
      <w:r w:rsidRPr="006E5D08">
        <w:rPr>
          <w:rFonts w:asciiTheme="majorBidi" w:hAnsiTheme="majorBidi" w:cstheme="majorBidi"/>
          <w:sz w:val="24"/>
          <w:szCs w:val="24"/>
        </w:rPr>
        <w:t>Predictive Margins of Total Cholesterol by group of main dietary risk factors (a) by having m</w:t>
      </w:r>
      <w:r w:rsidRPr="006E5D08">
        <w:rPr>
          <w:rFonts w:asciiTheme="majorBidi" w:hAnsiTheme="majorBidi" w:cstheme="majorBidi"/>
          <w:sz w:val="24"/>
          <w:szCs w:val="24"/>
          <w:lang w:bidi="en-US"/>
        </w:rPr>
        <w:t>eals out; (b) by type of cooking oil; (c) by fruit and vegetable consumption.</w:t>
      </w:r>
    </w:p>
    <w:p w14:paraId="60DCA92E" w14:textId="77777777" w:rsidR="006E5D08" w:rsidRPr="006E5D08" w:rsidRDefault="006E5D08" w:rsidP="007E30CF">
      <w:pPr>
        <w:spacing w:line="480" w:lineRule="auto"/>
        <w:jc w:val="both"/>
        <w:rPr>
          <w:rFonts w:asciiTheme="majorBidi" w:hAnsiTheme="majorBidi" w:cstheme="majorBidi"/>
          <w:sz w:val="24"/>
          <w:szCs w:val="24"/>
          <w:lang w:bidi="en-US"/>
        </w:rPr>
      </w:pPr>
    </w:p>
    <w:p w14:paraId="0C533589"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 xml:space="preserve"> (a)                             </w:t>
      </w:r>
      <w:proofErr w:type="gramStart"/>
      <w:r w:rsidRPr="006E5D08">
        <w:rPr>
          <w:rFonts w:asciiTheme="majorBidi" w:hAnsiTheme="majorBidi" w:cstheme="majorBidi"/>
          <w:sz w:val="24"/>
          <w:szCs w:val="24"/>
          <w:lang w:bidi="en-US"/>
        </w:rPr>
        <w:t xml:space="preserve">   (</w:t>
      </w:r>
      <w:proofErr w:type="gramEnd"/>
      <w:r w:rsidRPr="006E5D08">
        <w:rPr>
          <w:rFonts w:asciiTheme="majorBidi" w:hAnsiTheme="majorBidi" w:cstheme="majorBidi"/>
          <w:sz w:val="24"/>
          <w:szCs w:val="24"/>
          <w:lang w:bidi="en-US"/>
        </w:rPr>
        <w:t xml:space="preserve">b)                               (c)                                                         </w:t>
      </w:r>
    </w:p>
    <w:p w14:paraId="6F398ADB"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noProof/>
          <w:sz w:val="24"/>
          <w:szCs w:val="24"/>
          <w:lang w:eastAsia="en-GB"/>
        </w:rPr>
        <w:drawing>
          <wp:inline distT="0" distB="0" distL="0" distR="0" wp14:anchorId="5F011B9B" wp14:editId="488CFE0C">
            <wp:extent cx="1575581" cy="1145878"/>
            <wp:effectExtent l="0" t="0" r="0" b="0"/>
            <wp:docPr id="5" name="Picture 1">
              <a:extLst xmlns:a="http://schemas.openxmlformats.org/drawingml/2006/main">
                <a:ext uri="{FF2B5EF4-FFF2-40B4-BE49-F238E27FC236}">
                  <a16:creationId xmlns:a16="http://schemas.microsoft.com/office/drawing/2014/main" id="{3A26EE8E-6B28-D844-9282-ED3C3BF0BC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A26EE8E-6B28-D844-9282-ED3C3BF0BC77}"/>
                        </a:ext>
                      </a:extLst>
                    </pic:cNvPr>
                    <pic:cNvPicPr>
                      <a:picLocks noChangeAspect="1"/>
                    </pic:cNvPicPr>
                  </pic:nvPicPr>
                  <pic:blipFill>
                    <a:blip r:embed="rId11"/>
                    <a:stretch>
                      <a:fillRect/>
                    </a:stretch>
                  </pic:blipFill>
                  <pic:spPr>
                    <a:xfrm>
                      <a:off x="0" y="0"/>
                      <a:ext cx="1620345" cy="1178434"/>
                    </a:xfrm>
                    <a:prstGeom prst="rect">
                      <a:avLst/>
                    </a:prstGeom>
                  </pic:spPr>
                </pic:pic>
              </a:graphicData>
            </a:graphic>
          </wp:inline>
        </w:drawing>
      </w:r>
      <w:r w:rsidRPr="006E5D08">
        <w:rPr>
          <w:rFonts w:asciiTheme="majorBidi" w:hAnsiTheme="majorBidi" w:cstheme="majorBidi"/>
          <w:noProof/>
          <w:sz w:val="24"/>
          <w:szCs w:val="24"/>
          <w:lang w:eastAsia="en-GB"/>
        </w:rPr>
        <w:drawing>
          <wp:inline distT="0" distB="0" distL="0" distR="0" wp14:anchorId="63FAEC0C" wp14:editId="2C3E7276">
            <wp:extent cx="1575582" cy="1145878"/>
            <wp:effectExtent l="0" t="0" r="0" b="0"/>
            <wp:docPr id="6" name="Picture 2">
              <a:extLst xmlns:a="http://schemas.openxmlformats.org/drawingml/2006/main">
                <a:ext uri="{FF2B5EF4-FFF2-40B4-BE49-F238E27FC236}">
                  <a16:creationId xmlns:a16="http://schemas.microsoft.com/office/drawing/2014/main" id="{26651687-D030-4A4F-8F63-D337BF3A0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6651687-D030-4A4F-8F63-D337BF3A0604}"/>
                        </a:ext>
                      </a:extLst>
                    </pic:cNvPr>
                    <pic:cNvPicPr>
                      <a:picLocks noChangeAspect="1"/>
                    </pic:cNvPicPr>
                  </pic:nvPicPr>
                  <pic:blipFill>
                    <a:blip r:embed="rId12"/>
                    <a:stretch>
                      <a:fillRect/>
                    </a:stretch>
                  </pic:blipFill>
                  <pic:spPr>
                    <a:xfrm>
                      <a:off x="0" y="0"/>
                      <a:ext cx="1687876" cy="1227546"/>
                    </a:xfrm>
                    <a:prstGeom prst="rect">
                      <a:avLst/>
                    </a:prstGeom>
                  </pic:spPr>
                </pic:pic>
              </a:graphicData>
            </a:graphic>
          </wp:inline>
        </w:drawing>
      </w:r>
      <w:r w:rsidRPr="006E5D08">
        <w:rPr>
          <w:rFonts w:asciiTheme="majorBidi" w:hAnsiTheme="majorBidi" w:cstheme="majorBidi"/>
          <w:noProof/>
          <w:sz w:val="24"/>
          <w:szCs w:val="24"/>
          <w:lang w:eastAsia="en-GB"/>
        </w:rPr>
        <w:drawing>
          <wp:inline distT="0" distB="0" distL="0" distR="0" wp14:anchorId="72B9D422" wp14:editId="5E0C1030">
            <wp:extent cx="1574780" cy="1145295"/>
            <wp:effectExtent l="0" t="0" r="635" b="0"/>
            <wp:docPr id="7" name="Picture 3">
              <a:extLst xmlns:a="http://schemas.openxmlformats.org/drawingml/2006/main">
                <a:ext uri="{FF2B5EF4-FFF2-40B4-BE49-F238E27FC236}">
                  <a16:creationId xmlns:a16="http://schemas.microsoft.com/office/drawing/2014/main" id="{BD0F478B-5F4E-C045-8E93-5F7081B4E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0F478B-5F4E-C045-8E93-5F7081B4E0C6}"/>
                        </a:ext>
                      </a:extLst>
                    </pic:cNvPr>
                    <pic:cNvPicPr>
                      <a:picLocks noChangeAspect="1"/>
                    </pic:cNvPicPr>
                  </pic:nvPicPr>
                  <pic:blipFill>
                    <a:blip r:embed="rId13"/>
                    <a:stretch>
                      <a:fillRect/>
                    </a:stretch>
                  </pic:blipFill>
                  <pic:spPr>
                    <a:xfrm>
                      <a:off x="0" y="0"/>
                      <a:ext cx="1648339" cy="1198792"/>
                    </a:xfrm>
                    <a:prstGeom prst="rect">
                      <a:avLst/>
                    </a:prstGeom>
                  </pic:spPr>
                </pic:pic>
              </a:graphicData>
            </a:graphic>
          </wp:inline>
        </w:drawing>
      </w:r>
    </w:p>
    <w:p w14:paraId="0D90D558" w14:textId="77777777" w:rsidR="006E5D08" w:rsidRPr="006E5D08" w:rsidRDefault="006E5D08" w:rsidP="007E30CF">
      <w:pPr>
        <w:spacing w:line="480" w:lineRule="auto"/>
        <w:jc w:val="both"/>
        <w:rPr>
          <w:rFonts w:asciiTheme="majorBidi" w:hAnsiTheme="majorBidi" w:cstheme="majorBidi"/>
          <w:sz w:val="24"/>
          <w:szCs w:val="24"/>
          <w:lang w:bidi="en-US"/>
        </w:rPr>
      </w:pPr>
    </w:p>
    <w:p w14:paraId="08554619" w14:textId="23BA80C4" w:rsidR="006E5D08" w:rsidRPr="006E5D08" w:rsidRDefault="006E5D08" w:rsidP="007E30CF">
      <w:pPr>
        <w:spacing w:line="480" w:lineRule="auto"/>
        <w:jc w:val="both"/>
        <w:rPr>
          <w:rFonts w:asciiTheme="majorBidi" w:hAnsiTheme="majorBidi" w:cstheme="majorBidi"/>
          <w:i/>
          <w:iCs/>
          <w:sz w:val="24"/>
          <w:szCs w:val="24"/>
          <w:lang w:bidi="en-US"/>
        </w:rPr>
      </w:pPr>
      <w:r w:rsidRPr="006E5D08">
        <w:rPr>
          <w:rFonts w:asciiTheme="majorBidi" w:hAnsiTheme="majorBidi" w:cstheme="majorBidi"/>
          <w:i/>
          <w:iCs/>
          <w:sz w:val="24"/>
          <w:szCs w:val="24"/>
          <w:lang w:bidi="en-US"/>
        </w:rPr>
        <w:t xml:space="preserve">Latent Class Analysis </w:t>
      </w:r>
    </w:p>
    <w:p w14:paraId="4A6ED83E" w14:textId="271C59E4"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lastRenderedPageBreak/>
        <w:t xml:space="preserve">We compared two models for identifying possible population subgroups using LCA analysis and we selected the two-class model as it had a lower </w:t>
      </w:r>
      <w:bookmarkStart w:id="10" w:name="_Hlk76031027"/>
      <w:proofErr w:type="spellStart"/>
      <w:r w:rsidRPr="006E5D08">
        <w:rPr>
          <w:rFonts w:asciiTheme="majorBidi" w:hAnsiTheme="majorBidi" w:cstheme="majorBidi"/>
          <w:sz w:val="24"/>
          <w:szCs w:val="24"/>
          <w:lang w:bidi="en-US"/>
        </w:rPr>
        <w:t>Akaike’s</w:t>
      </w:r>
      <w:proofErr w:type="spellEnd"/>
      <w:r w:rsidRPr="006E5D08">
        <w:rPr>
          <w:rFonts w:asciiTheme="majorBidi" w:hAnsiTheme="majorBidi" w:cstheme="majorBidi"/>
          <w:sz w:val="24"/>
          <w:szCs w:val="24"/>
          <w:lang w:bidi="en-US"/>
        </w:rPr>
        <w:t xml:space="preserve"> Information Criterion</w:t>
      </w:r>
      <w:bookmarkEnd w:id="10"/>
      <w:r w:rsidRPr="006E5D08">
        <w:rPr>
          <w:rFonts w:asciiTheme="majorBidi" w:hAnsiTheme="majorBidi" w:cstheme="majorBidi"/>
          <w:sz w:val="24"/>
          <w:szCs w:val="24"/>
          <w:lang w:bidi="en-US"/>
        </w:rPr>
        <w:t xml:space="preserve"> (</w:t>
      </w:r>
      <w:bookmarkStart w:id="11" w:name="_Hlk76031021"/>
      <w:r w:rsidRPr="006E5D08">
        <w:rPr>
          <w:rFonts w:asciiTheme="majorBidi" w:hAnsiTheme="majorBidi" w:cstheme="majorBidi"/>
          <w:sz w:val="24"/>
          <w:szCs w:val="24"/>
          <w:lang w:bidi="en-US"/>
        </w:rPr>
        <w:t>AIC</w:t>
      </w:r>
      <w:bookmarkEnd w:id="11"/>
      <w:r w:rsidRPr="006E5D08">
        <w:rPr>
          <w:rFonts w:asciiTheme="majorBidi" w:hAnsiTheme="majorBidi" w:cstheme="majorBidi"/>
          <w:sz w:val="24"/>
          <w:szCs w:val="24"/>
          <w:lang w:bidi="en-US"/>
        </w:rPr>
        <w:t>) and Bayesian Information Criterion (BIC) (Table S4). Using LCA we found that there are two distinct subgroups of dietary habits (Table 4), where most Omanis (90%) are more likely to be in class 2. In other words, each Omani is having 90% probability of being in class 2. Table 5 presents Class 2 which are those who are eating less than</w:t>
      </w:r>
      <w:r w:rsidR="00494FA1">
        <w:rPr>
          <w:rFonts w:asciiTheme="majorBidi" w:hAnsiTheme="majorBidi" w:cstheme="majorBidi"/>
          <w:sz w:val="24"/>
          <w:szCs w:val="24"/>
          <w:lang w:bidi="en-US"/>
        </w:rPr>
        <w:t xml:space="preserve"> the</w:t>
      </w:r>
      <w:r w:rsidRPr="006E5D08">
        <w:rPr>
          <w:rFonts w:asciiTheme="majorBidi" w:hAnsiTheme="majorBidi" w:cstheme="majorBidi"/>
          <w:sz w:val="24"/>
          <w:szCs w:val="24"/>
          <w:lang w:bidi="en-US"/>
        </w:rPr>
        <w:t xml:space="preserve"> recommended servings of fruits and vegetables, following sedentary lifestyle, using vegetable oil for cooking, and mostly eating at home. Putting the </w:t>
      </w:r>
      <w:bookmarkStart w:id="12" w:name="_Hlk64566287"/>
      <w:r w:rsidRPr="006E5D08">
        <w:rPr>
          <w:rFonts w:asciiTheme="majorBidi" w:hAnsiTheme="majorBidi" w:cstheme="majorBidi"/>
          <w:sz w:val="24"/>
          <w:szCs w:val="24"/>
          <w:lang w:bidi="en-US"/>
        </w:rPr>
        <w:t xml:space="preserve">dietary habits as indicators for waist-to-hip ratio </w:t>
      </w:r>
      <w:bookmarkEnd w:id="12"/>
      <w:r w:rsidRPr="006E5D08">
        <w:rPr>
          <w:rFonts w:asciiTheme="majorBidi" w:hAnsiTheme="majorBidi" w:cstheme="majorBidi"/>
          <w:sz w:val="24"/>
          <w:szCs w:val="24"/>
          <w:lang w:bidi="en-US"/>
        </w:rPr>
        <w:t>in the LCA, we found that those in class 2 were with higher probability of having abnormal waist-to-hip ratio (64%) (Table S5, S6).</w:t>
      </w:r>
    </w:p>
    <w:p w14:paraId="196A8DFB" w14:textId="77777777" w:rsidR="006E5D08" w:rsidRPr="006E5D08" w:rsidRDefault="006E5D08" w:rsidP="007E30CF">
      <w:pPr>
        <w:spacing w:line="480" w:lineRule="auto"/>
        <w:jc w:val="both"/>
        <w:rPr>
          <w:rFonts w:asciiTheme="majorBidi" w:hAnsiTheme="majorBidi" w:cstheme="majorBidi"/>
          <w:sz w:val="24"/>
          <w:szCs w:val="24"/>
          <w:lang w:bidi="en-US"/>
        </w:rPr>
      </w:pPr>
    </w:p>
    <w:p w14:paraId="458D8FE3"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 xml:space="preserve">Table 4. Latent class marginal probabilities for dietary subgroups </w:t>
      </w:r>
      <w:bookmarkStart w:id="13" w:name="_Hlk109902440"/>
      <w:r w:rsidRPr="006E5D08">
        <w:rPr>
          <w:rFonts w:asciiTheme="majorBidi" w:hAnsiTheme="majorBidi" w:cstheme="majorBidi"/>
          <w:sz w:val="24"/>
          <w:szCs w:val="24"/>
          <w:lang w:bidi="en-US"/>
        </w:rPr>
        <w:t>(x10</w:t>
      </w:r>
      <w:r w:rsidRPr="006E5D08">
        <w:rPr>
          <w:rFonts w:asciiTheme="majorBidi" w:hAnsiTheme="majorBidi" w:cstheme="majorBidi"/>
          <w:sz w:val="24"/>
          <w:szCs w:val="24"/>
          <w:vertAlign w:val="superscript"/>
          <w:lang w:bidi="en-US"/>
        </w:rPr>
        <w:t>-2</w:t>
      </w:r>
      <w:r w:rsidRPr="006E5D08">
        <w:rPr>
          <w:rFonts w:asciiTheme="majorBidi" w:hAnsiTheme="majorBidi" w:cstheme="majorBidi"/>
          <w:sz w:val="24"/>
          <w:szCs w:val="24"/>
          <w:lang w:bidi="en-US"/>
        </w:rPr>
        <w:t>)</w:t>
      </w:r>
      <w:bookmarkEnd w:id="13"/>
    </w:p>
    <w:tbl>
      <w:tblPr>
        <w:tblStyle w:val="TableGrid"/>
        <w:tblW w:w="0" w:type="auto"/>
        <w:jc w:val="center"/>
        <w:tblLook w:val="04A0" w:firstRow="1" w:lastRow="0" w:firstColumn="1" w:lastColumn="0" w:noHBand="0" w:noVBand="1"/>
      </w:tblPr>
      <w:tblGrid>
        <w:gridCol w:w="795"/>
        <w:gridCol w:w="1335"/>
        <w:gridCol w:w="1335"/>
        <w:gridCol w:w="2003"/>
      </w:tblGrid>
      <w:tr w:rsidR="006E5D08" w:rsidRPr="006E5D08" w14:paraId="1DAE02CD" w14:textId="77777777" w:rsidTr="00E80466">
        <w:trPr>
          <w:trHeight w:val="284"/>
          <w:jc w:val="center"/>
        </w:trPr>
        <w:tc>
          <w:tcPr>
            <w:tcW w:w="795" w:type="dxa"/>
            <w:vAlign w:val="center"/>
          </w:tcPr>
          <w:p w14:paraId="62D5CA7C" w14:textId="77777777" w:rsidR="006E5D08" w:rsidRPr="006E5D08" w:rsidRDefault="006E5D08" w:rsidP="00E80466">
            <w:pPr>
              <w:spacing w:after="160"/>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Class</w:t>
            </w:r>
          </w:p>
        </w:tc>
        <w:tc>
          <w:tcPr>
            <w:tcW w:w="1335" w:type="dxa"/>
            <w:vAlign w:val="center"/>
          </w:tcPr>
          <w:p w14:paraId="3EC5DAC7" w14:textId="77777777" w:rsidR="006E5D08" w:rsidRPr="006E5D08" w:rsidRDefault="006E5D08" w:rsidP="00E80466">
            <w:pPr>
              <w:spacing w:after="160"/>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Margin</w:t>
            </w:r>
          </w:p>
        </w:tc>
        <w:tc>
          <w:tcPr>
            <w:tcW w:w="1335" w:type="dxa"/>
            <w:vAlign w:val="center"/>
          </w:tcPr>
          <w:p w14:paraId="4766D511" w14:textId="77777777" w:rsidR="006E5D08" w:rsidRPr="006E5D08" w:rsidRDefault="006E5D08" w:rsidP="00E80466">
            <w:pPr>
              <w:spacing w:after="160"/>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Standard Error</w:t>
            </w:r>
          </w:p>
        </w:tc>
        <w:tc>
          <w:tcPr>
            <w:tcW w:w="2003" w:type="dxa"/>
            <w:vAlign w:val="center"/>
          </w:tcPr>
          <w:p w14:paraId="4F08BFAC" w14:textId="77777777" w:rsidR="006E5D08" w:rsidRPr="006E5D08" w:rsidRDefault="006E5D08" w:rsidP="00E80466">
            <w:pPr>
              <w:spacing w:after="160"/>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95% Confidence Intervals</w:t>
            </w:r>
          </w:p>
        </w:tc>
      </w:tr>
      <w:tr w:rsidR="006E5D08" w:rsidRPr="006E5D08" w14:paraId="7C84287F" w14:textId="77777777" w:rsidTr="00E80466">
        <w:trPr>
          <w:trHeight w:val="419"/>
          <w:jc w:val="center"/>
        </w:trPr>
        <w:tc>
          <w:tcPr>
            <w:tcW w:w="795" w:type="dxa"/>
            <w:vAlign w:val="center"/>
          </w:tcPr>
          <w:p w14:paraId="37AE39BB" w14:textId="77777777" w:rsidR="006E5D08" w:rsidRPr="006E5D08" w:rsidRDefault="006E5D08" w:rsidP="00E80466">
            <w:pPr>
              <w:spacing w:after="160"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w:t>
            </w:r>
          </w:p>
        </w:tc>
        <w:tc>
          <w:tcPr>
            <w:tcW w:w="1335" w:type="dxa"/>
            <w:vAlign w:val="center"/>
          </w:tcPr>
          <w:p w14:paraId="31E98ACF" w14:textId="77777777" w:rsidR="006E5D08" w:rsidRPr="006E5D08" w:rsidRDefault="006E5D08" w:rsidP="00E80466">
            <w:pPr>
              <w:spacing w:after="160"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9.95</w:t>
            </w:r>
          </w:p>
        </w:tc>
        <w:tc>
          <w:tcPr>
            <w:tcW w:w="1335" w:type="dxa"/>
            <w:vAlign w:val="center"/>
          </w:tcPr>
          <w:p w14:paraId="677EF2CD" w14:textId="77777777" w:rsidR="006E5D08" w:rsidRPr="006E5D08" w:rsidRDefault="006E5D08" w:rsidP="00E80466">
            <w:pPr>
              <w:spacing w:after="160"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3.57</w:t>
            </w:r>
          </w:p>
        </w:tc>
        <w:tc>
          <w:tcPr>
            <w:tcW w:w="2003" w:type="dxa"/>
            <w:vAlign w:val="center"/>
          </w:tcPr>
          <w:p w14:paraId="0C3586E1" w14:textId="77777777" w:rsidR="006E5D08" w:rsidRPr="006E5D08" w:rsidRDefault="006E5D08" w:rsidP="00E80466">
            <w:pPr>
              <w:spacing w:after="160"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4.82  -19.43</w:t>
            </w:r>
          </w:p>
        </w:tc>
      </w:tr>
      <w:tr w:rsidR="006E5D08" w:rsidRPr="006E5D08" w14:paraId="66EA0C48" w14:textId="77777777" w:rsidTr="00E80466">
        <w:trPr>
          <w:trHeight w:val="431"/>
          <w:jc w:val="center"/>
        </w:trPr>
        <w:tc>
          <w:tcPr>
            <w:tcW w:w="795" w:type="dxa"/>
            <w:vAlign w:val="center"/>
          </w:tcPr>
          <w:p w14:paraId="75128A44" w14:textId="77777777" w:rsidR="006E5D08" w:rsidRPr="006E5D08" w:rsidRDefault="006E5D08" w:rsidP="00E80466">
            <w:pPr>
              <w:spacing w:after="160"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w:t>
            </w:r>
          </w:p>
        </w:tc>
        <w:tc>
          <w:tcPr>
            <w:tcW w:w="1335" w:type="dxa"/>
            <w:vAlign w:val="center"/>
          </w:tcPr>
          <w:p w14:paraId="634F55E7" w14:textId="77777777" w:rsidR="006E5D08" w:rsidRPr="006E5D08" w:rsidRDefault="006E5D08" w:rsidP="00E80466">
            <w:pPr>
              <w:spacing w:after="160"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90.04</w:t>
            </w:r>
          </w:p>
        </w:tc>
        <w:tc>
          <w:tcPr>
            <w:tcW w:w="1335" w:type="dxa"/>
            <w:vAlign w:val="center"/>
          </w:tcPr>
          <w:p w14:paraId="759F5ADA" w14:textId="77777777" w:rsidR="006E5D08" w:rsidRPr="006E5D08" w:rsidRDefault="006E5D08" w:rsidP="00E80466">
            <w:pPr>
              <w:spacing w:after="160"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3.57</w:t>
            </w:r>
          </w:p>
        </w:tc>
        <w:tc>
          <w:tcPr>
            <w:tcW w:w="2003" w:type="dxa"/>
            <w:vAlign w:val="center"/>
          </w:tcPr>
          <w:p w14:paraId="7D6D5886" w14:textId="77777777" w:rsidR="006E5D08" w:rsidRPr="006E5D08" w:rsidRDefault="006E5D08" w:rsidP="00E80466">
            <w:pPr>
              <w:spacing w:after="160"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80.56 - 95.18</w:t>
            </w:r>
          </w:p>
        </w:tc>
      </w:tr>
    </w:tbl>
    <w:p w14:paraId="3BE60CE2" w14:textId="77777777" w:rsidR="006E5D08" w:rsidRDefault="006E5D08" w:rsidP="007E30CF">
      <w:pPr>
        <w:spacing w:line="480" w:lineRule="auto"/>
        <w:jc w:val="both"/>
        <w:rPr>
          <w:rFonts w:asciiTheme="majorBidi" w:hAnsiTheme="majorBidi" w:cstheme="majorBidi"/>
          <w:sz w:val="24"/>
          <w:szCs w:val="24"/>
          <w:lang w:bidi="en-US"/>
        </w:rPr>
      </w:pPr>
    </w:p>
    <w:p w14:paraId="5A466013" w14:textId="77777777" w:rsidR="00E80466" w:rsidRPr="006E5D08" w:rsidRDefault="00E80466" w:rsidP="007E30CF">
      <w:pPr>
        <w:spacing w:line="480" w:lineRule="auto"/>
        <w:jc w:val="both"/>
        <w:rPr>
          <w:rFonts w:asciiTheme="majorBidi" w:hAnsiTheme="majorBidi" w:cstheme="majorBidi"/>
          <w:sz w:val="24"/>
          <w:szCs w:val="24"/>
          <w:lang w:bidi="en-US"/>
        </w:rPr>
      </w:pPr>
    </w:p>
    <w:p w14:paraId="5C1D5674"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Table 5. Latent class marginal means for dietary habits (x10</w:t>
      </w:r>
      <w:r w:rsidRPr="006E5D08">
        <w:rPr>
          <w:rFonts w:asciiTheme="majorBidi" w:hAnsiTheme="majorBidi" w:cstheme="majorBidi"/>
          <w:sz w:val="24"/>
          <w:szCs w:val="24"/>
          <w:vertAlign w:val="superscript"/>
          <w:lang w:bidi="en-US"/>
        </w:rPr>
        <w:t>-2</w:t>
      </w:r>
      <w:r w:rsidRPr="006E5D08">
        <w:rPr>
          <w:rFonts w:asciiTheme="majorBidi" w:hAnsiTheme="majorBidi" w:cstheme="majorBidi"/>
          <w:sz w:val="24"/>
          <w:szCs w:val="24"/>
          <w:lang w:bidi="en-US"/>
        </w:rPr>
        <w:t xml:space="preserve">)  </w:t>
      </w:r>
    </w:p>
    <w:tbl>
      <w:tblPr>
        <w:tblStyle w:val="TableGrid"/>
        <w:tblW w:w="5000" w:type="pct"/>
        <w:tblLook w:val="04A0" w:firstRow="1" w:lastRow="0" w:firstColumn="1" w:lastColumn="0" w:noHBand="0" w:noVBand="1"/>
      </w:tblPr>
      <w:tblGrid>
        <w:gridCol w:w="2281"/>
        <w:gridCol w:w="1459"/>
        <w:gridCol w:w="2078"/>
        <w:gridCol w:w="1453"/>
        <w:gridCol w:w="2079"/>
      </w:tblGrid>
      <w:tr w:rsidR="006E5D08" w:rsidRPr="006E5D08" w14:paraId="454E24CE" w14:textId="77777777" w:rsidTr="00E80466">
        <w:tc>
          <w:tcPr>
            <w:tcW w:w="1220" w:type="pct"/>
          </w:tcPr>
          <w:p w14:paraId="1C502BFD" w14:textId="77777777" w:rsidR="006E5D08" w:rsidRPr="006E5D08" w:rsidRDefault="006E5D08" w:rsidP="00E80466">
            <w:pPr>
              <w:jc w:val="both"/>
              <w:rPr>
                <w:rFonts w:asciiTheme="majorBidi" w:hAnsiTheme="majorBidi" w:cstheme="majorBidi"/>
                <w:sz w:val="24"/>
                <w:szCs w:val="24"/>
                <w:lang w:bidi="en-US"/>
              </w:rPr>
            </w:pPr>
          </w:p>
        </w:tc>
        <w:tc>
          <w:tcPr>
            <w:tcW w:w="1891" w:type="pct"/>
            <w:gridSpan w:val="2"/>
            <w:vAlign w:val="center"/>
          </w:tcPr>
          <w:p w14:paraId="4AB452DD" w14:textId="77777777" w:rsidR="006E5D08" w:rsidRPr="006E5D08" w:rsidRDefault="006E5D08" w:rsidP="00E340D0">
            <w:pPr>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Class 1</w:t>
            </w:r>
          </w:p>
        </w:tc>
        <w:tc>
          <w:tcPr>
            <w:tcW w:w="1888" w:type="pct"/>
            <w:gridSpan w:val="2"/>
            <w:vAlign w:val="center"/>
          </w:tcPr>
          <w:p w14:paraId="02DBCCD8" w14:textId="77777777" w:rsidR="006E5D08" w:rsidRPr="006E5D08" w:rsidRDefault="006E5D08" w:rsidP="00E340D0">
            <w:pPr>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Class 2</w:t>
            </w:r>
          </w:p>
        </w:tc>
      </w:tr>
      <w:tr w:rsidR="006E5D08" w:rsidRPr="006E5D08" w14:paraId="49A5ED46" w14:textId="77777777" w:rsidTr="00E80466">
        <w:tc>
          <w:tcPr>
            <w:tcW w:w="1220" w:type="pct"/>
          </w:tcPr>
          <w:p w14:paraId="61E6BE5D" w14:textId="77777777" w:rsidR="006E5D08" w:rsidRPr="006E5D08" w:rsidRDefault="006E5D08" w:rsidP="00E80466">
            <w:pPr>
              <w:jc w:val="both"/>
              <w:rPr>
                <w:rFonts w:asciiTheme="majorBidi" w:hAnsiTheme="majorBidi" w:cstheme="majorBidi"/>
                <w:sz w:val="24"/>
                <w:szCs w:val="24"/>
                <w:lang w:bidi="en-US"/>
              </w:rPr>
            </w:pPr>
          </w:p>
        </w:tc>
        <w:tc>
          <w:tcPr>
            <w:tcW w:w="780" w:type="pct"/>
            <w:vAlign w:val="center"/>
          </w:tcPr>
          <w:p w14:paraId="6C21EA39"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Margin</w:t>
            </w:r>
          </w:p>
        </w:tc>
        <w:tc>
          <w:tcPr>
            <w:tcW w:w="1111" w:type="pct"/>
            <w:vAlign w:val="center"/>
          </w:tcPr>
          <w:p w14:paraId="6C2370E2" w14:textId="536501EC"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95% Confidence</w:t>
            </w:r>
          </w:p>
          <w:p w14:paraId="26AE88C3"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Intervals</w:t>
            </w:r>
          </w:p>
        </w:tc>
        <w:tc>
          <w:tcPr>
            <w:tcW w:w="777" w:type="pct"/>
            <w:vAlign w:val="center"/>
          </w:tcPr>
          <w:p w14:paraId="10C161A8"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Margin</w:t>
            </w:r>
          </w:p>
        </w:tc>
        <w:tc>
          <w:tcPr>
            <w:tcW w:w="1111" w:type="pct"/>
            <w:vAlign w:val="center"/>
          </w:tcPr>
          <w:p w14:paraId="65CC2213"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95% Confidence</w:t>
            </w:r>
          </w:p>
          <w:p w14:paraId="63442E02"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Intervals</w:t>
            </w:r>
          </w:p>
        </w:tc>
      </w:tr>
      <w:tr w:rsidR="006E5D08" w:rsidRPr="006E5D08" w14:paraId="116B0558" w14:textId="77777777" w:rsidTr="00E80466">
        <w:tc>
          <w:tcPr>
            <w:tcW w:w="5000" w:type="pct"/>
            <w:gridSpan w:val="5"/>
            <w:vAlign w:val="center"/>
          </w:tcPr>
          <w:p w14:paraId="7D8C7B81" w14:textId="77777777" w:rsidR="006E5D08" w:rsidRPr="006E5D08" w:rsidRDefault="006E5D08" w:rsidP="00E80466">
            <w:pPr>
              <w:jc w:val="both"/>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Eating outside the home (times per week)</w:t>
            </w:r>
          </w:p>
        </w:tc>
      </w:tr>
      <w:tr w:rsidR="006E5D08" w:rsidRPr="006E5D08" w14:paraId="3925C62F" w14:textId="77777777" w:rsidTr="00E80466">
        <w:tc>
          <w:tcPr>
            <w:tcW w:w="1220" w:type="pct"/>
          </w:tcPr>
          <w:p w14:paraId="51B8AFA6"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Never</w:t>
            </w:r>
          </w:p>
          <w:p w14:paraId="3537535D"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1-3 times</w:t>
            </w:r>
          </w:p>
          <w:p w14:paraId="2685EB62"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4 or more times</w:t>
            </w:r>
          </w:p>
        </w:tc>
        <w:tc>
          <w:tcPr>
            <w:tcW w:w="780" w:type="pct"/>
          </w:tcPr>
          <w:p w14:paraId="7AA3C4D9"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0.00013</w:t>
            </w:r>
          </w:p>
          <w:p w14:paraId="77C3A626"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79.6</w:t>
            </w:r>
          </w:p>
          <w:p w14:paraId="27CA009C"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20.4</w:t>
            </w:r>
          </w:p>
        </w:tc>
        <w:tc>
          <w:tcPr>
            <w:tcW w:w="1111" w:type="pct"/>
          </w:tcPr>
          <w:p w14:paraId="0B861D71" w14:textId="77777777" w:rsidR="006E5D08" w:rsidRPr="006E5D08" w:rsidRDefault="006E5D08" w:rsidP="00E80466">
            <w:pPr>
              <w:jc w:val="center"/>
              <w:rPr>
                <w:rFonts w:asciiTheme="majorBidi" w:hAnsiTheme="majorBidi" w:cstheme="majorBidi"/>
                <w:sz w:val="24"/>
                <w:szCs w:val="24"/>
                <w:lang w:bidi="en-US"/>
              </w:rPr>
            </w:pPr>
          </w:p>
          <w:p w14:paraId="33243771"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68.4 – 87.5</w:t>
            </w:r>
          </w:p>
          <w:p w14:paraId="0F6FB728"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12.5 – 31.6</w:t>
            </w:r>
          </w:p>
        </w:tc>
        <w:tc>
          <w:tcPr>
            <w:tcW w:w="777" w:type="pct"/>
          </w:tcPr>
          <w:p w14:paraId="4BD2297C"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58.1</w:t>
            </w:r>
          </w:p>
          <w:p w14:paraId="588E5D7A"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32.1</w:t>
            </w:r>
          </w:p>
          <w:p w14:paraId="68A4EC95"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9.7</w:t>
            </w:r>
          </w:p>
        </w:tc>
        <w:tc>
          <w:tcPr>
            <w:tcW w:w="1111" w:type="pct"/>
          </w:tcPr>
          <w:p w14:paraId="1A14F31D"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53.3 – 62.8</w:t>
            </w:r>
          </w:p>
          <w:p w14:paraId="30BF50FD"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28.2 – 36.3</w:t>
            </w:r>
          </w:p>
          <w:p w14:paraId="3692CF41"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8.3 – 11.4</w:t>
            </w:r>
          </w:p>
        </w:tc>
      </w:tr>
      <w:tr w:rsidR="006E5D08" w:rsidRPr="006E5D08" w14:paraId="5DD6922F" w14:textId="77777777" w:rsidTr="00E80466">
        <w:tc>
          <w:tcPr>
            <w:tcW w:w="5000" w:type="pct"/>
            <w:gridSpan w:val="5"/>
          </w:tcPr>
          <w:p w14:paraId="7930BD2E" w14:textId="77777777" w:rsidR="006E5D08" w:rsidRPr="006E5D08" w:rsidRDefault="006E5D08" w:rsidP="00E80466">
            <w:pPr>
              <w:jc w:val="both"/>
              <w:rPr>
                <w:rFonts w:asciiTheme="majorBidi" w:hAnsiTheme="majorBidi" w:cstheme="majorBidi"/>
                <w:b/>
                <w:bCs/>
                <w:sz w:val="24"/>
                <w:szCs w:val="24"/>
                <w:lang w:bidi="en-US"/>
              </w:rPr>
            </w:pPr>
            <w:r w:rsidRPr="006E5D08">
              <w:rPr>
                <w:rFonts w:asciiTheme="majorBidi" w:hAnsiTheme="majorBidi" w:cstheme="majorBidi"/>
                <w:b/>
                <w:bCs/>
                <w:sz w:val="24"/>
                <w:szCs w:val="24"/>
                <w:lang w:bidi="en-US"/>
              </w:rPr>
              <w:lastRenderedPageBreak/>
              <w:t>Number of serving of fruit and/or vegetables per day</w:t>
            </w:r>
          </w:p>
        </w:tc>
      </w:tr>
      <w:tr w:rsidR="006E5D08" w:rsidRPr="006E5D08" w14:paraId="6F54DC55" w14:textId="77777777" w:rsidTr="00E80466">
        <w:tc>
          <w:tcPr>
            <w:tcW w:w="1220" w:type="pct"/>
          </w:tcPr>
          <w:p w14:paraId="0BB2F450"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 xml:space="preserve">&gt; 5 </w:t>
            </w:r>
          </w:p>
          <w:p w14:paraId="6B534F5E" w14:textId="77777777" w:rsidR="006E5D08" w:rsidRPr="006E5D08" w:rsidRDefault="006E5D08" w:rsidP="00E80466">
            <w:pPr>
              <w:jc w:val="both"/>
              <w:rPr>
                <w:rFonts w:asciiTheme="majorBidi" w:hAnsiTheme="majorBidi" w:cstheme="majorBidi"/>
                <w:sz w:val="24"/>
                <w:szCs w:val="24"/>
                <w:u w:val="single"/>
                <w:lang w:bidi="en-US"/>
              </w:rPr>
            </w:pPr>
            <w:r w:rsidRPr="006E5D08">
              <w:rPr>
                <w:rFonts w:asciiTheme="majorBidi" w:hAnsiTheme="majorBidi" w:cstheme="majorBidi"/>
                <w:sz w:val="24"/>
                <w:szCs w:val="24"/>
                <w:u w:val="single"/>
                <w:lang w:bidi="en-US"/>
              </w:rPr>
              <w:t xml:space="preserve">&lt; </w:t>
            </w:r>
            <w:r w:rsidRPr="006E5D08">
              <w:rPr>
                <w:rFonts w:asciiTheme="majorBidi" w:hAnsiTheme="majorBidi" w:cstheme="majorBidi"/>
                <w:sz w:val="24"/>
                <w:szCs w:val="24"/>
                <w:lang w:bidi="en-US"/>
              </w:rPr>
              <w:t>5</w:t>
            </w:r>
          </w:p>
        </w:tc>
        <w:tc>
          <w:tcPr>
            <w:tcW w:w="780" w:type="pct"/>
          </w:tcPr>
          <w:p w14:paraId="7618ACBA"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20.6</w:t>
            </w:r>
          </w:p>
          <w:p w14:paraId="2BA744D9"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79.4</w:t>
            </w:r>
          </w:p>
        </w:tc>
        <w:tc>
          <w:tcPr>
            <w:tcW w:w="1111" w:type="pct"/>
          </w:tcPr>
          <w:p w14:paraId="4B08F440"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12.6 – 31.9</w:t>
            </w:r>
          </w:p>
          <w:p w14:paraId="318F16AA"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68.1 – 87.4</w:t>
            </w:r>
          </w:p>
        </w:tc>
        <w:tc>
          <w:tcPr>
            <w:tcW w:w="777" w:type="pct"/>
          </w:tcPr>
          <w:p w14:paraId="5965424F"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39.2</w:t>
            </w:r>
          </w:p>
          <w:p w14:paraId="1CADC6A4"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60.8</w:t>
            </w:r>
          </w:p>
        </w:tc>
        <w:tc>
          <w:tcPr>
            <w:tcW w:w="1111" w:type="pct"/>
          </w:tcPr>
          <w:p w14:paraId="51AA314F"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37.3 – 41.2</w:t>
            </w:r>
          </w:p>
          <w:p w14:paraId="0932723A"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58.8 – 62.7</w:t>
            </w:r>
          </w:p>
        </w:tc>
      </w:tr>
      <w:tr w:rsidR="006E5D08" w:rsidRPr="006E5D08" w14:paraId="74F830D3" w14:textId="77777777" w:rsidTr="00E80466">
        <w:tc>
          <w:tcPr>
            <w:tcW w:w="5000" w:type="pct"/>
            <w:gridSpan w:val="5"/>
          </w:tcPr>
          <w:p w14:paraId="25958ABD" w14:textId="77777777" w:rsidR="006E5D08" w:rsidRPr="006E5D08" w:rsidRDefault="006E5D08" w:rsidP="00E80466">
            <w:pPr>
              <w:jc w:val="both"/>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Fat used for cooking</w:t>
            </w:r>
          </w:p>
        </w:tc>
      </w:tr>
      <w:tr w:rsidR="006E5D08" w:rsidRPr="006E5D08" w14:paraId="6F238B64" w14:textId="77777777" w:rsidTr="00E80466">
        <w:tc>
          <w:tcPr>
            <w:tcW w:w="1220" w:type="pct"/>
          </w:tcPr>
          <w:p w14:paraId="70760962"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Vegetable oil</w:t>
            </w:r>
          </w:p>
          <w:p w14:paraId="7B52E2D1"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Butter</w:t>
            </w:r>
          </w:p>
          <w:p w14:paraId="35D4739F"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Other</w:t>
            </w:r>
          </w:p>
        </w:tc>
        <w:tc>
          <w:tcPr>
            <w:tcW w:w="780" w:type="pct"/>
          </w:tcPr>
          <w:p w14:paraId="326472CE"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62.6</w:t>
            </w:r>
          </w:p>
          <w:p w14:paraId="52950CB8"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0.49</w:t>
            </w:r>
          </w:p>
          <w:p w14:paraId="3B15DE6A"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37.0</w:t>
            </w:r>
          </w:p>
        </w:tc>
        <w:tc>
          <w:tcPr>
            <w:tcW w:w="1111" w:type="pct"/>
          </w:tcPr>
          <w:p w14:paraId="51024DBE"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41.3 – 79.8</w:t>
            </w:r>
          </w:p>
          <w:p w14:paraId="606D4591"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 – 98.9</w:t>
            </w:r>
          </w:p>
          <w:p w14:paraId="5B12B9D2"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18.6 – 60.1</w:t>
            </w:r>
          </w:p>
        </w:tc>
        <w:tc>
          <w:tcPr>
            <w:tcW w:w="777" w:type="pct"/>
          </w:tcPr>
          <w:p w14:paraId="786F8793"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90.6</w:t>
            </w:r>
          </w:p>
          <w:p w14:paraId="69B10DE2"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4.0</w:t>
            </w:r>
          </w:p>
          <w:p w14:paraId="486E7E21"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5.4</w:t>
            </w:r>
          </w:p>
        </w:tc>
        <w:tc>
          <w:tcPr>
            <w:tcW w:w="1111" w:type="pct"/>
          </w:tcPr>
          <w:p w14:paraId="51E98876"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89.4 – 91.7</w:t>
            </w:r>
          </w:p>
          <w:p w14:paraId="0724F3DB"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3.3 – 4.8</w:t>
            </w:r>
          </w:p>
          <w:p w14:paraId="2FABDBFF"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4.5 -6.4</w:t>
            </w:r>
          </w:p>
        </w:tc>
      </w:tr>
      <w:tr w:rsidR="006E5D08" w:rsidRPr="006E5D08" w14:paraId="51D8FB1D" w14:textId="77777777" w:rsidTr="00E80466">
        <w:tc>
          <w:tcPr>
            <w:tcW w:w="5000" w:type="pct"/>
            <w:gridSpan w:val="5"/>
          </w:tcPr>
          <w:p w14:paraId="41A77FA7" w14:textId="77777777" w:rsidR="006E5D08" w:rsidRPr="006E5D08" w:rsidRDefault="006E5D08" w:rsidP="00E80466">
            <w:pPr>
              <w:jc w:val="both"/>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Physical activity</w:t>
            </w:r>
          </w:p>
        </w:tc>
      </w:tr>
      <w:tr w:rsidR="006E5D08" w:rsidRPr="006E5D08" w14:paraId="7A57479A" w14:textId="77777777" w:rsidTr="00E80466">
        <w:tc>
          <w:tcPr>
            <w:tcW w:w="1220" w:type="pct"/>
          </w:tcPr>
          <w:p w14:paraId="0C267263"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Insufficient</w:t>
            </w:r>
          </w:p>
          <w:p w14:paraId="39FEF431" w14:textId="77777777" w:rsidR="006E5D08" w:rsidRPr="006E5D08" w:rsidRDefault="006E5D08" w:rsidP="00E80466">
            <w:pPr>
              <w:jc w:val="both"/>
              <w:rPr>
                <w:rFonts w:asciiTheme="majorBidi" w:hAnsiTheme="majorBidi" w:cstheme="majorBidi"/>
                <w:sz w:val="24"/>
                <w:szCs w:val="24"/>
                <w:lang w:bidi="en-US"/>
              </w:rPr>
            </w:pPr>
            <w:r w:rsidRPr="006E5D08">
              <w:rPr>
                <w:rFonts w:asciiTheme="majorBidi" w:hAnsiTheme="majorBidi" w:cstheme="majorBidi"/>
                <w:sz w:val="24"/>
                <w:szCs w:val="24"/>
                <w:lang w:bidi="en-US"/>
              </w:rPr>
              <w:t>Sufficient</w:t>
            </w:r>
          </w:p>
        </w:tc>
        <w:tc>
          <w:tcPr>
            <w:tcW w:w="780" w:type="pct"/>
          </w:tcPr>
          <w:p w14:paraId="04EAC66F"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70.7</w:t>
            </w:r>
          </w:p>
          <w:p w14:paraId="3DCB4081"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29.3</w:t>
            </w:r>
          </w:p>
        </w:tc>
        <w:tc>
          <w:tcPr>
            <w:tcW w:w="1111" w:type="pct"/>
          </w:tcPr>
          <w:p w14:paraId="397666D6"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60.3 – 79.3</w:t>
            </w:r>
          </w:p>
          <w:p w14:paraId="0E53EEA5"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20.7 – 39.7</w:t>
            </w:r>
          </w:p>
        </w:tc>
        <w:tc>
          <w:tcPr>
            <w:tcW w:w="777" w:type="pct"/>
          </w:tcPr>
          <w:p w14:paraId="44F6EDAF"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59.8</w:t>
            </w:r>
          </w:p>
          <w:p w14:paraId="50091FD3"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40.2</w:t>
            </w:r>
          </w:p>
        </w:tc>
        <w:tc>
          <w:tcPr>
            <w:tcW w:w="1111" w:type="pct"/>
          </w:tcPr>
          <w:p w14:paraId="0916C5E9"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57.9 – 61.6</w:t>
            </w:r>
          </w:p>
          <w:p w14:paraId="49B33078" w14:textId="77777777" w:rsidR="006E5D08" w:rsidRPr="006E5D08" w:rsidRDefault="006E5D08" w:rsidP="00E80466">
            <w:pPr>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38.4 – 42.1</w:t>
            </w:r>
          </w:p>
        </w:tc>
      </w:tr>
    </w:tbl>
    <w:p w14:paraId="0162E140" w14:textId="77777777" w:rsidR="006E5D08" w:rsidRPr="006E5D08" w:rsidRDefault="006E5D08" w:rsidP="007E30CF">
      <w:pPr>
        <w:spacing w:line="480" w:lineRule="auto"/>
        <w:jc w:val="both"/>
        <w:rPr>
          <w:rFonts w:asciiTheme="majorBidi" w:hAnsiTheme="majorBidi" w:cstheme="majorBidi"/>
          <w:sz w:val="24"/>
          <w:szCs w:val="24"/>
          <w:lang w:bidi="en-US"/>
        </w:rPr>
      </w:pPr>
    </w:p>
    <w:p w14:paraId="496802EE" w14:textId="77777777" w:rsidR="006E5D08" w:rsidRPr="006E5D08" w:rsidRDefault="006E5D08" w:rsidP="007E30CF">
      <w:pPr>
        <w:spacing w:line="480" w:lineRule="auto"/>
        <w:jc w:val="both"/>
        <w:rPr>
          <w:rFonts w:asciiTheme="majorBidi" w:hAnsiTheme="majorBidi" w:cstheme="majorBidi"/>
          <w:sz w:val="24"/>
          <w:szCs w:val="24"/>
          <w:lang w:bidi="en-US"/>
        </w:rPr>
      </w:pPr>
    </w:p>
    <w:p w14:paraId="36454485" w14:textId="67F373EC"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 xml:space="preserve">When the LCA was extended to include sociodemographic factors with the dietary factors, we found 2 distinct classes with each Omani having a 67% probability of being in Class 1 which were those in the 18-39 age group, completed secondary school, married, not working, eating less than </w:t>
      </w:r>
      <w:r w:rsidR="00494FA1">
        <w:rPr>
          <w:rFonts w:asciiTheme="majorBidi" w:hAnsiTheme="majorBidi" w:cstheme="majorBidi"/>
          <w:sz w:val="24"/>
          <w:szCs w:val="24"/>
          <w:lang w:bidi="en-US"/>
        </w:rPr>
        <w:t xml:space="preserve">the </w:t>
      </w:r>
      <w:r w:rsidRPr="006E5D08">
        <w:rPr>
          <w:rFonts w:asciiTheme="majorBidi" w:hAnsiTheme="majorBidi" w:cstheme="majorBidi"/>
          <w:sz w:val="24"/>
          <w:szCs w:val="24"/>
          <w:lang w:bidi="en-US"/>
        </w:rPr>
        <w:t>recommended servings of fruits and vegetables, having sedentary lifestyle, eating outside for 1-3 times/week, and using vegetable oil for cooking (Tables S7, S8). Regressing blood glucose on the above classes’ variables using LCA, we found that on condition of categorised in Class 1, an individual would have a 21% and 6% probability of developing pre-diabetes and diabetes, respectively (Table</w:t>
      </w:r>
      <w:r w:rsidR="001A658E">
        <w:rPr>
          <w:rFonts w:asciiTheme="majorBidi" w:hAnsiTheme="majorBidi" w:cstheme="majorBidi"/>
          <w:sz w:val="24"/>
          <w:szCs w:val="24"/>
          <w:lang w:bidi="en-US"/>
        </w:rPr>
        <w:t>s</w:t>
      </w:r>
      <w:r w:rsidRPr="006E5D08">
        <w:rPr>
          <w:rFonts w:asciiTheme="majorBidi" w:hAnsiTheme="majorBidi" w:cstheme="majorBidi"/>
          <w:sz w:val="24"/>
          <w:szCs w:val="24"/>
          <w:lang w:bidi="en-US"/>
        </w:rPr>
        <w:t xml:space="preserve"> </w:t>
      </w:r>
      <w:r w:rsidR="001A658E">
        <w:rPr>
          <w:rFonts w:asciiTheme="majorBidi" w:hAnsiTheme="majorBidi" w:cstheme="majorBidi"/>
          <w:sz w:val="24"/>
          <w:szCs w:val="24"/>
          <w:lang w:bidi="en-US"/>
        </w:rPr>
        <w:t>S9</w:t>
      </w:r>
      <w:r w:rsidRPr="006E5D08">
        <w:rPr>
          <w:rFonts w:asciiTheme="majorBidi" w:hAnsiTheme="majorBidi" w:cstheme="majorBidi"/>
          <w:sz w:val="24"/>
          <w:szCs w:val="24"/>
          <w:lang w:bidi="en-US"/>
        </w:rPr>
        <w:t>,</w:t>
      </w:r>
      <w:r w:rsidR="001A658E">
        <w:rPr>
          <w:rFonts w:asciiTheme="majorBidi" w:hAnsiTheme="majorBidi" w:cstheme="majorBidi"/>
          <w:sz w:val="24"/>
          <w:szCs w:val="24"/>
          <w:lang w:bidi="en-US"/>
        </w:rPr>
        <w:t xml:space="preserve"> S10</w:t>
      </w:r>
      <w:r w:rsidRPr="006E5D08">
        <w:rPr>
          <w:rFonts w:asciiTheme="majorBidi" w:hAnsiTheme="majorBidi" w:cstheme="majorBidi"/>
          <w:sz w:val="24"/>
          <w:szCs w:val="24"/>
          <w:lang w:bidi="en-US"/>
        </w:rPr>
        <w:t>). However, being in Class 2 (being married, above 50 years of age, not having formal education, not working, having sedentary lifestyle, eating outside the home, and eating less serving of fruits and vegetables, and using vegetable oil for cooking), an individual would have a 32% probability of developing diabetes. As a result, we can see that increasing age is a strong indicator for diabetes as it raises the probability of developing diabetes from 6% to 32% despite the individual having almost the same dietary habits. Thus, most Omani citizens in Class 1 would have a higher probability of developing diabetes if they keep the same lifestyle habits as they are aging.</w:t>
      </w:r>
    </w:p>
    <w:p w14:paraId="1A628261" w14:textId="77777777" w:rsidR="006E5D08" w:rsidRPr="006E5D08" w:rsidRDefault="006E5D08" w:rsidP="007E30CF">
      <w:pPr>
        <w:spacing w:line="480" w:lineRule="auto"/>
        <w:jc w:val="both"/>
        <w:rPr>
          <w:rFonts w:asciiTheme="majorBidi" w:hAnsiTheme="majorBidi" w:cstheme="majorBidi"/>
          <w:sz w:val="24"/>
          <w:szCs w:val="24"/>
          <w:lang w:bidi="en-US"/>
        </w:rPr>
      </w:pPr>
    </w:p>
    <w:p w14:paraId="50307178" w14:textId="44EAB346"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i/>
          <w:iCs/>
          <w:sz w:val="24"/>
          <w:szCs w:val="24"/>
          <w:lang w:bidi="en-US"/>
        </w:rPr>
        <w:t>Direct effects of dietary risk factors</w:t>
      </w:r>
    </w:p>
    <w:p w14:paraId="6D7DE534"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Using Structural equation modelling, we proposed the model in Figure 2 which showed the standardized coefficients to control for measurement differences. The model showed good fit (Table S11). It was found that dietary risk factors have a direct effect through 8 paths on main biophysical (Waist-to-hip ratio, Systolic blood pressure) and main biochemical (blood glucose, total cholesterol, and HDL) risk indicators of NCDs along with several indirect effects (Table 6).</w:t>
      </w:r>
    </w:p>
    <w:p w14:paraId="11CEE937" w14:textId="77777777" w:rsidR="006E5D08" w:rsidRPr="006E5D08" w:rsidRDefault="006E5D08" w:rsidP="007E30CF">
      <w:pPr>
        <w:spacing w:line="480" w:lineRule="auto"/>
        <w:jc w:val="both"/>
        <w:rPr>
          <w:rFonts w:asciiTheme="majorBidi" w:hAnsiTheme="majorBidi" w:cstheme="majorBidi"/>
          <w:sz w:val="24"/>
          <w:szCs w:val="24"/>
          <w:lang w:bidi="en-US"/>
        </w:rPr>
      </w:pPr>
    </w:p>
    <w:p w14:paraId="4E4E4292" w14:textId="77777777" w:rsidR="006E5D08" w:rsidRPr="006E5D08" w:rsidRDefault="006E5D08" w:rsidP="007E30CF">
      <w:pPr>
        <w:spacing w:line="480" w:lineRule="auto"/>
        <w:jc w:val="both"/>
        <w:rPr>
          <w:rFonts w:asciiTheme="majorBidi" w:hAnsiTheme="majorBidi" w:cstheme="majorBidi"/>
          <w:sz w:val="24"/>
          <w:szCs w:val="24"/>
          <w:lang w:bidi="en-US"/>
        </w:rPr>
      </w:pPr>
    </w:p>
    <w:p w14:paraId="2B5CCAE9" w14:textId="77777777" w:rsidR="006E5D08" w:rsidRPr="006E5D08" w:rsidRDefault="006E5D08" w:rsidP="007E30CF">
      <w:pPr>
        <w:spacing w:line="480" w:lineRule="auto"/>
        <w:jc w:val="both"/>
        <w:rPr>
          <w:rFonts w:asciiTheme="majorBidi" w:hAnsiTheme="majorBidi" w:cstheme="majorBidi"/>
          <w:sz w:val="24"/>
          <w:szCs w:val="24"/>
          <w:lang w:bidi="en-US"/>
        </w:rPr>
      </w:pPr>
    </w:p>
    <w:p w14:paraId="21E10764"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 xml:space="preserve">Figure 2. </w:t>
      </w:r>
      <w:r w:rsidRPr="006E5D08">
        <w:rPr>
          <w:rFonts w:asciiTheme="majorBidi" w:hAnsiTheme="majorBidi" w:cstheme="majorBidi"/>
          <w:sz w:val="24"/>
          <w:szCs w:val="24"/>
        </w:rPr>
        <w:t>Structural Equation Modelling (SEM) of dietary risk factor associations</w:t>
      </w:r>
    </w:p>
    <w:p w14:paraId="50E54A63"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b/>
          <w:bCs/>
          <w:noProof/>
          <w:sz w:val="24"/>
          <w:szCs w:val="24"/>
          <w:lang w:eastAsia="en-GB"/>
        </w:rPr>
        <w:lastRenderedPageBreak/>
        <w:drawing>
          <wp:inline distT="0" distB="0" distL="0" distR="0" wp14:anchorId="0FD5FAC0" wp14:editId="031DF454">
            <wp:extent cx="6280992" cy="5666072"/>
            <wp:effectExtent l="0" t="0" r="571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579" cy="5717119"/>
                    </a:xfrm>
                    <a:prstGeom prst="rect">
                      <a:avLst/>
                    </a:prstGeom>
                  </pic:spPr>
                </pic:pic>
              </a:graphicData>
            </a:graphic>
          </wp:inline>
        </w:drawing>
      </w:r>
    </w:p>
    <w:p w14:paraId="0763A79D" w14:textId="77777777" w:rsidR="006E5D08" w:rsidRDefault="006E5D08" w:rsidP="007E30CF">
      <w:pPr>
        <w:spacing w:line="480" w:lineRule="auto"/>
        <w:jc w:val="both"/>
        <w:rPr>
          <w:rFonts w:asciiTheme="majorBidi" w:hAnsiTheme="majorBidi" w:cstheme="majorBidi"/>
          <w:sz w:val="24"/>
          <w:szCs w:val="24"/>
          <w:lang w:bidi="en-US"/>
        </w:rPr>
      </w:pPr>
    </w:p>
    <w:p w14:paraId="52EE8619" w14:textId="77777777" w:rsidR="00E80466" w:rsidRDefault="00E80466" w:rsidP="007E30CF">
      <w:pPr>
        <w:spacing w:line="480" w:lineRule="auto"/>
        <w:jc w:val="both"/>
        <w:rPr>
          <w:rFonts w:asciiTheme="majorBidi" w:hAnsiTheme="majorBidi" w:cstheme="majorBidi"/>
          <w:sz w:val="24"/>
          <w:szCs w:val="24"/>
          <w:lang w:bidi="en-US"/>
        </w:rPr>
      </w:pPr>
    </w:p>
    <w:p w14:paraId="3A29EE7E" w14:textId="77777777" w:rsidR="00E80466" w:rsidRDefault="00E80466" w:rsidP="007E30CF">
      <w:pPr>
        <w:spacing w:line="480" w:lineRule="auto"/>
        <w:jc w:val="both"/>
        <w:rPr>
          <w:rFonts w:asciiTheme="majorBidi" w:hAnsiTheme="majorBidi" w:cstheme="majorBidi"/>
          <w:sz w:val="24"/>
          <w:szCs w:val="24"/>
          <w:lang w:bidi="en-US"/>
        </w:rPr>
      </w:pPr>
    </w:p>
    <w:p w14:paraId="6C5628C2" w14:textId="77777777" w:rsidR="00E80466" w:rsidRDefault="00E80466" w:rsidP="007E30CF">
      <w:pPr>
        <w:spacing w:line="480" w:lineRule="auto"/>
        <w:jc w:val="both"/>
        <w:rPr>
          <w:rFonts w:asciiTheme="majorBidi" w:hAnsiTheme="majorBidi" w:cstheme="majorBidi"/>
          <w:sz w:val="24"/>
          <w:szCs w:val="24"/>
          <w:lang w:bidi="en-US"/>
        </w:rPr>
      </w:pPr>
    </w:p>
    <w:p w14:paraId="1521D7E0" w14:textId="77777777" w:rsidR="006E5D08" w:rsidRPr="006E5D08" w:rsidRDefault="006E5D08" w:rsidP="007E30CF">
      <w:pPr>
        <w:spacing w:line="480" w:lineRule="auto"/>
        <w:jc w:val="both"/>
        <w:rPr>
          <w:rFonts w:asciiTheme="majorBidi" w:hAnsiTheme="majorBidi" w:cstheme="majorBidi"/>
          <w:i/>
          <w:iCs/>
          <w:sz w:val="24"/>
          <w:szCs w:val="24"/>
        </w:rPr>
      </w:pPr>
      <w:r w:rsidRPr="006E5D08">
        <w:rPr>
          <w:rFonts w:asciiTheme="majorBidi" w:hAnsiTheme="majorBidi" w:cstheme="majorBidi"/>
          <w:sz w:val="24"/>
          <w:szCs w:val="24"/>
        </w:rPr>
        <w:lastRenderedPageBreak/>
        <w:t>Table 6.</w:t>
      </w:r>
      <w:r w:rsidRPr="006E5D08">
        <w:rPr>
          <w:rFonts w:asciiTheme="majorBidi" w:hAnsiTheme="majorBidi" w:cstheme="majorBidi"/>
          <w:i/>
          <w:iCs/>
          <w:sz w:val="24"/>
          <w:szCs w:val="24"/>
        </w:rPr>
        <w:t xml:space="preserve"> </w:t>
      </w:r>
      <w:r w:rsidRPr="006E5D08">
        <w:rPr>
          <w:rFonts w:asciiTheme="majorBidi" w:hAnsiTheme="majorBidi" w:cstheme="majorBidi"/>
          <w:sz w:val="24"/>
          <w:szCs w:val="24"/>
        </w:rPr>
        <w:t>Direct and indirect effect of dietary risk factors on the main biophysical and biochemical parameters (x10</w:t>
      </w:r>
      <w:r w:rsidRPr="006E5D08">
        <w:rPr>
          <w:rFonts w:asciiTheme="majorBidi" w:hAnsiTheme="majorBidi" w:cstheme="majorBidi"/>
          <w:sz w:val="24"/>
          <w:szCs w:val="24"/>
          <w:vertAlign w:val="superscript"/>
        </w:rPr>
        <w:t>-2</w:t>
      </w:r>
      <w:r w:rsidRPr="006E5D08">
        <w:rPr>
          <w:rFonts w:asciiTheme="majorBidi" w:hAnsiTheme="majorBidi" w:cstheme="majorBidi"/>
          <w:sz w:val="24"/>
          <w:szCs w:val="24"/>
        </w:rPr>
        <w:t>)</w:t>
      </w:r>
    </w:p>
    <w:tbl>
      <w:tblPr>
        <w:tblStyle w:val="TableGrid"/>
        <w:tblW w:w="5000" w:type="pct"/>
        <w:tblLook w:val="04A0" w:firstRow="1" w:lastRow="0" w:firstColumn="1" w:lastColumn="0" w:noHBand="0" w:noVBand="1"/>
      </w:tblPr>
      <w:tblGrid>
        <w:gridCol w:w="1496"/>
        <w:gridCol w:w="1483"/>
        <w:gridCol w:w="1638"/>
        <w:gridCol w:w="1509"/>
        <w:gridCol w:w="1702"/>
        <w:gridCol w:w="1522"/>
      </w:tblGrid>
      <w:tr w:rsidR="006E5D08" w:rsidRPr="006E5D08" w14:paraId="2782449C" w14:textId="77777777" w:rsidTr="00E80466">
        <w:tc>
          <w:tcPr>
            <w:tcW w:w="800" w:type="pct"/>
          </w:tcPr>
          <w:p w14:paraId="4E637BCC" w14:textId="77777777" w:rsidR="006E5D08" w:rsidRPr="006E5D08" w:rsidRDefault="006E5D08" w:rsidP="007E30CF">
            <w:pPr>
              <w:spacing w:line="480" w:lineRule="auto"/>
              <w:jc w:val="both"/>
              <w:rPr>
                <w:rFonts w:asciiTheme="majorBidi" w:hAnsiTheme="majorBidi" w:cstheme="majorBidi"/>
                <w:sz w:val="24"/>
                <w:szCs w:val="24"/>
                <w:lang w:bidi="en-US"/>
              </w:rPr>
            </w:pPr>
          </w:p>
        </w:tc>
        <w:tc>
          <w:tcPr>
            <w:tcW w:w="793" w:type="pct"/>
            <w:vAlign w:val="center"/>
          </w:tcPr>
          <w:p w14:paraId="59912FA1" w14:textId="77777777" w:rsidR="006E5D08" w:rsidRPr="006E5D08" w:rsidRDefault="006E5D08" w:rsidP="00E80466">
            <w:pPr>
              <w:spacing w:line="480" w:lineRule="auto"/>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Waist-to-Hip Ratio</w:t>
            </w:r>
          </w:p>
        </w:tc>
        <w:tc>
          <w:tcPr>
            <w:tcW w:w="876" w:type="pct"/>
            <w:vAlign w:val="center"/>
          </w:tcPr>
          <w:p w14:paraId="31DD0A42" w14:textId="372650C2" w:rsidR="006E5D08" w:rsidRPr="006E5D08" w:rsidRDefault="006E5D08" w:rsidP="00E80466">
            <w:pPr>
              <w:spacing w:line="480" w:lineRule="auto"/>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Total</w:t>
            </w:r>
          </w:p>
          <w:p w14:paraId="07DF467E" w14:textId="77777777" w:rsidR="006E5D08" w:rsidRPr="006E5D08" w:rsidRDefault="006E5D08" w:rsidP="00E80466">
            <w:pPr>
              <w:spacing w:line="480" w:lineRule="auto"/>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Cholesterol</w:t>
            </w:r>
          </w:p>
        </w:tc>
        <w:tc>
          <w:tcPr>
            <w:tcW w:w="807" w:type="pct"/>
            <w:vAlign w:val="center"/>
          </w:tcPr>
          <w:p w14:paraId="1BA01250" w14:textId="77777777" w:rsidR="006E5D08" w:rsidRPr="006E5D08" w:rsidRDefault="006E5D08" w:rsidP="00E80466">
            <w:pPr>
              <w:spacing w:line="480" w:lineRule="auto"/>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Blood Glucose</w:t>
            </w:r>
          </w:p>
        </w:tc>
        <w:tc>
          <w:tcPr>
            <w:tcW w:w="910" w:type="pct"/>
            <w:vAlign w:val="center"/>
          </w:tcPr>
          <w:p w14:paraId="66EB45ED" w14:textId="77777777" w:rsidR="006E5D08" w:rsidRPr="006E5D08" w:rsidRDefault="006E5D08" w:rsidP="00E80466">
            <w:pPr>
              <w:spacing w:line="480" w:lineRule="auto"/>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High-Density Lipoprotein</w:t>
            </w:r>
          </w:p>
        </w:tc>
        <w:tc>
          <w:tcPr>
            <w:tcW w:w="814" w:type="pct"/>
            <w:vAlign w:val="center"/>
          </w:tcPr>
          <w:p w14:paraId="6AE67E25" w14:textId="77777777" w:rsidR="006E5D08" w:rsidRPr="006E5D08" w:rsidRDefault="006E5D08" w:rsidP="00E80466">
            <w:pPr>
              <w:spacing w:line="480" w:lineRule="auto"/>
              <w:jc w:val="center"/>
              <w:rPr>
                <w:rFonts w:asciiTheme="majorBidi" w:hAnsiTheme="majorBidi" w:cstheme="majorBidi"/>
                <w:b/>
                <w:bCs/>
                <w:sz w:val="24"/>
                <w:szCs w:val="24"/>
                <w:lang w:bidi="en-US"/>
              </w:rPr>
            </w:pPr>
            <w:r w:rsidRPr="006E5D08">
              <w:rPr>
                <w:rFonts w:asciiTheme="majorBidi" w:hAnsiTheme="majorBidi" w:cstheme="majorBidi"/>
                <w:b/>
                <w:bCs/>
                <w:sz w:val="24"/>
                <w:szCs w:val="24"/>
                <w:lang w:bidi="en-US"/>
              </w:rPr>
              <w:t>Systolic Blood Pressure</w:t>
            </w:r>
          </w:p>
        </w:tc>
      </w:tr>
      <w:tr w:rsidR="006E5D08" w:rsidRPr="006E5D08" w14:paraId="40AF5F52" w14:textId="77777777" w:rsidTr="00E80466">
        <w:tc>
          <w:tcPr>
            <w:tcW w:w="5000" w:type="pct"/>
            <w:gridSpan w:val="6"/>
            <w:vAlign w:val="center"/>
          </w:tcPr>
          <w:p w14:paraId="4B8ECF31"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b/>
                <w:bCs/>
                <w:sz w:val="24"/>
                <w:szCs w:val="24"/>
                <w:lang w:bidi="en-US"/>
              </w:rPr>
              <w:t>Eating outside the home (times per week)</w:t>
            </w:r>
          </w:p>
        </w:tc>
      </w:tr>
      <w:tr w:rsidR="006E5D08" w:rsidRPr="006E5D08" w14:paraId="06B842DC" w14:textId="77777777" w:rsidTr="00E80466">
        <w:tc>
          <w:tcPr>
            <w:tcW w:w="800" w:type="pct"/>
          </w:tcPr>
          <w:p w14:paraId="22E8A26F"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Total</w:t>
            </w:r>
          </w:p>
          <w:p w14:paraId="51AC4767"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Direct</w:t>
            </w:r>
          </w:p>
          <w:p w14:paraId="593C1468"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Indirect</w:t>
            </w:r>
          </w:p>
        </w:tc>
        <w:tc>
          <w:tcPr>
            <w:tcW w:w="793" w:type="pct"/>
          </w:tcPr>
          <w:p w14:paraId="70E7B963"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3.73</w:t>
            </w:r>
          </w:p>
          <w:p w14:paraId="04C0027B"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12.70</w:t>
            </w:r>
          </w:p>
          <w:p w14:paraId="552BD15E"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3.73</w:t>
            </w:r>
          </w:p>
        </w:tc>
        <w:tc>
          <w:tcPr>
            <w:tcW w:w="876" w:type="pct"/>
          </w:tcPr>
          <w:p w14:paraId="0D0BF531"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10.61</w:t>
            </w:r>
          </w:p>
          <w:p w14:paraId="1ECA1DD0"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12.15</w:t>
            </w:r>
          </w:p>
          <w:p w14:paraId="4AE67334"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-1.54</w:t>
            </w:r>
          </w:p>
        </w:tc>
        <w:tc>
          <w:tcPr>
            <w:tcW w:w="807" w:type="pct"/>
          </w:tcPr>
          <w:p w14:paraId="05DE660A"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-3.71</w:t>
            </w:r>
          </w:p>
          <w:p w14:paraId="3FFD406F"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-3.90</w:t>
            </w:r>
          </w:p>
          <w:p w14:paraId="719DC201"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0.20</w:t>
            </w:r>
          </w:p>
        </w:tc>
        <w:tc>
          <w:tcPr>
            <w:tcW w:w="910" w:type="pct"/>
          </w:tcPr>
          <w:p w14:paraId="4C289ED8"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-2.63</w:t>
            </w:r>
          </w:p>
          <w:p w14:paraId="4D628F52"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7.32</w:t>
            </w:r>
          </w:p>
          <w:p w14:paraId="5921283C"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84.10</w:t>
            </w:r>
          </w:p>
        </w:tc>
        <w:tc>
          <w:tcPr>
            <w:tcW w:w="814" w:type="pct"/>
          </w:tcPr>
          <w:p w14:paraId="681171C4"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0.33</w:t>
            </w:r>
          </w:p>
          <w:p w14:paraId="00466298"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0.09</w:t>
            </w:r>
          </w:p>
          <w:p w14:paraId="27411466"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0.25</w:t>
            </w:r>
          </w:p>
        </w:tc>
      </w:tr>
      <w:tr w:rsidR="006E5D08" w:rsidRPr="006E5D08" w14:paraId="4E4A596F" w14:textId="77777777" w:rsidTr="00E80466">
        <w:tc>
          <w:tcPr>
            <w:tcW w:w="5000" w:type="pct"/>
            <w:gridSpan w:val="6"/>
            <w:vAlign w:val="center"/>
          </w:tcPr>
          <w:p w14:paraId="65E99D74"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b/>
                <w:bCs/>
                <w:sz w:val="24"/>
                <w:szCs w:val="24"/>
                <w:lang w:bidi="en-US"/>
              </w:rPr>
              <w:t>Number of serving of fruit and/or vegetables per day</w:t>
            </w:r>
          </w:p>
        </w:tc>
      </w:tr>
      <w:tr w:rsidR="006E5D08" w:rsidRPr="006E5D08" w14:paraId="1349D80A" w14:textId="77777777" w:rsidTr="00E80466">
        <w:tc>
          <w:tcPr>
            <w:tcW w:w="800" w:type="pct"/>
          </w:tcPr>
          <w:p w14:paraId="1555DF8D"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Total</w:t>
            </w:r>
          </w:p>
          <w:p w14:paraId="1A6DF11A"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Direct</w:t>
            </w:r>
          </w:p>
          <w:p w14:paraId="06C733DD"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Indirect</w:t>
            </w:r>
          </w:p>
        </w:tc>
        <w:tc>
          <w:tcPr>
            <w:tcW w:w="793" w:type="pct"/>
          </w:tcPr>
          <w:p w14:paraId="231D485B"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1.51</w:t>
            </w:r>
          </w:p>
          <w:p w14:paraId="356D7ED6"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7.30</w:t>
            </w:r>
          </w:p>
          <w:p w14:paraId="44A79EED"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1.51</w:t>
            </w:r>
          </w:p>
        </w:tc>
        <w:tc>
          <w:tcPr>
            <w:tcW w:w="876" w:type="pct"/>
          </w:tcPr>
          <w:p w14:paraId="6D88B300"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4.53</w:t>
            </w:r>
          </w:p>
          <w:p w14:paraId="3047FD17"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5.15</w:t>
            </w:r>
          </w:p>
          <w:p w14:paraId="54C51905"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-0.62</w:t>
            </w:r>
          </w:p>
        </w:tc>
        <w:tc>
          <w:tcPr>
            <w:tcW w:w="807" w:type="pct"/>
          </w:tcPr>
          <w:p w14:paraId="285DC177"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0.08</w:t>
            </w:r>
          </w:p>
          <w:p w14:paraId="2FD3B43E"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35.00</w:t>
            </w:r>
          </w:p>
          <w:p w14:paraId="67B68956"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0.08</w:t>
            </w:r>
          </w:p>
        </w:tc>
        <w:tc>
          <w:tcPr>
            <w:tcW w:w="910" w:type="pct"/>
          </w:tcPr>
          <w:p w14:paraId="60BF87C6"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-2.91</w:t>
            </w:r>
          </w:p>
          <w:p w14:paraId="2EC8A779"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-2.91</w:t>
            </w:r>
          </w:p>
          <w:p w14:paraId="62CDA00D"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9.20</w:t>
            </w:r>
          </w:p>
        </w:tc>
        <w:tc>
          <w:tcPr>
            <w:tcW w:w="814" w:type="pct"/>
          </w:tcPr>
          <w:p w14:paraId="0581FD6D"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0.19</w:t>
            </w:r>
          </w:p>
          <w:p w14:paraId="66E3E4E2"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7.10</w:t>
            </w:r>
          </w:p>
          <w:p w14:paraId="4FD0AB56"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0.19</w:t>
            </w:r>
          </w:p>
        </w:tc>
      </w:tr>
      <w:tr w:rsidR="006E5D08" w:rsidRPr="006E5D08" w14:paraId="5C1E8444" w14:textId="77777777" w:rsidTr="00E80466">
        <w:tc>
          <w:tcPr>
            <w:tcW w:w="5000" w:type="pct"/>
            <w:gridSpan w:val="6"/>
            <w:vAlign w:val="center"/>
          </w:tcPr>
          <w:p w14:paraId="12F1AA4A"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b/>
                <w:bCs/>
                <w:sz w:val="24"/>
                <w:szCs w:val="24"/>
                <w:lang w:bidi="en-US"/>
              </w:rPr>
              <w:t>Fat used for cooking</w:t>
            </w:r>
          </w:p>
        </w:tc>
      </w:tr>
      <w:tr w:rsidR="006E5D08" w:rsidRPr="006E5D08" w14:paraId="772FFFEA" w14:textId="77777777" w:rsidTr="00E80466">
        <w:tc>
          <w:tcPr>
            <w:tcW w:w="800" w:type="pct"/>
          </w:tcPr>
          <w:p w14:paraId="19C50510"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Total</w:t>
            </w:r>
          </w:p>
          <w:p w14:paraId="366000EB"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Direct</w:t>
            </w:r>
          </w:p>
          <w:p w14:paraId="1C100380" w14:textId="77777777" w:rsidR="006E5D08" w:rsidRPr="006E5D08" w:rsidRDefault="006E5D08" w:rsidP="007E30CF">
            <w:pPr>
              <w:spacing w:line="480" w:lineRule="auto"/>
              <w:jc w:val="both"/>
              <w:rPr>
                <w:rFonts w:asciiTheme="majorBidi" w:hAnsiTheme="majorBidi" w:cstheme="majorBidi"/>
                <w:sz w:val="24"/>
                <w:szCs w:val="24"/>
                <w:lang w:bidi="en-US"/>
              </w:rPr>
            </w:pPr>
            <w:r w:rsidRPr="006E5D08">
              <w:rPr>
                <w:rFonts w:asciiTheme="majorBidi" w:hAnsiTheme="majorBidi" w:cstheme="majorBidi"/>
                <w:sz w:val="24"/>
                <w:szCs w:val="24"/>
                <w:lang w:bidi="en-US"/>
              </w:rPr>
              <w:t>Indirect</w:t>
            </w:r>
          </w:p>
        </w:tc>
        <w:tc>
          <w:tcPr>
            <w:tcW w:w="793" w:type="pct"/>
          </w:tcPr>
          <w:p w14:paraId="2D630DF5"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7.95</w:t>
            </w:r>
          </w:p>
          <w:p w14:paraId="4C1B3C48"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7.17</w:t>
            </w:r>
          </w:p>
          <w:p w14:paraId="4BE46C8C"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0.78</w:t>
            </w:r>
          </w:p>
        </w:tc>
        <w:tc>
          <w:tcPr>
            <w:tcW w:w="876" w:type="pct"/>
          </w:tcPr>
          <w:p w14:paraId="15252143"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2.15</w:t>
            </w:r>
          </w:p>
          <w:p w14:paraId="4C79B81E"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5.42</w:t>
            </w:r>
          </w:p>
          <w:p w14:paraId="74993A40"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-3.27</w:t>
            </w:r>
          </w:p>
        </w:tc>
        <w:tc>
          <w:tcPr>
            <w:tcW w:w="807" w:type="pct"/>
          </w:tcPr>
          <w:p w14:paraId="355CA3E9"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0.67</w:t>
            </w:r>
          </w:p>
          <w:p w14:paraId="3E08E275"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26.00</w:t>
            </w:r>
          </w:p>
          <w:p w14:paraId="75E480E9"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0.67</w:t>
            </w:r>
          </w:p>
        </w:tc>
        <w:tc>
          <w:tcPr>
            <w:tcW w:w="910" w:type="pct"/>
          </w:tcPr>
          <w:p w14:paraId="5A3265C0"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15.00</w:t>
            </w:r>
          </w:p>
          <w:p w14:paraId="5A76615F"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7.00</w:t>
            </w:r>
          </w:p>
          <w:p w14:paraId="0A826590"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9.30</w:t>
            </w:r>
          </w:p>
        </w:tc>
        <w:tc>
          <w:tcPr>
            <w:tcW w:w="814" w:type="pct"/>
          </w:tcPr>
          <w:p w14:paraId="477EF5F1"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4.91</w:t>
            </w:r>
          </w:p>
          <w:p w14:paraId="6CADF3F7"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4.28</w:t>
            </w:r>
          </w:p>
          <w:p w14:paraId="68754DA1" w14:textId="77777777" w:rsidR="006E5D08" w:rsidRPr="006E5D08" w:rsidRDefault="006E5D08" w:rsidP="00E80466">
            <w:pPr>
              <w:spacing w:line="480" w:lineRule="auto"/>
              <w:jc w:val="center"/>
              <w:rPr>
                <w:rFonts w:asciiTheme="majorBidi" w:hAnsiTheme="majorBidi" w:cstheme="majorBidi"/>
                <w:sz w:val="24"/>
                <w:szCs w:val="24"/>
                <w:lang w:bidi="en-US"/>
              </w:rPr>
            </w:pPr>
            <w:r w:rsidRPr="006E5D08">
              <w:rPr>
                <w:rFonts w:asciiTheme="majorBidi" w:hAnsiTheme="majorBidi" w:cstheme="majorBidi"/>
                <w:sz w:val="24"/>
                <w:szCs w:val="24"/>
                <w:lang w:bidi="en-US"/>
              </w:rPr>
              <w:t>0.63</w:t>
            </w:r>
          </w:p>
        </w:tc>
      </w:tr>
    </w:tbl>
    <w:p w14:paraId="07799977" w14:textId="77777777" w:rsidR="006E5D08" w:rsidRPr="006E5D08" w:rsidRDefault="006E5D08" w:rsidP="007E30CF">
      <w:pPr>
        <w:spacing w:line="480" w:lineRule="auto"/>
        <w:jc w:val="both"/>
        <w:rPr>
          <w:rFonts w:asciiTheme="majorBidi" w:hAnsiTheme="majorBidi" w:cstheme="majorBidi"/>
          <w:sz w:val="24"/>
          <w:szCs w:val="24"/>
          <w:lang w:bidi="en-US"/>
        </w:rPr>
      </w:pPr>
    </w:p>
    <w:p w14:paraId="39BF1DF7" w14:textId="77777777" w:rsidR="006E5D08" w:rsidRDefault="006E5D08" w:rsidP="007E30CF">
      <w:pPr>
        <w:spacing w:line="480" w:lineRule="auto"/>
        <w:jc w:val="both"/>
        <w:rPr>
          <w:rFonts w:asciiTheme="majorBidi" w:hAnsiTheme="majorBidi" w:cstheme="majorBidi"/>
          <w:sz w:val="24"/>
          <w:szCs w:val="24"/>
        </w:rPr>
      </w:pPr>
    </w:p>
    <w:p w14:paraId="48C32153" w14:textId="7AEC569F" w:rsidR="004A56FD" w:rsidRPr="00C73B49" w:rsidRDefault="004A56FD" w:rsidP="00C73B49">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t>Discussion</w:t>
      </w:r>
    </w:p>
    <w:p w14:paraId="00E258C1" w14:textId="273F5BEC" w:rsidR="004A56FD" w:rsidRDefault="004A56FD" w:rsidP="00F71E5A">
      <w:pPr>
        <w:spacing w:line="480" w:lineRule="auto"/>
        <w:jc w:val="both"/>
        <w:rPr>
          <w:rFonts w:asciiTheme="majorBidi" w:hAnsiTheme="majorBidi" w:cstheme="majorBidi"/>
          <w:iCs/>
          <w:sz w:val="24"/>
          <w:szCs w:val="24"/>
          <w:lang w:bidi="en-US"/>
        </w:rPr>
      </w:pPr>
      <w:r w:rsidRPr="004A56FD">
        <w:rPr>
          <w:rFonts w:asciiTheme="majorBidi" w:hAnsiTheme="majorBidi" w:cstheme="majorBidi"/>
          <w:iCs/>
          <w:sz w:val="24"/>
          <w:szCs w:val="24"/>
          <w:lang w:bidi="en-US"/>
        </w:rPr>
        <w:t xml:space="preserve">Few published studies have assessed the context of a broad range of dietary risk behaviours among Omanis and its interaction with other biophysical and biochemical risk factors in the development </w:t>
      </w:r>
      <w:r w:rsidRPr="004A56FD">
        <w:rPr>
          <w:rFonts w:asciiTheme="majorBidi" w:hAnsiTheme="majorBidi" w:cstheme="majorBidi"/>
          <w:iCs/>
          <w:sz w:val="24"/>
          <w:szCs w:val="24"/>
          <w:lang w:bidi="en-US"/>
        </w:rPr>
        <w:lastRenderedPageBreak/>
        <w:t>of NCDs.  This study showed that</w:t>
      </w:r>
      <w:r w:rsidR="00494FA1">
        <w:rPr>
          <w:rFonts w:asciiTheme="majorBidi" w:hAnsiTheme="majorBidi" w:cstheme="majorBidi"/>
          <w:iCs/>
          <w:sz w:val="24"/>
          <w:szCs w:val="24"/>
          <w:lang w:bidi="en-US"/>
        </w:rPr>
        <w:t xml:space="preserve"> diet-related </w:t>
      </w:r>
      <w:r w:rsidRPr="004A56FD">
        <w:rPr>
          <w:rFonts w:asciiTheme="majorBidi" w:hAnsiTheme="majorBidi" w:cstheme="majorBidi"/>
          <w:iCs/>
          <w:sz w:val="24"/>
          <w:szCs w:val="24"/>
          <w:lang w:bidi="en-US"/>
        </w:rPr>
        <w:t>risk factors</w:t>
      </w:r>
      <w:r w:rsidR="00494FA1">
        <w:rPr>
          <w:rFonts w:asciiTheme="majorBidi" w:hAnsiTheme="majorBidi" w:cstheme="majorBidi"/>
          <w:iCs/>
          <w:sz w:val="24"/>
          <w:szCs w:val="24"/>
          <w:lang w:bidi="en-US"/>
        </w:rPr>
        <w:t xml:space="preserve"> for NCDs</w:t>
      </w:r>
      <w:r w:rsidRPr="004A56FD">
        <w:rPr>
          <w:rFonts w:asciiTheme="majorBidi" w:hAnsiTheme="majorBidi" w:cstheme="majorBidi"/>
          <w:iCs/>
          <w:sz w:val="24"/>
          <w:szCs w:val="24"/>
          <w:lang w:bidi="en-US"/>
        </w:rPr>
        <w:t xml:space="preserve"> are prevalent in Oman, similar to the other parts of the world, and are </w:t>
      </w:r>
      <w:r w:rsidR="00494FA1" w:rsidRPr="004A56FD">
        <w:rPr>
          <w:rFonts w:asciiTheme="majorBidi" w:hAnsiTheme="majorBidi" w:cstheme="majorBidi"/>
          <w:iCs/>
          <w:sz w:val="24"/>
          <w:szCs w:val="24"/>
          <w:lang w:bidi="en-US"/>
        </w:rPr>
        <w:t>discriminated</w:t>
      </w:r>
      <w:r w:rsidRPr="004A56FD">
        <w:rPr>
          <w:rFonts w:asciiTheme="majorBidi" w:hAnsiTheme="majorBidi" w:cstheme="majorBidi"/>
          <w:iCs/>
          <w:sz w:val="24"/>
          <w:szCs w:val="24"/>
          <w:lang w:bidi="en-US"/>
        </w:rPr>
        <w:t xml:space="preserve"> by age, sex, and work status. Consumption of fruit and vegetables varies substantially</w:t>
      </w:r>
      <w:r w:rsidRPr="004A56FD" w:rsidDel="009B1319">
        <w:rPr>
          <w:rFonts w:asciiTheme="majorBidi" w:hAnsiTheme="majorBidi" w:cstheme="majorBidi"/>
          <w:iCs/>
          <w:sz w:val="24"/>
          <w:szCs w:val="24"/>
          <w:lang w:bidi="en-US"/>
        </w:rPr>
        <w:t xml:space="preserve"> </w:t>
      </w:r>
      <w:r w:rsidRPr="004A56FD">
        <w:rPr>
          <w:rFonts w:asciiTheme="majorBidi" w:hAnsiTheme="majorBidi" w:cstheme="majorBidi"/>
          <w:iCs/>
          <w:sz w:val="24"/>
          <w:szCs w:val="24"/>
          <w:lang w:bidi="en-US"/>
        </w:rPr>
        <w:t xml:space="preserve">among and within countries, to a significant extent </w:t>
      </w:r>
      <w:r w:rsidR="007E686B">
        <w:rPr>
          <w:rFonts w:asciiTheme="majorBidi" w:hAnsiTheme="majorBidi" w:cstheme="majorBidi"/>
          <w:iCs/>
          <w:sz w:val="24"/>
          <w:szCs w:val="24"/>
          <w:lang w:bidi="en-US"/>
        </w:rPr>
        <w:t xml:space="preserve">being influenced by the existing economic, cultural, and agricultural environments, however consumption remains low in </w:t>
      </w:r>
      <w:r w:rsidR="00F71E5A">
        <w:rPr>
          <w:rFonts w:asciiTheme="majorBidi" w:hAnsiTheme="majorBidi" w:cstheme="majorBidi"/>
          <w:iCs/>
          <w:sz w:val="24"/>
          <w:szCs w:val="24"/>
          <w:lang w:bidi="en-US"/>
        </w:rPr>
        <w:t>several</w:t>
      </w:r>
      <w:r w:rsidR="007E686B">
        <w:rPr>
          <w:rFonts w:asciiTheme="majorBidi" w:hAnsiTheme="majorBidi" w:cstheme="majorBidi"/>
          <w:iCs/>
          <w:sz w:val="24"/>
          <w:szCs w:val="24"/>
          <w:lang w:bidi="en-US"/>
        </w:rPr>
        <w:t xml:space="preserve"> parts of the world</w:t>
      </w:r>
      <w:r w:rsidRPr="004A56FD">
        <w:rPr>
          <w:rFonts w:asciiTheme="majorBidi" w:hAnsiTheme="majorBidi" w:cstheme="majorBidi"/>
          <w:iCs/>
          <w:sz w:val="24"/>
          <w:szCs w:val="24"/>
          <w:lang w:bidi="en-US"/>
        </w:rPr>
        <w:t xml:space="preserve">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15</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More than half of the population of Omanis were consuming less than the minimum daily recommended five </w:t>
      </w:r>
      <w:r w:rsidR="00F71E5A">
        <w:rPr>
          <w:rFonts w:asciiTheme="majorBidi" w:hAnsiTheme="majorBidi" w:cstheme="majorBidi"/>
          <w:iCs/>
          <w:sz w:val="24"/>
          <w:szCs w:val="24"/>
          <w:lang w:bidi="en-US"/>
        </w:rPr>
        <w:t>portions</w:t>
      </w:r>
      <w:r w:rsidRPr="004A56FD">
        <w:rPr>
          <w:rFonts w:asciiTheme="majorBidi" w:hAnsiTheme="majorBidi" w:cstheme="majorBidi"/>
          <w:iCs/>
          <w:sz w:val="24"/>
          <w:szCs w:val="24"/>
          <w:lang w:bidi="en-US"/>
        </w:rPr>
        <w:t xml:space="preserve"> of fruits and vegetables, while a large proportion of Omanis ate outside the home 1-3 times per week. Strikingly, we also found that three out of five Omanis were consuming more than the recommended minimum salt intake.</w:t>
      </w:r>
      <w:r w:rsidR="007E686B" w:rsidRPr="007E686B">
        <w:rPr>
          <w:rFonts w:asciiTheme="majorBidi" w:hAnsiTheme="majorBidi" w:cstheme="majorBidi"/>
          <w:iCs/>
          <w:sz w:val="24"/>
          <w:szCs w:val="24"/>
          <w:lang w:bidi="en-US"/>
        </w:rPr>
        <w:t xml:space="preserve"> </w:t>
      </w:r>
      <w:r w:rsidRPr="004A56FD">
        <w:rPr>
          <w:rFonts w:asciiTheme="majorBidi" w:hAnsiTheme="majorBidi" w:cstheme="majorBidi"/>
          <w:iCs/>
          <w:sz w:val="24"/>
          <w:szCs w:val="24"/>
          <w:lang w:bidi="en-US"/>
        </w:rPr>
        <w:t xml:space="preserve">This was supported by findings from a 24-hour analysis of urine samples which also found that less than 10% </w:t>
      </w:r>
      <w:r w:rsidR="007E686B">
        <w:rPr>
          <w:rFonts w:asciiTheme="majorBidi" w:hAnsiTheme="majorBidi" w:cstheme="majorBidi"/>
          <w:iCs/>
          <w:sz w:val="24"/>
          <w:szCs w:val="24"/>
          <w:lang w:bidi="en-US"/>
        </w:rPr>
        <w:t>fulfilled</w:t>
      </w:r>
      <w:r w:rsidRPr="004A56FD">
        <w:rPr>
          <w:rFonts w:asciiTheme="majorBidi" w:hAnsiTheme="majorBidi" w:cstheme="majorBidi"/>
          <w:iCs/>
          <w:sz w:val="24"/>
          <w:szCs w:val="24"/>
          <w:lang w:bidi="en-US"/>
        </w:rPr>
        <w:t xml:space="preserve"> WHO targets for potassium excretion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16</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w:t>
      </w:r>
    </w:p>
    <w:p w14:paraId="506C32D6" w14:textId="77777777" w:rsidR="004211D2" w:rsidRPr="004A56FD" w:rsidRDefault="004211D2" w:rsidP="007E30CF">
      <w:pPr>
        <w:spacing w:line="480" w:lineRule="auto"/>
        <w:jc w:val="both"/>
        <w:rPr>
          <w:rFonts w:asciiTheme="majorBidi" w:hAnsiTheme="majorBidi" w:cstheme="majorBidi"/>
          <w:iCs/>
          <w:sz w:val="24"/>
          <w:szCs w:val="24"/>
          <w:lang w:bidi="en-US"/>
        </w:rPr>
      </w:pPr>
    </w:p>
    <w:p w14:paraId="0673914D" w14:textId="7BCCDF80" w:rsidR="004A56FD" w:rsidRPr="006E545C" w:rsidRDefault="004A56FD" w:rsidP="006E545C">
      <w:pPr>
        <w:spacing w:line="480" w:lineRule="auto"/>
        <w:jc w:val="both"/>
        <w:rPr>
          <w:rFonts w:asciiTheme="majorBidi" w:hAnsiTheme="majorBidi" w:cstheme="majorBidi"/>
          <w:iCs/>
          <w:sz w:val="24"/>
          <w:szCs w:val="24"/>
          <w:lang w:bidi="en-US"/>
        </w:rPr>
      </w:pPr>
      <w:r w:rsidRPr="004A56FD">
        <w:rPr>
          <w:rFonts w:asciiTheme="majorBidi" w:hAnsiTheme="majorBidi" w:cstheme="majorBidi"/>
          <w:iCs/>
          <w:sz w:val="24"/>
          <w:szCs w:val="24"/>
          <w:lang w:bidi="en-US"/>
        </w:rPr>
        <w:t xml:space="preserve">Consumption of fruit and vegetables may mitigate the risk of NCDs through the enhanced availability of </w:t>
      </w:r>
      <w:r w:rsidR="00D77AE2">
        <w:rPr>
          <w:rFonts w:asciiTheme="majorBidi" w:hAnsiTheme="majorBidi" w:cstheme="majorBidi"/>
          <w:iCs/>
          <w:sz w:val="24"/>
          <w:szCs w:val="24"/>
          <w:lang w:bidi="en-US"/>
        </w:rPr>
        <w:t>an assortment of</w:t>
      </w:r>
      <w:r w:rsidRPr="004A56FD">
        <w:rPr>
          <w:rFonts w:asciiTheme="majorBidi" w:hAnsiTheme="majorBidi" w:cstheme="majorBidi"/>
          <w:iCs/>
          <w:sz w:val="24"/>
          <w:szCs w:val="24"/>
          <w:lang w:bidi="en-US"/>
        </w:rPr>
        <w:t xml:space="preserve"> nutrients and their ability to regulate associated risk factors. </w:t>
      </w:r>
      <w:r w:rsidR="006E545C">
        <w:rPr>
          <w:rFonts w:asciiTheme="majorBidi" w:hAnsiTheme="majorBidi" w:cstheme="majorBidi"/>
          <w:iCs/>
          <w:sz w:val="24"/>
          <w:szCs w:val="24"/>
          <w:lang w:bidi="en-US"/>
        </w:rPr>
        <w:t>It has been shown that nutrients provided by fruits and vegetables lower blood pressure and cholesterol which are</w:t>
      </w:r>
      <w:r w:rsidR="00F71E5A">
        <w:rPr>
          <w:rFonts w:asciiTheme="majorBidi" w:hAnsiTheme="majorBidi" w:cstheme="majorBidi"/>
          <w:iCs/>
          <w:sz w:val="24"/>
          <w:szCs w:val="24"/>
          <w:lang w:bidi="en-US"/>
        </w:rPr>
        <w:t xml:space="preserve"> considered</w:t>
      </w:r>
      <w:r w:rsidR="006E545C">
        <w:rPr>
          <w:rFonts w:asciiTheme="majorBidi" w:hAnsiTheme="majorBidi" w:cstheme="majorBidi"/>
          <w:iCs/>
          <w:sz w:val="24"/>
          <w:szCs w:val="24"/>
          <w:lang w:bidi="en-US"/>
        </w:rPr>
        <w:t xml:space="preserve"> risk factors for cardiovascular disease and stroke</w:t>
      </w:r>
      <w:r w:rsidRPr="004A56FD">
        <w:rPr>
          <w:rFonts w:asciiTheme="majorBidi" w:hAnsiTheme="majorBidi" w:cstheme="majorBidi"/>
          <w:iCs/>
          <w:sz w:val="24"/>
          <w:szCs w:val="24"/>
          <w:lang w:bidi="en-US"/>
        </w:rPr>
        <w:t xml:space="preserve">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17</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We found that a low intake of fruits and vegetables was strongly associated with raised cholesterol level in Omanis, however it showed no significant effect on blood pressure. The non-significance of the effect on blood pressure might be due to the lack of time series data which are more capable to pick this effect than cross-sectional data used in this study.</w:t>
      </w:r>
      <w:r w:rsidRPr="004A56FD">
        <w:rPr>
          <w:rFonts w:asciiTheme="majorBidi" w:hAnsiTheme="majorBidi" w:cstheme="majorBidi"/>
          <w:i/>
          <w:sz w:val="24"/>
          <w:szCs w:val="24"/>
          <w:lang w:bidi="en-US"/>
        </w:rPr>
        <w:t xml:space="preserve"> </w:t>
      </w:r>
    </w:p>
    <w:p w14:paraId="041DD9D2" w14:textId="77777777" w:rsidR="004211D2" w:rsidRPr="004A56FD" w:rsidRDefault="004211D2" w:rsidP="007E30CF">
      <w:pPr>
        <w:spacing w:line="480" w:lineRule="auto"/>
        <w:jc w:val="both"/>
        <w:rPr>
          <w:rFonts w:asciiTheme="majorBidi" w:hAnsiTheme="majorBidi" w:cstheme="majorBidi"/>
          <w:i/>
          <w:sz w:val="24"/>
          <w:szCs w:val="24"/>
          <w:lang w:bidi="en-US"/>
        </w:rPr>
      </w:pPr>
    </w:p>
    <w:p w14:paraId="1A99D865" w14:textId="144CE0F6" w:rsidR="004A56FD" w:rsidRDefault="004A56FD" w:rsidP="00C41281">
      <w:pPr>
        <w:spacing w:line="480" w:lineRule="auto"/>
        <w:jc w:val="both"/>
        <w:rPr>
          <w:rFonts w:asciiTheme="majorBidi" w:hAnsiTheme="majorBidi" w:cstheme="majorBidi"/>
          <w:iCs/>
          <w:sz w:val="24"/>
          <w:szCs w:val="24"/>
          <w:lang w:bidi="en-US"/>
        </w:rPr>
      </w:pPr>
      <w:r w:rsidRPr="004A56FD">
        <w:rPr>
          <w:rFonts w:asciiTheme="majorBidi" w:hAnsiTheme="majorBidi" w:cstheme="majorBidi"/>
          <w:iCs/>
          <w:sz w:val="24"/>
          <w:szCs w:val="24"/>
          <w:lang w:bidi="en-US"/>
        </w:rPr>
        <w:t xml:space="preserve">Dietary fibre can also help to </w:t>
      </w:r>
      <w:r w:rsidR="00AE0B91">
        <w:rPr>
          <w:rFonts w:asciiTheme="majorBidi" w:hAnsiTheme="majorBidi" w:cstheme="majorBidi"/>
          <w:iCs/>
          <w:sz w:val="24"/>
          <w:szCs w:val="24"/>
          <w:lang w:bidi="en-US"/>
        </w:rPr>
        <w:t>control</w:t>
      </w:r>
      <w:r w:rsidRPr="004A56FD">
        <w:rPr>
          <w:rFonts w:asciiTheme="majorBidi" w:hAnsiTheme="majorBidi" w:cstheme="majorBidi"/>
          <w:iCs/>
          <w:sz w:val="24"/>
          <w:szCs w:val="24"/>
          <w:lang w:bidi="en-US"/>
        </w:rPr>
        <w:t xml:space="preserve"> insulin levels which </w:t>
      </w:r>
      <w:r w:rsidR="00C41281">
        <w:rPr>
          <w:rFonts w:asciiTheme="majorBidi" w:hAnsiTheme="majorBidi" w:cstheme="majorBidi"/>
          <w:iCs/>
          <w:sz w:val="24"/>
          <w:szCs w:val="24"/>
          <w:lang w:bidi="en-US"/>
        </w:rPr>
        <w:t>could have an effect on</w:t>
      </w:r>
      <w:r w:rsidRPr="004A56FD">
        <w:rPr>
          <w:rFonts w:asciiTheme="majorBidi" w:hAnsiTheme="majorBidi" w:cstheme="majorBidi"/>
          <w:iCs/>
          <w:sz w:val="24"/>
          <w:szCs w:val="24"/>
          <w:lang w:bidi="en-US"/>
        </w:rPr>
        <w:t xml:space="preserve"> the risk of</w:t>
      </w:r>
      <w:r w:rsidR="00F71E5A">
        <w:rPr>
          <w:rFonts w:asciiTheme="majorBidi" w:hAnsiTheme="majorBidi" w:cstheme="majorBidi"/>
          <w:iCs/>
          <w:sz w:val="24"/>
          <w:szCs w:val="24"/>
          <w:lang w:bidi="en-US"/>
        </w:rPr>
        <w:t xml:space="preserve"> developing</w:t>
      </w:r>
      <w:r w:rsidRPr="004A56FD">
        <w:rPr>
          <w:rFonts w:asciiTheme="majorBidi" w:hAnsiTheme="majorBidi" w:cstheme="majorBidi"/>
          <w:iCs/>
          <w:sz w:val="24"/>
          <w:szCs w:val="24"/>
          <w:lang w:bidi="en-US"/>
        </w:rPr>
        <w:t xml:space="preserve"> type 2 diabetes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18</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Our study observed that a low intake of fruit and vegetables was </w:t>
      </w:r>
      <w:r w:rsidRPr="004A56FD">
        <w:rPr>
          <w:rFonts w:asciiTheme="majorBidi" w:hAnsiTheme="majorBidi" w:cstheme="majorBidi"/>
          <w:iCs/>
          <w:sz w:val="24"/>
          <w:szCs w:val="24"/>
          <w:lang w:bidi="en-US"/>
        </w:rPr>
        <w:lastRenderedPageBreak/>
        <w:t xml:space="preserve">not directly associated with raised blood glucose, though by LCA we found that among other dietary risk factors and sociodemographic features (but not in isolation), it increases the probability of having high blood glucose. </w:t>
      </w:r>
      <w:r w:rsidR="00C41281" w:rsidRPr="00C41281">
        <w:rPr>
          <w:rFonts w:asciiTheme="majorBidi" w:hAnsiTheme="majorBidi" w:cstheme="majorBidi"/>
          <w:iCs/>
          <w:sz w:val="24"/>
          <w:szCs w:val="24"/>
          <w:lang w:bidi="en-US"/>
        </w:rPr>
        <w:t>Increased fibre intake, in addition to high water content of fruit and vegetables</w:t>
      </w:r>
      <w:r w:rsidR="00C41281">
        <w:rPr>
          <w:rFonts w:asciiTheme="majorBidi" w:hAnsiTheme="majorBidi" w:cstheme="majorBidi"/>
          <w:iCs/>
          <w:sz w:val="24"/>
          <w:szCs w:val="24"/>
          <w:lang w:bidi="en-US"/>
        </w:rPr>
        <w:t>,</w:t>
      </w:r>
      <w:r w:rsidR="00C41281" w:rsidRPr="00C41281">
        <w:rPr>
          <w:rFonts w:asciiTheme="majorBidi" w:hAnsiTheme="majorBidi" w:cstheme="majorBidi"/>
          <w:iCs/>
          <w:sz w:val="24"/>
          <w:szCs w:val="24"/>
          <w:lang w:bidi="en-US"/>
        </w:rPr>
        <w:t xml:space="preserve"> can help reduce the risk of obesity by </w:t>
      </w:r>
      <w:r w:rsidR="00C41281">
        <w:rPr>
          <w:rFonts w:asciiTheme="majorBidi" w:hAnsiTheme="majorBidi" w:cstheme="majorBidi"/>
          <w:iCs/>
          <w:sz w:val="24"/>
          <w:szCs w:val="24"/>
          <w:lang w:bidi="en-US"/>
        </w:rPr>
        <w:t>supporting</w:t>
      </w:r>
      <w:r w:rsidR="00C41281" w:rsidRPr="00C41281">
        <w:rPr>
          <w:rFonts w:asciiTheme="majorBidi" w:hAnsiTheme="majorBidi" w:cstheme="majorBidi"/>
          <w:iCs/>
          <w:sz w:val="24"/>
          <w:szCs w:val="24"/>
          <w:lang w:bidi="en-US"/>
        </w:rPr>
        <w:t xml:space="preserve"> </w:t>
      </w:r>
      <w:r w:rsidR="00C41281" w:rsidRPr="004A56FD">
        <w:rPr>
          <w:rFonts w:asciiTheme="majorBidi" w:hAnsiTheme="majorBidi" w:cstheme="majorBidi"/>
          <w:iCs/>
          <w:sz w:val="24"/>
          <w:szCs w:val="24"/>
          <w:lang w:bidi="en-US"/>
        </w:rPr>
        <w:t>satiety</w:t>
      </w:r>
      <w:r w:rsidR="00C41281" w:rsidRPr="00C41281">
        <w:rPr>
          <w:rFonts w:asciiTheme="majorBidi" w:hAnsiTheme="majorBidi" w:cstheme="majorBidi"/>
          <w:iCs/>
          <w:sz w:val="24"/>
          <w:szCs w:val="24"/>
          <w:lang w:bidi="en-US"/>
        </w:rPr>
        <w:t xml:space="preserve"> and reducing hunger thereby limiting overall energy c</w:t>
      </w:r>
      <w:r w:rsidR="00C41281">
        <w:rPr>
          <w:rFonts w:asciiTheme="majorBidi" w:hAnsiTheme="majorBidi" w:cstheme="majorBidi"/>
          <w:iCs/>
          <w:sz w:val="24"/>
          <w:szCs w:val="24"/>
          <w:lang w:bidi="en-US"/>
        </w:rPr>
        <w:t>onsumption</w:t>
      </w:r>
      <w:r w:rsidRPr="004A56FD">
        <w:rPr>
          <w:rFonts w:asciiTheme="majorBidi" w:hAnsiTheme="majorBidi" w:cstheme="majorBidi"/>
          <w:iCs/>
          <w:sz w:val="24"/>
          <w:szCs w:val="24"/>
          <w:lang w:bidi="en-US"/>
        </w:rPr>
        <w:t xml:space="preserve">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19</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Supporting this, we found that a low intake of fruits and vegetables was strongly associated with an abnormal waist-to-hip ratio (abdominal obesity) although with no significant correlation with general obesity.</w:t>
      </w:r>
    </w:p>
    <w:p w14:paraId="32A6E31C" w14:textId="77777777" w:rsidR="004211D2" w:rsidRPr="004A56FD" w:rsidRDefault="004211D2" w:rsidP="007E30CF">
      <w:pPr>
        <w:spacing w:line="480" w:lineRule="auto"/>
        <w:jc w:val="both"/>
        <w:rPr>
          <w:rFonts w:asciiTheme="majorBidi" w:hAnsiTheme="majorBidi" w:cstheme="majorBidi"/>
          <w:b/>
          <w:bCs/>
          <w:iCs/>
          <w:sz w:val="24"/>
          <w:szCs w:val="24"/>
          <w:lang w:bidi="en-US"/>
        </w:rPr>
      </w:pPr>
    </w:p>
    <w:p w14:paraId="1B0F5A1E" w14:textId="65E637BC" w:rsidR="004A56FD" w:rsidRDefault="004A56FD" w:rsidP="00F71E5A">
      <w:pPr>
        <w:spacing w:line="480" w:lineRule="auto"/>
        <w:jc w:val="both"/>
        <w:rPr>
          <w:rFonts w:asciiTheme="majorBidi" w:hAnsiTheme="majorBidi" w:cstheme="majorBidi"/>
          <w:iCs/>
          <w:sz w:val="24"/>
          <w:szCs w:val="24"/>
          <w:lang w:bidi="en-US"/>
        </w:rPr>
      </w:pPr>
      <w:r w:rsidRPr="004A56FD">
        <w:rPr>
          <w:rFonts w:asciiTheme="majorBidi" w:hAnsiTheme="majorBidi" w:cstheme="majorBidi"/>
          <w:iCs/>
          <w:sz w:val="24"/>
          <w:szCs w:val="24"/>
          <w:lang w:bidi="en-US"/>
        </w:rPr>
        <w:t>Diets which include energy-dense, highly-</w:t>
      </w:r>
      <w:r w:rsidR="00996853">
        <w:rPr>
          <w:rFonts w:asciiTheme="majorBidi" w:hAnsiTheme="majorBidi" w:cstheme="majorBidi"/>
          <w:iCs/>
          <w:sz w:val="24"/>
          <w:szCs w:val="24"/>
          <w:lang w:bidi="en-US"/>
        </w:rPr>
        <w:t>refined</w:t>
      </w:r>
      <w:r w:rsidRPr="004A56FD">
        <w:rPr>
          <w:rFonts w:asciiTheme="majorBidi" w:hAnsiTheme="majorBidi" w:cstheme="majorBidi"/>
          <w:iCs/>
          <w:sz w:val="24"/>
          <w:szCs w:val="24"/>
          <w:lang w:bidi="en-US"/>
        </w:rPr>
        <w:t xml:space="preserve"> foods and </w:t>
      </w:r>
      <w:r w:rsidR="00996853">
        <w:rPr>
          <w:rFonts w:asciiTheme="majorBidi" w:hAnsiTheme="majorBidi" w:cstheme="majorBidi"/>
          <w:iCs/>
          <w:sz w:val="24"/>
          <w:szCs w:val="24"/>
          <w:lang w:bidi="en-US"/>
        </w:rPr>
        <w:t>processed</w:t>
      </w:r>
      <w:r w:rsidRPr="004A56FD">
        <w:rPr>
          <w:rFonts w:asciiTheme="majorBidi" w:hAnsiTheme="majorBidi" w:cstheme="majorBidi"/>
          <w:iCs/>
          <w:sz w:val="24"/>
          <w:szCs w:val="24"/>
          <w:lang w:bidi="en-US"/>
        </w:rPr>
        <w:t xml:space="preserve"> starches contribute to overweight and obesity, which in turn is associated with increased </w:t>
      </w:r>
      <w:r w:rsidR="00C41281">
        <w:rPr>
          <w:rFonts w:asciiTheme="majorBidi" w:hAnsiTheme="majorBidi" w:cstheme="majorBidi"/>
          <w:iCs/>
          <w:sz w:val="24"/>
          <w:szCs w:val="24"/>
          <w:lang w:bidi="en-US"/>
        </w:rPr>
        <w:t>all-cause</w:t>
      </w:r>
      <w:r w:rsidRPr="004A56FD">
        <w:rPr>
          <w:rFonts w:asciiTheme="majorBidi" w:hAnsiTheme="majorBidi" w:cstheme="majorBidi"/>
          <w:iCs/>
          <w:sz w:val="24"/>
          <w:szCs w:val="24"/>
          <w:lang w:bidi="en-US"/>
        </w:rPr>
        <w:t xml:space="preserve"> mortality and elevated risk of disease or de</w:t>
      </w:r>
      <w:r w:rsidR="00C41281">
        <w:rPr>
          <w:rFonts w:asciiTheme="majorBidi" w:hAnsiTheme="majorBidi" w:cstheme="majorBidi"/>
          <w:iCs/>
          <w:sz w:val="24"/>
          <w:szCs w:val="24"/>
          <w:lang w:bidi="en-US"/>
        </w:rPr>
        <w:t>ath from cardiovascular disease</w:t>
      </w:r>
      <w:r w:rsidRPr="004A56FD">
        <w:rPr>
          <w:rFonts w:asciiTheme="majorBidi" w:hAnsiTheme="majorBidi" w:cstheme="majorBidi"/>
          <w:iCs/>
          <w:sz w:val="24"/>
          <w:szCs w:val="24"/>
          <w:lang w:bidi="en-US"/>
        </w:rPr>
        <w:t xml:space="preserve">, diabetes, and various types of cancer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20</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It does so by raising blood pressure, insulin resistance, and blood cholesterol as well as hormone levels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20</w:t>
      </w:r>
      <w:r w:rsidR="00F522C8">
        <w:rPr>
          <w:rFonts w:asciiTheme="majorBidi" w:hAnsiTheme="majorBidi" w:cstheme="majorBidi"/>
          <w:iCs/>
          <w:sz w:val="24"/>
          <w:szCs w:val="24"/>
          <w:lang w:bidi="en-US"/>
        </w:rPr>
        <w:t>)</w:t>
      </w:r>
      <w:r w:rsidR="00996853">
        <w:rPr>
          <w:rFonts w:asciiTheme="majorBidi" w:hAnsiTheme="majorBidi" w:cstheme="majorBidi"/>
          <w:iCs/>
          <w:sz w:val="24"/>
          <w:szCs w:val="24"/>
          <w:lang w:bidi="en-US"/>
        </w:rPr>
        <w:t>. Several</w:t>
      </w:r>
      <w:r w:rsidR="00D66495">
        <w:rPr>
          <w:rFonts w:asciiTheme="majorBidi" w:hAnsiTheme="majorBidi" w:cstheme="majorBidi"/>
          <w:iCs/>
          <w:sz w:val="24"/>
          <w:szCs w:val="24"/>
          <w:lang w:bidi="en-US"/>
        </w:rPr>
        <w:t xml:space="preserve"> determinants with regard to</w:t>
      </w:r>
      <w:r w:rsidRPr="004A56FD">
        <w:rPr>
          <w:rFonts w:asciiTheme="majorBidi" w:hAnsiTheme="majorBidi" w:cstheme="majorBidi"/>
          <w:iCs/>
          <w:sz w:val="24"/>
          <w:szCs w:val="24"/>
          <w:lang w:bidi="en-US"/>
        </w:rPr>
        <w:t xml:space="preserve"> fruits and vegetable </w:t>
      </w:r>
      <w:r w:rsidR="00996853">
        <w:rPr>
          <w:rFonts w:asciiTheme="majorBidi" w:hAnsiTheme="majorBidi" w:cstheme="majorBidi"/>
          <w:iCs/>
          <w:sz w:val="24"/>
          <w:szCs w:val="24"/>
          <w:lang w:bidi="en-US"/>
        </w:rPr>
        <w:t>consumption</w:t>
      </w:r>
      <w:r w:rsidRPr="004A56FD">
        <w:rPr>
          <w:rFonts w:asciiTheme="majorBidi" w:hAnsiTheme="majorBidi" w:cstheme="majorBidi"/>
          <w:iCs/>
          <w:sz w:val="24"/>
          <w:szCs w:val="24"/>
          <w:lang w:bidi="en-US"/>
        </w:rPr>
        <w:t xml:space="preserve"> in </w:t>
      </w:r>
      <w:r w:rsidR="00996853">
        <w:rPr>
          <w:rFonts w:asciiTheme="majorBidi" w:hAnsiTheme="majorBidi" w:cstheme="majorBidi"/>
          <w:iCs/>
          <w:sz w:val="24"/>
          <w:szCs w:val="24"/>
          <w:lang w:bidi="en-US"/>
        </w:rPr>
        <w:t>various</w:t>
      </w:r>
      <w:r w:rsidRPr="004A56FD">
        <w:rPr>
          <w:rFonts w:asciiTheme="majorBidi" w:hAnsiTheme="majorBidi" w:cstheme="majorBidi"/>
          <w:iCs/>
          <w:sz w:val="24"/>
          <w:szCs w:val="24"/>
          <w:lang w:bidi="en-US"/>
        </w:rPr>
        <w:t xml:space="preserve"> </w:t>
      </w:r>
      <w:r w:rsidR="00F71E5A">
        <w:rPr>
          <w:rFonts w:asciiTheme="majorBidi" w:hAnsiTheme="majorBidi" w:cstheme="majorBidi"/>
          <w:iCs/>
          <w:sz w:val="24"/>
          <w:szCs w:val="24"/>
          <w:lang w:bidi="en-US"/>
        </w:rPr>
        <w:t>populations</w:t>
      </w:r>
      <w:r w:rsidRPr="004A56FD">
        <w:rPr>
          <w:rFonts w:asciiTheme="majorBidi" w:hAnsiTheme="majorBidi" w:cstheme="majorBidi"/>
          <w:iCs/>
          <w:sz w:val="24"/>
          <w:szCs w:val="24"/>
          <w:lang w:bidi="en-US"/>
        </w:rPr>
        <w:t xml:space="preserve"> </w:t>
      </w:r>
      <w:r w:rsidR="00996853">
        <w:rPr>
          <w:rFonts w:asciiTheme="majorBidi" w:hAnsiTheme="majorBidi" w:cstheme="majorBidi"/>
          <w:iCs/>
          <w:sz w:val="24"/>
          <w:szCs w:val="24"/>
          <w:lang w:bidi="en-US"/>
        </w:rPr>
        <w:t>worldwide</w:t>
      </w:r>
      <w:r w:rsidR="00F71E5A">
        <w:rPr>
          <w:rFonts w:asciiTheme="majorBidi" w:hAnsiTheme="majorBidi" w:cstheme="majorBidi"/>
          <w:iCs/>
          <w:sz w:val="24"/>
          <w:szCs w:val="24"/>
          <w:lang w:bidi="en-US"/>
        </w:rPr>
        <w:t xml:space="preserve"> have been indicated</w:t>
      </w:r>
      <w:r w:rsidRPr="004A56FD">
        <w:rPr>
          <w:rFonts w:asciiTheme="majorBidi" w:hAnsiTheme="majorBidi" w:cstheme="majorBidi"/>
          <w:iCs/>
          <w:sz w:val="24"/>
          <w:szCs w:val="24"/>
          <w:lang w:bidi="en-US"/>
        </w:rPr>
        <w:t xml:space="preserve">, including preferences, ethnicity, </w:t>
      </w:r>
      <w:r w:rsidR="00996853">
        <w:rPr>
          <w:rFonts w:asciiTheme="majorBidi" w:hAnsiTheme="majorBidi" w:cstheme="majorBidi"/>
          <w:iCs/>
          <w:sz w:val="24"/>
          <w:szCs w:val="24"/>
          <w:lang w:bidi="en-US"/>
        </w:rPr>
        <w:t>availability, affordability</w:t>
      </w:r>
      <w:r w:rsidR="00996853" w:rsidRPr="004A56FD">
        <w:rPr>
          <w:rFonts w:asciiTheme="majorBidi" w:hAnsiTheme="majorBidi" w:cstheme="majorBidi"/>
          <w:iCs/>
          <w:sz w:val="24"/>
          <w:szCs w:val="24"/>
          <w:lang w:bidi="en-US"/>
        </w:rPr>
        <w:t xml:space="preserve"> </w:t>
      </w:r>
      <w:r w:rsidR="00996853">
        <w:rPr>
          <w:rFonts w:asciiTheme="majorBidi" w:hAnsiTheme="majorBidi" w:cstheme="majorBidi"/>
          <w:iCs/>
          <w:sz w:val="24"/>
          <w:szCs w:val="24"/>
          <w:lang w:bidi="en-US"/>
        </w:rPr>
        <w:t>and cultural</w:t>
      </w:r>
      <w:r w:rsidR="00F71E5A" w:rsidRPr="00F71E5A">
        <w:rPr>
          <w:rFonts w:asciiTheme="majorBidi" w:hAnsiTheme="majorBidi" w:cstheme="majorBidi"/>
          <w:iCs/>
          <w:sz w:val="24"/>
          <w:szCs w:val="24"/>
          <w:lang w:bidi="en-US"/>
        </w:rPr>
        <w:t xml:space="preserve"> </w:t>
      </w:r>
      <w:r w:rsidR="00F71E5A">
        <w:rPr>
          <w:rFonts w:asciiTheme="majorBidi" w:hAnsiTheme="majorBidi" w:cstheme="majorBidi"/>
          <w:iCs/>
          <w:sz w:val="24"/>
          <w:szCs w:val="24"/>
          <w:lang w:bidi="en-US"/>
        </w:rPr>
        <w:t>variations</w:t>
      </w:r>
      <w:r w:rsidRPr="004A56FD">
        <w:rPr>
          <w:rFonts w:asciiTheme="majorBidi" w:hAnsiTheme="majorBidi" w:cstheme="majorBidi"/>
          <w:iCs/>
          <w:sz w:val="24"/>
          <w:szCs w:val="24"/>
          <w:lang w:bidi="en-US"/>
        </w:rPr>
        <w:t xml:space="preserve">. Most of those who have low intake of fruits and vegetables in the population of Omanis are young and educated (at least completed secondary school). This might alarm health promotion programmes offered to this group which are often challenging to educate and often in need for modern, updated, and innovative channels for health education outreach. Availability and affordability might not be an issue in a country like Oman, but a comparably low affordability and high availability of energy dense food might reduce the intake of fruits and vegetables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21</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w:t>
      </w:r>
    </w:p>
    <w:p w14:paraId="707F465F" w14:textId="77777777" w:rsidR="004211D2" w:rsidRPr="004A56FD" w:rsidRDefault="004211D2" w:rsidP="007E30CF">
      <w:pPr>
        <w:spacing w:line="480" w:lineRule="auto"/>
        <w:jc w:val="both"/>
        <w:rPr>
          <w:rFonts w:asciiTheme="majorBidi" w:hAnsiTheme="majorBidi" w:cstheme="majorBidi"/>
          <w:iCs/>
          <w:sz w:val="24"/>
          <w:szCs w:val="24"/>
          <w:lang w:bidi="en-US"/>
        </w:rPr>
      </w:pPr>
    </w:p>
    <w:p w14:paraId="3700E6AE" w14:textId="00321770" w:rsidR="004A56FD" w:rsidRDefault="006008E0" w:rsidP="00D66495">
      <w:pPr>
        <w:spacing w:line="480" w:lineRule="auto"/>
        <w:jc w:val="both"/>
        <w:rPr>
          <w:rFonts w:asciiTheme="majorBidi" w:hAnsiTheme="majorBidi" w:cstheme="majorBidi"/>
          <w:iCs/>
          <w:sz w:val="24"/>
          <w:szCs w:val="24"/>
          <w:lang w:bidi="en-US"/>
        </w:rPr>
      </w:pPr>
      <w:r>
        <w:rPr>
          <w:rFonts w:asciiTheme="majorBidi" w:hAnsiTheme="majorBidi" w:cstheme="majorBidi"/>
          <w:iCs/>
          <w:sz w:val="24"/>
          <w:szCs w:val="24"/>
          <w:lang w:bidi="en-US"/>
        </w:rPr>
        <w:lastRenderedPageBreak/>
        <w:t xml:space="preserve">Consumption of fast </w:t>
      </w:r>
      <w:r w:rsidR="004A56FD" w:rsidRPr="004A56FD">
        <w:rPr>
          <w:rFonts w:asciiTheme="majorBidi" w:hAnsiTheme="majorBidi" w:cstheme="majorBidi"/>
          <w:iCs/>
          <w:sz w:val="24"/>
          <w:szCs w:val="24"/>
          <w:lang w:bidi="en-US"/>
        </w:rPr>
        <w:t>food frequently</w:t>
      </w:r>
      <w:r w:rsidR="004A56FD" w:rsidRPr="004A56FD" w:rsidDel="00F16FCB">
        <w:rPr>
          <w:rFonts w:asciiTheme="majorBidi" w:hAnsiTheme="majorBidi" w:cstheme="majorBidi"/>
          <w:iCs/>
          <w:sz w:val="24"/>
          <w:szCs w:val="24"/>
          <w:lang w:bidi="en-US"/>
        </w:rPr>
        <w:t xml:space="preserve"> </w:t>
      </w:r>
      <w:r w:rsidR="004A56FD" w:rsidRPr="004A56FD">
        <w:rPr>
          <w:rFonts w:asciiTheme="majorBidi" w:hAnsiTheme="majorBidi" w:cstheme="majorBidi"/>
          <w:iCs/>
          <w:sz w:val="24"/>
          <w:szCs w:val="24"/>
          <w:lang w:bidi="en-US"/>
        </w:rPr>
        <w:t xml:space="preserve">is largely unhealthy and </w:t>
      </w:r>
      <w:r w:rsidR="00E867EA">
        <w:rPr>
          <w:rFonts w:asciiTheme="majorBidi" w:hAnsiTheme="majorBidi" w:cstheme="majorBidi"/>
          <w:iCs/>
          <w:sz w:val="24"/>
          <w:szCs w:val="24"/>
          <w:lang w:bidi="en-US"/>
        </w:rPr>
        <w:t>leads</w:t>
      </w:r>
      <w:r w:rsidR="004A56FD" w:rsidRPr="004A56FD">
        <w:rPr>
          <w:rFonts w:asciiTheme="majorBidi" w:hAnsiTheme="majorBidi" w:cstheme="majorBidi"/>
          <w:iCs/>
          <w:sz w:val="24"/>
          <w:szCs w:val="24"/>
          <w:lang w:bidi="en-US"/>
        </w:rPr>
        <w:t xml:space="preserve"> to weight gain, obesity, type 2 diabetes, and heart disease </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22-23</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 xml:space="preserve">. Fast food </w:t>
      </w:r>
      <w:r w:rsidR="00E867EA">
        <w:rPr>
          <w:rFonts w:asciiTheme="majorBidi" w:hAnsiTheme="majorBidi" w:cstheme="majorBidi"/>
          <w:iCs/>
          <w:sz w:val="24"/>
          <w:szCs w:val="24"/>
          <w:lang w:bidi="en-US"/>
        </w:rPr>
        <w:t>typically</w:t>
      </w:r>
      <w:r w:rsidR="004A56FD" w:rsidRPr="004A56FD">
        <w:rPr>
          <w:rFonts w:asciiTheme="majorBidi" w:hAnsiTheme="majorBidi" w:cstheme="majorBidi"/>
          <w:iCs/>
          <w:sz w:val="24"/>
          <w:szCs w:val="24"/>
          <w:lang w:bidi="en-US"/>
        </w:rPr>
        <w:t xml:space="preserve"> has a high-energy density, which, coupled with </w:t>
      </w:r>
      <w:r w:rsidR="00E867EA">
        <w:rPr>
          <w:rFonts w:asciiTheme="majorBidi" w:hAnsiTheme="majorBidi" w:cstheme="majorBidi"/>
          <w:iCs/>
          <w:sz w:val="24"/>
          <w:szCs w:val="24"/>
          <w:lang w:bidi="en-US"/>
        </w:rPr>
        <w:t>bigger portions</w:t>
      </w:r>
      <w:r w:rsidR="004A56FD" w:rsidRPr="004A56FD">
        <w:rPr>
          <w:rFonts w:asciiTheme="majorBidi" w:hAnsiTheme="majorBidi" w:cstheme="majorBidi"/>
          <w:iCs/>
          <w:sz w:val="24"/>
          <w:szCs w:val="24"/>
          <w:lang w:bidi="en-US"/>
        </w:rPr>
        <w:t xml:space="preserve">, prompts overconsumption of calories </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24</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 xml:space="preserve">. The Cardia </w:t>
      </w:r>
      <w:r w:rsidR="00E867EA">
        <w:rPr>
          <w:rFonts w:asciiTheme="majorBidi" w:hAnsiTheme="majorBidi" w:cstheme="majorBidi"/>
          <w:iCs/>
          <w:sz w:val="24"/>
          <w:szCs w:val="24"/>
          <w:lang w:bidi="en-US"/>
        </w:rPr>
        <w:t xml:space="preserve">study done on American population </w:t>
      </w:r>
      <w:r w:rsidR="004A56FD" w:rsidRPr="004A56FD">
        <w:rPr>
          <w:rFonts w:asciiTheme="majorBidi" w:hAnsiTheme="majorBidi" w:cstheme="majorBidi"/>
          <w:iCs/>
          <w:sz w:val="24"/>
          <w:szCs w:val="24"/>
          <w:lang w:bidi="en-US"/>
        </w:rPr>
        <w:t xml:space="preserve">suggests that </w:t>
      </w:r>
      <w:r w:rsidR="00D66495">
        <w:rPr>
          <w:rFonts w:asciiTheme="majorBidi" w:hAnsiTheme="majorBidi" w:cstheme="majorBidi"/>
          <w:iCs/>
          <w:sz w:val="24"/>
          <w:szCs w:val="24"/>
          <w:lang w:bidi="en-US"/>
        </w:rPr>
        <w:t>regular</w:t>
      </w:r>
      <w:r w:rsidR="00E867EA">
        <w:rPr>
          <w:rFonts w:asciiTheme="majorBidi" w:hAnsiTheme="majorBidi" w:cstheme="majorBidi"/>
          <w:iCs/>
          <w:sz w:val="24"/>
          <w:szCs w:val="24"/>
          <w:lang w:bidi="en-US"/>
        </w:rPr>
        <w:t xml:space="preserve"> consumption of</w:t>
      </w:r>
      <w:r w:rsidR="004A56FD" w:rsidRPr="004A56FD">
        <w:rPr>
          <w:rFonts w:asciiTheme="majorBidi" w:hAnsiTheme="majorBidi" w:cstheme="majorBidi"/>
          <w:iCs/>
          <w:sz w:val="24"/>
          <w:szCs w:val="24"/>
          <w:lang w:bidi="en-US"/>
        </w:rPr>
        <w:t xml:space="preserve"> fast-food is positively </w:t>
      </w:r>
      <w:r w:rsidR="00E867EA">
        <w:rPr>
          <w:rFonts w:asciiTheme="majorBidi" w:hAnsiTheme="majorBidi" w:cstheme="majorBidi"/>
          <w:iCs/>
          <w:sz w:val="24"/>
          <w:szCs w:val="24"/>
          <w:lang w:bidi="en-US"/>
        </w:rPr>
        <w:t>correlated</w:t>
      </w:r>
      <w:r w:rsidR="004A56FD" w:rsidRPr="004A56FD">
        <w:rPr>
          <w:rFonts w:asciiTheme="majorBidi" w:hAnsiTheme="majorBidi" w:cstheme="majorBidi"/>
          <w:iCs/>
          <w:sz w:val="24"/>
          <w:szCs w:val="24"/>
          <w:lang w:bidi="en-US"/>
        </w:rPr>
        <w:t xml:space="preserve"> with increased weight gain and </w:t>
      </w:r>
      <w:r w:rsidR="00D66495">
        <w:rPr>
          <w:rFonts w:asciiTheme="majorBidi" w:hAnsiTheme="majorBidi" w:cstheme="majorBidi"/>
          <w:iCs/>
          <w:sz w:val="24"/>
          <w:szCs w:val="24"/>
          <w:lang w:bidi="en-US"/>
        </w:rPr>
        <w:t xml:space="preserve">extended </w:t>
      </w:r>
      <w:r w:rsidR="004A56FD" w:rsidRPr="004A56FD">
        <w:rPr>
          <w:rFonts w:asciiTheme="majorBidi" w:hAnsiTheme="majorBidi" w:cstheme="majorBidi"/>
          <w:iCs/>
          <w:sz w:val="24"/>
          <w:szCs w:val="24"/>
          <w:lang w:bidi="en-US"/>
        </w:rPr>
        <w:t>risk of insulin resistance over</w:t>
      </w:r>
      <w:r w:rsidR="00E867EA">
        <w:rPr>
          <w:rFonts w:asciiTheme="majorBidi" w:hAnsiTheme="majorBidi" w:cstheme="majorBidi"/>
          <w:iCs/>
          <w:sz w:val="24"/>
          <w:szCs w:val="24"/>
          <w:lang w:bidi="en-US"/>
        </w:rPr>
        <w:t xml:space="preserve"> a</w:t>
      </w:r>
      <w:r w:rsidR="004A56FD" w:rsidRPr="004A56FD">
        <w:rPr>
          <w:rFonts w:asciiTheme="majorBidi" w:hAnsiTheme="majorBidi" w:cstheme="majorBidi"/>
          <w:iCs/>
          <w:sz w:val="24"/>
          <w:szCs w:val="24"/>
          <w:lang w:bidi="en-US"/>
        </w:rPr>
        <w:t xml:space="preserve"> 15 </w:t>
      </w:r>
      <w:r w:rsidR="00E867EA" w:rsidRPr="004A56FD">
        <w:rPr>
          <w:rFonts w:asciiTheme="majorBidi" w:hAnsiTheme="majorBidi" w:cstheme="majorBidi"/>
          <w:iCs/>
          <w:sz w:val="24"/>
          <w:szCs w:val="24"/>
          <w:lang w:bidi="en-US"/>
        </w:rPr>
        <w:t>years’</w:t>
      </w:r>
      <w:r w:rsidR="00E867EA">
        <w:rPr>
          <w:rFonts w:asciiTheme="majorBidi" w:hAnsiTheme="majorBidi" w:cstheme="majorBidi"/>
          <w:iCs/>
          <w:sz w:val="24"/>
          <w:szCs w:val="24"/>
          <w:lang w:bidi="en-US"/>
        </w:rPr>
        <w:t xml:space="preserve"> duration</w:t>
      </w:r>
      <w:r w:rsidR="004A56FD" w:rsidRPr="004A56FD">
        <w:rPr>
          <w:rFonts w:asciiTheme="majorBidi" w:hAnsiTheme="majorBidi" w:cstheme="majorBidi"/>
          <w:iCs/>
          <w:sz w:val="24"/>
          <w:szCs w:val="24"/>
          <w:lang w:bidi="en-US"/>
        </w:rPr>
        <w:t xml:space="preserve">. </w:t>
      </w:r>
      <w:r w:rsidR="00E867EA" w:rsidRPr="00E867EA">
        <w:rPr>
          <w:rFonts w:asciiTheme="majorBidi" w:hAnsiTheme="majorBidi" w:cstheme="majorBidi"/>
          <w:iCs/>
          <w:sz w:val="24"/>
          <w:szCs w:val="24"/>
          <w:lang w:bidi="en-US"/>
        </w:rPr>
        <w:t xml:space="preserve">Individuals who </w:t>
      </w:r>
      <w:r w:rsidR="00D004CB">
        <w:rPr>
          <w:rFonts w:asciiTheme="majorBidi" w:hAnsiTheme="majorBidi" w:cstheme="majorBidi"/>
          <w:iCs/>
          <w:sz w:val="24"/>
          <w:szCs w:val="24"/>
          <w:lang w:bidi="en-US"/>
        </w:rPr>
        <w:t>consumed</w:t>
      </w:r>
      <w:r w:rsidR="00E867EA" w:rsidRPr="00E867EA">
        <w:rPr>
          <w:rFonts w:asciiTheme="majorBidi" w:hAnsiTheme="majorBidi" w:cstheme="majorBidi"/>
          <w:iCs/>
          <w:sz w:val="24"/>
          <w:szCs w:val="24"/>
          <w:lang w:bidi="en-US"/>
        </w:rPr>
        <w:t xml:space="preserve"> fast food for more than </w:t>
      </w:r>
      <w:r w:rsidR="00D004CB">
        <w:rPr>
          <w:rFonts w:asciiTheme="majorBidi" w:hAnsiTheme="majorBidi" w:cstheme="majorBidi"/>
          <w:iCs/>
          <w:sz w:val="24"/>
          <w:szCs w:val="24"/>
          <w:lang w:bidi="en-US"/>
        </w:rPr>
        <w:t>two</w:t>
      </w:r>
      <w:r w:rsidR="00D66495">
        <w:rPr>
          <w:rFonts w:asciiTheme="majorBidi" w:hAnsiTheme="majorBidi" w:cstheme="majorBidi"/>
          <w:iCs/>
          <w:sz w:val="24"/>
          <w:szCs w:val="24"/>
          <w:lang w:bidi="en-US"/>
        </w:rPr>
        <w:t xml:space="preserve"> times per</w:t>
      </w:r>
      <w:r w:rsidR="00E867EA" w:rsidRPr="00E867EA">
        <w:rPr>
          <w:rFonts w:asciiTheme="majorBidi" w:hAnsiTheme="majorBidi" w:cstheme="majorBidi"/>
          <w:iCs/>
          <w:sz w:val="24"/>
          <w:szCs w:val="24"/>
          <w:lang w:bidi="en-US"/>
        </w:rPr>
        <w:t xml:space="preserve"> week gained 4.5 kg in weight and had an insulin resistance increase of 104% when compared t</w:t>
      </w:r>
      <w:r w:rsidR="00D004CB">
        <w:rPr>
          <w:rFonts w:asciiTheme="majorBidi" w:hAnsiTheme="majorBidi" w:cstheme="majorBidi"/>
          <w:iCs/>
          <w:sz w:val="24"/>
          <w:szCs w:val="24"/>
          <w:lang w:bidi="en-US"/>
        </w:rPr>
        <w:t>o individuals eating less than one fast food meal per week</w:t>
      </w:r>
      <w:r w:rsidR="004A56FD" w:rsidRPr="004A56FD">
        <w:rPr>
          <w:rFonts w:asciiTheme="majorBidi" w:hAnsiTheme="majorBidi" w:cstheme="majorBidi"/>
          <w:iCs/>
          <w:sz w:val="24"/>
          <w:szCs w:val="24"/>
          <w:lang w:bidi="en-US"/>
        </w:rPr>
        <w:t xml:space="preserve"> </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25</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 xml:space="preserve">. We assume that a majority of those eating outside the home are consuming fast food due to its higher availability and affordability. Our study revealed that most Omanis are eating 1-3 times/week outside the home, and are largely young and educated males. Further analysis discovered that among those who with prevailing high blood pressure and high waist-to-hip ratio, most of them ate outside the home. However, on the contrary, we found that raised total cholesterol and raised blood glucose was associated more with those who ate at home. This can be explained by the availability and affordability of ready-to-make high calorie, processed food easily prepared at home which is similar to fast food prepared at restaurants. </w:t>
      </w:r>
      <w:r w:rsidR="00DD2916" w:rsidRPr="00DD2916">
        <w:rPr>
          <w:rFonts w:asciiTheme="majorBidi" w:hAnsiTheme="majorBidi" w:cstheme="majorBidi"/>
          <w:iCs/>
          <w:sz w:val="24"/>
          <w:szCs w:val="24"/>
          <w:lang w:bidi="en-US"/>
        </w:rPr>
        <w:t xml:space="preserve">Other </w:t>
      </w:r>
      <w:r w:rsidR="00DD2916">
        <w:rPr>
          <w:rFonts w:asciiTheme="majorBidi" w:hAnsiTheme="majorBidi" w:cstheme="majorBidi"/>
          <w:iCs/>
          <w:sz w:val="24"/>
          <w:szCs w:val="24"/>
          <w:lang w:bidi="en-US"/>
        </w:rPr>
        <w:t>studies</w:t>
      </w:r>
      <w:r w:rsidR="00DD2916" w:rsidRPr="00DD2916">
        <w:rPr>
          <w:rFonts w:asciiTheme="majorBidi" w:hAnsiTheme="majorBidi" w:cstheme="majorBidi"/>
          <w:iCs/>
          <w:sz w:val="24"/>
          <w:szCs w:val="24"/>
          <w:lang w:bidi="en-US"/>
        </w:rPr>
        <w:t xml:space="preserve"> have also found associations with unhealthy </w:t>
      </w:r>
      <w:r w:rsidR="00DD2916">
        <w:rPr>
          <w:rFonts w:asciiTheme="majorBidi" w:hAnsiTheme="majorBidi" w:cstheme="majorBidi"/>
          <w:iCs/>
          <w:sz w:val="24"/>
          <w:szCs w:val="24"/>
          <w:lang w:bidi="en-US"/>
        </w:rPr>
        <w:t>diets in men and younger people</w:t>
      </w:r>
      <w:r w:rsidR="004A56FD" w:rsidRPr="004A56FD">
        <w:rPr>
          <w:rFonts w:asciiTheme="majorBidi" w:hAnsiTheme="majorBidi" w:cstheme="majorBidi"/>
          <w:iCs/>
          <w:sz w:val="24"/>
          <w:szCs w:val="24"/>
          <w:lang w:bidi="en-US"/>
        </w:rPr>
        <w:t xml:space="preserve"> </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26-27</w:t>
      </w:r>
      <w:r w:rsidR="00F522C8">
        <w:rPr>
          <w:rFonts w:asciiTheme="majorBidi" w:hAnsiTheme="majorBidi" w:cstheme="majorBidi"/>
          <w:iCs/>
          <w:sz w:val="24"/>
          <w:szCs w:val="24"/>
          <w:lang w:bidi="en-US"/>
        </w:rPr>
        <w:t>)</w:t>
      </w:r>
      <w:r w:rsidR="008C5807">
        <w:rPr>
          <w:rFonts w:asciiTheme="majorBidi" w:hAnsiTheme="majorBidi" w:cstheme="majorBidi"/>
          <w:iCs/>
          <w:sz w:val="24"/>
          <w:szCs w:val="24"/>
          <w:lang w:bidi="en-US"/>
        </w:rPr>
        <w:t xml:space="preserve">. This could </w:t>
      </w:r>
      <w:r w:rsidR="004A56FD" w:rsidRPr="004A56FD">
        <w:rPr>
          <w:rFonts w:asciiTheme="majorBidi" w:hAnsiTheme="majorBidi" w:cstheme="majorBidi"/>
          <w:iCs/>
          <w:sz w:val="24"/>
          <w:szCs w:val="24"/>
          <w:lang w:bidi="en-US"/>
        </w:rPr>
        <w:t xml:space="preserve">possibly </w:t>
      </w:r>
      <w:r w:rsidR="008C5807">
        <w:rPr>
          <w:rFonts w:asciiTheme="majorBidi" w:hAnsiTheme="majorBidi" w:cstheme="majorBidi"/>
          <w:iCs/>
          <w:sz w:val="24"/>
          <w:szCs w:val="24"/>
          <w:lang w:bidi="en-US"/>
        </w:rPr>
        <w:t>be owed</w:t>
      </w:r>
      <w:r w:rsidR="004A56FD" w:rsidRPr="004A56FD">
        <w:rPr>
          <w:rFonts w:asciiTheme="majorBidi" w:hAnsiTheme="majorBidi" w:cstheme="majorBidi"/>
          <w:iCs/>
          <w:sz w:val="24"/>
          <w:szCs w:val="24"/>
          <w:lang w:bidi="en-US"/>
        </w:rPr>
        <w:t xml:space="preserve"> to the migration among the youth to the main cities for career opportunities as well as </w:t>
      </w:r>
      <w:r w:rsidR="008C5807">
        <w:rPr>
          <w:rFonts w:asciiTheme="majorBidi" w:hAnsiTheme="majorBidi" w:cstheme="majorBidi"/>
          <w:iCs/>
          <w:sz w:val="24"/>
          <w:szCs w:val="24"/>
          <w:lang w:bidi="en-US"/>
        </w:rPr>
        <w:t>the growing popularity</w:t>
      </w:r>
      <w:r w:rsidR="004A56FD" w:rsidRPr="004A56FD">
        <w:rPr>
          <w:rFonts w:asciiTheme="majorBidi" w:hAnsiTheme="majorBidi" w:cstheme="majorBidi"/>
          <w:iCs/>
          <w:sz w:val="24"/>
          <w:szCs w:val="24"/>
          <w:lang w:bidi="en-US"/>
        </w:rPr>
        <w:t xml:space="preserve"> of diets high in processed foods from restaurants and fast food. </w:t>
      </w:r>
      <w:r w:rsidR="008C5807">
        <w:rPr>
          <w:rFonts w:asciiTheme="majorBidi" w:hAnsiTheme="majorBidi" w:cstheme="majorBidi"/>
          <w:iCs/>
          <w:sz w:val="24"/>
          <w:szCs w:val="24"/>
          <w:lang w:bidi="en-US"/>
        </w:rPr>
        <w:t>F</w:t>
      </w:r>
      <w:r w:rsidR="008C5807" w:rsidRPr="008C5807">
        <w:rPr>
          <w:rFonts w:asciiTheme="majorBidi" w:hAnsiTheme="majorBidi" w:cstheme="majorBidi"/>
          <w:iCs/>
          <w:sz w:val="24"/>
          <w:szCs w:val="24"/>
          <w:lang w:bidi="en-US"/>
        </w:rPr>
        <w:t>alling short of the recommended minimum intake of fruits and vegetables</w:t>
      </w:r>
      <w:r w:rsidR="008C5807">
        <w:rPr>
          <w:rFonts w:asciiTheme="majorBidi" w:hAnsiTheme="majorBidi" w:cstheme="majorBidi"/>
          <w:iCs/>
          <w:sz w:val="24"/>
          <w:szCs w:val="24"/>
          <w:lang w:bidi="en-US"/>
        </w:rPr>
        <w:t xml:space="preserve"> was the most prevalent factor related to unhealthy diet. </w:t>
      </w:r>
      <w:r w:rsidR="004A56FD" w:rsidRPr="004A56FD">
        <w:rPr>
          <w:rFonts w:asciiTheme="majorBidi" w:hAnsiTheme="majorBidi" w:cstheme="majorBidi"/>
          <w:iCs/>
          <w:sz w:val="24"/>
          <w:szCs w:val="24"/>
          <w:lang w:bidi="en-US"/>
        </w:rPr>
        <w:t xml:space="preserve"> Further studies</w:t>
      </w:r>
      <w:r w:rsidR="006508A7">
        <w:rPr>
          <w:rFonts w:asciiTheme="majorBidi" w:hAnsiTheme="majorBidi" w:cstheme="majorBidi"/>
          <w:iCs/>
          <w:sz w:val="24"/>
          <w:szCs w:val="24"/>
          <w:lang w:bidi="en-US"/>
        </w:rPr>
        <w:t xml:space="preserve"> are warranted</w:t>
      </w:r>
      <w:r w:rsidR="004A56FD" w:rsidRPr="004A56FD">
        <w:rPr>
          <w:rFonts w:asciiTheme="majorBidi" w:hAnsiTheme="majorBidi" w:cstheme="majorBidi"/>
          <w:iCs/>
          <w:sz w:val="24"/>
          <w:szCs w:val="24"/>
          <w:lang w:bidi="en-US"/>
        </w:rPr>
        <w:t xml:space="preserve"> to </w:t>
      </w:r>
      <w:r w:rsidR="006508A7">
        <w:rPr>
          <w:rFonts w:asciiTheme="majorBidi" w:hAnsiTheme="majorBidi" w:cstheme="majorBidi"/>
          <w:iCs/>
          <w:sz w:val="24"/>
          <w:szCs w:val="24"/>
          <w:lang w:bidi="en-US"/>
        </w:rPr>
        <w:t>assess</w:t>
      </w:r>
      <w:r w:rsidR="004A56FD" w:rsidRPr="004A56FD">
        <w:rPr>
          <w:rFonts w:asciiTheme="majorBidi" w:hAnsiTheme="majorBidi" w:cstheme="majorBidi"/>
          <w:iCs/>
          <w:sz w:val="24"/>
          <w:szCs w:val="24"/>
          <w:lang w:bidi="en-US"/>
        </w:rPr>
        <w:t xml:space="preserve"> knowledge and attitude on their intake which could contribute to establishing strategies to improve the trend of healthy diet consumption. </w:t>
      </w:r>
    </w:p>
    <w:p w14:paraId="440867B8" w14:textId="77777777" w:rsidR="004211D2" w:rsidRPr="004A56FD" w:rsidRDefault="004211D2" w:rsidP="007E30CF">
      <w:pPr>
        <w:spacing w:line="480" w:lineRule="auto"/>
        <w:jc w:val="both"/>
        <w:rPr>
          <w:rFonts w:asciiTheme="majorBidi" w:hAnsiTheme="majorBidi" w:cstheme="majorBidi"/>
          <w:iCs/>
          <w:sz w:val="24"/>
          <w:szCs w:val="24"/>
          <w:lang w:bidi="en-US"/>
        </w:rPr>
      </w:pPr>
    </w:p>
    <w:p w14:paraId="389E6C97" w14:textId="44B97DBF" w:rsidR="004A56FD" w:rsidRDefault="004A56FD" w:rsidP="00A538B1">
      <w:pPr>
        <w:spacing w:line="480" w:lineRule="auto"/>
        <w:jc w:val="both"/>
        <w:rPr>
          <w:rFonts w:asciiTheme="majorBidi" w:hAnsiTheme="majorBidi" w:cstheme="majorBidi"/>
          <w:iCs/>
          <w:sz w:val="24"/>
          <w:szCs w:val="24"/>
          <w:lang w:bidi="en-US"/>
        </w:rPr>
      </w:pPr>
      <w:r w:rsidRPr="004A56FD">
        <w:rPr>
          <w:rFonts w:asciiTheme="majorBidi" w:hAnsiTheme="majorBidi" w:cstheme="majorBidi"/>
          <w:iCs/>
          <w:sz w:val="24"/>
          <w:szCs w:val="24"/>
          <w:lang w:bidi="en-US"/>
        </w:rPr>
        <w:lastRenderedPageBreak/>
        <w:t xml:space="preserve">Although dietary fats and fatty acids are </w:t>
      </w:r>
      <w:r w:rsidR="00C703EF">
        <w:rPr>
          <w:rFonts w:asciiTheme="majorBidi" w:hAnsiTheme="majorBidi" w:cstheme="majorBidi"/>
          <w:iCs/>
          <w:sz w:val="24"/>
          <w:szCs w:val="24"/>
          <w:lang w:bidi="en-US"/>
        </w:rPr>
        <w:t>vital</w:t>
      </w:r>
      <w:r w:rsidR="00C703EF" w:rsidRPr="004A56FD">
        <w:rPr>
          <w:rFonts w:asciiTheme="majorBidi" w:hAnsiTheme="majorBidi" w:cstheme="majorBidi"/>
          <w:iCs/>
          <w:sz w:val="24"/>
          <w:szCs w:val="24"/>
          <w:lang w:bidi="en-US"/>
        </w:rPr>
        <w:t xml:space="preserve"> </w:t>
      </w:r>
      <w:r w:rsidRPr="004A56FD">
        <w:rPr>
          <w:rFonts w:asciiTheme="majorBidi" w:hAnsiTheme="majorBidi" w:cstheme="majorBidi"/>
          <w:iCs/>
          <w:sz w:val="24"/>
          <w:szCs w:val="24"/>
          <w:lang w:bidi="en-US"/>
        </w:rPr>
        <w:t xml:space="preserve">nutrients, the type of fat along with the amount consumed have contrasting effects on overall health as well as substantial implications for prevention and treatment of chronic disease, including type 2 diabetes, cancer, </w:t>
      </w:r>
      <w:r w:rsidR="00C703EF" w:rsidRPr="004A56FD">
        <w:rPr>
          <w:rFonts w:asciiTheme="majorBidi" w:hAnsiTheme="majorBidi" w:cstheme="majorBidi"/>
          <w:iCs/>
          <w:sz w:val="24"/>
          <w:szCs w:val="24"/>
          <w:lang w:bidi="en-US"/>
        </w:rPr>
        <w:t>respiratory diseases</w:t>
      </w:r>
      <w:r w:rsidRPr="004A56FD">
        <w:rPr>
          <w:rFonts w:asciiTheme="majorBidi" w:hAnsiTheme="majorBidi" w:cstheme="majorBidi"/>
          <w:iCs/>
          <w:sz w:val="24"/>
          <w:szCs w:val="24"/>
          <w:lang w:bidi="en-US"/>
        </w:rPr>
        <w:t xml:space="preserve">, and </w:t>
      </w:r>
      <w:r w:rsidR="00C703EF" w:rsidRPr="004A56FD">
        <w:rPr>
          <w:rFonts w:asciiTheme="majorBidi" w:hAnsiTheme="majorBidi" w:cstheme="majorBidi"/>
          <w:iCs/>
          <w:sz w:val="24"/>
          <w:szCs w:val="24"/>
          <w:lang w:bidi="en-US"/>
        </w:rPr>
        <w:t xml:space="preserve">multiple sclerosis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28</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Furthermore, research indicates that dietary fats have distinct implications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29</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The latest dietary recommendations suggest replacing saturated fats with unsaturated fats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30</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Saturated fats, such as butter, raises the cholesterol level, which consequently increases the risk of heart disease. As per the recommendation of the American Heart Association, </w:t>
      </w:r>
      <w:r w:rsidR="00D66495">
        <w:rPr>
          <w:rFonts w:asciiTheme="majorBidi" w:hAnsiTheme="majorBidi" w:cstheme="majorBidi"/>
          <w:iCs/>
          <w:sz w:val="24"/>
          <w:szCs w:val="24"/>
          <w:lang w:bidi="en-US"/>
        </w:rPr>
        <w:t>substituting</w:t>
      </w:r>
      <w:r w:rsidR="00D66495" w:rsidRPr="004A56FD">
        <w:rPr>
          <w:rFonts w:asciiTheme="majorBidi" w:hAnsiTheme="majorBidi" w:cstheme="majorBidi"/>
          <w:iCs/>
          <w:sz w:val="24"/>
          <w:szCs w:val="24"/>
          <w:lang w:bidi="en-US"/>
        </w:rPr>
        <w:t xml:space="preserve"> </w:t>
      </w:r>
      <w:r w:rsidRPr="004A56FD">
        <w:rPr>
          <w:rFonts w:asciiTheme="majorBidi" w:hAnsiTheme="majorBidi" w:cstheme="majorBidi"/>
          <w:iCs/>
          <w:sz w:val="24"/>
          <w:szCs w:val="24"/>
          <w:lang w:bidi="en-US"/>
        </w:rPr>
        <w:t xml:space="preserve">saturated fats with vegetable oils (which contain linoleic acid, a polyunsaturated fat) is presumed to contribute in reducing cholesterol levels, improving overall heart health. </w:t>
      </w:r>
      <w:r w:rsidR="00C703EF">
        <w:rPr>
          <w:rFonts w:asciiTheme="majorBidi" w:hAnsiTheme="majorBidi" w:cstheme="majorBidi"/>
          <w:iCs/>
          <w:sz w:val="24"/>
          <w:szCs w:val="24"/>
          <w:lang w:bidi="en-US"/>
        </w:rPr>
        <w:t>H</w:t>
      </w:r>
      <w:r w:rsidR="00C703EF" w:rsidRPr="004A56FD">
        <w:rPr>
          <w:rFonts w:asciiTheme="majorBidi" w:hAnsiTheme="majorBidi" w:cstheme="majorBidi"/>
          <w:iCs/>
          <w:sz w:val="24"/>
          <w:szCs w:val="24"/>
          <w:lang w:bidi="en-US"/>
        </w:rPr>
        <w:t>igher levels of linoleic acid</w:t>
      </w:r>
      <w:r w:rsidR="00C703EF">
        <w:rPr>
          <w:rFonts w:asciiTheme="majorBidi" w:hAnsiTheme="majorBidi" w:cstheme="majorBidi"/>
          <w:iCs/>
          <w:sz w:val="24"/>
          <w:szCs w:val="24"/>
          <w:lang w:bidi="en-US"/>
        </w:rPr>
        <w:t xml:space="preserve"> are found in certain</w:t>
      </w:r>
      <w:r w:rsidRPr="004A56FD">
        <w:rPr>
          <w:rFonts w:asciiTheme="majorBidi" w:hAnsiTheme="majorBidi" w:cstheme="majorBidi"/>
          <w:iCs/>
          <w:sz w:val="24"/>
          <w:szCs w:val="24"/>
          <w:lang w:bidi="en-US"/>
        </w:rPr>
        <w:t xml:space="preserve"> vegetable oils, such as sunflower and corn, </w:t>
      </w:r>
      <w:r w:rsidR="00C703EF">
        <w:rPr>
          <w:rFonts w:asciiTheme="majorBidi" w:hAnsiTheme="majorBidi" w:cstheme="majorBidi"/>
          <w:iCs/>
          <w:sz w:val="24"/>
          <w:szCs w:val="24"/>
          <w:lang w:bidi="en-US"/>
        </w:rPr>
        <w:t>whereas others</w:t>
      </w:r>
      <w:r w:rsidRPr="004A56FD">
        <w:rPr>
          <w:rFonts w:asciiTheme="majorBidi" w:hAnsiTheme="majorBidi" w:cstheme="majorBidi"/>
          <w:iCs/>
          <w:sz w:val="24"/>
          <w:szCs w:val="24"/>
          <w:lang w:bidi="en-US"/>
        </w:rPr>
        <w:t xml:space="preserve"> like canola and olive have lower levels </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31</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The healthier oil choice to be used for cooking is still debatable. A couple of </w:t>
      </w:r>
      <w:r w:rsidR="00A538B1">
        <w:rPr>
          <w:rFonts w:asciiTheme="majorBidi" w:hAnsiTheme="majorBidi" w:cstheme="majorBidi"/>
          <w:iCs/>
          <w:sz w:val="24"/>
          <w:szCs w:val="24"/>
          <w:lang w:bidi="en-US"/>
        </w:rPr>
        <w:t>recent reports have also obfuscated</w:t>
      </w:r>
      <w:r w:rsidRPr="004A56FD">
        <w:rPr>
          <w:rFonts w:asciiTheme="majorBidi" w:hAnsiTheme="majorBidi" w:cstheme="majorBidi"/>
          <w:iCs/>
          <w:sz w:val="24"/>
          <w:szCs w:val="24"/>
          <w:lang w:bidi="en-US"/>
        </w:rPr>
        <w:t xml:space="preserve"> the </w:t>
      </w:r>
      <w:r w:rsidR="00C703EF">
        <w:rPr>
          <w:rFonts w:asciiTheme="majorBidi" w:hAnsiTheme="majorBidi" w:cstheme="majorBidi"/>
          <w:iCs/>
          <w:sz w:val="24"/>
          <w:szCs w:val="24"/>
          <w:lang w:bidi="en-US"/>
        </w:rPr>
        <w:t>relationship</w:t>
      </w:r>
      <w:r w:rsidRPr="004A56FD">
        <w:rPr>
          <w:rFonts w:asciiTheme="majorBidi" w:hAnsiTheme="majorBidi" w:cstheme="majorBidi"/>
          <w:iCs/>
          <w:sz w:val="24"/>
          <w:szCs w:val="24"/>
          <w:lang w:bidi="en-US"/>
        </w:rPr>
        <w:t xml:space="preserve"> between saturated fat and </w:t>
      </w:r>
      <w:r w:rsidR="00A538B1">
        <w:rPr>
          <w:rFonts w:asciiTheme="majorBidi" w:hAnsiTheme="majorBidi" w:cstheme="majorBidi"/>
          <w:iCs/>
          <w:sz w:val="24"/>
          <w:szCs w:val="24"/>
          <w:lang w:bidi="en-US"/>
        </w:rPr>
        <w:t>cardiovascular</w:t>
      </w:r>
      <w:r w:rsidRPr="004A56FD">
        <w:rPr>
          <w:rFonts w:asciiTheme="majorBidi" w:hAnsiTheme="majorBidi" w:cstheme="majorBidi"/>
          <w:iCs/>
          <w:sz w:val="24"/>
          <w:szCs w:val="24"/>
          <w:lang w:bidi="en-US"/>
        </w:rPr>
        <w:t xml:space="preserve"> disease. A meta-analysis of 72 studies with over 103,052 people revealed that there was insufficient evidence </w:t>
      </w:r>
      <w:r w:rsidR="00DD1E8C">
        <w:rPr>
          <w:rFonts w:asciiTheme="majorBidi" w:hAnsiTheme="majorBidi" w:cstheme="majorBidi"/>
          <w:iCs/>
          <w:sz w:val="24"/>
          <w:szCs w:val="24"/>
          <w:lang w:bidi="en-US"/>
        </w:rPr>
        <w:t xml:space="preserve">that saturated fats increased the risk of heart disease, although replacing them with </w:t>
      </w:r>
      <w:r w:rsidR="00DD1E8C" w:rsidRPr="004A56FD">
        <w:rPr>
          <w:rFonts w:asciiTheme="majorBidi" w:hAnsiTheme="majorBidi" w:cstheme="majorBidi"/>
          <w:iCs/>
          <w:sz w:val="24"/>
          <w:szCs w:val="24"/>
          <w:lang w:bidi="en-US"/>
        </w:rPr>
        <w:t>polyunsaturated fat</w:t>
      </w:r>
      <w:r w:rsidR="00DD1E8C">
        <w:rPr>
          <w:rFonts w:asciiTheme="majorBidi" w:hAnsiTheme="majorBidi" w:cstheme="majorBidi"/>
          <w:iCs/>
          <w:sz w:val="24"/>
          <w:szCs w:val="24"/>
          <w:lang w:bidi="en-US"/>
        </w:rPr>
        <w:t xml:space="preserve"> might actually reduce this risk</w:t>
      </w:r>
      <w:r w:rsidRPr="004A56FD">
        <w:rPr>
          <w:rFonts w:asciiTheme="majorBidi" w:hAnsiTheme="majorBidi" w:cstheme="majorBidi"/>
          <w:iCs/>
          <w:sz w:val="24"/>
          <w:szCs w:val="24"/>
          <w:lang w:bidi="en-US"/>
        </w:rPr>
        <w:t xml:space="preserve"> </w:t>
      </w:r>
      <w:r w:rsidR="00F522C8">
        <w:rPr>
          <w:rFonts w:asciiTheme="majorBidi" w:hAnsiTheme="majorBidi" w:cstheme="majorBidi"/>
          <w:iCs/>
          <w:sz w:val="24"/>
          <w:szCs w:val="24"/>
          <w:lang w:bidi="en-US"/>
        </w:rPr>
        <w:t>(</w:t>
      </w:r>
      <w:r w:rsidR="00E472BC">
        <w:rPr>
          <w:rFonts w:asciiTheme="majorBidi" w:hAnsiTheme="majorBidi" w:cstheme="majorBidi"/>
          <w:iCs/>
          <w:sz w:val="24"/>
          <w:szCs w:val="24"/>
          <w:lang w:bidi="en-US"/>
        </w:rPr>
        <w:t>32</w:t>
      </w:r>
      <w:r w:rsidRPr="004A56FD">
        <w:rPr>
          <w:rFonts w:asciiTheme="majorBidi" w:hAnsiTheme="majorBidi" w:cstheme="majorBidi"/>
          <w:iCs/>
          <w:sz w:val="24"/>
          <w:szCs w:val="24"/>
          <w:lang w:bidi="en-US"/>
        </w:rPr>
        <w:t>-</w:t>
      </w:r>
      <w:r w:rsidR="00E472BC">
        <w:rPr>
          <w:rFonts w:asciiTheme="majorBidi" w:hAnsiTheme="majorBidi" w:cstheme="majorBidi"/>
          <w:iCs/>
          <w:sz w:val="24"/>
          <w:szCs w:val="24"/>
          <w:lang w:bidi="en-US"/>
        </w:rPr>
        <w:t>34</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xml:space="preserve">. The finding was also corroborated by other major studies which concluded that substituting saturated fat with polyunsaturated fats </w:t>
      </w:r>
      <w:r w:rsidR="00CC75A1">
        <w:rPr>
          <w:rFonts w:asciiTheme="majorBidi" w:hAnsiTheme="majorBidi" w:cstheme="majorBidi"/>
          <w:iCs/>
          <w:sz w:val="24"/>
          <w:szCs w:val="24"/>
          <w:lang w:bidi="en-US"/>
        </w:rPr>
        <w:t>such as</w:t>
      </w:r>
      <w:r w:rsidRPr="004A56FD">
        <w:rPr>
          <w:rFonts w:asciiTheme="majorBidi" w:hAnsiTheme="majorBidi" w:cstheme="majorBidi"/>
          <w:iCs/>
          <w:sz w:val="24"/>
          <w:szCs w:val="24"/>
          <w:lang w:bidi="en-US"/>
        </w:rPr>
        <w:t xml:space="preserve"> vegetable oils or high-fibre carbohydrates is the best approach for heart disease</w:t>
      </w:r>
      <w:r w:rsidR="00D516C2">
        <w:rPr>
          <w:rFonts w:asciiTheme="majorBidi" w:hAnsiTheme="majorBidi" w:cstheme="majorBidi"/>
          <w:iCs/>
          <w:sz w:val="24"/>
          <w:szCs w:val="24"/>
          <w:lang w:bidi="en-US"/>
        </w:rPr>
        <w:t xml:space="preserve"> risk reduction</w:t>
      </w:r>
      <w:r w:rsidRPr="004A56FD">
        <w:rPr>
          <w:rFonts w:asciiTheme="majorBidi" w:hAnsiTheme="majorBidi" w:cstheme="majorBidi"/>
          <w:iCs/>
          <w:sz w:val="24"/>
          <w:szCs w:val="24"/>
          <w:lang w:bidi="en-US"/>
        </w:rPr>
        <w:t xml:space="preserve">, though notably substituting saturated fat with highly processed carbohydrates could possibly </w:t>
      </w:r>
      <w:r w:rsidR="00D516C2">
        <w:rPr>
          <w:rFonts w:asciiTheme="majorBidi" w:hAnsiTheme="majorBidi" w:cstheme="majorBidi"/>
          <w:iCs/>
          <w:sz w:val="24"/>
          <w:szCs w:val="24"/>
          <w:lang w:bidi="en-US"/>
        </w:rPr>
        <w:t>be counterproductive</w:t>
      </w:r>
      <w:r w:rsidRPr="004A56FD">
        <w:rPr>
          <w:rFonts w:asciiTheme="majorBidi" w:hAnsiTheme="majorBidi" w:cstheme="majorBidi"/>
          <w:iCs/>
          <w:sz w:val="24"/>
          <w:szCs w:val="24"/>
          <w:lang w:bidi="en-US"/>
        </w:rPr>
        <w:t xml:space="preserve"> </w:t>
      </w:r>
      <w:r w:rsidR="00F522C8">
        <w:rPr>
          <w:rFonts w:asciiTheme="majorBidi" w:hAnsiTheme="majorBidi" w:cstheme="majorBidi"/>
          <w:iCs/>
          <w:sz w:val="24"/>
          <w:szCs w:val="24"/>
          <w:lang w:bidi="en-US"/>
        </w:rPr>
        <w:t>(</w:t>
      </w:r>
      <w:r w:rsidR="00E472BC">
        <w:rPr>
          <w:rFonts w:asciiTheme="majorBidi" w:hAnsiTheme="majorBidi" w:cstheme="majorBidi"/>
          <w:iCs/>
          <w:sz w:val="24"/>
          <w:szCs w:val="24"/>
          <w:lang w:bidi="en-US"/>
        </w:rPr>
        <w:t>35</w:t>
      </w:r>
      <w:r w:rsidRPr="004A56FD">
        <w:rPr>
          <w:rFonts w:asciiTheme="majorBidi" w:hAnsiTheme="majorBidi" w:cstheme="majorBidi"/>
          <w:iCs/>
          <w:sz w:val="24"/>
          <w:szCs w:val="24"/>
          <w:lang w:bidi="en-US"/>
        </w:rPr>
        <w:t>-</w:t>
      </w:r>
      <w:r w:rsidR="00E472BC">
        <w:rPr>
          <w:rFonts w:asciiTheme="majorBidi" w:hAnsiTheme="majorBidi" w:cstheme="majorBidi"/>
          <w:iCs/>
          <w:sz w:val="24"/>
          <w:szCs w:val="24"/>
          <w:lang w:bidi="en-US"/>
        </w:rPr>
        <w:t>37</w:t>
      </w:r>
      <w:r w:rsidR="00F522C8">
        <w:rPr>
          <w:rFonts w:asciiTheme="majorBidi" w:hAnsiTheme="majorBidi" w:cstheme="majorBidi"/>
          <w:iCs/>
          <w:sz w:val="24"/>
          <w:szCs w:val="24"/>
          <w:lang w:bidi="en-US"/>
        </w:rPr>
        <w:t>)</w:t>
      </w:r>
      <w:r w:rsidRPr="004A56FD">
        <w:rPr>
          <w:rFonts w:asciiTheme="majorBidi" w:hAnsiTheme="majorBidi" w:cstheme="majorBidi"/>
          <w:iCs/>
          <w:sz w:val="24"/>
          <w:szCs w:val="24"/>
          <w:lang w:bidi="en-US"/>
        </w:rPr>
        <w:t>. Our study found that most Omanis use vegetable oil for cooking and it is significantly correlated with raised cholesterol and abnormal waist-to-hip ratio. Moreover, there is a 90% probability for any Omani to be in a class of population who are mostly users of vegetable oil.</w:t>
      </w:r>
    </w:p>
    <w:p w14:paraId="3214A938" w14:textId="77777777" w:rsidR="004211D2" w:rsidRPr="004A56FD" w:rsidRDefault="004211D2" w:rsidP="007E30CF">
      <w:pPr>
        <w:spacing w:line="480" w:lineRule="auto"/>
        <w:jc w:val="both"/>
        <w:rPr>
          <w:rFonts w:asciiTheme="majorBidi" w:hAnsiTheme="majorBidi" w:cstheme="majorBidi"/>
          <w:iCs/>
          <w:sz w:val="24"/>
          <w:szCs w:val="24"/>
          <w:lang w:bidi="en-US"/>
        </w:rPr>
      </w:pPr>
    </w:p>
    <w:p w14:paraId="30B8AC5B" w14:textId="764D6EA2" w:rsidR="004A56FD" w:rsidRDefault="004A56FD" w:rsidP="00A538B1">
      <w:pPr>
        <w:spacing w:line="480" w:lineRule="auto"/>
        <w:jc w:val="both"/>
        <w:rPr>
          <w:rFonts w:asciiTheme="majorBidi" w:hAnsiTheme="majorBidi" w:cstheme="majorBidi"/>
          <w:iCs/>
          <w:sz w:val="24"/>
          <w:szCs w:val="24"/>
          <w:lang w:bidi="en-US"/>
        </w:rPr>
      </w:pPr>
      <w:r w:rsidRPr="004A56FD">
        <w:rPr>
          <w:rFonts w:asciiTheme="majorBidi" w:hAnsiTheme="majorBidi" w:cstheme="majorBidi"/>
          <w:iCs/>
          <w:sz w:val="24"/>
          <w:szCs w:val="24"/>
          <w:lang w:bidi="en-US"/>
        </w:rPr>
        <w:lastRenderedPageBreak/>
        <w:t xml:space="preserve">To realistically reflect the complex interplay of dietary risk factors with other risk factors that could possibly contribute to NCD development, we used Structural Equation Modelling (SEM) to give a more holistic </w:t>
      </w:r>
      <w:r w:rsidR="00C450C5">
        <w:rPr>
          <w:rFonts w:asciiTheme="majorBidi" w:hAnsiTheme="majorBidi" w:cstheme="majorBidi"/>
          <w:iCs/>
          <w:sz w:val="24"/>
          <w:szCs w:val="24"/>
          <w:lang w:bidi="en-US"/>
        </w:rPr>
        <w:t>overview</w:t>
      </w:r>
      <w:r w:rsidRPr="004A56FD">
        <w:rPr>
          <w:rFonts w:asciiTheme="majorBidi" w:hAnsiTheme="majorBidi" w:cstheme="majorBidi"/>
          <w:iCs/>
          <w:sz w:val="24"/>
          <w:szCs w:val="24"/>
          <w:lang w:bidi="en-US"/>
        </w:rPr>
        <w:t xml:space="preserve"> of the </w:t>
      </w:r>
      <w:r w:rsidR="00C450C5">
        <w:rPr>
          <w:rFonts w:asciiTheme="majorBidi" w:hAnsiTheme="majorBidi" w:cstheme="majorBidi"/>
          <w:iCs/>
          <w:sz w:val="24"/>
          <w:szCs w:val="24"/>
          <w:lang w:bidi="en-US"/>
        </w:rPr>
        <w:t>consolidation</w:t>
      </w:r>
      <w:r w:rsidR="00A538B1">
        <w:rPr>
          <w:rFonts w:asciiTheme="majorBidi" w:hAnsiTheme="majorBidi" w:cstheme="majorBidi"/>
          <w:iCs/>
          <w:sz w:val="24"/>
          <w:szCs w:val="24"/>
          <w:lang w:bidi="en-US"/>
        </w:rPr>
        <w:t xml:space="preserve"> of socio-d</w:t>
      </w:r>
      <w:r w:rsidRPr="004A56FD">
        <w:rPr>
          <w:rFonts w:asciiTheme="majorBidi" w:hAnsiTheme="majorBidi" w:cstheme="majorBidi"/>
          <w:iCs/>
          <w:sz w:val="24"/>
          <w:szCs w:val="24"/>
          <w:lang w:bidi="en-US"/>
        </w:rPr>
        <w:t xml:space="preserve">emographic, behavioural, and metabolic attributes that more accurately </w:t>
      </w:r>
      <w:r w:rsidR="00A538B1">
        <w:rPr>
          <w:rFonts w:asciiTheme="majorBidi" w:hAnsiTheme="majorBidi" w:cstheme="majorBidi"/>
          <w:iCs/>
          <w:sz w:val="24"/>
          <w:szCs w:val="24"/>
          <w:lang w:bidi="en-US"/>
        </w:rPr>
        <w:t>depict</w:t>
      </w:r>
      <w:r w:rsidR="00A538B1" w:rsidRPr="004A56FD">
        <w:rPr>
          <w:rFonts w:asciiTheme="majorBidi" w:hAnsiTheme="majorBidi" w:cstheme="majorBidi"/>
          <w:iCs/>
          <w:sz w:val="24"/>
          <w:szCs w:val="24"/>
          <w:lang w:bidi="en-US"/>
        </w:rPr>
        <w:t xml:space="preserve"> </w:t>
      </w:r>
      <w:r w:rsidRPr="004A56FD">
        <w:rPr>
          <w:rFonts w:asciiTheme="majorBidi" w:hAnsiTheme="majorBidi" w:cstheme="majorBidi"/>
          <w:iCs/>
          <w:sz w:val="24"/>
          <w:szCs w:val="24"/>
          <w:lang w:bidi="en-US"/>
        </w:rPr>
        <w:t xml:space="preserve">the </w:t>
      </w:r>
      <w:r w:rsidR="00C450C5">
        <w:rPr>
          <w:rFonts w:asciiTheme="majorBidi" w:hAnsiTheme="majorBidi" w:cstheme="majorBidi"/>
          <w:iCs/>
          <w:sz w:val="24"/>
          <w:szCs w:val="24"/>
          <w:lang w:bidi="en-US"/>
        </w:rPr>
        <w:t>multitude</w:t>
      </w:r>
      <w:r w:rsidR="00C450C5" w:rsidRPr="004A56FD">
        <w:rPr>
          <w:rFonts w:asciiTheme="majorBidi" w:hAnsiTheme="majorBidi" w:cstheme="majorBidi"/>
          <w:iCs/>
          <w:sz w:val="24"/>
          <w:szCs w:val="24"/>
          <w:lang w:bidi="en-US"/>
        </w:rPr>
        <w:t xml:space="preserve"> </w:t>
      </w:r>
      <w:r w:rsidRPr="004A56FD">
        <w:rPr>
          <w:rFonts w:asciiTheme="majorBidi" w:hAnsiTheme="majorBidi" w:cstheme="majorBidi"/>
          <w:iCs/>
          <w:sz w:val="24"/>
          <w:szCs w:val="24"/>
          <w:lang w:bidi="en-US"/>
        </w:rPr>
        <w:t>of factors that contribute to the development of NCDs. It showed that dietary risk factors significantly play a</w:t>
      </w:r>
      <w:r w:rsidR="005F01BC">
        <w:rPr>
          <w:rFonts w:asciiTheme="majorBidi" w:hAnsiTheme="majorBidi" w:cstheme="majorBidi"/>
          <w:iCs/>
          <w:sz w:val="24"/>
          <w:szCs w:val="24"/>
          <w:lang w:bidi="en-US"/>
        </w:rPr>
        <w:t>n important</w:t>
      </w:r>
      <w:r w:rsidRPr="004A56FD">
        <w:rPr>
          <w:rFonts w:asciiTheme="majorBidi" w:hAnsiTheme="majorBidi" w:cstheme="majorBidi"/>
          <w:iCs/>
          <w:sz w:val="24"/>
          <w:szCs w:val="24"/>
          <w:lang w:bidi="en-US"/>
        </w:rPr>
        <w:t xml:space="preserve"> role in the development of NCDs through direct and indirect effects on the main biophysical and biochemical indicators. Overall, fruit and vegetable intake largely had an indirect effect except for a direct effect on cholesterol. Similarly, eating meals outside the home had a direct effect on blood glucose and total cholesterol; whilst type of cooking oil had a direct effect on waist-to-hip ratio, total cholesterol, and blood pressure.</w:t>
      </w:r>
    </w:p>
    <w:p w14:paraId="7AA59F33" w14:textId="77777777" w:rsidR="004211D2" w:rsidRPr="004A56FD" w:rsidRDefault="004211D2" w:rsidP="007E30CF">
      <w:pPr>
        <w:spacing w:line="480" w:lineRule="auto"/>
        <w:jc w:val="both"/>
        <w:rPr>
          <w:rFonts w:asciiTheme="majorBidi" w:hAnsiTheme="majorBidi" w:cstheme="majorBidi"/>
          <w:iCs/>
          <w:sz w:val="24"/>
          <w:szCs w:val="24"/>
          <w:lang w:bidi="en-US"/>
        </w:rPr>
      </w:pPr>
    </w:p>
    <w:p w14:paraId="37B8EE2F" w14:textId="33DBEFCC" w:rsidR="004A56FD" w:rsidRPr="005F01BC" w:rsidRDefault="004A56FD" w:rsidP="005F01BC">
      <w:pPr>
        <w:spacing w:line="480" w:lineRule="auto"/>
        <w:jc w:val="both"/>
        <w:rPr>
          <w:rFonts w:asciiTheme="majorBidi" w:hAnsiTheme="majorBidi" w:cstheme="majorBidi"/>
          <w:iCs/>
          <w:sz w:val="24"/>
          <w:szCs w:val="24"/>
          <w:lang w:bidi="en-US"/>
        </w:rPr>
      </w:pPr>
      <w:r w:rsidRPr="004A56FD">
        <w:rPr>
          <w:rFonts w:asciiTheme="majorBidi" w:hAnsiTheme="majorBidi" w:cstheme="majorBidi"/>
          <w:iCs/>
          <w:sz w:val="24"/>
          <w:szCs w:val="24"/>
          <w:lang w:bidi="en-US"/>
        </w:rPr>
        <w:t xml:space="preserve">The strength of this study is that it is the first of its kind employing both LCA and SEM to discover the heterogeneity and the complex interaction of dietary risk factors with other indicators in the development of NCDs. </w:t>
      </w:r>
      <w:r w:rsidR="005F01BC" w:rsidRPr="005F01BC">
        <w:rPr>
          <w:rFonts w:asciiTheme="majorBidi" w:hAnsiTheme="majorBidi" w:cstheme="majorBidi"/>
          <w:iCs/>
          <w:sz w:val="24"/>
          <w:szCs w:val="24"/>
          <w:lang w:bidi="en-US"/>
        </w:rPr>
        <w:t xml:space="preserve">The possibility of recall bias was one of the limitations of the study, since the questionnaire was based on food recall and only </w:t>
      </w:r>
      <w:r w:rsidR="005F01BC">
        <w:rPr>
          <w:rFonts w:asciiTheme="majorBidi" w:hAnsiTheme="majorBidi" w:cstheme="majorBidi"/>
          <w:iCs/>
          <w:sz w:val="24"/>
          <w:szCs w:val="24"/>
          <w:lang w:bidi="en-US"/>
        </w:rPr>
        <w:t xml:space="preserve">utilised </w:t>
      </w:r>
      <w:r w:rsidR="005F01BC" w:rsidRPr="005F01BC">
        <w:rPr>
          <w:rFonts w:asciiTheme="majorBidi" w:hAnsiTheme="majorBidi" w:cstheme="majorBidi"/>
          <w:iCs/>
          <w:sz w:val="24"/>
          <w:szCs w:val="24"/>
          <w:lang w:bidi="en-US"/>
        </w:rPr>
        <w:t>reported dietary intake.</w:t>
      </w:r>
    </w:p>
    <w:p w14:paraId="4C9653B8" w14:textId="77777777" w:rsidR="004A56FD" w:rsidRPr="004A56FD" w:rsidRDefault="004A56FD" w:rsidP="007E30CF">
      <w:pPr>
        <w:spacing w:line="480" w:lineRule="auto"/>
        <w:jc w:val="both"/>
        <w:rPr>
          <w:rFonts w:asciiTheme="majorBidi" w:hAnsiTheme="majorBidi" w:cstheme="majorBidi"/>
          <w:iCs/>
          <w:sz w:val="24"/>
          <w:szCs w:val="24"/>
          <w:lang w:bidi="en-US"/>
        </w:rPr>
      </w:pPr>
    </w:p>
    <w:p w14:paraId="3E16A118" w14:textId="57C41BEE" w:rsidR="004A56FD" w:rsidRPr="00C73B49" w:rsidRDefault="004A56FD" w:rsidP="00C73B49">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t>Conclusions</w:t>
      </w:r>
    </w:p>
    <w:p w14:paraId="052EFB1A" w14:textId="77777777" w:rsidR="004A56FD" w:rsidRPr="004A56FD" w:rsidRDefault="004A56FD" w:rsidP="007E30CF">
      <w:pPr>
        <w:spacing w:line="480" w:lineRule="auto"/>
        <w:jc w:val="both"/>
        <w:rPr>
          <w:rFonts w:asciiTheme="majorBidi" w:hAnsiTheme="majorBidi" w:cstheme="majorBidi"/>
          <w:iCs/>
          <w:sz w:val="24"/>
          <w:szCs w:val="24"/>
          <w:lang w:bidi="en-US"/>
        </w:rPr>
      </w:pPr>
    </w:p>
    <w:p w14:paraId="1A68EE08" w14:textId="77777777" w:rsidR="005F01BC" w:rsidRDefault="004A56FD" w:rsidP="005F01BC">
      <w:pPr>
        <w:spacing w:line="480" w:lineRule="auto"/>
        <w:jc w:val="both"/>
        <w:rPr>
          <w:rFonts w:asciiTheme="majorBidi" w:hAnsiTheme="majorBidi" w:cstheme="majorBidi"/>
          <w:iCs/>
          <w:sz w:val="24"/>
          <w:szCs w:val="24"/>
          <w:lang w:bidi="en-US"/>
        </w:rPr>
      </w:pPr>
      <w:r w:rsidRPr="004A56FD">
        <w:rPr>
          <w:rFonts w:asciiTheme="majorBidi" w:hAnsiTheme="majorBidi" w:cstheme="majorBidi"/>
          <w:iCs/>
          <w:sz w:val="24"/>
          <w:szCs w:val="24"/>
          <w:lang w:bidi="en-US"/>
        </w:rPr>
        <w:t xml:space="preserve">The harmful </w:t>
      </w:r>
      <w:r w:rsidR="005F01BC">
        <w:rPr>
          <w:rFonts w:asciiTheme="majorBidi" w:hAnsiTheme="majorBidi" w:cstheme="majorBidi"/>
          <w:iCs/>
          <w:sz w:val="24"/>
          <w:szCs w:val="24"/>
          <w:lang w:bidi="en-US"/>
        </w:rPr>
        <w:t>outcomes</w:t>
      </w:r>
      <w:r w:rsidRPr="004A56FD">
        <w:rPr>
          <w:rFonts w:asciiTheme="majorBidi" w:hAnsiTheme="majorBidi" w:cstheme="majorBidi"/>
          <w:iCs/>
          <w:sz w:val="24"/>
          <w:szCs w:val="24"/>
          <w:lang w:bidi="en-US"/>
        </w:rPr>
        <w:t xml:space="preserve"> of behavioural and dietary risk factors on NCDs, and the metabolic and physiological </w:t>
      </w:r>
      <w:r w:rsidR="005F01BC">
        <w:rPr>
          <w:rFonts w:asciiTheme="majorBidi" w:hAnsiTheme="majorBidi" w:cstheme="majorBidi"/>
          <w:iCs/>
          <w:sz w:val="24"/>
          <w:szCs w:val="24"/>
          <w:lang w:bidi="en-US"/>
        </w:rPr>
        <w:t>aspects</w:t>
      </w:r>
      <w:r w:rsidRPr="004A56FD">
        <w:rPr>
          <w:rFonts w:asciiTheme="majorBidi" w:hAnsiTheme="majorBidi" w:cstheme="majorBidi"/>
          <w:iCs/>
          <w:sz w:val="24"/>
          <w:szCs w:val="24"/>
          <w:lang w:bidi="en-US"/>
        </w:rPr>
        <w:t xml:space="preserve"> that mediate their effects, have been well established in prospective cohort studies and randomized controlled trials. </w:t>
      </w:r>
    </w:p>
    <w:p w14:paraId="7663BEB4" w14:textId="36BDCA01" w:rsidR="004A56FD" w:rsidRDefault="005F01BC" w:rsidP="002638F9">
      <w:pPr>
        <w:spacing w:line="480" w:lineRule="auto"/>
        <w:jc w:val="both"/>
        <w:rPr>
          <w:rFonts w:asciiTheme="majorBidi" w:hAnsiTheme="majorBidi" w:cstheme="majorBidi"/>
          <w:iCs/>
          <w:sz w:val="24"/>
          <w:szCs w:val="24"/>
          <w:lang w:bidi="en-US"/>
        </w:rPr>
      </w:pPr>
      <w:r w:rsidRPr="005F01BC">
        <w:rPr>
          <w:rFonts w:asciiTheme="majorBidi" w:hAnsiTheme="majorBidi" w:cstheme="majorBidi"/>
          <w:iCs/>
          <w:sz w:val="24"/>
          <w:szCs w:val="24"/>
          <w:lang w:bidi="en-US"/>
        </w:rPr>
        <w:lastRenderedPageBreak/>
        <w:t xml:space="preserve">However, it will also be necessary to establish the burden of disease attributable to dietary risk factors in Oman </w:t>
      </w:r>
      <w:r w:rsidR="002638F9" w:rsidRPr="005F01BC">
        <w:rPr>
          <w:rFonts w:asciiTheme="majorBidi" w:hAnsiTheme="majorBidi" w:cstheme="majorBidi"/>
          <w:iCs/>
          <w:sz w:val="24"/>
          <w:szCs w:val="24"/>
          <w:lang w:bidi="en-US"/>
        </w:rPr>
        <w:t xml:space="preserve">with a thorough analysis at country level </w:t>
      </w:r>
      <w:r w:rsidRPr="005F01BC">
        <w:rPr>
          <w:rFonts w:asciiTheme="majorBidi" w:hAnsiTheme="majorBidi" w:cstheme="majorBidi"/>
          <w:iCs/>
          <w:sz w:val="24"/>
          <w:szCs w:val="24"/>
          <w:lang w:bidi="en-US"/>
        </w:rPr>
        <w:t>on the basis of data from this study which has shown that such risk factors are widespread among adult Omanis together</w:t>
      </w:r>
      <w:r w:rsidR="004A56FD" w:rsidRPr="004A56FD">
        <w:rPr>
          <w:rFonts w:asciiTheme="majorBidi" w:hAnsiTheme="majorBidi" w:cstheme="majorBidi"/>
          <w:iCs/>
          <w:sz w:val="24"/>
          <w:szCs w:val="24"/>
          <w:lang w:bidi="en-US"/>
        </w:rPr>
        <w:t xml:space="preserve"> </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38</w:t>
      </w:r>
      <w:r w:rsidR="00F522C8">
        <w:rPr>
          <w:rFonts w:asciiTheme="majorBidi" w:hAnsiTheme="majorBidi" w:cstheme="majorBidi"/>
          <w:iCs/>
          <w:sz w:val="24"/>
          <w:szCs w:val="24"/>
          <w:lang w:bidi="en-US"/>
        </w:rPr>
        <w:t>)</w:t>
      </w:r>
      <w:r w:rsidR="004A56FD" w:rsidRPr="004A56FD">
        <w:rPr>
          <w:rFonts w:asciiTheme="majorBidi" w:hAnsiTheme="majorBidi" w:cstheme="majorBidi"/>
          <w:iCs/>
          <w:sz w:val="24"/>
          <w:szCs w:val="24"/>
          <w:lang w:bidi="en-US"/>
        </w:rPr>
        <w:t xml:space="preserve">. </w:t>
      </w:r>
      <w:r w:rsidR="002638F9" w:rsidRPr="002638F9">
        <w:rPr>
          <w:rFonts w:asciiTheme="majorBidi" w:hAnsiTheme="majorBidi" w:cstheme="majorBidi"/>
          <w:iCs/>
          <w:sz w:val="24"/>
          <w:szCs w:val="24"/>
          <w:lang w:bidi="en-US"/>
        </w:rPr>
        <w:t xml:space="preserve">Our analysis </w:t>
      </w:r>
      <w:r w:rsidR="002638F9">
        <w:rPr>
          <w:rFonts w:asciiTheme="majorBidi" w:hAnsiTheme="majorBidi" w:cstheme="majorBidi"/>
          <w:iCs/>
          <w:sz w:val="24"/>
          <w:szCs w:val="24"/>
          <w:lang w:bidi="en-US"/>
        </w:rPr>
        <w:t>revealed that</w:t>
      </w:r>
      <w:r w:rsidR="002638F9" w:rsidRPr="002638F9">
        <w:rPr>
          <w:rFonts w:asciiTheme="majorBidi" w:hAnsiTheme="majorBidi" w:cstheme="majorBidi"/>
          <w:iCs/>
          <w:sz w:val="24"/>
          <w:szCs w:val="24"/>
          <w:lang w:bidi="en-US"/>
        </w:rPr>
        <w:t xml:space="preserve"> the WHO die</w:t>
      </w:r>
      <w:r w:rsidR="002638F9">
        <w:rPr>
          <w:rFonts w:asciiTheme="majorBidi" w:hAnsiTheme="majorBidi" w:cstheme="majorBidi"/>
          <w:iCs/>
          <w:sz w:val="24"/>
          <w:szCs w:val="24"/>
          <w:lang w:bidi="en-US"/>
        </w:rPr>
        <w:t>tary intake recommendations had</w:t>
      </w:r>
      <w:r w:rsidR="002638F9" w:rsidRPr="002638F9">
        <w:rPr>
          <w:rFonts w:asciiTheme="majorBidi" w:hAnsiTheme="majorBidi" w:cstheme="majorBidi"/>
          <w:iCs/>
          <w:sz w:val="24"/>
          <w:szCs w:val="24"/>
          <w:lang w:bidi="en-US"/>
        </w:rPr>
        <w:t xml:space="preserve"> not been met in </w:t>
      </w:r>
      <w:r w:rsidR="002638F9">
        <w:rPr>
          <w:rFonts w:asciiTheme="majorBidi" w:hAnsiTheme="majorBidi" w:cstheme="majorBidi"/>
          <w:iCs/>
          <w:sz w:val="24"/>
          <w:szCs w:val="24"/>
          <w:lang w:bidi="en-US"/>
        </w:rPr>
        <w:t>most of</w:t>
      </w:r>
      <w:r w:rsidR="002638F9" w:rsidRPr="002638F9">
        <w:rPr>
          <w:rFonts w:asciiTheme="majorBidi" w:hAnsiTheme="majorBidi" w:cstheme="majorBidi"/>
          <w:iCs/>
          <w:sz w:val="24"/>
          <w:szCs w:val="24"/>
          <w:lang w:bidi="en-US"/>
        </w:rPr>
        <w:t xml:space="preserve"> the assessed variables.</w:t>
      </w:r>
      <w:r w:rsidR="002638F9">
        <w:rPr>
          <w:rFonts w:asciiTheme="majorBidi" w:hAnsiTheme="majorBidi" w:cstheme="majorBidi"/>
          <w:iCs/>
          <w:sz w:val="24"/>
          <w:szCs w:val="24"/>
          <w:lang w:bidi="en-US"/>
        </w:rPr>
        <w:t xml:space="preserve"> </w:t>
      </w:r>
      <w:r w:rsidR="004A56FD" w:rsidRPr="004A56FD">
        <w:rPr>
          <w:rFonts w:asciiTheme="majorBidi" w:hAnsiTheme="majorBidi" w:cstheme="majorBidi"/>
          <w:iCs/>
          <w:sz w:val="24"/>
          <w:szCs w:val="24"/>
          <w:lang w:bidi="en-US"/>
        </w:rPr>
        <w:t>Moreover, the findings from this analysis also demonstrate the value of tailored strategies for health promotion programmes with innovative process and techniques among the Omani population.</w:t>
      </w:r>
    </w:p>
    <w:p w14:paraId="0C89C1BA" w14:textId="77777777" w:rsidR="00232241" w:rsidRDefault="00232241" w:rsidP="007E30CF">
      <w:pPr>
        <w:spacing w:line="480" w:lineRule="auto"/>
        <w:jc w:val="both"/>
        <w:rPr>
          <w:rFonts w:asciiTheme="majorBidi" w:hAnsiTheme="majorBidi" w:cstheme="majorBidi"/>
          <w:iCs/>
          <w:sz w:val="24"/>
          <w:szCs w:val="24"/>
          <w:lang w:bidi="en-US"/>
        </w:rPr>
      </w:pPr>
    </w:p>
    <w:p w14:paraId="09BF2879" w14:textId="64722AC9" w:rsidR="00232241" w:rsidRPr="00C73B49" w:rsidRDefault="00232241" w:rsidP="00C73B49">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t>List of abbreviations</w:t>
      </w:r>
    </w:p>
    <w:p w14:paraId="710D12AB" w14:textId="77777777" w:rsidR="00A85ADB" w:rsidRPr="00A85ADB" w:rsidRDefault="00A85ADB" w:rsidP="007E30CF">
      <w:pPr>
        <w:spacing w:line="480" w:lineRule="auto"/>
        <w:jc w:val="both"/>
        <w:rPr>
          <w:rFonts w:asciiTheme="majorBidi" w:hAnsiTheme="majorBidi" w:cstheme="majorBidi"/>
          <w:iCs/>
          <w:sz w:val="24"/>
          <w:szCs w:val="24"/>
          <w:lang w:bidi="en-US"/>
        </w:rPr>
      </w:pPr>
      <w:r w:rsidRPr="00A85ADB">
        <w:rPr>
          <w:rFonts w:asciiTheme="majorBidi" w:hAnsiTheme="majorBidi" w:cstheme="majorBidi"/>
          <w:iCs/>
          <w:sz w:val="24"/>
          <w:szCs w:val="24"/>
          <w:lang w:bidi="en-US"/>
        </w:rPr>
        <w:t xml:space="preserve">AIC: </w:t>
      </w:r>
      <w:proofErr w:type="spellStart"/>
      <w:r w:rsidRPr="00A85ADB">
        <w:rPr>
          <w:rFonts w:asciiTheme="majorBidi" w:hAnsiTheme="majorBidi" w:cstheme="majorBidi"/>
          <w:iCs/>
          <w:sz w:val="24"/>
          <w:szCs w:val="24"/>
          <w:lang w:bidi="en-US"/>
        </w:rPr>
        <w:t>Akaike’s</w:t>
      </w:r>
      <w:proofErr w:type="spellEnd"/>
      <w:r w:rsidRPr="00A85ADB">
        <w:rPr>
          <w:rFonts w:asciiTheme="majorBidi" w:hAnsiTheme="majorBidi" w:cstheme="majorBidi"/>
          <w:iCs/>
          <w:sz w:val="24"/>
          <w:szCs w:val="24"/>
          <w:lang w:bidi="en-US"/>
        </w:rPr>
        <w:t xml:space="preserve"> Information Criterion </w:t>
      </w:r>
    </w:p>
    <w:p w14:paraId="1D921689" w14:textId="77777777" w:rsidR="00A85ADB" w:rsidRPr="00A85ADB" w:rsidRDefault="00A85ADB" w:rsidP="007E30CF">
      <w:pPr>
        <w:spacing w:line="480" w:lineRule="auto"/>
        <w:jc w:val="both"/>
        <w:rPr>
          <w:rFonts w:asciiTheme="majorBidi" w:hAnsiTheme="majorBidi" w:cstheme="majorBidi"/>
          <w:iCs/>
          <w:sz w:val="24"/>
          <w:szCs w:val="24"/>
          <w:lang w:bidi="en-US"/>
        </w:rPr>
      </w:pPr>
      <w:r w:rsidRPr="00A85ADB">
        <w:rPr>
          <w:rFonts w:asciiTheme="majorBidi" w:hAnsiTheme="majorBidi" w:cstheme="majorBidi"/>
          <w:iCs/>
          <w:sz w:val="24"/>
          <w:szCs w:val="24"/>
          <w:lang w:bidi="en-US"/>
        </w:rPr>
        <w:t xml:space="preserve">BIC: Bayesian Information Criterion </w:t>
      </w:r>
    </w:p>
    <w:p w14:paraId="08774A08" w14:textId="77777777" w:rsidR="00A85ADB" w:rsidRPr="00A85ADB" w:rsidRDefault="00A85ADB" w:rsidP="007E30CF">
      <w:pPr>
        <w:spacing w:line="480" w:lineRule="auto"/>
        <w:jc w:val="both"/>
        <w:rPr>
          <w:rFonts w:asciiTheme="majorBidi" w:hAnsiTheme="majorBidi" w:cstheme="majorBidi"/>
          <w:bCs/>
          <w:iCs/>
          <w:sz w:val="24"/>
          <w:szCs w:val="24"/>
          <w:lang w:bidi="en-US"/>
        </w:rPr>
      </w:pPr>
      <w:r w:rsidRPr="00A85ADB">
        <w:rPr>
          <w:rFonts w:asciiTheme="majorBidi" w:hAnsiTheme="majorBidi" w:cstheme="majorBidi"/>
          <w:bCs/>
          <w:iCs/>
          <w:sz w:val="24"/>
          <w:szCs w:val="24"/>
          <w:lang w:bidi="en-US"/>
        </w:rPr>
        <w:t xml:space="preserve">CVD: cardiovascular diseases </w:t>
      </w:r>
    </w:p>
    <w:p w14:paraId="635FDA96" w14:textId="77777777" w:rsidR="00A85ADB" w:rsidRPr="00A85ADB" w:rsidRDefault="00A85ADB" w:rsidP="007E30CF">
      <w:pPr>
        <w:spacing w:line="480" w:lineRule="auto"/>
        <w:jc w:val="both"/>
        <w:rPr>
          <w:rFonts w:asciiTheme="majorBidi" w:hAnsiTheme="majorBidi" w:cstheme="majorBidi"/>
          <w:iCs/>
          <w:sz w:val="24"/>
          <w:szCs w:val="24"/>
          <w:lang w:bidi="en-US"/>
        </w:rPr>
      </w:pPr>
      <w:r w:rsidRPr="00A85ADB">
        <w:rPr>
          <w:rFonts w:asciiTheme="majorBidi" w:hAnsiTheme="majorBidi" w:cstheme="majorBidi"/>
          <w:iCs/>
          <w:sz w:val="24"/>
          <w:szCs w:val="24"/>
          <w:lang w:bidi="en-US"/>
        </w:rPr>
        <w:t>DALY: Disability-adjusted life years</w:t>
      </w:r>
    </w:p>
    <w:p w14:paraId="6F51A9D8" w14:textId="77777777" w:rsidR="00A85ADB" w:rsidRPr="00A85ADB" w:rsidRDefault="00A85ADB" w:rsidP="007E30CF">
      <w:pPr>
        <w:spacing w:line="480" w:lineRule="auto"/>
        <w:jc w:val="both"/>
        <w:rPr>
          <w:rFonts w:asciiTheme="majorBidi" w:hAnsiTheme="majorBidi" w:cstheme="majorBidi"/>
          <w:bCs/>
          <w:iCs/>
          <w:sz w:val="24"/>
          <w:szCs w:val="24"/>
          <w:lang w:bidi="en-US"/>
        </w:rPr>
      </w:pPr>
      <w:r w:rsidRPr="00A85ADB">
        <w:rPr>
          <w:rFonts w:asciiTheme="majorBidi" w:hAnsiTheme="majorBidi" w:cstheme="majorBidi"/>
          <w:bCs/>
          <w:iCs/>
          <w:sz w:val="24"/>
          <w:szCs w:val="24"/>
          <w:lang w:bidi="en-US"/>
        </w:rPr>
        <w:t>FAO: Food and Agricultural Organization</w:t>
      </w:r>
    </w:p>
    <w:p w14:paraId="2AEDBF40" w14:textId="77777777" w:rsidR="00A85ADB" w:rsidRPr="00A85ADB" w:rsidRDefault="00A85ADB" w:rsidP="007E30CF">
      <w:pPr>
        <w:spacing w:line="480" w:lineRule="auto"/>
        <w:jc w:val="both"/>
        <w:rPr>
          <w:rFonts w:asciiTheme="majorBidi" w:hAnsiTheme="majorBidi" w:cstheme="majorBidi"/>
          <w:bCs/>
          <w:iCs/>
          <w:sz w:val="24"/>
          <w:szCs w:val="24"/>
          <w:lang w:bidi="en-US"/>
        </w:rPr>
      </w:pPr>
      <w:r w:rsidRPr="00A85ADB">
        <w:rPr>
          <w:rFonts w:asciiTheme="majorBidi" w:hAnsiTheme="majorBidi" w:cstheme="majorBidi"/>
          <w:bCs/>
          <w:iCs/>
          <w:sz w:val="24"/>
          <w:szCs w:val="24"/>
          <w:lang w:bidi="en-US"/>
        </w:rPr>
        <w:t xml:space="preserve">FBDG: Food-based dietary guidelines </w:t>
      </w:r>
    </w:p>
    <w:p w14:paraId="7DCED6C8" w14:textId="77777777" w:rsidR="00A85ADB" w:rsidRPr="00A85ADB" w:rsidRDefault="00A85ADB" w:rsidP="007E30CF">
      <w:pPr>
        <w:spacing w:line="480" w:lineRule="auto"/>
        <w:jc w:val="both"/>
        <w:rPr>
          <w:rFonts w:asciiTheme="majorBidi" w:hAnsiTheme="majorBidi" w:cstheme="majorBidi"/>
          <w:iCs/>
          <w:sz w:val="24"/>
          <w:szCs w:val="24"/>
          <w:lang w:bidi="en-US"/>
        </w:rPr>
      </w:pPr>
      <w:r w:rsidRPr="00A85ADB">
        <w:rPr>
          <w:rFonts w:asciiTheme="majorBidi" w:hAnsiTheme="majorBidi" w:cstheme="majorBidi"/>
          <w:iCs/>
          <w:sz w:val="24"/>
          <w:szCs w:val="24"/>
          <w:lang w:bidi="en-US"/>
        </w:rPr>
        <w:t xml:space="preserve">GBD: Global burden of diseases </w:t>
      </w:r>
    </w:p>
    <w:p w14:paraId="0312C360" w14:textId="77777777" w:rsidR="00A85ADB" w:rsidRPr="00A85ADB" w:rsidRDefault="00A85ADB" w:rsidP="007E30CF">
      <w:pPr>
        <w:spacing w:line="480" w:lineRule="auto"/>
        <w:jc w:val="both"/>
        <w:rPr>
          <w:rFonts w:asciiTheme="majorBidi" w:hAnsiTheme="majorBidi" w:cstheme="majorBidi"/>
          <w:bCs/>
          <w:iCs/>
          <w:sz w:val="24"/>
          <w:szCs w:val="24"/>
          <w:lang w:bidi="en-US"/>
        </w:rPr>
      </w:pPr>
      <w:r w:rsidRPr="00A85ADB">
        <w:rPr>
          <w:rFonts w:asciiTheme="majorBidi" w:hAnsiTheme="majorBidi" w:cstheme="majorBidi"/>
          <w:bCs/>
          <w:iCs/>
          <w:sz w:val="24"/>
          <w:szCs w:val="24"/>
          <w:lang w:bidi="en-US"/>
        </w:rPr>
        <w:t>HDL: High-density Lipoprotein</w:t>
      </w:r>
    </w:p>
    <w:p w14:paraId="01DDF226" w14:textId="77777777" w:rsidR="00A85ADB" w:rsidRPr="00A85ADB" w:rsidRDefault="00A85ADB" w:rsidP="007E30CF">
      <w:pPr>
        <w:spacing w:line="480" w:lineRule="auto"/>
        <w:jc w:val="both"/>
        <w:rPr>
          <w:rFonts w:asciiTheme="majorBidi" w:hAnsiTheme="majorBidi" w:cstheme="majorBidi"/>
          <w:iCs/>
          <w:sz w:val="24"/>
          <w:szCs w:val="24"/>
          <w:lang w:bidi="en-US"/>
        </w:rPr>
      </w:pPr>
      <w:r w:rsidRPr="00A85ADB">
        <w:rPr>
          <w:rFonts w:asciiTheme="majorBidi" w:hAnsiTheme="majorBidi" w:cstheme="majorBidi"/>
          <w:iCs/>
          <w:sz w:val="24"/>
          <w:szCs w:val="24"/>
          <w:lang w:bidi="en-US"/>
        </w:rPr>
        <w:t xml:space="preserve">LCA: Latent Class Analysis </w:t>
      </w:r>
    </w:p>
    <w:p w14:paraId="3A9F5F18" w14:textId="77777777" w:rsidR="00A85ADB" w:rsidRPr="00A85ADB" w:rsidRDefault="00A85ADB" w:rsidP="007E30CF">
      <w:pPr>
        <w:spacing w:line="480" w:lineRule="auto"/>
        <w:jc w:val="both"/>
        <w:rPr>
          <w:rFonts w:asciiTheme="majorBidi" w:hAnsiTheme="majorBidi" w:cstheme="majorBidi"/>
          <w:iCs/>
          <w:sz w:val="24"/>
          <w:szCs w:val="24"/>
          <w:lang w:bidi="en-US"/>
        </w:rPr>
      </w:pPr>
      <w:r w:rsidRPr="00A85ADB">
        <w:rPr>
          <w:rFonts w:asciiTheme="majorBidi" w:hAnsiTheme="majorBidi" w:cstheme="majorBidi"/>
          <w:iCs/>
          <w:sz w:val="24"/>
          <w:szCs w:val="24"/>
          <w:lang w:bidi="en-US"/>
        </w:rPr>
        <w:t xml:space="preserve">NCD: Non-communicable diseases </w:t>
      </w:r>
    </w:p>
    <w:p w14:paraId="0F0FEA8B" w14:textId="77777777" w:rsidR="00A85ADB" w:rsidRPr="00A85ADB" w:rsidRDefault="00A85ADB" w:rsidP="007E30CF">
      <w:pPr>
        <w:spacing w:line="480" w:lineRule="auto"/>
        <w:jc w:val="both"/>
        <w:rPr>
          <w:rFonts w:asciiTheme="majorBidi" w:hAnsiTheme="majorBidi" w:cstheme="majorBidi"/>
          <w:iCs/>
          <w:sz w:val="24"/>
          <w:szCs w:val="24"/>
          <w:lang w:bidi="en-US"/>
        </w:rPr>
      </w:pPr>
      <w:r w:rsidRPr="00A85ADB">
        <w:rPr>
          <w:rFonts w:asciiTheme="majorBidi" w:hAnsiTheme="majorBidi" w:cstheme="majorBidi"/>
          <w:iCs/>
          <w:sz w:val="24"/>
          <w:szCs w:val="24"/>
          <w:lang w:bidi="en-US"/>
        </w:rPr>
        <w:lastRenderedPageBreak/>
        <w:t xml:space="preserve">SEM: Structural equation modelling </w:t>
      </w:r>
    </w:p>
    <w:p w14:paraId="70A585A0" w14:textId="77777777" w:rsidR="00A85ADB" w:rsidRPr="00A85ADB" w:rsidRDefault="00A85ADB" w:rsidP="007E30CF">
      <w:pPr>
        <w:spacing w:line="480" w:lineRule="auto"/>
        <w:jc w:val="both"/>
        <w:rPr>
          <w:rFonts w:asciiTheme="majorBidi" w:hAnsiTheme="majorBidi" w:cstheme="majorBidi"/>
          <w:bCs/>
          <w:iCs/>
          <w:sz w:val="24"/>
          <w:szCs w:val="24"/>
          <w:lang w:bidi="en-US"/>
        </w:rPr>
      </w:pPr>
      <w:r w:rsidRPr="00A85ADB">
        <w:rPr>
          <w:rFonts w:asciiTheme="majorBidi" w:hAnsiTheme="majorBidi" w:cstheme="majorBidi"/>
          <w:bCs/>
          <w:iCs/>
          <w:sz w:val="24"/>
          <w:szCs w:val="24"/>
          <w:lang w:bidi="en-US"/>
        </w:rPr>
        <w:t xml:space="preserve">STEPS: </w:t>
      </w:r>
      <w:proofErr w:type="spellStart"/>
      <w:r w:rsidRPr="00A85ADB">
        <w:rPr>
          <w:rFonts w:asciiTheme="majorBidi" w:hAnsiTheme="majorBidi" w:cstheme="majorBidi"/>
          <w:bCs/>
          <w:iCs/>
          <w:sz w:val="24"/>
          <w:szCs w:val="24"/>
          <w:lang w:bidi="en-US"/>
        </w:rPr>
        <w:t>STEPwise</w:t>
      </w:r>
      <w:proofErr w:type="spellEnd"/>
      <w:r w:rsidRPr="00A85ADB">
        <w:rPr>
          <w:rFonts w:asciiTheme="majorBidi" w:hAnsiTheme="majorBidi" w:cstheme="majorBidi"/>
          <w:bCs/>
          <w:iCs/>
          <w:sz w:val="24"/>
          <w:szCs w:val="24"/>
          <w:lang w:bidi="en-US"/>
        </w:rPr>
        <w:t xml:space="preserve"> approach to risk factor surveillance </w:t>
      </w:r>
    </w:p>
    <w:p w14:paraId="19042EA2" w14:textId="77777777" w:rsidR="00A85ADB" w:rsidRPr="00A85ADB" w:rsidRDefault="00A85ADB" w:rsidP="007E30CF">
      <w:pPr>
        <w:spacing w:line="480" w:lineRule="auto"/>
        <w:jc w:val="both"/>
        <w:rPr>
          <w:rFonts w:asciiTheme="majorBidi" w:hAnsiTheme="majorBidi" w:cstheme="majorBidi"/>
          <w:bCs/>
          <w:iCs/>
          <w:sz w:val="24"/>
          <w:szCs w:val="24"/>
          <w:lang w:bidi="en-US"/>
        </w:rPr>
      </w:pPr>
      <w:r w:rsidRPr="00A85ADB">
        <w:rPr>
          <w:rFonts w:asciiTheme="majorBidi" w:hAnsiTheme="majorBidi" w:cstheme="majorBidi"/>
          <w:bCs/>
          <w:iCs/>
          <w:sz w:val="24"/>
          <w:szCs w:val="24"/>
          <w:lang w:bidi="en-US"/>
        </w:rPr>
        <w:t xml:space="preserve">WHO: World Health Organization </w:t>
      </w:r>
    </w:p>
    <w:p w14:paraId="29F74E5E" w14:textId="77777777" w:rsidR="00EF1DAD" w:rsidRDefault="00EF1DAD" w:rsidP="007E30CF">
      <w:pPr>
        <w:spacing w:line="480" w:lineRule="auto"/>
        <w:jc w:val="both"/>
        <w:rPr>
          <w:rFonts w:asciiTheme="majorBidi" w:hAnsiTheme="majorBidi" w:cstheme="majorBidi"/>
          <w:b/>
          <w:bCs/>
          <w:iCs/>
          <w:sz w:val="24"/>
          <w:szCs w:val="24"/>
          <w:lang w:bidi="en-US"/>
        </w:rPr>
      </w:pPr>
    </w:p>
    <w:p w14:paraId="6B97EA50" w14:textId="3C732FA3" w:rsidR="004A56FD" w:rsidRPr="00C73B49" w:rsidRDefault="00232241" w:rsidP="00C73B49">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t>Declarations</w:t>
      </w:r>
    </w:p>
    <w:p w14:paraId="676D18A4" w14:textId="63A4CE66" w:rsidR="00232241" w:rsidRDefault="00232241" w:rsidP="00761539">
      <w:pPr>
        <w:spacing w:line="480" w:lineRule="auto"/>
        <w:jc w:val="both"/>
        <w:rPr>
          <w:rFonts w:asciiTheme="majorBidi" w:hAnsiTheme="majorBidi" w:cstheme="majorBidi"/>
          <w:iCs/>
          <w:sz w:val="24"/>
          <w:szCs w:val="24"/>
          <w:lang w:bidi="en-US"/>
        </w:rPr>
      </w:pPr>
      <w:r w:rsidRPr="00232241">
        <w:rPr>
          <w:rFonts w:asciiTheme="majorBidi" w:hAnsiTheme="majorBidi" w:cstheme="majorBidi"/>
          <w:b/>
          <w:iCs/>
          <w:sz w:val="24"/>
          <w:szCs w:val="24"/>
          <w:lang w:bidi="en-US"/>
        </w:rPr>
        <w:t>Ethics approval and consent to participate</w:t>
      </w:r>
      <w:r w:rsidRPr="004A56FD">
        <w:rPr>
          <w:rFonts w:asciiTheme="majorBidi" w:hAnsiTheme="majorBidi" w:cstheme="majorBidi"/>
          <w:b/>
          <w:iCs/>
          <w:sz w:val="24"/>
          <w:szCs w:val="24"/>
          <w:lang w:bidi="en-US"/>
        </w:rPr>
        <w:t xml:space="preserve">: </w:t>
      </w:r>
      <w:r w:rsidRPr="004A56FD">
        <w:rPr>
          <w:rFonts w:asciiTheme="majorBidi" w:hAnsiTheme="majorBidi" w:cstheme="majorBidi"/>
          <w:iCs/>
          <w:sz w:val="24"/>
          <w:szCs w:val="24"/>
          <w:lang w:bidi="en-US"/>
        </w:rPr>
        <w:t xml:space="preserve">The study was conducted according to the guidelines laid down in the Declaration of Helsinki and </w:t>
      </w:r>
      <w:r w:rsidR="00062AAF">
        <w:rPr>
          <w:rFonts w:asciiTheme="majorBidi" w:hAnsiTheme="majorBidi" w:cstheme="majorBidi"/>
          <w:iCs/>
          <w:sz w:val="24"/>
          <w:szCs w:val="24"/>
          <w:lang w:bidi="en-US"/>
        </w:rPr>
        <w:t>was</w:t>
      </w:r>
      <w:r w:rsidRPr="004A56FD">
        <w:rPr>
          <w:rFonts w:asciiTheme="majorBidi" w:hAnsiTheme="majorBidi" w:cstheme="majorBidi"/>
          <w:iCs/>
          <w:sz w:val="24"/>
          <w:szCs w:val="24"/>
          <w:lang w:bidi="en-US"/>
        </w:rPr>
        <w:t xml:space="preserve"> approved by the Central Research and Ethical Review &amp; Approval Committee of the Ministry of Health, Sultanate of Oman. (Approval No: 26/2015).</w:t>
      </w:r>
      <w:r>
        <w:rPr>
          <w:rFonts w:asciiTheme="majorBidi" w:hAnsiTheme="majorBidi" w:cstheme="majorBidi"/>
          <w:iCs/>
          <w:sz w:val="24"/>
          <w:szCs w:val="24"/>
          <w:lang w:bidi="en-US"/>
        </w:rPr>
        <w:t xml:space="preserve"> </w:t>
      </w:r>
      <w:r w:rsidR="00811106" w:rsidRPr="00811106">
        <w:rPr>
          <w:rFonts w:asciiTheme="majorBidi" w:hAnsiTheme="majorBidi" w:cstheme="majorBidi"/>
          <w:iCs/>
          <w:sz w:val="24"/>
          <w:szCs w:val="24"/>
          <w:lang w:bidi="en-US"/>
        </w:rPr>
        <w:t xml:space="preserve">Written informed consent was obtained separately from all </w:t>
      </w:r>
      <w:r w:rsidR="00761539">
        <w:rPr>
          <w:rFonts w:asciiTheme="majorBidi" w:hAnsiTheme="majorBidi" w:cstheme="majorBidi"/>
          <w:iCs/>
          <w:sz w:val="24"/>
          <w:szCs w:val="24"/>
          <w:lang w:bidi="en-US"/>
        </w:rPr>
        <w:t>individuals</w:t>
      </w:r>
      <w:r w:rsidR="00811106" w:rsidRPr="00811106">
        <w:rPr>
          <w:rFonts w:asciiTheme="majorBidi" w:hAnsiTheme="majorBidi" w:cstheme="majorBidi"/>
          <w:iCs/>
          <w:sz w:val="24"/>
          <w:szCs w:val="24"/>
          <w:lang w:bidi="en-US"/>
        </w:rPr>
        <w:t xml:space="preserve"> during health history co</w:t>
      </w:r>
      <w:r w:rsidR="00761539">
        <w:rPr>
          <w:rFonts w:asciiTheme="majorBidi" w:hAnsiTheme="majorBidi" w:cstheme="majorBidi"/>
          <w:iCs/>
          <w:sz w:val="24"/>
          <w:szCs w:val="24"/>
          <w:lang w:bidi="en-US"/>
        </w:rPr>
        <w:t xml:space="preserve">llection and measurement of </w:t>
      </w:r>
      <w:proofErr w:type="spellStart"/>
      <w:r w:rsidR="00761539">
        <w:rPr>
          <w:rFonts w:asciiTheme="majorBidi" w:hAnsiTheme="majorBidi" w:cstheme="majorBidi"/>
          <w:iCs/>
          <w:sz w:val="24"/>
          <w:szCs w:val="24"/>
          <w:lang w:bidi="en-US"/>
        </w:rPr>
        <w:t>bio</w:t>
      </w:r>
      <w:r w:rsidR="00811106" w:rsidRPr="00811106">
        <w:rPr>
          <w:rFonts w:asciiTheme="majorBidi" w:hAnsiTheme="majorBidi" w:cstheme="majorBidi"/>
          <w:iCs/>
          <w:sz w:val="24"/>
          <w:szCs w:val="24"/>
          <w:lang w:bidi="en-US"/>
        </w:rPr>
        <w:t>phys</w:t>
      </w:r>
      <w:bookmarkStart w:id="14" w:name="_GoBack"/>
      <w:bookmarkEnd w:id="14"/>
      <w:r w:rsidR="00811106" w:rsidRPr="00811106">
        <w:rPr>
          <w:rFonts w:asciiTheme="majorBidi" w:hAnsiTheme="majorBidi" w:cstheme="majorBidi"/>
          <w:iCs/>
          <w:sz w:val="24"/>
          <w:szCs w:val="24"/>
          <w:lang w:bidi="en-US"/>
        </w:rPr>
        <w:t>iologic</w:t>
      </w:r>
      <w:r w:rsidR="00761539">
        <w:rPr>
          <w:rFonts w:asciiTheme="majorBidi" w:hAnsiTheme="majorBidi" w:cstheme="majorBidi"/>
          <w:iCs/>
          <w:sz w:val="24"/>
          <w:szCs w:val="24"/>
          <w:lang w:bidi="en-US"/>
        </w:rPr>
        <w:t>al</w:t>
      </w:r>
      <w:proofErr w:type="spellEnd"/>
      <w:r w:rsidR="00811106" w:rsidRPr="00811106">
        <w:rPr>
          <w:rFonts w:asciiTheme="majorBidi" w:hAnsiTheme="majorBidi" w:cstheme="majorBidi"/>
          <w:iCs/>
          <w:sz w:val="24"/>
          <w:szCs w:val="24"/>
          <w:lang w:bidi="en-US"/>
        </w:rPr>
        <w:t xml:space="preserve"> parameters.</w:t>
      </w:r>
      <w:r w:rsidR="00811106">
        <w:rPr>
          <w:rFonts w:asciiTheme="majorBidi" w:hAnsiTheme="majorBidi" w:cstheme="majorBidi"/>
          <w:iCs/>
          <w:sz w:val="24"/>
          <w:szCs w:val="24"/>
          <w:lang w:bidi="en-US"/>
        </w:rPr>
        <w:t xml:space="preserve"> </w:t>
      </w:r>
      <w:r w:rsidRPr="00232241">
        <w:rPr>
          <w:rFonts w:asciiTheme="majorBidi" w:hAnsiTheme="majorBidi" w:cstheme="majorBidi"/>
          <w:iCs/>
          <w:sz w:val="24"/>
          <w:szCs w:val="24"/>
          <w:lang w:bidi="en-US"/>
        </w:rPr>
        <w:t xml:space="preserve">The confidentiality of the data gathered was maintained. </w:t>
      </w:r>
    </w:p>
    <w:p w14:paraId="3305B496" w14:textId="77777777" w:rsidR="00E70A61" w:rsidRDefault="00E70A61" w:rsidP="007E30CF">
      <w:pPr>
        <w:spacing w:line="480" w:lineRule="auto"/>
        <w:jc w:val="both"/>
        <w:rPr>
          <w:rFonts w:asciiTheme="majorBidi" w:hAnsiTheme="majorBidi" w:cstheme="majorBidi"/>
          <w:iCs/>
          <w:sz w:val="24"/>
          <w:szCs w:val="24"/>
          <w:lang w:bidi="en-US"/>
        </w:rPr>
      </w:pPr>
    </w:p>
    <w:p w14:paraId="4594B442" w14:textId="3C7E560D" w:rsidR="00E70A61" w:rsidRDefault="00E70A61" w:rsidP="007E30CF">
      <w:pPr>
        <w:spacing w:line="480" w:lineRule="auto"/>
        <w:jc w:val="both"/>
        <w:rPr>
          <w:rFonts w:asciiTheme="majorBidi" w:hAnsiTheme="majorBidi" w:cstheme="majorBidi"/>
          <w:iCs/>
          <w:sz w:val="24"/>
          <w:szCs w:val="24"/>
          <w:lang w:bidi="en-US"/>
        </w:rPr>
      </w:pPr>
      <w:r w:rsidRPr="00B675BC">
        <w:rPr>
          <w:rFonts w:asciiTheme="majorBidi" w:hAnsiTheme="majorBidi" w:cstheme="majorBidi"/>
          <w:b/>
          <w:bCs/>
          <w:iCs/>
          <w:sz w:val="24"/>
          <w:szCs w:val="24"/>
          <w:lang w:bidi="en-US"/>
        </w:rPr>
        <w:t>Consent for publication:</w:t>
      </w:r>
      <w:r>
        <w:rPr>
          <w:rFonts w:asciiTheme="majorBidi" w:hAnsiTheme="majorBidi" w:cstheme="majorBidi"/>
          <w:iCs/>
          <w:sz w:val="24"/>
          <w:szCs w:val="24"/>
          <w:lang w:bidi="en-US"/>
        </w:rPr>
        <w:t xml:space="preserve"> </w:t>
      </w:r>
      <w:r w:rsidR="00B675BC">
        <w:rPr>
          <w:rFonts w:asciiTheme="majorBidi" w:hAnsiTheme="majorBidi" w:cstheme="majorBidi"/>
          <w:iCs/>
          <w:sz w:val="24"/>
          <w:szCs w:val="24"/>
          <w:lang w:bidi="en-US"/>
        </w:rPr>
        <w:t>Not applicable.</w:t>
      </w:r>
    </w:p>
    <w:p w14:paraId="0FC21044" w14:textId="77777777" w:rsidR="00B675BC" w:rsidRDefault="00B675BC" w:rsidP="007E30CF">
      <w:pPr>
        <w:spacing w:line="480" w:lineRule="auto"/>
        <w:jc w:val="both"/>
        <w:rPr>
          <w:rFonts w:asciiTheme="majorBidi" w:hAnsiTheme="majorBidi" w:cstheme="majorBidi"/>
          <w:b/>
          <w:sz w:val="24"/>
          <w:szCs w:val="24"/>
          <w:lang w:bidi="en-US"/>
        </w:rPr>
      </w:pPr>
    </w:p>
    <w:p w14:paraId="0D9B0A1D" w14:textId="55B805C4" w:rsidR="00E70A61" w:rsidRPr="00E70A61" w:rsidRDefault="00E70A61" w:rsidP="007E30CF">
      <w:pPr>
        <w:spacing w:line="480" w:lineRule="auto"/>
        <w:jc w:val="both"/>
        <w:rPr>
          <w:rFonts w:asciiTheme="majorBidi" w:hAnsiTheme="majorBidi" w:cstheme="majorBidi"/>
          <w:bCs/>
          <w:sz w:val="24"/>
          <w:szCs w:val="24"/>
          <w:lang w:bidi="en-US"/>
        </w:rPr>
      </w:pPr>
      <w:r w:rsidRPr="00E70A61">
        <w:rPr>
          <w:rFonts w:asciiTheme="majorBidi" w:hAnsiTheme="majorBidi" w:cstheme="majorBidi"/>
          <w:b/>
          <w:sz w:val="24"/>
          <w:szCs w:val="24"/>
          <w:lang w:bidi="en-US"/>
        </w:rPr>
        <w:t>Availability of data and materials</w:t>
      </w:r>
      <w:r w:rsidRPr="004A56FD">
        <w:rPr>
          <w:rFonts w:asciiTheme="majorBidi" w:hAnsiTheme="majorBidi" w:cstheme="majorBidi"/>
          <w:b/>
          <w:sz w:val="24"/>
          <w:szCs w:val="24"/>
          <w:lang w:bidi="en-US"/>
        </w:rPr>
        <w:t xml:space="preserve">: </w:t>
      </w:r>
      <w:r w:rsidRPr="00E70A61">
        <w:rPr>
          <w:rFonts w:asciiTheme="majorBidi" w:hAnsiTheme="majorBidi" w:cstheme="majorBidi"/>
          <w:bCs/>
          <w:sz w:val="24"/>
          <w:szCs w:val="24"/>
          <w:lang w:bidi="en-US"/>
        </w:rPr>
        <w:t xml:space="preserve">The datasets generated and/or analysed during the current study are not publicly available due </w:t>
      </w:r>
      <w:r>
        <w:rPr>
          <w:rFonts w:asciiTheme="majorBidi" w:hAnsiTheme="majorBidi" w:cstheme="majorBidi"/>
          <w:bCs/>
          <w:sz w:val="24"/>
          <w:szCs w:val="24"/>
          <w:lang w:bidi="en-US"/>
        </w:rPr>
        <w:t>to data sharing policies of Oman and the Ministry of Health</w:t>
      </w:r>
      <w:r w:rsidRPr="00E70A61">
        <w:rPr>
          <w:rFonts w:asciiTheme="majorBidi" w:hAnsiTheme="majorBidi" w:cstheme="majorBidi"/>
          <w:bCs/>
          <w:sz w:val="24"/>
          <w:szCs w:val="24"/>
          <w:lang w:bidi="en-US"/>
        </w:rPr>
        <w:t xml:space="preserve"> but are available from the corresponding author on reasonable request.</w:t>
      </w:r>
    </w:p>
    <w:p w14:paraId="78C0ECB5" w14:textId="77777777" w:rsidR="00E70A61" w:rsidRDefault="00E70A61" w:rsidP="007E30CF">
      <w:pPr>
        <w:spacing w:line="480" w:lineRule="auto"/>
        <w:jc w:val="both"/>
        <w:rPr>
          <w:rFonts w:asciiTheme="majorBidi" w:hAnsiTheme="majorBidi" w:cstheme="majorBidi"/>
          <w:sz w:val="24"/>
          <w:szCs w:val="24"/>
          <w:lang w:bidi="en-US"/>
        </w:rPr>
      </w:pPr>
    </w:p>
    <w:p w14:paraId="7F4F7020" w14:textId="5CAD05C6" w:rsidR="00E70A61" w:rsidRDefault="00E70A61" w:rsidP="007E30CF">
      <w:pPr>
        <w:spacing w:line="480" w:lineRule="auto"/>
        <w:jc w:val="both"/>
        <w:rPr>
          <w:rFonts w:asciiTheme="majorBidi" w:hAnsiTheme="majorBidi" w:cstheme="majorBidi"/>
          <w:sz w:val="24"/>
          <w:szCs w:val="24"/>
          <w:lang w:bidi="en-US"/>
        </w:rPr>
      </w:pPr>
      <w:r>
        <w:rPr>
          <w:rFonts w:asciiTheme="majorBidi" w:hAnsiTheme="majorBidi" w:cstheme="majorBidi"/>
          <w:b/>
          <w:sz w:val="24"/>
          <w:szCs w:val="24"/>
          <w:lang w:bidi="en-US"/>
        </w:rPr>
        <w:t>Competing Interests</w:t>
      </w:r>
      <w:r w:rsidRPr="004A56FD">
        <w:rPr>
          <w:rFonts w:asciiTheme="majorBidi" w:hAnsiTheme="majorBidi" w:cstheme="majorBidi"/>
          <w:b/>
          <w:sz w:val="24"/>
          <w:szCs w:val="24"/>
          <w:lang w:bidi="en-US"/>
        </w:rPr>
        <w:t>:</w:t>
      </w:r>
      <w:r w:rsidRPr="004A56FD">
        <w:rPr>
          <w:rFonts w:asciiTheme="majorBidi" w:hAnsiTheme="majorBidi" w:cstheme="majorBidi"/>
          <w:sz w:val="24"/>
          <w:szCs w:val="24"/>
          <w:lang w:bidi="en-US"/>
        </w:rPr>
        <w:t xml:space="preserve"> FPC: Past-President, British &amp; Irish Hypertension Society (2017-9) (unpaid); Member, Action on Salt and World Action on Salt, Sugar and Health (unpaid); Head, </w:t>
      </w:r>
      <w:r w:rsidRPr="004A56FD">
        <w:rPr>
          <w:rFonts w:asciiTheme="majorBidi" w:hAnsiTheme="majorBidi" w:cstheme="majorBidi"/>
          <w:sz w:val="24"/>
          <w:szCs w:val="24"/>
          <w:lang w:bidi="en-US"/>
        </w:rPr>
        <w:lastRenderedPageBreak/>
        <w:t>World Health Organization (WHO) Collaborating Centre for Nutrition (unpaid); Senior Advisor, WHO (received travel, accommodation, per-diem, refund of expenses); OMRON Academy (received speaker fees, travel, accommodation, expenses); Annual Royalties from Oxford University Press (OUP) for 2 books on topics unrelated to salt. There are no other competing interests to declare.</w:t>
      </w:r>
    </w:p>
    <w:p w14:paraId="593AC27C" w14:textId="77777777" w:rsidR="00E70A61" w:rsidRDefault="00E70A61" w:rsidP="007E30CF">
      <w:pPr>
        <w:spacing w:line="480" w:lineRule="auto"/>
        <w:jc w:val="both"/>
        <w:rPr>
          <w:rFonts w:asciiTheme="majorBidi" w:hAnsiTheme="majorBidi" w:cstheme="majorBidi"/>
          <w:iCs/>
          <w:sz w:val="24"/>
          <w:szCs w:val="24"/>
          <w:lang w:bidi="en-US"/>
        </w:rPr>
      </w:pPr>
    </w:p>
    <w:p w14:paraId="192BBC57" w14:textId="77777777" w:rsidR="00E70A61" w:rsidRPr="004A56FD" w:rsidRDefault="00E70A61" w:rsidP="007E30CF">
      <w:pPr>
        <w:spacing w:line="480" w:lineRule="auto"/>
        <w:jc w:val="both"/>
        <w:rPr>
          <w:rFonts w:asciiTheme="majorBidi" w:hAnsiTheme="majorBidi" w:cstheme="majorBidi"/>
          <w:iCs/>
          <w:sz w:val="24"/>
          <w:szCs w:val="24"/>
          <w:lang w:bidi="en-US"/>
        </w:rPr>
      </w:pPr>
      <w:r w:rsidRPr="004A56FD">
        <w:rPr>
          <w:rFonts w:asciiTheme="majorBidi" w:hAnsiTheme="majorBidi" w:cstheme="majorBidi"/>
          <w:b/>
          <w:iCs/>
          <w:sz w:val="24"/>
          <w:szCs w:val="24"/>
          <w:lang w:bidi="en-US"/>
        </w:rPr>
        <w:t>Funding:</w:t>
      </w:r>
      <w:r w:rsidRPr="004A56FD">
        <w:rPr>
          <w:rFonts w:asciiTheme="majorBidi" w:hAnsiTheme="majorBidi" w:cstheme="majorBidi"/>
          <w:iCs/>
          <w:sz w:val="24"/>
          <w:szCs w:val="24"/>
          <w:lang w:bidi="en-US"/>
        </w:rPr>
        <w:t xml:space="preserve"> The conduction of this national level survey was supported by our funding agencies </w:t>
      </w:r>
      <w:proofErr w:type="spellStart"/>
      <w:r w:rsidRPr="004A56FD">
        <w:rPr>
          <w:rFonts w:asciiTheme="majorBidi" w:hAnsiTheme="majorBidi" w:cstheme="majorBidi"/>
          <w:iCs/>
          <w:sz w:val="24"/>
          <w:szCs w:val="24"/>
          <w:lang w:bidi="en-US"/>
        </w:rPr>
        <w:t>Omantel</w:t>
      </w:r>
      <w:proofErr w:type="spellEnd"/>
      <w:r w:rsidRPr="004A56FD">
        <w:rPr>
          <w:rFonts w:asciiTheme="majorBidi" w:hAnsiTheme="majorBidi" w:cstheme="majorBidi"/>
          <w:iCs/>
          <w:sz w:val="24"/>
          <w:szCs w:val="24"/>
          <w:lang w:bidi="en-US"/>
        </w:rPr>
        <w:t>, Petroleum Development Oman (PDO), ORPIC, and SSW Group of companies. The funding bodies had no role in the design of the study and collection, analysis, interpretation of data, and writing the manuscript.</w:t>
      </w:r>
    </w:p>
    <w:p w14:paraId="2B92CB09" w14:textId="77777777" w:rsidR="00232241" w:rsidRPr="004A56FD" w:rsidRDefault="00232241" w:rsidP="007E30CF">
      <w:pPr>
        <w:spacing w:line="480" w:lineRule="auto"/>
        <w:jc w:val="both"/>
        <w:rPr>
          <w:rFonts w:asciiTheme="majorBidi" w:hAnsiTheme="majorBidi" w:cstheme="majorBidi"/>
          <w:iCs/>
          <w:sz w:val="24"/>
          <w:szCs w:val="24"/>
          <w:lang w:bidi="en-US"/>
        </w:rPr>
      </w:pPr>
    </w:p>
    <w:p w14:paraId="2A8740C4" w14:textId="7E80CA33" w:rsidR="00E70A61" w:rsidRDefault="00E70A61" w:rsidP="007E30CF">
      <w:pPr>
        <w:spacing w:line="480" w:lineRule="auto"/>
        <w:jc w:val="both"/>
        <w:rPr>
          <w:rFonts w:asciiTheme="majorBidi" w:hAnsiTheme="majorBidi" w:cstheme="majorBidi"/>
          <w:iCs/>
          <w:sz w:val="24"/>
          <w:szCs w:val="24"/>
          <w:lang w:bidi="en-US"/>
        </w:rPr>
      </w:pPr>
      <w:r w:rsidRPr="004A56FD">
        <w:rPr>
          <w:rFonts w:asciiTheme="majorBidi" w:hAnsiTheme="majorBidi" w:cstheme="majorBidi"/>
          <w:b/>
          <w:iCs/>
          <w:sz w:val="24"/>
          <w:szCs w:val="24"/>
          <w:lang w:bidi="en-US"/>
        </w:rPr>
        <w:t>Author</w:t>
      </w:r>
      <w:r>
        <w:rPr>
          <w:rFonts w:asciiTheme="majorBidi" w:hAnsiTheme="majorBidi" w:cstheme="majorBidi"/>
          <w:b/>
          <w:iCs/>
          <w:sz w:val="24"/>
          <w:szCs w:val="24"/>
          <w:lang w:bidi="en-US"/>
        </w:rPr>
        <w:t>s’</w:t>
      </w:r>
      <w:r w:rsidRPr="004A56FD">
        <w:rPr>
          <w:rFonts w:asciiTheme="majorBidi" w:hAnsiTheme="majorBidi" w:cstheme="majorBidi"/>
          <w:b/>
          <w:iCs/>
          <w:sz w:val="24"/>
          <w:szCs w:val="24"/>
          <w:lang w:bidi="en-US"/>
        </w:rPr>
        <w:t xml:space="preserve"> Contributions:</w:t>
      </w:r>
      <w:r w:rsidRPr="004A56FD">
        <w:rPr>
          <w:rFonts w:asciiTheme="majorBidi" w:hAnsiTheme="majorBidi" w:cstheme="majorBidi"/>
          <w:iCs/>
          <w:sz w:val="24"/>
          <w:szCs w:val="24"/>
          <w:lang w:bidi="en-US"/>
        </w:rPr>
        <w:t xml:space="preserve"> MM and AAH retrieved the data and performed analysis. AAM, ADP,</w:t>
      </w:r>
      <w:r w:rsidR="00AC1CD3">
        <w:rPr>
          <w:rFonts w:asciiTheme="majorBidi" w:hAnsiTheme="majorBidi" w:cstheme="majorBidi"/>
          <w:iCs/>
          <w:sz w:val="24"/>
          <w:szCs w:val="24"/>
          <w:lang w:bidi="en-US"/>
        </w:rPr>
        <w:t xml:space="preserve"> FPC</w:t>
      </w:r>
      <w:r w:rsidRPr="004A56FD">
        <w:rPr>
          <w:rFonts w:asciiTheme="majorBidi" w:hAnsiTheme="majorBidi" w:cstheme="majorBidi"/>
          <w:iCs/>
          <w:sz w:val="24"/>
          <w:szCs w:val="24"/>
          <w:lang w:bidi="en-US"/>
        </w:rPr>
        <w:t xml:space="preserve"> and AAH drafted the manuscript. </w:t>
      </w:r>
      <w:r w:rsidR="00AC1CD3">
        <w:rPr>
          <w:rFonts w:asciiTheme="majorBidi" w:hAnsiTheme="majorBidi" w:cstheme="majorBidi"/>
          <w:iCs/>
          <w:sz w:val="24"/>
          <w:szCs w:val="24"/>
          <w:lang w:bidi="en-US"/>
        </w:rPr>
        <w:t xml:space="preserve">FPC and AB </w:t>
      </w:r>
      <w:r w:rsidR="00AC1CD3" w:rsidRPr="00AC1CD3">
        <w:rPr>
          <w:rFonts w:asciiTheme="majorBidi" w:hAnsiTheme="majorBidi" w:cstheme="majorBidi"/>
          <w:iCs/>
          <w:sz w:val="24"/>
          <w:szCs w:val="24"/>
          <w:lang w:bidi="en-US"/>
        </w:rPr>
        <w:t xml:space="preserve">substantively revised </w:t>
      </w:r>
      <w:r w:rsidR="00AC1CD3">
        <w:rPr>
          <w:rFonts w:asciiTheme="majorBidi" w:hAnsiTheme="majorBidi" w:cstheme="majorBidi"/>
          <w:iCs/>
          <w:sz w:val="24"/>
          <w:szCs w:val="24"/>
          <w:lang w:bidi="en-US"/>
        </w:rPr>
        <w:t xml:space="preserve">the manuscript. </w:t>
      </w:r>
      <w:r w:rsidRPr="004A56FD">
        <w:rPr>
          <w:rFonts w:asciiTheme="majorBidi" w:hAnsiTheme="majorBidi" w:cstheme="majorBidi"/>
          <w:iCs/>
          <w:sz w:val="24"/>
          <w:szCs w:val="24"/>
          <w:lang w:bidi="en-US"/>
        </w:rPr>
        <w:t>All authors reviewed and commented on subsequent drafts of the manuscript and approved the final submission.</w:t>
      </w:r>
    </w:p>
    <w:p w14:paraId="0E54FF28" w14:textId="77777777" w:rsidR="00E70A61" w:rsidRDefault="00E70A61" w:rsidP="007E30CF">
      <w:pPr>
        <w:spacing w:line="480" w:lineRule="auto"/>
        <w:jc w:val="both"/>
        <w:rPr>
          <w:rFonts w:asciiTheme="majorBidi" w:hAnsiTheme="majorBidi" w:cstheme="majorBidi"/>
          <w:iCs/>
          <w:sz w:val="24"/>
          <w:szCs w:val="24"/>
          <w:lang w:bidi="en-US"/>
        </w:rPr>
      </w:pPr>
    </w:p>
    <w:p w14:paraId="2D8C7DF4" w14:textId="5127329C" w:rsidR="00E70A61" w:rsidRDefault="00E70A61" w:rsidP="007E30CF">
      <w:pPr>
        <w:spacing w:line="480" w:lineRule="auto"/>
        <w:jc w:val="both"/>
        <w:rPr>
          <w:rFonts w:asciiTheme="majorBidi" w:hAnsiTheme="majorBidi" w:cstheme="majorBidi"/>
          <w:sz w:val="24"/>
          <w:szCs w:val="24"/>
          <w:lang w:bidi="en-US"/>
        </w:rPr>
      </w:pPr>
      <w:r w:rsidRPr="004A56FD">
        <w:rPr>
          <w:rFonts w:asciiTheme="majorBidi" w:hAnsiTheme="majorBidi" w:cstheme="majorBidi"/>
          <w:b/>
          <w:sz w:val="24"/>
          <w:szCs w:val="24"/>
          <w:lang w:bidi="en-US"/>
        </w:rPr>
        <w:t>Acknowledgments:</w:t>
      </w:r>
      <w:r w:rsidRPr="004A56FD">
        <w:rPr>
          <w:rFonts w:asciiTheme="majorBidi" w:hAnsiTheme="majorBidi" w:cstheme="majorBidi"/>
          <w:sz w:val="24"/>
          <w:szCs w:val="24"/>
          <w:lang w:bidi="en-US"/>
        </w:rPr>
        <w:t xml:space="preserve"> The authors would like to acknowledge the confidence and support provided by the Director General of Planning and Studies, the WHO team from EMRO and Oman country office, and the Omani Ministry of Health responsible for the collection and execution of the survey. The views expressed herein are not necessarily the views or the stated policy of World Health Organization (WHO) and the presentation of material does not imply the expression of any opinion on the part of WHO.</w:t>
      </w:r>
    </w:p>
    <w:p w14:paraId="3BBF9301" w14:textId="77777777" w:rsidR="00E70A61" w:rsidRPr="004A56FD" w:rsidRDefault="00E70A61" w:rsidP="007E30CF">
      <w:pPr>
        <w:spacing w:line="480" w:lineRule="auto"/>
        <w:jc w:val="both"/>
        <w:rPr>
          <w:rFonts w:asciiTheme="majorBidi" w:hAnsiTheme="majorBidi" w:cstheme="majorBidi"/>
          <w:iCs/>
          <w:sz w:val="24"/>
          <w:szCs w:val="24"/>
          <w:lang w:bidi="en-US"/>
        </w:rPr>
      </w:pPr>
    </w:p>
    <w:p w14:paraId="06724EB5" w14:textId="77777777" w:rsidR="004A56FD" w:rsidRPr="00C73B49" w:rsidRDefault="004A56FD" w:rsidP="00C73B49">
      <w:pPr>
        <w:pStyle w:val="MDPI16affiliation"/>
        <w:spacing w:line="480" w:lineRule="auto"/>
        <w:ind w:left="0" w:firstLine="0"/>
        <w:jc w:val="both"/>
        <w:rPr>
          <w:rFonts w:asciiTheme="majorBidi" w:hAnsiTheme="majorBidi" w:cstheme="majorBidi"/>
          <w:b/>
          <w:sz w:val="32"/>
          <w:szCs w:val="32"/>
          <w:lang w:val="en-GB"/>
        </w:rPr>
      </w:pPr>
      <w:r w:rsidRPr="00C73B49">
        <w:rPr>
          <w:rFonts w:asciiTheme="majorBidi" w:hAnsiTheme="majorBidi" w:cstheme="majorBidi"/>
          <w:b/>
          <w:sz w:val="32"/>
          <w:szCs w:val="32"/>
          <w:lang w:val="en-GB"/>
        </w:rPr>
        <w:t>References</w:t>
      </w:r>
    </w:p>
    <w:p w14:paraId="6A42372A"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fldChar w:fldCharType="begin"/>
      </w:r>
      <w:r w:rsidRPr="004A56FD">
        <w:rPr>
          <w:rFonts w:asciiTheme="majorBidi" w:hAnsiTheme="majorBidi" w:cstheme="majorBidi"/>
          <w:sz w:val="24"/>
          <w:szCs w:val="24"/>
        </w:rPr>
        <w:instrText xml:space="preserve"> ADDIN ZOTERO_BIBL {"uncited":[],"omitted":[["http://zotero.org/users/local/KFtfif5Y/items/GD7YCIPA"]],"custom":[]} CSL_BIBLIOGRAPHY </w:instrText>
      </w:r>
      <w:r w:rsidRPr="004A56FD">
        <w:rPr>
          <w:rFonts w:asciiTheme="majorBidi" w:hAnsiTheme="majorBidi" w:cstheme="majorBidi"/>
          <w:sz w:val="24"/>
          <w:szCs w:val="24"/>
        </w:rPr>
        <w:fldChar w:fldCharType="separate"/>
      </w:r>
      <w:r w:rsidRPr="004A56FD">
        <w:rPr>
          <w:rFonts w:asciiTheme="majorBidi" w:hAnsiTheme="majorBidi" w:cstheme="majorBidi"/>
          <w:sz w:val="24"/>
          <w:szCs w:val="24"/>
        </w:rPr>
        <w:t xml:space="preserve">1. </w:t>
      </w:r>
      <w:r w:rsidRPr="004A56FD">
        <w:rPr>
          <w:rFonts w:asciiTheme="majorBidi" w:hAnsiTheme="majorBidi" w:cstheme="majorBidi"/>
          <w:sz w:val="24"/>
          <w:szCs w:val="24"/>
        </w:rPr>
        <w:tab/>
        <w:t>PPA_NCD_Alliance_Nutrition. Available from: https://www.wcrf.org/sites/default/files/PPA_NCD_Alliance_Nutrition.pdf</w:t>
      </w:r>
    </w:p>
    <w:p w14:paraId="094B360E"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 </w:t>
      </w:r>
      <w:r w:rsidRPr="004A56FD">
        <w:rPr>
          <w:rFonts w:asciiTheme="majorBidi" w:hAnsiTheme="majorBidi" w:cstheme="majorBidi"/>
          <w:sz w:val="24"/>
          <w:szCs w:val="24"/>
        </w:rPr>
        <w:tab/>
        <w:t xml:space="preserve">Qiao J, Lin X, Wu Y, Huang X, Pan X, Xu J, et al. Global burden of non-communicable diseases attributable to dietary risks in 1990–2019. </w:t>
      </w:r>
      <w:r w:rsidRPr="004A56FD">
        <w:rPr>
          <w:rFonts w:asciiTheme="majorBidi" w:hAnsiTheme="majorBidi" w:cstheme="majorBidi"/>
          <w:i/>
          <w:iCs/>
          <w:sz w:val="24"/>
          <w:szCs w:val="24"/>
        </w:rPr>
        <w:t>Journal of Human Nutrition and Dietetics</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2022;</w:t>
      </w:r>
      <w:r w:rsidRPr="004A56FD">
        <w:rPr>
          <w:rFonts w:asciiTheme="majorBidi" w:hAnsiTheme="majorBidi" w:cstheme="majorBidi"/>
          <w:sz w:val="24"/>
          <w:szCs w:val="24"/>
        </w:rPr>
        <w:t xml:space="preserve">35(1):202–13. </w:t>
      </w:r>
    </w:p>
    <w:p w14:paraId="25656ADD"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3. </w:t>
      </w:r>
      <w:r w:rsidRPr="004A56FD">
        <w:rPr>
          <w:rFonts w:asciiTheme="majorBidi" w:hAnsiTheme="majorBidi" w:cstheme="majorBidi"/>
          <w:sz w:val="24"/>
          <w:szCs w:val="24"/>
        </w:rPr>
        <w:tab/>
        <w:t xml:space="preserve">Action Plan for the Prevention and Control of Noncommunicable Diseases in the WHO European Region. :39. </w:t>
      </w:r>
    </w:p>
    <w:p w14:paraId="3EC16778"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4. </w:t>
      </w:r>
      <w:r w:rsidRPr="004A56FD">
        <w:rPr>
          <w:rFonts w:asciiTheme="majorBidi" w:hAnsiTheme="majorBidi" w:cstheme="majorBidi"/>
          <w:sz w:val="24"/>
          <w:szCs w:val="24"/>
        </w:rPr>
        <w:tab/>
        <w:t xml:space="preserve">Ruel G, Shi Z, Zhen S, Zuo H, Kröger E, Sirois C, et al. Association between nutrition and the evolution of multimorbidity: the importance of fruits and vegetables and whole grain products. </w:t>
      </w:r>
      <w:r w:rsidRPr="004A56FD">
        <w:rPr>
          <w:rFonts w:asciiTheme="majorBidi" w:hAnsiTheme="majorBidi" w:cstheme="majorBidi"/>
          <w:i/>
          <w:iCs/>
          <w:sz w:val="24"/>
          <w:szCs w:val="24"/>
        </w:rPr>
        <w:t>Clinical Nutrition</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2014</w:t>
      </w:r>
      <w:r w:rsidRPr="004A56FD">
        <w:rPr>
          <w:rFonts w:asciiTheme="majorBidi" w:hAnsiTheme="majorBidi" w:cstheme="majorBidi"/>
          <w:sz w:val="24"/>
          <w:szCs w:val="24"/>
        </w:rPr>
        <w:t xml:space="preserve">;33(3):513–20. </w:t>
      </w:r>
    </w:p>
    <w:p w14:paraId="1CAB2F80" w14:textId="77777777" w:rsid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5. </w:t>
      </w:r>
      <w:r w:rsidRPr="004A56FD">
        <w:rPr>
          <w:rFonts w:asciiTheme="majorBidi" w:hAnsiTheme="majorBidi" w:cstheme="majorBidi"/>
          <w:sz w:val="24"/>
          <w:szCs w:val="24"/>
        </w:rPr>
        <w:tab/>
        <w:t xml:space="preserve">Musaiger AO, Takruri HR, Hassan AS, Abu-Tarboush H. Food-Based Dietary Guidelines for the Arab Gulf Countries [Internet]. Vol. 2012, </w:t>
      </w:r>
      <w:r w:rsidRPr="004A56FD">
        <w:rPr>
          <w:rFonts w:asciiTheme="majorBidi" w:hAnsiTheme="majorBidi" w:cstheme="majorBidi"/>
          <w:i/>
          <w:iCs/>
          <w:sz w:val="24"/>
          <w:szCs w:val="24"/>
        </w:rPr>
        <w:t>Journal of Nutrition and Metabolism.</w:t>
      </w:r>
      <w:r w:rsidRPr="004A56FD">
        <w:rPr>
          <w:rFonts w:asciiTheme="majorBidi" w:hAnsiTheme="majorBidi" w:cstheme="majorBidi"/>
          <w:sz w:val="24"/>
          <w:szCs w:val="24"/>
        </w:rPr>
        <w:t xml:space="preserve"> Hindawi; 2012 [cited 2020 Aug 31]. p. e905303. Available from: https://www.hindawi.com/journals/jnme/2012/905303/</w:t>
      </w:r>
    </w:p>
    <w:p w14:paraId="323B3B93" w14:textId="7CBE333B" w:rsidR="00D63853" w:rsidRPr="004A56FD" w:rsidRDefault="00D63853" w:rsidP="007E30C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6.   </w:t>
      </w:r>
      <w:r w:rsidRPr="00D63853">
        <w:rPr>
          <w:rFonts w:asciiTheme="majorBidi" w:hAnsiTheme="majorBidi" w:cstheme="majorBidi"/>
          <w:sz w:val="24"/>
          <w:szCs w:val="24"/>
        </w:rPr>
        <w:t xml:space="preserve">Slavin JL, Lloyd B. Health benefits of fruits and vegetables. </w:t>
      </w:r>
      <w:r w:rsidRPr="00D63853">
        <w:rPr>
          <w:rFonts w:asciiTheme="majorBidi" w:hAnsiTheme="majorBidi" w:cstheme="majorBidi"/>
          <w:i/>
          <w:iCs/>
          <w:sz w:val="24"/>
          <w:szCs w:val="24"/>
        </w:rPr>
        <w:t>Advances in nutrition</w:t>
      </w:r>
      <w:r w:rsidRPr="00D63853">
        <w:rPr>
          <w:rFonts w:asciiTheme="majorBidi" w:hAnsiTheme="majorBidi" w:cstheme="majorBidi"/>
          <w:sz w:val="24"/>
          <w:szCs w:val="24"/>
        </w:rPr>
        <w:t xml:space="preserve">. </w:t>
      </w:r>
      <w:r w:rsidRPr="00D63853">
        <w:rPr>
          <w:rFonts w:asciiTheme="majorBidi" w:hAnsiTheme="majorBidi" w:cstheme="majorBidi"/>
          <w:b/>
          <w:bCs/>
          <w:sz w:val="24"/>
          <w:szCs w:val="24"/>
        </w:rPr>
        <w:t>2012</w:t>
      </w:r>
      <w:r w:rsidRPr="00D63853">
        <w:rPr>
          <w:rFonts w:asciiTheme="majorBidi" w:hAnsiTheme="majorBidi" w:cstheme="majorBidi"/>
          <w:sz w:val="24"/>
          <w:szCs w:val="24"/>
        </w:rPr>
        <w:t>;3(4):506-16.</w:t>
      </w:r>
    </w:p>
    <w:p w14:paraId="6E4A1139"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7. </w:t>
      </w:r>
      <w:r w:rsidRPr="004A56FD">
        <w:rPr>
          <w:rFonts w:asciiTheme="majorBidi" w:hAnsiTheme="majorBidi" w:cstheme="majorBidi"/>
          <w:sz w:val="24"/>
          <w:szCs w:val="24"/>
        </w:rPr>
        <w:tab/>
        <w:t xml:space="preserve">Aune D, Giovannucci E, Boffetta P, Fadnes LT, Keum N, Norat T, et al. Fruit and vegetable intake and the risk of cardiovascular disease, total cancer and all-cause mortality—a systematic </w:t>
      </w:r>
      <w:r w:rsidRPr="004A56FD">
        <w:rPr>
          <w:rFonts w:asciiTheme="majorBidi" w:hAnsiTheme="majorBidi" w:cstheme="majorBidi"/>
          <w:sz w:val="24"/>
          <w:szCs w:val="24"/>
        </w:rPr>
        <w:lastRenderedPageBreak/>
        <w:t xml:space="preserve">review and dose-response meta-analysis of prospective studies. </w:t>
      </w:r>
      <w:r w:rsidRPr="004A56FD">
        <w:rPr>
          <w:rFonts w:asciiTheme="majorBidi" w:hAnsiTheme="majorBidi" w:cstheme="majorBidi"/>
          <w:i/>
          <w:iCs/>
          <w:sz w:val="24"/>
          <w:szCs w:val="24"/>
        </w:rPr>
        <w:t>International journal of epidemiology.</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2017</w:t>
      </w:r>
      <w:r w:rsidRPr="004A56FD">
        <w:rPr>
          <w:rFonts w:asciiTheme="majorBidi" w:hAnsiTheme="majorBidi" w:cstheme="majorBidi"/>
          <w:sz w:val="24"/>
          <w:szCs w:val="24"/>
        </w:rPr>
        <w:t xml:space="preserve">;46(3):1029–56. </w:t>
      </w:r>
    </w:p>
    <w:p w14:paraId="2A839BBD"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8. </w:t>
      </w:r>
      <w:r w:rsidRPr="004A56FD">
        <w:rPr>
          <w:rFonts w:asciiTheme="majorBidi" w:hAnsiTheme="majorBidi" w:cstheme="majorBidi"/>
          <w:sz w:val="24"/>
          <w:szCs w:val="24"/>
        </w:rPr>
        <w:tab/>
        <w:t xml:space="preserve">Musaiger AO, Hassan AS, Obeid O. The Paradox of Nutrition-Related Diseases in the Arab Countries: The Need for Action. </w:t>
      </w:r>
      <w:r w:rsidRPr="004A56FD">
        <w:rPr>
          <w:rFonts w:asciiTheme="majorBidi" w:hAnsiTheme="majorBidi" w:cstheme="majorBidi"/>
          <w:i/>
          <w:iCs/>
          <w:sz w:val="24"/>
          <w:szCs w:val="24"/>
        </w:rPr>
        <w:t>Int J Environ Res Public Health</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2011</w:t>
      </w:r>
      <w:r w:rsidRPr="004A56FD">
        <w:rPr>
          <w:rFonts w:asciiTheme="majorBidi" w:hAnsiTheme="majorBidi" w:cstheme="majorBidi"/>
          <w:sz w:val="24"/>
          <w:szCs w:val="24"/>
        </w:rPr>
        <w:t xml:space="preserve">;8(9):3637–71. </w:t>
      </w:r>
    </w:p>
    <w:p w14:paraId="15FA6805"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9. </w:t>
      </w:r>
      <w:r w:rsidRPr="004A56FD">
        <w:rPr>
          <w:rFonts w:asciiTheme="majorBidi" w:hAnsiTheme="majorBidi" w:cstheme="majorBidi"/>
          <w:sz w:val="24"/>
          <w:szCs w:val="24"/>
        </w:rPr>
        <w:tab/>
        <w:t>MOH Launches National Policy &amp; Multisectoral Plan on NCDs - Media Center Display Page - Ministry of Health [Internet]. [cited 2020 Aug 31]. Available from: https://www.moh.gov.om/en/-/---669</w:t>
      </w:r>
    </w:p>
    <w:p w14:paraId="427550CC"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10. </w:t>
      </w:r>
      <w:r w:rsidRPr="004A56FD">
        <w:rPr>
          <w:rFonts w:asciiTheme="majorBidi" w:hAnsiTheme="majorBidi" w:cstheme="majorBidi"/>
          <w:sz w:val="24"/>
          <w:szCs w:val="24"/>
        </w:rPr>
        <w:tab/>
        <w:t xml:space="preserve">Springmann M, Spajic L, Clark MA, Poore J, Herforth A, Webb P, et al. The healthiness and sustainability of national and global food based dietary guidelines: modelling study. </w:t>
      </w:r>
      <w:r w:rsidRPr="004A56FD">
        <w:rPr>
          <w:rFonts w:asciiTheme="majorBidi" w:hAnsiTheme="majorBidi" w:cstheme="majorBidi"/>
          <w:i/>
          <w:iCs/>
          <w:sz w:val="24"/>
          <w:szCs w:val="24"/>
        </w:rPr>
        <w:t>BMJ</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2020</w:t>
      </w:r>
      <w:r w:rsidRPr="004A56FD">
        <w:rPr>
          <w:rFonts w:asciiTheme="majorBidi" w:hAnsiTheme="majorBidi" w:cstheme="majorBidi"/>
          <w:sz w:val="24"/>
          <w:szCs w:val="24"/>
        </w:rPr>
        <w:t xml:space="preserve">;370:m2322. </w:t>
      </w:r>
    </w:p>
    <w:p w14:paraId="29A978CE"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11. </w:t>
      </w:r>
      <w:r w:rsidRPr="004A56FD">
        <w:rPr>
          <w:rFonts w:asciiTheme="majorBidi" w:hAnsiTheme="majorBidi" w:cstheme="majorBidi"/>
          <w:sz w:val="24"/>
          <w:szCs w:val="24"/>
        </w:rPr>
        <w:tab/>
        <w:t>steps_framework_dec03.pdf [Internet]. [cited 2020 Aug 31]. Available from: https://www.who.int/ncd_surveillance/en/steps_framework_dec03.pdf</w:t>
      </w:r>
    </w:p>
    <w:p w14:paraId="658C3061"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12. </w:t>
      </w:r>
      <w:r w:rsidRPr="004A56FD">
        <w:rPr>
          <w:rFonts w:asciiTheme="majorBidi" w:hAnsiTheme="majorBidi" w:cstheme="majorBidi"/>
          <w:sz w:val="24"/>
          <w:szCs w:val="24"/>
        </w:rPr>
        <w:tab/>
        <w:t xml:space="preserve">Al-Mawali A, Jayapal SK, Morsi M, Al-Shekaili W, Pinto AD, Al-Kharusi H, et al. Prevalence of Risk Factors of Non-Communicable Diseases in the Sultanate of Oman: STEPS Survey 2017. 2020; </w:t>
      </w:r>
    </w:p>
    <w:p w14:paraId="4E28E642"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13. </w:t>
      </w:r>
      <w:r w:rsidRPr="004A56FD">
        <w:rPr>
          <w:rFonts w:asciiTheme="majorBidi" w:hAnsiTheme="majorBidi" w:cstheme="majorBidi"/>
          <w:sz w:val="24"/>
          <w:szCs w:val="24"/>
        </w:rPr>
        <w:tab/>
        <w:t xml:space="preserve">Williams R. Using the Margins Command to Estimate and Interpret Adjusted Predictions and Marginal Effects. </w:t>
      </w:r>
      <w:r w:rsidRPr="004A56FD">
        <w:rPr>
          <w:rFonts w:asciiTheme="majorBidi" w:hAnsiTheme="majorBidi" w:cstheme="majorBidi"/>
          <w:i/>
          <w:iCs/>
          <w:sz w:val="24"/>
          <w:szCs w:val="24"/>
        </w:rPr>
        <w:t>The Stata Journal</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2012</w:t>
      </w:r>
      <w:r w:rsidRPr="004A56FD">
        <w:rPr>
          <w:rFonts w:asciiTheme="majorBidi" w:hAnsiTheme="majorBidi" w:cstheme="majorBidi"/>
          <w:sz w:val="24"/>
          <w:szCs w:val="24"/>
        </w:rPr>
        <w:t xml:space="preserve"> ;12(2):308–31. </w:t>
      </w:r>
    </w:p>
    <w:p w14:paraId="121656D5"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14. </w:t>
      </w:r>
      <w:r w:rsidRPr="004A56FD">
        <w:rPr>
          <w:rFonts w:asciiTheme="majorBidi" w:hAnsiTheme="majorBidi" w:cstheme="majorBidi"/>
          <w:sz w:val="24"/>
          <w:szCs w:val="24"/>
        </w:rPr>
        <w:tab/>
        <w:t xml:space="preserve">Weller BE, Bowen NK, Faubert SJ. Latent class analysis: a guide to best practice. </w:t>
      </w:r>
      <w:r w:rsidRPr="004A56FD">
        <w:rPr>
          <w:rFonts w:asciiTheme="majorBidi" w:hAnsiTheme="majorBidi" w:cstheme="majorBidi"/>
          <w:i/>
          <w:iCs/>
          <w:sz w:val="24"/>
          <w:szCs w:val="24"/>
        </w:rPr>
        <w:t>Journal of Black Psychology</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2020</w:t>
      </w:r>
      <w:r w:rsidRPr="004A56FD">
        <w:rPr>
          <w:rFonts w:asciiTheme="majorBidi" w:hAnsiTheme="majorBidi" w:cstheme="majorBidi"/>
          <w:sz w:val="24"/>
          <w:szCs w:val="24"/>
        </w:rPr>
        <w:t xml:space="preserve">;46(4):287–311. </w:t>
      </w:r>
    </w:p>
    <w:p w14:paraId="7E0DEF95"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15. </w:t>
      </w:r>
      <w:r w:rsidRPr="004A56FD">
        <w:rPr>
          <w:rFonts w:asciiTheme="majorBidi" w:hAnsiTheme="majorBidi" w:cstheme="majorBidi"/>
          <w:sz w:val="24"/>
          <w:szCs w:val="24"/>
        </w:rPr>
        <w:tab/>
        <w:t xml:space="preserve">(PDF) Global Variability in Fruit and Vegetable Consumption [Internet]. ResearchGate. [cited 2020 Aug 30]. Available from: </w:t>
      </w:r>
      <w:r w:rsidRPr="004A56FD">
        <w:rPr>
          <w:rFonts w:asciiTheme="majorBidi" w:hAnsiTheme="majorBidi" w:cstheme="majorBidi"/>
          <w:sz w:val="24"/>
          <w:szCs w:val="24"/>
        </w:rPr>
        <w:lastRenderedPageBreak/>
        <w:t>https://www.researchgate.net/publication/24274085_Global_Variability_in_Fruit_and_Vegetable_Consumption</w:t>
      </w:r>
    </w:p>
    <w:p w14:paraId="77AD2EE5"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16. </w:t>
      </w:r>
      <w:r w:rsidRPr="004A56FD">
        <w:rPr>
          <w:rFonts w:asciiTheme="majorBidi" w:hAnsiTheme="majorBidi" w:cstheme="majorBidi"/>
          <w:sz w:val="24"/>
          <w:szCs w:val="24"/>
        </w:rPr>
        <w:tab/>
        <w:t xml:space="preserve">Al-Mawali A, D’Elia L, Jayapal SK, Morsi M, Al-Shekaili WN, Pinto AD, et al. National survey to estimate sodium and potassium intake and knowledge attitudes and behaviours towards salt consumption of adults in the Sultanate of Oman. </w:t>
      </w:r>
      <w:r w:rsidRPr="004A56FD">
        <w:rPr>
          <w:rFonts w:asciiTheme="majorBidi" w:hAnsiTheme="majorBidi" w:cstheme="majorBidi"/>
          <w:i/>
          <w:iCs/>
          <w:sz w:val="24"/>
          <w:szCs w:val="24"/>
        </w:rPr>
        <w:t>BMJ Open</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2020</w:t>
      </w:r>
      <w:r w:rsidRPr="004A56FD">
        <w:rPr>
          <w:rFonts w:asciiTheme="majorBidi" w:hAnsiTheme="majorBidi" w:cstheme="majorBidi"/>
          <w:sz w:val="24"/>
          <w:szCs w:val="24"/>
        </w:rPr>
        <w:t xml:space="preserve">;10(10):e037012. </w:t>
      </w:r>
    </w:p>
    <w:p w14:paraId="49ED0C7D"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17. </w:t>
      </w:r>
      <w:r w:rsidRPr="004A56FD">
        <w:rPr>
          <w:rFonts w:asciiTheme="majorBidi" w:hAnsiTheme="majorBidi" w:cstheme="majorBidi"/>
          <w:sz w:val="24"/>
          <w:szCs w:val="24"/>
        </w:rPr>
        <w:tab/>
        <w:t>WHO | Increasing fruit and vegetable consumption to reduce the risk of noncommunicable diseases [Internet]. WHO. World Health Organization; [cited 2020 Aug 30]. Available from: http://www.who.int/elena/titles/bbc/fruit_vegetables_ncds/en/</w:t>
      </w:r>
    </w:p>
    <w:p w14:paraId="2604F6A5"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18. </w:t>
      </w:r>
      <w:r w:rsidRPr="004A56FD">
        <w:rPr>
          <w:rFonts w:asciiTheme="majorBidi" w:hAnsiTheme="majorBidi" w:cstheme="majorBidi"/>
          <w:sz w:val="24"/>
          <w:szCs w:val="24"/>
        </w:rPr>
        <w:tab/>
        <w:t xml:space="preserve">Weickert MO, Pfeiffer AFH. Metabolic effects of dietary fiber consumption and prevention of diabetes. </w:t>
      </w:r>
      <w:r w:rsidRPr="004A56FD">
        <w:rPr>
          <w:rFonts w:asciiTheme="majorBidi" w:hAnsiTheme="majorBidi" w:cstheme="majorBidi"/>
          <w:i/>
          <w:iCs/>
          <w:sz w:val="24"/>
          <w:szCs w:val="24"/>
        </w:rPr>
        <w:t>J Nutr.</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2008</w:t>
      </w:r>
      <w:r w:rsidRPr="004A56FD">
        <w:rPr>
          <w:rFonts w:asciiTheme="majorBidi" w:hAnsiTheme="majorBidi" w:cstheme="majorBidi"/>
          <w:sz w:val="24"/>
          <w:szCs w:val="24"/>
        </w:rPr>
        <w:t xml:space="preserve">;138(3):439–42. </w:t>
      </w:r>
    </w:p>
    <w:p w14:paraId="2776EC9D"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19. </w:t>
      </w:r>
      <w:r w:rsidRPr="004A56FD">
        <w:rPr>
          <w:rFonts w:asciiTheme="majorBidi" w:hAnsiTheme="majorBidi" w:cstheme="majorBidi"/>
          <w:sz w:val="24"/>
          <w:szCs w:val="24"/>
        </w:rPr>
        <w:tab/>
        <w:t>PRIME PubMed | Dietary fiber and weight regulation [Internet]. [cited 2020 Aug 30]. Available from: https://www.unboundmedicine.com/medline/citation/11396693/Dietary_fiber_and_weight_regulation_</w:t>
      </w:r>
    </w:p>
    <w:p w14:paraId="18600041"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20. </w:t>
      </w:r>
      <w:r w:rsidRPr="004A56FD">
        <w:rPr>
          <w:rFonts w:asciiTheme="majorBidi" w:hAnsiTheme="majorBidi" w:cstheme="majorBidi"/>
          <w:sz w:val="24"/>
          <w:szCs w:val="24"/>
        </w:rPr>
        <w:tab/>
        <w:t>PPA_NCD_Alliance_Nutrition.pdf [Internet]. [cited 2020 Aug 30]. Available from: https://www.wcrf.org/sites/default/files/PPA_NCD_Alliance_Nutrition.pdf</w:t>
      </w:r>
    </w:p>
    <w:p w14:paraId="35F68073"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21. </w:t>
      </w:r>
      <w:r w:rsidRPr="004A56FD">
        <w:rPr>
          <w:rFonts w:asciiTheme="majorBidi" w:hAnsiTheme="majorBidi" w:cstheme="majorBidi"/>
          <w:sz w:val="24"/>
          <w:szCs w:val="24"/>
        </w:rPr>
        <w:tab/>
        <w:t xml:space="preserve">Miller V, Yusuf S, Chow CK, Dehghan M, Corsi DJ, Lock K, et al. Availability, affordability, and consumption of fruits and vegetables in 18 countries across income levels: findings from the Prospective Urban Rural Epidemiology (PURE) study. </w:t>
      </w:r>
      <w:r w:rsidRPr="004A56FD">
        <w:rPr>
          <w:rFonts w:asciiTheme="majorBidi" w:hAnsiTheme="majorBidi" w:cstheme="majorBidi"/>
          <w:i/>
          <w:iCs/>
          <w:sz w:val="24"/>
          <w:szCs w:val="24"/>
        </w:rPr>
        <w:t>The lancet global health</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2016</w:t>
      </w:r>
      <w:r w:rsidRPr="004A56FD">
        <w:rPr>
          <w:rFonts w:asciiTheme="majorBidi" w:hAnsiTheme="majorBidi" w:cstheme="majorBidi"/>
          <w:sz w:val="24"/>
          <w:szCs w:val="24"/>
        </w:rPr>
        <w:t xml:space="preserve">;4(10):e695–703. </w:t>
      </w:r>
    </w:p>
    <w:p w14:paraId="4CAA9684" w14:textId="1EBE1701"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lastRenderedPageBreak/>
        <w:t xml:space="preserve">22. </w:t>
      </w:r>
      <w:r w:rsidRPr="004A56FD">
        <w:rPr>
          <w:rFonts w:asciiTheme="majorBidi" w:hAnsiTheme="majorBidi" w:cstheme="majorBidi"/>
          <w:sz w:val="24"/>
          <w:szCs w:val="24"/>
        </w:rPr>
        <w:tab/>
        <w:t xml:space="preserve">Alkerwi A, Crichton GE, Hébert JR. Consumption of ready-made meals and increased risk of obesity: findings from the Observation of Cardiovascular Risk Factors in Luxembourg (ORISCAV-LUX) study. </w:t>
      </w:r>
      <w:r w:rsidRPr="004A56FD">
        <w:rPr>
          <w:rFonts w:asciiTheme="majorBidi" w:hAnsiTheme="majorBidi" w:cstheme="majorBidi"/>
          <w:i/>
          <w:iCs/>
          <w:sz w:val="24"/>
          <w:szCs w:val="24"/>
        </w:rPr>
        <w:t>British Journal of Nutrition</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2015</w:t>
      </w:r>
      <w:r w:rsidRPr="004A56FD">
        <w:rPr>
          <w:rFonts w:asciiTheme="majorBidi" w:hAnsiTheme="majorBidi" w:cstheme="majorBidi"/>
          <w:sz w:val="24"/>
          <w:szCs w:val="24"/>
        </w:rPr>
        <w:t>;1</w:t>
      </w:r>
      <w:r w:rsidR="00523A9B">
        <w:rPr>
          <w:rFonts w:asciiTheme="majorBidi" w:hAnsiTheme="majorBidi" w:cstheme="majorBidi"/>
          <w:sz w:val="24"/>
          <w:szCs w:val="24"/>
        </w:rPr>
        <w:t>6</w:t>
      </w:r>
      <w:r w:rsidRPr="004A56FD">
        <w:rPr>
          <w:rFonts w:asciiTheme="majorBidi" w:hAnsiTheme="majorBidi" w:cstheme="majorBidi"/>
          <w:sz w:val="24"/>
          <w:szCs w:val="24"/>
        </w:rPr>
        <w:t xml:space="preserve">(2):270–7. </w:t>
      </w:r>
    </w:p>
    <w:p w14:paraId="475D1E85"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23. </w:t>
      </w:r>
      <w:r w:rsidRPr="004A56FD">
        <w:rPr>
          <w:rFonts w:asciiTheme="majorBidi" w:hAnsiTheme="majorBidi" w:cstheme="majorBidi"/>
          <w:sz w:val="24"/>
          <w:szCs w:val="24"/>
        </w:rPr>
        <w:tab/>
        <w:t xml:space="preserve">Rosenheck R. Fast food consumption and increased caloric intake: a systematic review of a trajectory towards weight gain and obesity risk. </w:t>
      </w:r>
      <w:r w:rsidRPr="004A56FD">
        <w:rPr>
          <w:rFonts w:asciiTheme="majorBidi" w:hAnsiTheme="majorBidi" w:cstheme="majorBidi"/>
          <w:i/>
          <w:iCs/>
          <w:sz w:val="24"/>
          <w:szCs w:val="24"/>
        </w:rPr>
        <w:t>Obesity reviews</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2008</w:t>
      </w:r>
      <w:r w:rsidRPr="004A56FD">
        <w:rPr>
          <w:rFonts w:asciiTheme="majorBidi" w:hAnsiTheme="majorBidi" w:cstheme="majorBidi"/>
          <w:sz w:val="24"/>
          <w:szCs w:val="24"/>
        </w:rPr>
        <w:t xml:space="preserve">;9(6):535–47. </w:t>
      </w:r>
    </w:p>
    <w:p w14:paraId="5A68A29D"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24. </w:t>
      </w:r>
      <w:r w:rsidRPr="004A56FD">
        <w:rPr>
          <w:rFonts w:asciiTheme="majorBidi" w:hAnsiTheme="majorBidi" w:cstheme="majorBidi"/>
          <w:sz w:val="24"/>
          <w:szCs w:val="24"/>
        </w:rPr>
        <w:tab/>
        <w:t xml:space="preserve">Stender S, Dyerberg J, Astrup A. Fast food: unfriendly and unhealthy. </w:t>
      </w:r>
      <w:r w:rsidRPr="004A56FD">
        <w:rPr>
          <w:rFonts w:asciiTheme="majorBidi" w:hAnsiTheme="majorBidi" w:cstheme="majorBidi"/>
          <w:i/>
          <w:iCs/>
          <w:sz w:val="24"/>
          <w:szCs w:val="24"/>
        </w:rPr>
        <w:t>International Journal of Obesity</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 xml:space="preserve">2007, </w:t>
      </w:r>
      <w:r w:rsidRPr="004A56FD">
        <w:rPr>
          <w:rFonts w:asciiTheme="majorBidi" w:hAnsiTheme="majorBidi" w:cstheme="majorBidi"/>
          <w:sz w:val="24"/>
          <w:szCs w:val="24"/>
        </w:rPr>
        <w:t xml:space="preserve">31(6):887–90. </w:t>
      </w:r>
    </w:p>
    <w:p w14:paraId="7B335A1E"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25. </w:t>
      </w:r>
      <w:r w:rsidRPr="004A56FD">
        <w:rPr>
          <w:rFonts w:asciiTheme="majorBidi" w:hAnsiTheme="majorBidi" w:cstheme="majorBidi"/>
          <w:sz w:val="24"/>
          <w:szCs w:val="24"/>
        </w:rPr>
        <w:tab/>
        <w:t xml:space="preserve">Pereira MA, Kartashov AI, Ebbeling CB, Horn LV, Slattery ML, Jacobs DR, et al. Fast-food habits, weight gain, and insulin resistance (the CARDIA study): 15-year prospective analysis. </w:t>
      </w:r>
      <w:r w:rsidRPr="004A56FD">
        <w:rPr>
          <w:rFonts w:asciiTheme="majorBidi" w:hAnsiTheme="majorBidi" w:cstheme="majorBidi"/>
          <w:i/>
          <w:iCs/>
          <w:sz w:val="24"/>
          <w:szCs w:val="24"/>
        </w:rPr>
        <w:t>The Lancet.</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2005</w:t>
      </w:r>
      <w:r w:rsidRPr="004A56FD">
        <w:rPr>
          <w:rFonts w:asciiTheme="majorBidi" w:hAnsiTheme="majorBidi" w:cstheme="majorBidi"/>
          <w:sz w:val="24"/>
          <w:szCs w:val="24"/>
        </w:rPr>
        <w:t xml:space="preserve">;365(9453):36–42. </w:t>
      </w:r>
    </w:p>
    <w:p w14:paraId="7C151F1D"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26. </w:t>
      </w:r>
      <w:r w:rsidRPr="004A56FD">
        <w:rPr>
          <w:rFonts w:asciiTheme="majorBidi" w:hAnsiTheme="majorBidi" w:cstheme="majorBidi"/>
          <w:sz w:val="24"/>
          <w:szCs w:val="24"/>
        </w:rPr>
        <w:tab/>
        <w:t xml:space="preserve">Mwenda V, Mwangi M, Nyanjau L, Gichu M, Kyobutungi C, Kibachio J. Dietary risk factors for non-communicable diseases in Kenya: findings of the STEPS survey, 2015. </w:t>
      </w:r>
      <w:r w:rsidRPr="004A56FD">
        <w:rPr>
          <w:rFonts w:asciiTheme="majorBidi" w:hAnsiTheme="majorBidi" w:cstheme="majorBidi"/>
          <w:i/>
          <w:iCs/>
          <w:sz w:val="24"/>
          <w:szCs w:val="24"/>
        </w:rPr>
        <w:t xml:space="preserve">BMC public health. </w:t>
      </w:r>
      <w:r w:rsidRPr="004A56FD">
        <w:rPr>
          <w:rFonts w:asciiTheme="majorBidi" w:hAnsiTheme="majorBidi" w:cstheme="majorBidi"/>
          <w:b/>
          <w:bCs/>
          <w:sz w:val="24"/>
          <w:szCs w:val="24"/>
        </w:rPr>
        <w:t>2018;</w:t>
      </w:r>
      <w:r w:rsidRPr="004A56FD">
        <w:rPr>
          <w:rFonts w:asciiTheme="majorBidi" w:hAnsiTheme="majorBidi" w:cstheme="majorBidi"/>
          <w:sz w:val="24"/>
          <w:szCs w:val="24"/>
        </w:rPr>
        <w:t xml:space="preserve">18(3):1–8. </w:t>
      </w:r>
    </w:p>
    <w:p w14:paraId="5157A33B"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27. </w:t>
      </w:r>
      <w:r w:rsidRPr="004A56FD">
        <w:rPr>
          <w:rFonts w:asciiTheme="majorBidi" w:hAnsiTheme="majorBidi" w:cstheme="majorBidi"/>
          <w:sz w:val="24"/>
          <w:szCs w:val="24"/>
        </w:rPr>
        <w:tab/>
        <w:t xml:space="preserve">Martinez-Lacoba R, Pardo-Garcia I, Amo-Saus E, Escribano-Sotos F. Socioeconomic, demographic and lifestyle-related factors associated with unhealthy diet: a cross-sectional study of university students. </w:t>
      </w:r>
      <w:r w:rsidRPr="004A56FD">
        <w:rPr>
          <w:rFonts w:asciiTheme="majorBidi" w:hAnsiTheme="majorBidi" w:cstheme="majorBidi"/>
          <w:i/>
          <w:iCs/>
          <w:sz w:val="24"/>
          <w:szCs w:val="24"/>
        </w:rPr>
        <w:t>BMC public health</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2018;</w:t>
      </w:r>
      <w:r w:rsidRPr="004A56FD">
        <w:rPr>
          <w:rFonts w:asciiTheme="majorBidi" w:hAnsiTheme="majorBidi" w:cstheme="majorBidi"/>
          <w:sz w:val="24"/>
          <w:szCs w:val="24"/>
        </w:rPr>
        <w:t xml:space="preserve">18(1):1–10. </w:t>
      </w:r>
    </w:p>
    <w:p w14:paraId="2A1DE67A"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28. </w:t>
      </w:r>
      <w:r w:rsidRPr="004A56FD">
        <w:rPr>
          <w:rFonts w:asciiTheme="majorBidi" w:hAnsiTheme="majorBidi" w:cstheme="majorBidi"/>
          <w:sz w:val="24"/>
          <w:szCs w:val="24"/>
        </w:rPr>
        <w:tab/>
        <w:t xml:space="preserve">Weisburger JH. Dietary fat and risk of chronic disease: insights from experimental studies mechanistic. </w:t>
      </w:r>
      <w:r w:rsidRPr="004A56FD">
        <w:rPr>
          <w:rFonts w:asciiTheme="majorBidi" w:hAnsiTheme="majorBidi" w:cstheme="majorBidi"/>
          <w:i/>
          <w:iCs/>
          <w:sz w:val="24"/>
          <w:szCs w:val="24"/>
        </w:rPr>
        <w:t>Journal of the American Dietetic Association.</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1997</w:t>
      </w:r>
      <w:r w:rsidRPr="004A56FD">
        <w:rPr>
          <w:rFonts w:asciiTheme="majorBidi" w:hAnsiTheme="majorBidi" w:cstheme="majorBidi"/>
          <w:sz w:val="24"/>
          <w:szCs w:val="24"/>
        </w:rPr>
        <w:t xml:space="preserve">;97(7):S16–23. </w:t>
      </w:r>
    </w:p>
    <w:p w14:paraId="581F9A34"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29. </w:t>
      </w:r>
      <w:r w:rsidRPr="004A56FD">
        <w:rPr>
          <w:rFonts w:asciiTheme="majorBidi" w:hAnsiTheme="majorBidi" w:cstheme="majorBidi"/>
          <w:sz w:val="24"/>
          <w:szCs w:val="24"/>
        </w:rPr>
        <w:tab/>
        <w:t xml:space="preserve">Wang DD, Li Y, Chiuve SE, Stampfer MJ, Manson JE, Rimm EB, et al. Specific Dietary Fats in Relation to Total and Cause-Specific Mortality. </w:t>
      </w:r>
      <w:r w:rsidRPr="004A56FD">
        <w:rPr>
          <w:rFonts w:asciiTheme="majorBidi" w:hAnsiTheme="majorBidi" w:cstheme="majorBidi"/>
          <w:i/>
          <w:iCs/>
          <w:sz w:val="24"/>
          <w:szCs w:val="24"/>
        </w:rPr>
        <w:t>JAMA Intern Med</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2016</w:t>
      </w:r>
      <w:r w:rsidRPr="004A56FD">
        <w:rPr>
          <w:rFonts w:asciiTheme="majorBidi" w:hAnsiTheme="majorBidi" w:cstheme="majorBidi"/>
          <w:sz w:val="24"/>
          <w:szCs w:val="24"/>
        </w:rPr>
        <w:t xml:space="preserve">;176(8):1134–45. </w:t>
      </w:r>
    </w:p>
    <w:p w14:paraId="4F6BAC75"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lastRenderedPageBreak/>
        <w:t xml:space="preserve">30. </w:t>
      </w:r>
      <w:r w:rsidRPr="004A56FD">
        <w:rPr>
          <w:rFonts w:asciiTheme="majorBidi" w:hAnsiTheme="majorBidi" w:cstheme="majorBidi"/>
          <w:sz w:val="24"/>
          <w:szCs w:val="24"/>
        </w:rPr>
        <w:tab/>
        <w:t xml:space="preserve">Mozaffarian D, Katan MB, Ascherio A, Stampfer MJ, Willett WC. Trans fatty acids and cardiovascular disease. </w:t>
      </w:r>
      <w:r w:rsidRPr="004A56FD">
        <w:rPr>
          <w:rFonts w:asciiTheme="majorBidi" w:hAnsiTheme="majorBidi" w:cstheme="majorBidi"/>
          <w:i/>
          <w:iCs/>
          <w:sz w:val="24"/>
          <w:szCs w:val="24"/>
        </w:rPr>
        <w:t>N Engl J Med</w:t>
      </w:r>
      <w:r w:rsidRPr="004A56FD">
        <w:rPr>
          <w:rFonts w:asciiTheme="majorBidi" w:hAnsiTheme="majorBidi" w:cstheme="majorBidi"/>
          <w:sz w:val="24"/>
          <w:szCs w:val="24"/>
        </w:rPr>
        <w:t xml:space="preserve">. 2006;354(15):1601–13. </w:t>
      </w:r>
    </w:p>
    <w:p w14:paraId="70C3F019"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31. </w:t>
      </w:r>
      <w:r w:rsidRPr="004A56FD">
        <w:rPr>
          <w:rFonts w:asciiTheme="majorBidi" w:hAnsiTheme="majorBidi" w:cstheme="majorBidi"/>
          <w:sz w:val="24"/>
          <w:szCs w:val="24"/>
        </w:rPr>
        <w:tab/>
        <w:t>Healthy Cooking Oils [Internet]. [cited 2020 Aug 30]. Available from: https://www.heart.org/HEARTORG/HealthyLiving/HealthyEating/SimpleCookingwithHeart/Healthy-Cooking-Oils-101_UCM_445179_Article.jsp#.Vw-camQrKRY</w:t>
      </w:r>
    </w:p>
    <w:p w14:paraId="27DEE8FE"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32. </w:t>
      </w:r>
      <w:r w:rsidRPr="004A56FD">
        <w:rPr>
          <w:rFonts w:asciiTheme="majorBidi" w:hAnsiTheme="majorBidi" w:cstheme="majorBidi"/>
          <w:sz w:val="24"/>
          <w:szCs w:val="24"/>
        </w:rPr>
        <w:tab/>
        <w:t xml:space="preserve">Souza RJ de, Mente A, Maroleanu A, Cozma AI, Ha V, Kishibe T, et al. Intake of saturated and trans unsaturated fatty acids and risk of all cause mortality, cardiovascular disease, and type 2 diabetes: systematic review and meta-analysis of observational studies. </w:t>
      </w:r>
      <w:r w:rsidRPr="004A56FD">
        <w:rPr>
          <w:rFonts w:asciiTheme="majorBidi" w:hAnsiTheme="majorBidi" w:cstheme="majorBidi"/>
          <w:i/>
          <w:iCs/>
          <w:sz w:val="24"/>
          <w:szCs w:val="24"/>
        </w:rPr>
        <w:t xml:space="preserve">BMJ </w:t>
      </w:r>
      <w:r w:rsidRPr="004A56FD">
        <w:rPr>
          <w:rFonts w:asciiTheme="majorBidi" w:hAnsiTheme="majorBidi" w:cstheme="majorBidi"/>
          <w:sz w:val="24"/>
          <w:szCs w:val="24"/>
        </w:rPr>
        <w:t xml:space="preserve">on-line. </w:t>
      </w:r>
      <w:r w:rsidRPr="004A56FD">
        <w:rPr>
          <w:rFonts w:asciiTheme="majorBidi" w:hAnsiTheme="majorBidi" w:cstheme="majorBidi"/>
          <w:b/>
          <w:bCs/>
          <w:sz w:val="24"/>
          <w:szCs w:val="24"/>
        </w:rPr>
        <w:t>2015</w:t>
      </w:r>
      <w:r w:rsidRPr="004A56FD">
        <w:rPr>
          <w:rFonts w:asciiTheme="majorBidi" w:hAnsiTheme="majorBidi" w:cstheme="majorBidi"/>
          <w:sz w:val="24"/>
          <w:szCs w:val="24"/>
        </w:rPr>
        <w:t xml:space="preserve"> Aug 12 [cited 2020 Aug 30];351. Available from: https://www.bmj.com/content/351/bmj.h3978</w:t>
      </w:r>
    </w:p>
    <w:p w14:paraId="2D9D2022"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33. </w:t>
      </w:r>
      <w:r w:rsidRPr="004A56FD">
        <w:rPr>
          <w:rFonts w:asciiTheme="majorBidi" w:hAnsiTheme="majorBidi" w:cstheme="majorBidi"/>
          <w:sz w:val="24"/>
          <w:szCs w:val="24"/>
        </w:rPr>
        <w:tab/>
        <w:t>Effects on Coronary Heart Disease of Increasing Polyunsaturated Fat in Place of Saturated Fat: A Systematic Review and Meta-Analysis of Randomized Controlled Trials [Internet]. [cited 2020 Aug 30]. Available from: https://journals.plos.org/plosmedicine/article?id=10.1371/journal.pmed.1000252</w:t>
      </w:r>
    </w:p>
    <w:p w14:paraId="7FE6733E"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34. </w:t>
      </w:r>
      <w:r w:rsidRPr="004A56FD">
        <w:rPr>
          <w:rFonts w:asciiTheme="majorBidi" w:hAnsiTheme="majorBidi" w:cstheme="majorBidi"/>
          <w:sz w:val="24"/>
          <w:szCs w:val="24"/>
        </w:rPr>
        <w:tab/>
        <w:t xml:space="preserve">Chowdhury R, Warnakula S, Kunutsor S, Crowe F, Ward HA, Johnson L, et al. Association of dietary, circulating, and supplement fatty acids with coronary risk: a systematic review and meta-analysis. </w:t>
      </w:r>
      <w:r w:rsidRPr="004A56FD">
        <w:rPr>
          <w:rFonts w:asciiTheme="majorBidi" w:hAnsiTheme="majorBidi" w:cstheme="majorBidi"/>
          <w:i/>
          <w:iCs/>
          <w:sz w:val="24"/>
          <w:szCs w:val="24"/>
        </w:rPr>
        <w:t>Ann Intern Med</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2014</w:t>
      </w:r>
      <w:r w:rsidRPr="004A56FD">
        <w:rPr>
          <w:rFonts w:asciiTheme="majorBidi" w:hAnsiTheme="majorBidi" w:cstheme="majorBidi"/>
          <w:sz w:val="24"/>
          <w:szCs w:val="24"/>
        </w:rPr>
        <w:t xml:space="preserve">;160(6):398–406. </w:t>
      </w:r>
    </w:p>
    <w:p w14:paraId="46E008E2"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35. </w:t>
      </w:r>
      <w:r w:rsidRPr="004A56FD">
        <w:rPr>
          <w:rFonts w:asciiTheme="majorBidi" w:hAnsiTheme="majorBidi" w:cstheme="majorBidi"/>
          <w:sz w:val="24"/>
          <w:szCs w:val="24"/>
        </w:rPr>
        <w:tab/>
        <w:t xml:space="preserve">Willett WC, Koplan JP, Nugent R, Dusenbury C, Puska P, Gaziano TA. Prevention of Chronic Disease by Means of Diet and Lifestyle Changes. In: Jamison DT, Breman JG, Measham AR, Alleyne G, Claeson M, Evans DB, et al., editors. Disease Control Priorities in Developing Countries [Internet]. 2nd ed. Washington (DC): World Bank; </w:t>
      </w:r>
      <w:r w:rsidRPr="004A56FD">
        <w:rPr>
          <w:rFonts w:asciiTheme="majorBidi" w:hAnsiTheme="majorBidi" w:cstheme="majorBidi"/>
          <w:b/>
          <w:bCs/>
          <w:sz w:val="24"/>
          <w:szCs w:val="24"/>
        </w:rPr>
        <w:t xml:space="preserve">2006 </w:t>
      </w:r>
      <w:r w:rsidRPr="004A56FD">
        <w:rPr>
          <w:rFonts w:asciiTheme="majorBidi" w:hAnsiTheme="majorBidi" w:cstheme="majorBidi"/>
          <w:sz w:val="24"/>
          <w:szCs w:val="24"/>
        </w:rPr>
        <w:t>[cited 2020 Aug 30]. Available from: http://www.ncbi.nlm.nih.gov/books/NBK11795/</w:t>
      </w:r>
    </w:p>
    <w:p w14:paraId="1BC1AD94"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lastRenderedPageBreak/>
        <w:t xml:space="preserve">36. </w:t>
      </w:r>
      <w:r w:rsidRPr="004A56FD">
        <w:rPr>
          <w:rFonts w:asciiTheme="majorBidi" w:hAnsiTheme="majorBidi" w:cstheme="majorBidi"/>
          <w:sz w:val="24"/>
          <w:szCs w:val="24"/>
        </w:rPr>
        <w:tab/>
        <w:t xml:space="preserve">Expert Consultation on Diet, Nutrition, and the Prevention of Chronic Diseases, Weltgesundheitsorganisation, FAO, editors. Diet, nutrition, and the prevention of chronic diseases: report of a WHO-FAO Expert Consultation ; [Joint WHO-FAO Expert Consultation on Diet, Nutrition, and the Prevention of Chronic Diseases, 2002, Geneva, Switzerland]. Geneva: World Health Organization; </w:t>
      </w:r>
      <w:r w:rsidRPr="004A56FD">
        <w:rPr>
          <w:rFonts w:asciiTheme="majorBidi" w:hAnsiTheme="majorBidi" w:cstheme="majorBidi"/>
          <w:b/>
          <w:bCs/>
          <w:sz w:val="24"/>
          <w:szCs w:val="24"/>
        </w:rPr>
        <w:t>2003</w:t>
      </w:r>
      <w:r w:rsidRPr="004A56FD">
        <w:rPr>
          <w:rFonts w:asciiTheme="majorBidi" w:hAnsiTheme="majorBidi" w:cstheme="majorBidi"/>
          <w:sz w:val="24"/>
          <w:szCs w:val="24"/>
        </w:rPr>
        <w:t xml:space="preserve">. 149 p. (WHO technical report series). </w:t>
      </w:r>
    </w:p>
    <w:p w14:paraId="702CDAAF" w14:textId="77777777" w:rsidR="004A56FD" w:rsidRPr="004A56FD" w:rsidRDefault="004A56FD" w:rsidP="007E30CF">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37. </w:t>
      </w:r>
      <w:r w:rsidRPr="004A56FD">
        <w:rPr>
          <w:rFonts w:asciiTheme="majorBidi" w:hAnsiTheme="majorBidi" w:cstheme="majorBidi"/>
          <w:sz w:val="24"/>
          <w:szCs w:val="24"/>
        </w:rPr>
        <w:tab/>
        <w:t>Dietary fats and cardiovascular disease - Sax Institute - Sax Institute [Internet]. [cited 2020 Aug 30]. Available from: https://www.saxinstitute.org.au/publications/evidence-check-library/dietary-fats-cardiovascular-disease/</w:t>
      </w:r>
    </w:p>
    <w:p w14:paraId="104ED3FF" w14:textId="6933DE88" w:rsidR="004A56FD" w:rsidRPr="006E5D08" w:rsidRDefault="004A56FD" w:rsidP="00A67C02">
      <w:pPr>
        <w:spacing w:line="480" w:lineRule="auto"/>
        <w:jc w:val="both"/>
        <w:rPr>
          <w:rFonts w:asciiTheme="majorBidi" w:hAnsiTheme="majorBidi" w:cstheme="majorBidi"/>
          <w:sz w:val="24"/>
          <w:szCs w:val="24"/>
        </w:rPr>
      </w:pPr>
      <w:r w:rsidRPr="004A56FD">
        <w:rPr>
          <w:rFonts w:asciiTheme="majorBidi" w:hAnsiTheme="majorBidi" w:cstheme="majorBidi"/>
          <w:sz w:val="24"/>
          <w:szCs w:val="24"/>
        </w:rPr>
        <w:t xml:space="preserve">38. </w:t>
      </w:r>
      <w:r w:rsidRPr="004A56FD">
        <w:rPr>
          <w:rFonts w:asciiTheme="majorBidi" w:hAnsiTheme="majorBidi" w:cstheme="majorBidi"/>
          <w:sz w:val="24"/>
          <w:szCs w:val="24"/>
        </w:rPr>
        <w:tab/>
        <w:t xml:space="preserve">Ezzati M, Riboli E. Behavioral and Dietary Risk Factors for Noncommunicable Diseases. </w:t>
      </w:r>
      <w:r w:rsidRPr="004A56FD">
        <w:rPr>
          <w:rFonts w:asciiTheme="majorBidi" w:hAnsiTheme="majorBidi" w:cstheme="majorBidi"/>
          <w:i/>
          <w:iCs/>
          <w:sz w:val="24"/>
          <w:szCs w:val="24"/>
        </w:rPr>
        <w:t>New England Journal of Medicine</w:t>
      </w:r>
      <w:r w:rsidRPr="004A56FD">
        <w:rPr>
          <w:rFonts w:asciiTheme="majorBidi" w:hAnsiTheme="majorBidi" w:cstheme="majorBidi"/>
          <w:sz w:val="24"/>
          <w:szCs w:val="24"/>
        </w:rPr>
        <w:t xml:space="preserve">. </w:t>
      </w:r>
      <w:r w:rsidRPr="004A56FD">
        <w:rPr>
          <w:rFonts w:asciiTheme="majorBidi" w:hAnsiTheme="majorBidi" w:cstheme="majorBidi"/>
          <w:b/>
          <w:bCs/>
          <w:sz w:val="24"/>
          <w:szCs w:val="24"/>
        </w:rPr>
        <w:t>2013</w:t>
      </w:r>
      <w:r w:rsidRPr="004A56FD">
        <w:rPr>
          <w:rFonts w:asciiTheme="majorBidi" w:hAnsiTheme="majorBidi" w:cstheme="majorBidi"/>
          <w:sz w:val="24"/>
          <w:szCs w:val="24"/>
        </w:rPr>
        <w:t xml:space="preserve">;369(10):954–64. </w:t>
      </w:r>
      <w:r w:rsidRPr="004A56FD">
        <w:rPr>
          <w:rFonts w:asciiTheme="majorBidi" w:hAnsiTheme="majorBidi" w:cstheme="majorBidi"/>
          <w:sz w:val="24"/>
          <w:szCs w:val="24"/>
        </w:rPr>
        <w:fldChar w:fldCharType="end"/>
      </w:r>
    </w:p>
    <w:sectPr w:rsidR="004A56FD" w:rsidRPr="006E5D08" w:rsidSect="007E30CF">
      <w:footerReference w:type="default" r:id="rId15"/>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53E27" w14:textId="77777777" w:rsidR="00811106" w:rsidRDefault="00811106" w:rsidP="007E30CF">
      <w:pPr>
        <w:spacing w:after="0" w:line="240" w:lineRule="auto"/>
      </w:pPr>
      <w:r>
        <w:separator/>
      </w:r>
    </w:p>
  </w:endnote>
  <w:endnote w:type="continuationSeparator" w:id="0">
    <w:p w14:paraId="71ED2473" w14:textId="77777777" w:rsidR="00811106" w:rsidRDefault="00811106" w:rsidP="007E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547873"/>
      <w:docPartObj>
        <w:docPartGallery w:val="Page Numbers (Bottom of Page)"/>
        <w:docPartUnique/>
      </w:docPartObj>
    </w:sdtPr>
    <w:sdtEndPr>
      <w:rPr>
        <w:noProof/>
      </w:rPr>
    </w:sdtEndPr>
    <w:sdtContent>
      <w:p w14:paraId="3499DA0C" w14:textId="13F0166C" w:rsidR="00811106" w:rsidRDefault="00811106">
        <w:pPr>
          <w:pStyle w:val="Footer"/>
          <w:jc w:val="center"/>
        </w:pPr>
        <w:r>
          <w:fldChar w:fldCharType="begin"/>
        </w:r>
        <w:r>
          <w:instrText xml:space="preserve"> PAGE   \* MERGEFORMAT </w:instrText>
        </w:r>
        <w:r>
          <w:fldChar w:fldCharType="separate"/>
        </w:r>
        <w:r w:rsidR="00761539">
          <w:rPr>
            <w:noProof/>
          </w:rPr>
          <w:t>28</w:t>
        </w:r>
        <w:r>
          <w:rPr>
            <w:noProof/>
          </w:rPr>
          <w:fldChar w:fldCharType="end"/>
        </w:r>
      </w:p>
    </w:sdtContent>
  </w:sdt>
  <w:p w14:paraId="14FFF711" w14:textId="77777777" w:rsidR="00811106" w:rsidRDefault="008111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A4EB3" w14:textId="77777777" w:rsidR="00811106" w:rsidRDefault="00811106" w:rsidP="007E30CF">
      <w:pPr>
        <w:spacing w:after="0" w:line="240" w:lineRule="auto"/>
      </w:pPr>
      <w:r>
        <w:separator/>
      </w:r>
    </w:p>
  </w:footnote>
  <w:footnote w:type="continuationSeparator" w:id="0">
    <w:p w14:paraId="3E1D42AC" w14:textId="77777777" w:rsidR="00811106" w:rsidRDefault="00811106" w:rsidP="007E30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08"/>
    <w:rsid w:val="0005609D"/>
    <w:rsid w:val="00062AAF"/>
    <w:rsid w:val="000A1D93"/>
    <w:rsid w:val="000D57D4"/>
    <w:rsid w:val="000F6CCA"/>
    <w:rsid w:val="001133F6"/>
    <w:rsid w:val="00136907"/>
    <w:rsid w:val="00186F1B"/>
    <w:rsid w:val="001A658E"/>
    <w:rsid w:val="001B033F"/>
    <w:rsid w:val="001E4E5F"/>
    <w:rsid w:val="00222689"/>
    <w:rsid w:val="00232241"/>
    <w:rsid w:val="00254C54"/>
    <w:rsid w:val="002638F9"/>
    <w:rsid w:val="002828F1"/>
    <w:rsid w:val="002C736F"/>
    <w:rsid w:val="00303279"/>
    <w:rsid w:val="00307F4B"/>
    <w:rsid w:val="0031299F"/>
    <w:rsid w:val="003156E1"/>
    <w:rsid w:val="00337FE4"/>
    <w:rsid w:val="003531C4"/>
    <w:rsid w:val="00355034"/>
    <w:rsid w:val="00364D0F"/>
    <w:rsid w:val="003A45B5"/>
    <w:rsid w:val="003A5457"/>
    <w:rsid w:val="004211D2"/>
    <w:rsid w:val="00485EA4"/>
    <w:rsid w:val="00494FA1"/>
    <w:rsid w:val="004A56FD"/>
    <w:rsid w:val="004A6FA7"/>
    <w:rsid w:val="004F6725"/>
    <w:rsid w:val="00500071"/>
    <w:rsid w:val="00523A9B"/>
    <w:rsid w:val="00523C69"/>
    <w:rsid w:val="0056280F"/>
    <w:rsid w:val="0056363C"/>
    <w:rsid w:val="005A74C6"/>
    <w:rsid w:val="005C4529"/>
    <w:rsid w:val="005F01BC"/>
    <w:rsid w:val="005F137D"/>
    <w:rsid w:val="005F35A2"/>
    <w:rsid w:val="006008E0"/>
    <w:rsid w:val="006508A7"/>
    <w:rsid w:val="0067241D"/>
    <w:rsid w:val="0067351E"/>
    <w:rsid w:val="00684FEB"/>
    <w:rsid w:val="006E545C"/>
    <w:rsid w:val="006E5D08"/>
    <w:rsid w:val="00761539"/>
    <w:rsid w:val="0078043A"/>
    <w:rsid w:val="00797556"/>
    <w:rsid w:val="007B7AEB"/>
    <w:rsid w:val="007D1F4E"/>
    <w:rsid w:val="007E30CF"/>
    <w:rsid w:val="007E686B"/>
    <w:rsid w:val="00810061"/>
    <w:rsid w:val="00811106"/>
    <w:rsid w:val="00811E86"/>
    <w:rsid w:val="008350C7"/>
    <w:rsid w:val="00896A27"/>
    <w:rsid w:val="008C5807"/>
    <w:rsid w:val="008D61C1"/>
    <w:rsid w:val="0094149F"/>
    <w:rsid w:val="0094555A"/>
    <w:rsid w:val="00996853"/>
    <w:rsid w:val="009E594E"/>
    <w:rsid w:val="00A452E4"/>
    <w:rsid w:val="00A538B1"/>
    <w:rsid w:val="00A67C02"/>
    <w:rsid w:val="00A85ADB"/>
    <w:rsid w:val="00A92205"/>
    <w:rsid w:val="00A970D3"/>
    <w:rsid w:val="00AC1CD3"/>
    <w:rsid w:val="00AE0B91"/>
    <w:rsid w:val="00B06569"/>
    <w:rsid w:val="00B675BC"/>
    <w:rsid w:val="00B76C34"/>
    <w:rsid w:val="00B97BB5"/>
    <w:rsid w:val="00BD3A72"/>
    <w:rsid w:val="00C323A2"/>
    <w:rsid w:val="00C41281"/>
    <w:rsid w:val="00C450C5"/>
    <w:rsid w:val="00C51B0C"/>
    <w:rsid w:val="00C703EF"/>
    <w:rsid w:val="00C73B49"/>
    <w:rsid w:val="00C97BE0"/>
    <w:rsid w:val="00CC75A1"/>
    <w:rsid w:val="00D004CB"/>
    <w:rsid w:val="00D062EA"/>
    <w:rsid w:val="00D41038"/>
    <w:rsid w:val="00D43151"/>
    <w:rsid w:val="00D43B8E"/>
    <w:rsid w:val="00D516C2"/>
    <w:rsid w:val="00D63853"/>
    <w:rsid w:val="00D64528"/>
    <w:rsid w:val="00D66495"/>
    <w:rsid w:val="00D77AE2"/>
    <w:rsid w:val="00DA7129"/>
    <w:rsid w:val="00DD1E8C"/>
    <w:rsid w:val="00DD2916"/>
    <w:rsid w:val="00E11B61"/>
    <w:rsid w:val="00E32C92"/>
    <w:rsid w:val="00E340D0"/>
    <w:rsid w:val="00E472BC"/>
    <w:rsid w:val="00E70A61"/>
    <w:rsid w:val="00E7105D"/>
    <w:rsid w:val="00E80466"/>
    <w:rsid w:val="00E867EA"/>
    <w:rsid w:val="00EE5C9E"/>
    <w:rsid w:val="00EF1DAD"/>
    <w:rsid w:val="00EF726F"/>
    <w:rsid w:val="00F460AE"/>
    <w:rsid w:val="00F522C8"/>
    <w:rsid w:val="00F71E5A"/>
    <w:rsid w:val="00FC78F3"/>
    <w:rsid w:val="00FF4B9D"/>
    <w:rsid w:val="00FF7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F3A9"/>
  <w15:chartTrackingRefBased/>
  <w15:docId w15:val="{717B8A72-3841-4186-9147-E0E80C33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D0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3authornames">
    <w:name w:val="MDPI_1.3_authornames"/>
    <w:next w:val="Normal"/>
    <w:rsid w:val="006E5D08"/>
    <w:pPr>
      <w:adjustRightInd w:val="0"/>
      <w:snapToGrid w:val="0"/>
      <w:spacing w:after="360" w:line="260" w:lineRule="atLeast"/>
    </w:pPr>
    <w:rPr>
      <w:rFonts w:ascii="Palatino Linotype" w:eastAsia="Times New Roman" w:hAnsi="Palatino Linotype"/>
      <w:b/>
      <w:color w:val="000000"/>
      <w:lang w:eastAsia="de-DE" w:bidi="en-US"/>
    </w:rPr>
  </w:style>
  <w:style w:type="paragraph" w:customStyle="1" w:styleId="MDPI16affiliation">
    <w:name w:val="MDPI_1.6_affiliation"/>
    <w:rsid w:val="006E5D08"/>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character" w:styleId="Hyperlink">
    <w:name w:val="Hyperlink"/>
    <w:uiPriority w:val="99"/>
    <w:rsid w:val="006E5D08"/>
    <w:rPr>
      <w:color w:val="0000FF"/>
      <w:u w:val="single"/>
    </w:rPr>
  </w:style>
  <w:style w:type="paragraph" w:customStyle="1" w:styleId="MDPI17abstract">
    <w:name w:val="MDPI_1.7_abstract"/>
    <w:next w:val="Normal"/>
    <w:rsid w:val="006E5D08"/>
    <w:pPr>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table" w:styleId="TableGrid">
    <w:name w:val="Table Grid"/>
    <w:basedOn w:val="TableNormal"/>
    <w:uiPriority w:val="39"/>
    <w:rsid w:val="006E5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E30CF"/>
  </w:style>
  <w:style w:type="paragraph" w:styleId="Header">
    <w:name w:val="header"/>
    <w:basedOn w:val="Normal"/>
    <w:link w:val="HeaderChar"/>
    <w:uiPriority w:val="99"/>
    <w:unhideWhenUsed/>
    <w:rsid w:val="007E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0CF"/>
    <w:rPr>
      <w:lang w:val="en-GB"/>
    </w:rPr>
  </w:style>
  <w:style w:type="paragraph" w:styleId="Footer">
    <w:name w:val="footer"/>
    <w:basedOn w:val="Normal"/>
    <w:link w:val="FooterChar"/>
    <w:uiPriority w:val="99"/>
    <w:unhideWhenUsed/>
    <w:rsid w:val="007E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0CF"/>
    <w:rPr>
      <w:lang w:val="en-GB"/>
    </w:rPr>
  </w:style>
  <w:style w:type="paragraph" w:styleId="Bibliography">
    <w:name w:val="Bibliography"/>
    <w:basedOn w:val="Normal"/>
    <w:next w:val="Normal"/>
    <w:uiPriority w:val="37"/>
    <w:semiHidden/>
    <w:unhideWhenUsed/>
    <w:rsid w:val="0005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nash.pinto@moh.gov.om" TargetMode="External"/><Relationship Id="rId13"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hyperlink" Target="mailto:dr.ayaman.harrasi@gmail.com"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dhra.almawali@gmail.com"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mailto:adhra.almawali@gmail.com" TargetMode="External"/><Relationship Id="rId4" Type="http://schemas.openxmlformats.org/officeDocument/2006/relationships/footnotes" Target="footnotes.xml"/><Relationship Id="rId9" Type="http://schemas.openxmlformats.org/officeDocument/2006/relationships/hyperlink" Target="mailto:f.p.cappuccio@warwick.ac.u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33</Pages>
  <Words>6623</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CSR</dc:creator>
  <cp:keywords/>
  <dc:description/>
  <cp:lastModifiedBy>CSR</cp:lastModifiedBy>
  <cp:revision>54</cp:revision>
  <dcterms:created xsi:type="dcterms:W3CDTF">2023-07-03T05:41:00Z</dcterms:created>
  <dcterms:modified xsi:type="dcterms:W3CDTF">2023-07-11T03:44:00Z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id="7HGqsXBv"/&gt;&lt;style id="http://www.zotero.org/styles/vancouver" locale="en-GB" hasBibliography="1" bibliographyStyleHasBeenSet="1"/&gt;&lt;prefs&gt;&lt;pref name="fieldType" value="Field"/&gt;&lt;/prefs&gt;&lt;/data&gt;</vt:lpwstr>
  </property>
</Properties>
</file>